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新能源车型产线适应性改造（</w:t>
      </w:r>
      <w:r>
        <w:rPr>
          <w:rFonts w:hint="eastAsia" w:ascii="宋体" w:hAnsi="宋体" w:eastAsia="宋体" w:cs="Times New Roman"/>
          <w:b/>
          <w:bCs/>
          <w:color w:val="000000"/>
          <w:spacing w:val="-8"/>
          <w:sz w:val="48"/>
          <w:szCs w:val="44"/>
          <w:lang w:val="en-US" w:eastAsia="zh-CN"/>
        </w:rPr>
        <w:t>二</w:t>
      </w:r>
      <w:r>
        <w:rPr>
          <w:rFonts w:hint="eastAsia" w:ascii="宋体" w:hAnsi="宋体" w:eastAsia="宋体" w:cs="Times New Roman"/>
          <w:b/>
          <w:bCs/>
          <w:color w:val="000000"/>
          <w:spacing w:val="-8"/>
          <w:sz w:val="48"/>
          <w:szCs w:val="44"/>
        </w:rPr>
        <w:t>期）</w:t>
      </w:r>
    </w:p>
    <w:p>
      <w:pPr>
        <w:spacing w:line="276" w:lineRule="auto"/>
        <w:jc w:val="center"/>
        <w:rPr>
          <w:rFonts w:hint="default" w:ascii="仿宋_GB2312" w:hAnsi="仿宋_GB2312" w:eastAsia="仿宋_GB2312" w:cs="仿宋_GB2312"/>
          <w:b/>
          <w:bCs/>
          <w:color w:val="000000"/>
          <w:spacing w:val="-8"/>
          <w:sz w:val="48"/>
          <w:szCs w:val="48"/>
          <w:lang w:val="en-US"/>
        </w:rPr>
      </w:pPr>
      <w:r>
        <w:rPr>
          <w:rFonts w:hint="eastAsia" w:ascii="宋体" w:hAnsi="宋体" w:eastAsia="宋体" w:cs="Times New Roman"/>
          <w:b/>
          <w:bCs/>
          <w:color w:val="000000"/>
          <w:spacing w:val="-8"/>
          <w:sz w:val="48"/>
          <w:szCs w:val="44"/>
        </w:rPr>
        <w:t>招标项目子项</w:t>
      </w:r>
      <w:r>
        <w:rPr>
          <w:rFonts w:hint="eastAsia" w:ascii="宋体" w:hAnsi="宋体" w:eastAsia="宋体" w:cs="Times New Roman"/>
          <w:b/>
          <w:bCs/>
          <w:color w:val="000000"/>
          <w:spacing w:val="-8"/>
          <w:sz w:val="48"/>
          <w:szCs w:val="44"/>
          <w:lang w:val="en-US" w:eastAsia="zh-CN"/>
        </w:rPr>
        <w:t>8--新增底部电池工装吊具</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pStyle w:val="2"/>
        <w:rPr>
          <w:rFonts w:hint="eastAsia"/>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：中国重汽集团济南商用车有限公司商用车制造公司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15480"/>
      <w:bookmarkStart w:id="1" w:name="_Toc5202"/>
      <w:bookmarkStart w:id="2" w:name="_Toc23693"/>
      <w:bookmarkStart w:id="3" w:name="_Toc29994"/>
      <w:bookmarkStart w:id="4" w:name="_Toc22242"/>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项目名称：新能源产线改造项目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项目编号：FSCZB2025110192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新增1套底部电池装配系统、1套中部挂载横梁装配工装吊具、1套两侧电池支架装配工装吊具、底部电池吊具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中国重汽集团济南商用车有限公司商用车制造公司</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山东省济南市章丘区世纪大道北50米济南商用车公司</w:t>
            </w:r>
          </w:p>
          <w:p>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snapToGrid w:val="0"/>
                <w:kern w:val="0"/>
                <w:sz w:val="24"/>
                <w:szCs w:val="24"/>
                <w:highlight w:val="none"/>
                <w:lang w:val="en-US" w:eastAsia="zh-CN"/>
              </w:rPr>
              <w:t>17860605820</w:t>
            </w:r>
          </w:p>
          <w:p>
            <w:pPr>
              <w:ind w:firstLine="482" w:firstLineChars="200"/>
              <w:rPr>
                <w:rFonts w:hint="default"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邮箱：</w:t>
            </w:r>
            <w:r>
              <w:rPr>
                <w:rFonts w:hint="eastAsia" w:ascii="仿宋_GB2312" w:hAnsi="仿宋_GB2312" w:eastAsia="仿宋_GB2312" w:cs="仿宋_GB2312"/>
                <w:b/>
                <w:snapToGrid w:val="0"/>
                <w:kern w:val="0"/>
                <w:sz w:val="24"/>
                <w:szCs w:val="24"/>
                <w:highlight w:val="none"/>
                <w:lang w:val="en-US" w:eastAsia="zh-CN"/>
              </w:rPr>
              <w:t>yangshuchao</w:t>
            </w:r>
            <w:r>
              <w:rPr>
                <w:rFonts w:hint="eastAsia" w:ascii="宋体" w:hAnsi="宋体" w:eastAsia="宋体" w:cs="宋体"/>
                <w:b/>
                <w:snapToGrid w:val="0"/>
                <w:kern w:val="0"/>
                <w:sz w:val="24"/>
                <w:szCs w:val="24"/>
              </w:rPr>
              <w:t>@sinotruk.com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技术联系人：张德第</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电话：13353435712</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邮箱：zhangdedi@sinotruk.com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43.5</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100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pPr>
              <w:pStyle w:val="2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pPr>
              <w:pStyle w:val="2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pPr>
              <w:pStyle w:val="2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2025年11月26日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2025年12月2日前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2025年12月2日前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2025年11月30日17：00.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2025年12月5日17：00.</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中信银行舜耕支行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7372610182600034841</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ascii="宋体" w:hAnsi="宋体" w:eastAsia="宋体" w:cs="宋体"/>
                <w:sz w:val="24"/>
                <w:szCs w:val="24"/>
              </w:rPr>
              <w:t>302451037264</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2025年12月5</w:t>
            </w:r>
            <w:bookmarkStart w:id="114" w:name="_GoBack"/>
            <w:bookmarkEnd w:id="114"/>
            <w:r>
              <w:rPr>
                <w:rFonts w:hint="eastAsia" w:ascii="仿宋_GB2312" w:hAnsi="仿宋_GB2312" w:eastAsia="仿宋_GB2312" w:cs="仿宋_GB2312"/>
                <w:color w:val="000000"/>
                <w:sz w:val="24"/>
                <w:szCs w:val="24"/>
                <w:highlight w:val="green"/>
                <w:lang w:val="en-US" w:eastAsia="zh-CN"/>
              </w:rPr>
              <w:t>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2025年12月17日9：00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lang w:val="en-US" w:eastAsia="zh-CN"/>
              </w:rPr>
              <w:t>55</w:t>
            </w:r>
            <w:r>
              <w:rPr>
                <w:rFonts w:hint="eastAsia" w:ascii="仿宋_GB2312" w:hAnsi="仿宋_GB2312" w:eastAsia="仿宋_GB2312" w:cs="仿宋_GB2312"/>
                <w:b/>
                <w:bCs/>
                <w:color w:val="000000"/>
                <w:sz w:val="24"/>
                <w:szCs w:val="24"/>
              </w:rPr>
              <w:t>个日历日之内安装调试完毕。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付款节点:3:6:1 ：</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A.设备全部到货后，中标人提交金额为合同价款30%的收据并提供合同价款30%的增值税专用发票（含复印件二份），经招标人依照财务制度审核通过后30日支付；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B.设备验收合格后，中标人提交金额为合同价款60%的收据并提供合同价款70%的增值税专用发票（含复印件二份），经招标人依照财务制度审核通过后30日支付；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C.合同总价款的10%作为本合同约定设备的质量保证金，质量保证金在质量保证期内不计利息。质保期届满后支付。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27087"/>
      <w:bookmarkStart w:id="8" w:name="_Toc19183"/>
      <w:bookmarkStart w:id="9" w:name="_Toc6577"/>
      <w:bookmarkStart w:id="10" w:name="_Toc427"/>
      <w:bookmarkStart w:id="11" w:name="_Toc9448"/>
      <w:bookmarkStart w:id="12" w:name="_Toc11216"/>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65752"/>
      <w:bookmarkStart w:id="20" w:name="_Toc30534"/>
      <w:bookmarkStart w:id="21" w:name="_Toc33265653"/>
      <w:bookmarkStart w:id="22" w:name="_Toc33285487"/>
      <w:bookmarkStart w:id="23" w:name="_Toc33266914"/>
      <w:bookmarkStart w:id="24" w:name="_Toc33266627"/>
      <w:bookmarkStart w:id="25" w:name="_Toc33267001"/>
      <w:bookmarkStart w:id="26" w:name="_Toc33266950"/>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bookmarkStart w:id="28" w:name="_Toc28416"/>
      <w:r>
        <w:rPr>
          <w:rFonts w:hint="eastAsia" w:ascii="仿宋_GB2312" w:hAnsi="仿宋_GB2312" w:eastAsia="仿宋_GB2312" w:cs="仿宋_GB2312"/>
          <w:sz w:val="24"/>
          <w:szCs w:val="24"/>
          <w:highlight w:val="green"/>
        </w:rPr>
        <w:t>本次招标采用</w:t>
      </w:r>
      <w:bookmarkStart w:id="29" w:name="_Toc33266628"/>
      <w:bookmarkStart w:id="30" w:name="_Toc33285489"/>
      <w:bookmarkStart w:id="31" w:name="_Toc33265654"/>
      <w:bookmarkStart w:id="32" w:name="_Toc395116634"/>
      <w:bookmarkStart w:id="33" w:name="_Toc33266951"/>
      <w:bookmarkStart w:id="34" w:name="_Toc33265753"/>
      <w:bookmarkStart w:id="35" w:name="_Toc33266915"/>
      <w:bookmarkStart w:id="36" w:name="_Toc33267002"/>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9"/>
    <w:bookmarkEnd w:id="30"/>
    <w:bookmarkEnd w:id="31"/>
    <w:bookmarkEnd w:id="32"/>
    <w:bookmarkEnd w:id="33"/>
    <w:bookmarkEnd w:id="34"/>
    <w:bookmarkEnd w:id="35"/>
    <w:bookmarkEnd w:id="36"/>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8"/>
      <w:bookmarkStart w:id="39" w:name="OLE_LINK29"/>
      <w:bookmarkStart w:id="40" w:name="OLE_LINK26"/>
      <w:bookmarkStart w:id="41" w:name="OLE_LINK27"/>
      <w:bookmarkStart w:id="42" w:name="OLE_LINK25"/>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44" w:name="_Toc31869"/>
      <w:bookmarkStart w:id="45" w:name="_Toc2363"/>
      <w:bookmarkStart w:id="46" w:name="_Toc13479"/>
      <w:bookmarkStart w:id="47" w:name="_Toc13002"/>
      <w:bookmarkStart w:id="48" w:name="_Toc762"/>
      <w:bookmarkStart w:id="49" w:name="_Toc2102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4"/>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2.7投标产品技术支持材料</w:t>
      </w:r>
      <w:bookmarkEnd w:id="54"/>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8"/>
      <w:bookmarkStart w:id="56" w:name="OLE_LINK19"/>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57" w:name="_Toc15748"/>
      <w:r>
        <w:rPr>
          <w:rFonts w:hint="eastAsia" w:ascii="仿宋_GB2312" w:hAnsi="仿宋_GB2312" w:eastAsia="仿宋_GB2312" w:cs="仿宋_GB2312"/>
          <w:sz w:val="36"/>
          <w:szCs w:val="36"/>
        </w:rPr>
        <w:t>四、投标文件格式</w:t>
      </w:r>
      <w:bookmarkEnd w:id="57"/>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8" w:name="_Toc6346"/>
      <w:bookmarkStart w:id="59" w:name="_Toc8202"/>
      <w:bookmarkStart w:id="60" w:name="_Toc13605"/>
      <w:bookmarkStart w:id="61" w:name="_Toc12563"/>
      <w:bookmarkStart w:id="62" w:name="_Toc1884"/>
      <w:bookmarkStart w:id="63" w:name="_Toc28236"/>
      <w:bookmarkStart w:id="64" w:name="_Toc24964"/>
      <w:bookmarkStart w:id="65" w:name="_Toc20272"/>
      <w:bookmarkStart w:id="66" w:name="_Toc11355"/>
      <w:bookmarkStart w:id="67" w:name="_Toc6957"/>
      <w:bookmarkStart w:id="68" w:name="_Toc18606"/>
      <w:bookmarkStart w:id="69" w:name="_Toc24913"/>
      <w:bookmarkStart w:id="70" w:name="_Toc4483"/>
      <w:bookmarkStart w:id="71" w:name="_Toc4194"/>
      <w:bookmarkStart w:id="72" w:name="_Toc13555"/>
      <w:bookmarkStart w:id="73" w:name="_Toc12714"/>
      <w:bookmarkStart w:id="74" w:name="_Toc3372"/>
      <w:bookmarkStart w:id="75" w:name="_Toc7511"/>
      <w:bookmarkStart w:id="76" w:name="_Toc30738"/>
      <w:bookmarkStart w:id="77" w:name="_Toc12552"/>
      <w:bookmarkStart w:id="78" w:name="_Toc133783966"/>
      <w:bookmarkStart w:id="79" w:name="_Toc4532"/>
      <w:bookmarkStart w:id="80" w:name="_Toc3565"/>
      <w:bookmarkStart w:id="81" w:name="_Toc21497"/>
      <w:bookmarkStart w:id="82" w:name="_Toc8032"/>
      <w:bookmarkStart w:id="83" w:name="_Toc16358"/>
      <w:bookmarkStart w:id="84" w:name="_Toc18182"/>
      <w:bookmarkStart w:id="85" w:name="_Toc13988"/>
      <w:bookmarkStart w:id="86" w:name="_Toc4029"/>
      <w:bookmarkStart w:id="87" w:name="_Toc13562"/>
      <w:bookmarkStart w:id="88" w:name="_Toc23870"/>
      <w:bookmarkStart w:id="89" w:name="_Toc32378"/>
      <w:bookmarkStart w:id="90" w:name="_Toc19672"/>
      <w:bookmarkStart w:id="91" w:name="_Toc14517"/>
      <w:bookmarkStart w:id="92" w:name="_Toc22649"/>
      <w:bookmarkStart w:id="93" w:name="_Toc7110"/>
      <w:bookmarkStart w:id="94" w:name="_Toc18805"/>
      <w:bookmarkStart w:id="95" w:name="_Toc20467"/>
    </w:p>
    <w:p>
      <w:pPr>
        <w:bidi w:val="0"/>
        <w:rPr>
          <w:rFonts w:hint="eastAsia"/>
        </w:rPr>
      </w:pPr>
    </w:p>
    <w:p>
      <w:pPr>
        <w:bidi w:val="0"/>
        <w:rPr>
          <w:rFonts w:hint="eastAsia"/>
        </w:rPr>
      </w:pPr>
    </w:p>
    <w:p>
      <w:pPr>
        <w:bidi w:val="0"/>
        <w:rPr>
          <w:rFonts w:hint="eastAsia"/>
        </w:rPr>
      </w:pPr>
    </w:p>
    <w:p>
      <w:pPr>
        <w:bidi w:val="0"/>
        <w:rPr>
          <w:rFonts w:hint="eastAsia"/>
        </w:rPr>
      </w:pPr>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keepNext/>
        <w:keepLines/>
        <w:jc w:val="center"/>
        <w:outlineLvl w:val="0"/>
        <w:rPr>
          <w:rFonts w:ascii="宋体" w:hAnsi="宋体" w:eastAsia="宋体" w:cs="Times New Roman"/>
          <w:b/>
          <w:bCs/>
          <w:kern w:val="44"/>
          <w:sz w:val="36"/>
          <w:szCs w:val="44"/>
        </w:rPr>
      </w:pPr>
      <w:bookmarkStart w:id="96" w:name="_Toc9849"/>
      <w:bookmarkStart w:id="97" w:name="OLE_LINK30"/>
      <w:bookmarkStart w:id="98" w:name="OLE_LINK31"/>
      <w:r>
        <w:rPr>
          <w:rFonts w:hint="eastAsia" w:ascii="宋体" w:hAnsi="宋体" w:eastAsia="宋体" w:cs="Times New Roman"/>
          <w:b/>
          <w:bCs/>
          <w:kern w:val="44"/>
          <w:sz w:val="36"/>
          <w:szCs w:val="44"/>
        </w:rPr>
        <w:t>第四部分 技术标书</w:t>
      </w:r>
      <w:bookmarkEnd w:id="96"/>
    </w:p>
    <w:p>
      <w:pPr>
        <w:pStyle w:val="22"/>
        <w:rPr>
          <w:rFonts w:hAnsi="宋体" w:eastAsia="宋体"/>
        </w:rPr>
      </w:pP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pPr>
        <w:keepNext/>
        <w:keepLines/>
        <w:jc w:val="center"/>
        <w:rPr>
          <w:rFonts w:ascii="宋体" w:hAnsi="宋体" w:eastAsia="宋体" w:cs="Times New Roman"/>
          <w:b/>
          <w:bCs/>
          <w:color w:val="000000"/>
          <w:spacing w:val="-8"/>
          <w:sz w:val="48"/>
          <w:szCs w:val="44"/>
        </w:rPr>
      </w:pPr>
      <w:bookmarkStart w:id="99" w:name="_Hlk208323594"/>
      <w:r>
        <w:rPr>
          <w:rFonts w:hint="eastAsia" w:ascii="宋体" w:hAnsi="宋体" w:eastAsia="宋体" w:cs="Times New Roman"/>
          <w:b/>
          <w:bCs/>
          <w:color w:val="000000"/>
          <w:spacing w:val="-8"/>
          <w:sz w:val="48"/>
          <w:szCs w:val="44"/>
        </w:rPr>
        <w:t>新能源车型产线适应性改造（</w:t>
      </w:r>
      <w:r>
        <w:rPr>
          <w:rFonts w:hint="eastAsia" w:ascii="宋体" w:hAnsi="宋体" w:eastAsia="宋体" w:cs="Times New Roman"/>
          <w:b/>
          <w:bCs/>
          <w:color w:val="000000"/>
          <w:spacing w:val="-8"/>
          <w:sz w:val="48"/>
          <w:szCs w:val="44"/>
          <w:lang w:val="en-US" w:eastAsia="zh-CN"/>
        </w:rPr>
        <w:t>二</w:t>
      </w:r>
      <w:r>
        <w:rPr>
          <w:rFonts w:hint="eastAsia" w:ascii="宋体" w:hAnsi="宋体" w:eastAsia="宋体" w:cs="Times New Roman"/>
          <w:b/>
          <w:bCs/>
          <w:color w:val="000000"/>
          <w:spacing w:val="-8"/>
          <w:sz w:val="48"/>
          <w:szCs w:val="44"/>
        </w:rPr>
        <w:t>期）</w:t>
      </w:r>
    </w:p>
    <w:p>
      <w:pPr>
        <w:spacing w:line="276" w:lineRule="auto"/>
        <w:jc w:val="center"/>
        <w:rPr>
          <w:rFonts w:hint="default" w:ascii="宋体" w:hAnsi="宋体" w:eastAsia="宋体" w:cs="Times New Roman"/>
          <w:b/>
          <w:bCs/>
          <w:color w:val="000000"/>
          <w:spacing w:val="-8"/>
          <w:sz w:val="48"/>
          <w:szCs w:val="44"/>
          <w:lang w:val="en-US" w:eastAsia="zh-CN"/>
        </w:rPr>
      </w:pPr>
      <w:r>
        <w:rPr>
          <w:rFonts w:hint="eastAsia" w:ascii="宋体" w:hAnsi="宋体" w:eastAsia="宋体" w:cs="Times New Roman"/>
          <w:b/>
          <w:bCs/>
          <w:color w:val="000000"/>
          <w:spacing w:val="-8"/>
          <w:sz w:val="48"/>
          <w:szCs w:val="44"/>
        </w:rPr>
        <w:t>招标项目子项</w:t>
      </w:r>
      <w:r>
        <w:rPr>
          <w:rFonts w:hint="eastAsia" w:ascii="宋体" w:hAnsi="宋体" w:eastAsia="宋体" w:cs="Times New Roman"/>
          <w:b/>
          <w:bCs/>
          <w:color w:val="000000"/>
          <w:spacing w:val="-8"/>
          <w:sz w:val="48"/>
          <w:szCs w:val="44"/>
          <w:lang w:val="en-US" w:eastAsia="zh-CN"/>
        </w:rPr>
        <w:t>8--新增底部电池工装吊具</w:t>
      </w:r>
    </w:p>
    <w:bookmarkEnd w:id="99"/>
    <w:p>
      <w:pPr>
        <w:jc w:val="right"/>
        <w:rPr>
          <w:rFonts w:ascii="宋体" w:hAnsi="宋体" w:eastAsia="宋体" w:cs="Times New Roman"/>
          <w:color w:val="000000"/>
          <w:sz w:val="28"/>
          <w:szCs w:val="28"/>
        </w:rPr>
      </w:pPr>
    </w:p>
    <w:p>
      <w:pPr>
        <w:pStyle w:val="22"/>
        <w:rPr>
          <w:rFonts w:hAnsi="宋体" w:eastAsia="宋体"/>
        </w:rPr>
      </w:pP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pPr>
        <w:pStyle w:val="22"/>
        <w:rPr>
          <w:rFonts w:hAnsi="宋体" w:eastAsia="宋体"/>
        </w:rPr>
      </w:pPr>
    </w:p>
    <w:p>
      <w:pPr>
        <w:pStyle w:val="22"/>
        <w:rPr>
          <w:rFonts w:hAnsi="宋体" w:eastAsia="宋体" w:cs="Times New Roman"/>
          <w:color w:val="000000"/>
          <w:sz w:val="72"/>
          <w:szCs w:val="72"/>
        </w:rPr>
      </w:pPr>
    </w:p>
    <w:p>
      <w:pPr>
        <w:pStyle w:val="22"/>
        <w:rPr>
          <w:rFonts w:hAnsi="宋体" w:eastAsia="宋体" w:cs="Times New Roman"/>
          <w:color w:val="000000"/>
          <w:sz w:val="72"/>
          <w:szCs w:val="72"/>
        </w:rPr>
      </w:pPr>
    </w:p>
    <w:p>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pPr>
        <w:pStyle w:val="22"/>
        <w:rPr>
          <w:rFonts w:hAnsi="宋体" w:eastAsia="宋体"/>
          <w:b/>
          <w:bCs/>
        </w:rPr>
      </w:pPr>
    </w:p>
    <w:p>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w:t>
      </w:r>
      <w:r>
        <w:rPr>
          <w:rFonts w:hint="eastAsia" w:ascii="宋体" w:hAnsi="宋体" w:eastAsia="宋体" w:cs="Times New Roman"/>
          <w:color w:val="000000"/>
          <w:sz w:val="28"/>
          <w:szCs w:val="28"/>
          <w:lang w:val="en-US" w:eastAsia="zh-CN"/>
        </w:rPr>
        <w:t>1</w:t>
      </w:r>
      <w:r>
        <w:rPr>
          <w:rFonts w:hint="eastAsia" w:ascii="宋体" w:hAnsi="宋体" w:eastAsia="宋体" w:cs="Times New Roman"/>
          <w:color w:val="000000"/>
          <w:sz w:val="28"/>
          <w:szCs w:val="28"/>
        </w:rPr>
        <w:t>月</w:t>
      </w:r>
    </w:p>
    <w:bookmarkEnd w:id="97"/>
    <w:bookmarkEnd w:id="98"/>
    <w:p>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宋体" w:eastAsia="宋体" w:cs="Times New Roman"/>
          <w:b/>
          <w:bCs/>
          <w:kern w:val="44"/>
          <w:sz w:val="28"/>
          <w:szCs w:val="28"/>
        </w:rPr>
      </w:pPr>
      <w:bookmarkStart w:id="100" w:name="_Toc169605877"/>
      <w:r>
        <w:rPr>
          <w:rFonts w:hint="eastAsia" w:ascii="宋体" w:hAnsi="宋体" w:eastAsia="宋体" w:cs="Times New Roman"/>
          <w:b/>
          <w:bCs/>
          <w:kern w:val="44"/>
          <w:sz w:val="28"/>
          <w:szCs w:val="28"/>
        </w:rPr>
        <w:t>第一章采购货物概况</w:t>
      </w:r>
      <w:bookmarkEnd w:id="100"/>
    </w:p>
    <w:p>
      <w:pPr>
        <w:keepNext/>
        <w:keepLines/>
        <w:spacing w:before="120" w:after="120" w:line="480" w:lineRule="exact"/>
        <w:jc w:val="center"/>
        <w:outlineLvl w:val="2"/>
        <w:rPr>
          <w:rFonts w:ascii="宋体" w:hAnsi="宋体" w:eastAsia="宋体" w:cs="Times New Roman"/>
          <w:b/>
          <w:bCs/>
          <w:sz w:val="24"/>
          <w:szCs w:val="24"/>
        </w:rPr>
      </w:pPr>
      <w:bookmarkStart w:id="101" w:name="_Toc169605878"/>
      <w:r>
        <w:rPr>
          <w:rFonts w:hint="eastAsia" w:ascii="宋体" w:hAnsi="宋体" w:eastAsia="宋体" w:cs="Times New Roman"/>
          <w:b/>
          <w:bCs/>
          <w:sz w:val="24"/>
          <w:szCs w:val="24"/>
        </w:rPr>
        <w:t>第一节使用环境</w:t>
      </w:r>
      <w:bookmarkEnd w:id="101"/>
    </w:p>
    <w:p>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rPr>
        <w:t>新能源车型产线适应性改造（二期）招标项目子项</w:t>
      </w:r>
      <w:r>
        <w:rPr>
          <w:rFonts w:hint="eastAsia" w:ascii="宋体" w:hAnsi="宋体" w:eastAsia="宋体"/>
          <w:sz w:val="24"/>
          <w:szCs w:val="24"/>
          <w:u w:val="single"/>
          <w:lang w:val="en-US" w:eastAsia="zh-CN"/>
        </w:rPr>
        <w:t>8--新增底部电池工装吊具</w:t>
      </w:r>
    </w:p>
    <w:p>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w:t>
      </w:r>
    </w:p>
    <w:p>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pPr>
        <w:spacing w:line="360" w:lineRule="auto"/>
        <w:rPr>
          <w:rFonts w:ascii="宋体" w:hAnsi="宋体" w:eastAsia="宋体"/>
          <w:bCs/>
          <w:sz w:val="24"/>
          <w:szCs w:val="24"/>
        </w:rPr>
      </w:pPr>
      <w:r>
        <w:rPr>
          <w:rFonts w:hint="eastAsia" w:ascii="宋体" w:hAnsi="宋体" w:eastAsia="宋体"/>
          <w:bCs/>
          <w:sz w:val="24"/>
          <w:szCs w:val="24"/>
        </w:rPr>
        <w:t>六、生产纲领：72000辆/年，</w:t>
      </w:r>
      <w:r>
        <w:rPr>
          <w:rFonts w:hint="eastAsia" w:ascii="宋体" w:hAnsi="宋体" w:eastAsia="宋体"/>
          <w:bCs/>
          <w:color w:val="EE0000"/>
          <w:sz w:val="24"/>
          <w:szCs w:val="24"/>
        </w:rPr>
        <w:t>节拍4min</w:t>
      </w:r>
    </w:p>
    <w:p>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pPr>
        <w:spacing w:line="420" w:lineRule="exact"/>
        <w:outlineLvl w:val="3"/>
        <w:rPr>
          <w:rFonts w:ascii="宋体" w:hAnsi="宋体" w:eastAsia="宋体"/>
          <w:sz w:val="24"/>
          <w:szCs w:val="24"/>
        </w:rPr>
      </w:pPr>
      <w:r>
        <w:rPr>
          <w:rFonts w:hint="eastAsia" w:ascii="宋体" w:hAnsi="宋体" w:eastAsia="宋体"/>
          <w:b/>
          <w:sz w:val="24"/>
          <w:szCs w:val="24"/>
        </w:rPr>
        <w:t>一、货物名称：</w:t>
      </w:r>
      <w:r>
        <w:rPr>
          <w:rFonts w:hint="eastAsia" w:ascii="宋体" w:hAnsi="宋体" w:eastAsia="宋体"/>
          <w:bCs/>
          <w:sz w:val="24"/>
          <w:szCs w:val="24"/>
          <w:lang w:val="en-US" w:eastAsia="zh-CN"/>
        </w:rPr>
        <w:t>新增底部电池工装吊具</w:t>
      </w:r>
    </w:p>
    <w:p>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b/>
          <w:sz w:val="24"/>
          <w:szCs w:val="24"/>
          <w:lang w:val="en-US" w:eastAsia="zh-CN"/>
        </w:rPr>
        <w:t>4</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1275"/>
        <w:gridCol w:w="709"/>
        <w:gridCol w:w="851"/>
        <w:gridCol w:w="1559"/>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序号</w:t>
            </w:r>
          </w:p>
        </w:tc>
        <w:tc>
          <w:tcPr>
            <w:tcW w:w="2694" w:type="dxa"/>
            <w:vAlign w:val="center"/>
          </w:tcPr>
          <w:p>
            <w:pPr>
              <w:spacing w:line="360" w:lineRule="exact"/>
              <w:jc w:val="center"/>
              <w:rPr>
                <w:rFonts w:ascii="宋体" w:hAnsi="宋体" w:eastAsia="宋体"/>
                <w:b/>
              </w:rPr>
            </w:pPr>
            <w:r>
              <w:rPr>
                <w:rFonts w:hint="eastAsia" w:ascii="宋体" w:hAnsi="宋体" w:eastAsia="宋体"/>
                <w:b/>
              </w:rPr>
              <w:t>名称</w:t>
            </w:r>
          </w:p>
        </w:tc>
        <w:tc>
          <w:tcPr>
            <w:tcW w:w="1275" w:type="dxa"/>
            <w:vAlign w:val="center"/>
          </w:tcPr>
          <w:p>
            <w:pPr>
              <w:spacing w:line="360" w:lineRule="exact"/>
              <w:jc w:val="center"/>
              <w:rPr>
                <w:rFonts w:ascii="宋体" w:hAnsi="宋体" w:eastAsia="宋体"/>
                <w:b/>
              </w:rPr>
            </w:pPr>
            <w:r>
              <w:rPr>
                <w:rFonts w:hint="eastAsia" w:ascii="宋体" w:hAnsi="宋体" w:eastAsia="宋体"/>
                <w:b/>
              </w:rPr>
              <w:t>规格</w:t>
            </w:r>
          </w:p>
        </w:tc>
        <w:tc>
          <w:tcPr>
            <w:tcW w:w="709" w:type="dxa"/>
            <w:vAlign w:val="center"/>
          </w:tcPr>
          <w:p>
            <w:pPr>
              <w:spacing w:line="360" w:lineRule="exact"/>
              <w:jc w:val="center"/>
              <w:rPr>
                <w:rFonts w:ascii="宋体" w:hAnsi="宋体" w:eastAsia="宋体"/>
                <w:b/>
              </w:rPr>
            </w:pPr>
            <w:r>
              <w:rPr>
                <w:rFonts w:hint="eastAsia" w:ascii="宋体" w:hAnsi="宋体" w:eastAsia="宋体"/>
                <w:b/>
              </w:rPr>
              <w:t>单位</w:t>
            </w:r>
          </w:p>
        </w:tc>
        <w:tc>
          <w:tcPr>
            <w:tcW w:w="851" w:type="dxa"/>
            <w:vAlign w:val="center"/>
          </w:tcPr>
          <w:p>
            <w:pPr>
              <w:spacing w:line="360" w:lineRule="exact"/>
              <w:jc w:val="center"/>
              <w:rPr>
                <w:rFonts w:ascii="宋体" w:hAnsi="宋体" w:eastAsia="宋体"/>
                <w:b/>
              </w:rPr>
            </w:pPr>
            <w:r>
              <w:rPr>
                <w:rFonts w:hint="eastAsia" w:ascii="宋体" w:hAnsi="宋体" w:eastAsia="宋体"/>
                <w:b/>
              </w:rPr>
              <w:t>数量</w:t>
            </w:r>
          </w:p>
        </w:tc>
        <w:tc>
          <w:tcPr>
            <w:tcW w:w="1559" w:type="dxa"/>
            <w:vAlign w:val="center"/>
          </w:tcPr>
          <w:p>
            <w:pPr>
              <w:spacing w:line="360" w:lineRule="exact"/>
              <w:jc w:val="center"/>
              <w:rPr>
                <w:rFonts w:ascii="宋体" w:hAnsi="宋体" w:eastAsia="宋体"/>
                <w:b/>
              </w:rPr>
            </w:pPr>
            <w:r>
              <w:rPr>
                <w:rFonts w:hint="eastAsia" w:ascii="宋体" w:hAnsi="宋体" w:eastAsia="宋体"/>
                <w:b/>
              </w:rPr>
              <w:t>交货方式</w:t>
            </w:r>
          </w:p>
        </w:tc>
        <w:tc>
          <w:tcPr>
            <w:tcW w:w="1137" w:type="dxa"/>
            <w:vAlign w:val="center"/>
          </w:tcPr>
          <w:p>
            <w:pPr>
              <w:spacing w:line="360" w:lineRule="exact"/>
              <w:jc w:val="center"/>
              <w:rPr>
                <w:rFonts w:ascii="宋体" w:hAnsi="宋体" w:eastAsia="宋体"/>
                <w:b/>
              </w:rPr>
            </w:pPr>
            <w:r>
              <w:rPr>
                <w:rFonts w:hint="eastAsia" w:ascii="宋体" w:hAnsi="宋体" w:eastAsia="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1</w:t>
            </w:r>
          </w:p>
        </w:tc>
        <w:tc>
          <w:tcPr>
            <w:tcW w:w="2694"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底部电池装配系统</w:t>
            </w:r>
          </w:p>
        </w:tc>
        <w:tc>
          <w:tcPr>
            <w:tcW w:w="1275"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709" w:type="dxa"/>
            <w:vAlign w:val="center"/>
          </w:tcPr>
          <w:p>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lang w:val="en-US" w:eastAsia="zh-CN"/>
              </w:rPr>
              <w:t>套</w:t>
            </w:r>
          </w:p>
        </w:tc>
        <w:tc>
          <w:tcPr>
            <w:tcW w:w="851" w:type="dxa"/>
            <w:vAlign w:val="center"/>
          </w:tcPr>
          <w:p>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lang w:val="en-US" w:eastAsia="zh-CN"/>
              </w:rPr>
              <w:t>1</w:t>
            </w:r>
          </w:p>
        </w:tc>
        <w:tc>
          <w:tcPr>
            <w:tcW w:w="1559"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2</w:t>
            </w:r>
          </w:p>
        </w:tc>
        <w:tc>
          <w:tcPr>
            <w:tcW w:w="2694"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cs="宋体"/>
                <w:kern w:val="0"/>
                <w:sz w:val="24"/>
                <w:szCs w:val="24"/>
                <w:lang w:val="en-US" w:eastAsia="zh-CN"/>
              </w:rPr>
              <w:t>中部挂载横梁装配工装吊具</w:t>
            </w:r>
          </w:p>
        </w:tc>
        <w:tc>
          <w:tcPr>
            <w:tcW w:w="127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709"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851"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559" w:type="dxa"/>
            <w:shd w:val="clear" w:color="auto" w:fill="auto"/>
            <w:vAlign w:val="center"/>
          </w:tcPr>
          <w:p>
            <w:pPr>
              <w:spacing w:line="360" w:lineRule="auto"/>
              <w:jc w:val="center"/>
              <w:rPr>
                <w:rFonts w:hint="eastAsia" w:ascii="宋体" w:hAnsi="宋体" w:eastAsia="宋体" w:cstheme="minorBidi"/>
                <w:bCs/>
                <w:kern w:val="2"/>
                <w:sz w:val="24"/>
                <w:szCs w:val="24"/>
                <w:lang w:val="en-US" w:eastAsia="zh-CN" w:bidi="ar-SA"/>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3</w:t>
            </w:r>
          </w:p>
        </w:tc>
        <w:tc>
          <w:tcPr>
            <w:tcW w:w="2694"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cs="宋体"/>
                <w:kern w:val="0"/>
                <w:sz w:val="24"/>
                <w:szCs w:val="24"/>
                <w:lang w:val="en-US" w:eastAsia="zh-CN"/>
              </w:rPr>
              <w:t>两侧电池支架装配工装吊具</w:t>
            </w:r>
          </w:p>
        </w:tc>
        <w:tc>
          <w:tcPr>
            <w:tcW w:w="127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709"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851"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559" w:type="dxa"/>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hint="default" w:ascii="宋体" w:hAnsi="宋体" w:eastAsia="宋体"/>
                <w:b/>
                <w:lang w:val="en-US" w:eastAsia="zh-CN"/>
              </w:rPr>
            </w:pPr>
            <w:r>
              <w:rPr>
                <w:rFonts w:hint="eastAsia" w:ascii="宋体" w:hAnsi="宋体" w:eastAsia="宋体"/>
                <w:b/>
                <w:lang w:val="en-US" w:eastAsia="zh-CN"/>
              </w:rPr>
              <w:t>4</w:t>
            </w:r>
          </w:p>
        </w:tc>
        <w:tc>
          <w:tcPr>
            <w:tcW w:w="2694"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底部电池吊具</w:t>
            </w:r>
          </w:p>
        </w:tc>
        <w:tc>
          <w:tcPr>
            <w:tcW w:w="127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非标定制</w:t>
            </w:r>
          </w:p>
        </w:tc>
        <w:tc>
          <w:tcPr>
            <w:tcW w:w="709"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851"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559" w:type="dxa"/>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pStyle w:val="22"/>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907"/>
        <w:gridCol w:w="3046"/>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156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1640"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w:t>
            </w:r>
          </w:p>
        </w:tc>
        <w:tc>
          <w:tcPr>
            <w:tcW w:w="1250"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2907"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变频器</w:t>
            </w:r>
          </w:p>
        </w:tc>
        <w:tc>
          <w:tcPr>
            <w:tcW w:w="3046" w:type="dxa"/>
            <w:vAlign w:val="center"/>
          </w:tcPr>
          <w:p>
            <w:pPr>
              <w:spacing w:line="360" w:lineRule="auto"/>
              <w:jc w:val="center"/>
              <w:rPr>
                <w:rFonts w:ascii="宋体" w:hAnsi="宋体" w:eastAsia="宋体" w:cs="宋体"/>
                <w:color w:val="000000"/>
                <w:sz w:val="24"/>
                <w:szCs w:val="24"/>
              </w:rPr>
            </w:pPr>
            <w:r>
              <w:rPr>
                <w:rFonts w:ascii="宋体" w:hAnsi="宋体" w:eastAsia="宋体" w:cs="宋体"/>
                <w:color w:val="auto"/>
                <w:sz w:val="24"/>
                <w:szCs w:val="24"/>
              </w:rPr>
              <w:t>SIEMENS</w:t>
            </w:r>
          </w:p>
        </w:tc>
        <w:tc>
          <w:tcPr>
            <w:tcW w:w="1250" w:type="pct"/>
            <w:vAlign w:val="center"/>
          </w:tcPr>
          <w:p>
            <w:pPr>
              <w:spacing w:line="360" w:lineRule="auto"/>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2907" w:type="dxa"/>
            <w:vAlign w:val="center"/>
          </w:tcPr>
          <w:p>
            <w:pPr>
              <w:spacing w:line="360" w:lineRule="auto"/>
              <w:jc w:val="center"/>
              <w:rPr>
                <w:rFonts w:ascii="宋体" w:hAnsi="宋体" w:eastAsia="宋体" w:cs="宋体"/>
                <w:color w:val="000000"/>
                <w:sz w:val="24"/>
                <w:szCs w:val="24"/>
                <w:highlight w:val="yellow"/>
              </w:rPr>
            </w:pPr>
            <w:r>
              <w:rPr>
                <w:rFonts w:hint="eastAsia" w:ascii="宋体" w:hAnsi="宋体" w:eastAsia="宋体" w:cs="宋体"/>
                <w:color w:val="000000"/>
                <w:sz w:val="24"/>
                <w:szCs w:val="24"/>
                <w:lang w:val="en-US" w:eastAsia="zh-CN"/>
              </w:rPr>
              <w:t>电机</w:t>
            </w:r>
          </w:p>
        </w:tc>
        <w:tc>
          <w:tcPr>
            <w:tcW w:w="3046" w:type="dxa"/>
            <w:vAlign w:val="center"/>
          </w:tcPr>
          <w:p>
            <w:pPr>
              <w:spacing w:line="360" w:lineRule="auto"/>
              <w:jc w:val="center"/>
              <w:rPr>
                <w:rFonts w:hint="default" w:ascii="宋体" w:hAnsi="宋体" w:eastAsia="宋体" w:cs="宋体"/>
                <w:color w:val="000000"/>
                <w:sz w:val="24"/>
                <w:szCs w:val="24"/>
                <w:highlight w:val="yellow"/>
                <w:lang w:val="en-US"/>
              </w:rPr>
            </w:pPr>
            <w:r>
              <w:rPr>
                <w:rFonts w:hint="eastAsia" w:ascii="宋体" w:hAnsi="宋体" w:eastAsia="宋体" w:cs="宋体"/>
                <w:color w:val="000000"/>
                <w:sz w:val="24"/>
                <w:szCs w:val="24"/>
                <w:lang w:val="en-US" w:eastAsia="zh-CN"/>
              </w:rPr>
              <w:t>SEW</w:t>
            </w:r>
          </w:p>
        </w:tc>
        <w:tc>
          <w:tcPr>
            <w:tcW w:w="1250" w:type="pct"/>
            <w:vAlign w:val="center"/>
          </w:tcPr>
          <w:p>
            <w:pPr>
              <w:snapToGrid w:val="0"/>
              <w:jc w:val="center"/>
              <w:rPr>
                <w:rFonts w:ascii="宋体" w:hAnsi="宋体" w:eastAsia="宋体" w:cs="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2907" w:type="dxa"/>
            <w:vAlign w:val="center"/>
          </w:tcPr>
          <w:p>
            <w:pPr>
              <w:snapToGrid w:val="0"/>
              <w:jc w:val="center"/>
              <w:rPr>
                <w:rFonts w:ascii="宋体" w:hAnsi="宋体" w:eastAsia="宋体" w:cs="宋体"/>
                <w:b/>
                <w:bCs/>
                <w:color w:val="000000"/>
                <w:sz w:val="24"/>
                <w:szCs w:val="24"/>
              </w:rPr>
            </w:pPr>
            <w:r>
              <w:rPr>
                <w:rFonts w:ascii="宋体" w:hAnsi="宋体" w:eastAsia="宋体" w:cs="宋体"/>
                <w:color w:val="auto"/>
                <w:sz w:val="24"/>
                <w:szCs w:val="24"/>
              </w:rPr>
              <w:t>数字量输入模块</w:t>
            </w:r>
          </w:p>
        </w:tc>
        <w:tc>
          <w:tcPr>
            <w:tcW w:w="3046" w:type="dxa"/>
            <w:vAlign w:val="center"/>
          </w:tcPr>
          <w:p>
            <w:pPr>
              <w:snapToGrid w:val="0"/>
              <w:jc w:val="center"/>
              <w:rPr>
                <w:rFonts w:ascii="宋体" w:hAnsi="宋体" w:eastAsia="宋体" w:cs="宋体"/>
                <w:color w:val="000000"/>
                <w:sz w:val="24"/>
                <w:szCs w:val="24"/>
              </w:rPr>
            </w:pPr>
            <w:r>
              <w:rPr>
                <w:rFonts w:ascii="宋体" w:hAnsi="宋体" w:eastAsia="宋体" w:cs="宋体"/>
                <w:color w:val="auto"/>
                <w:sz w:val="24"/>
                <w:szCs w:val="24"/>
              </w:rPr>
              <w:t>SIEMENS</w:t>
            </w:r>
          </w:p>
        </w:tc>
        <w:tc>
          <w:tcPr>
            <w:tcW w:w="1250" w:type="pct"/>
            <w:vAlign w:val="center"/>
          </w:tcPr>
          <w:p>
            <w:pPr>
              <w:snapToGrid w:val="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1565" w:type="pct"/>
            <w:vAlign w:val="center"/>
          </w:tcPr>
          <w:p>
            <w:pPr>
              <w:snapToGrid w:val="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PLC</w:t>
            </w:r>
          </w:p>
        </w:tc>
        <w:tc>
          <w:tcPr>
            <w:tcW w:w="1640" w:type="pct"/>
            <w:vAlign w:val="center"/>
          </w:tcPr>
          <w:p>
            <w:pPr>
              <w:snapToGrid w:val="0"/>
              <w:jc w:val="center"/>
              <w:rPr>
                <w:rFonts w:ascii="宋体" w:hAnsi="宋体" w:eastAsia="宋体" w:cs="宋体"/>
                <w:color w:val="000000"/>
                <w:sz w:val="24"/>
                <w:szCs w:val="24"/>
              </w:rPr>
            </w:pPr>
            <w:r>
              <w:rPr>
                <w:rFonts w:ascii="宋体" w:hAnsi="宋体" w:eastAsia="宋体" w:cs="宋体"/>
                <w:color w:val="auto"/>
                <w:sz w:val="24"/>
                <w:szCs w:val="24"/>
              </w:rPr>
              <w:t>SIEMENS</w:t>
            </w:r>
          </w:p>
        </w:tc>
        <w:tc>
          <w:tcPr>
            <w:tcW w:w="1250" w:type="pct"/>
            <w:vAlign w:val="center"/>
          </w:tcPr>
          <w:p>
            <w:pPr>
              <w:snapToGrid w:val="0"/>
              <w:jc w:val="center"/>
              <w:rPr>
                <w:rFonts w:ascii="宋体" w:hAnsi="宋体" w:eastAsia="宋体" w:cs="宋体"/>
                <w:color w:val="000000"/>
                <w:sz w:val="24"/>
                <w:szCs w:val="24"/>
              </w:rPr>
            </w:pPr>
          </w:p>
        </w:tc>
      </w:tr>
    </w:tbl>
    <w:p>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pPr>
        <w:spacing w:line="360" w:lineRule="auto"/>
        <w:rPr>
          <w:rFonts w:ascii="宋体" w:hAnsi="宋体" w:eastAsia="宋体"/>
          <w:sz w:val="24"/>
          <w:szCs w:val="24"/>
        </w:rPr>
      </w:pPr>
      <w:r>
        <w:rPr>
          <w:rFonts w:hint="eastAsia" w:ascii="宋体" w:hAnsi="宋体" w:eastAsia="宋体"/>
          <w:b/>
          <w:sz w:val="24"/>
          <w:szCs w:val="24"/>
        </w:rPr>
        <w:t>五、投标要求</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sz w:val="24"/>
          <w:szCs w:val="24"/>
          <w:u w:val="none"/>
        </w:rPr>
        <w:t>新能源车型产线适应性改造（二期）招标项目子项</w:t>
      </w:r>
      <w:r>
        <w:rPr>
          <w:rFonts w:hint="eastAsia" w:ascii="宋体" w:hAnsi="宋体" w:eastAsia="宋体"/>
          <w:sz w:val="24"/>
          <w:szCs w:val="24"/>
          <w:u w:val="none"/>
          <w:lang w:val="en-US" w:eastAsia="zh-CN"/>
        </w:rPr>
        <w:t>8--新增底部电池工装吊具项目</w:t>
      </w:r>
      <w:r>
        <w:rPr>
          <w:rFonts w:hint="eastAsia" w:ascii="宋体" w:hAnsi="宋体" w:eastAsia="宋体"/>
          <w:bCs/>
          <w:sz w:val="24"/>
          <w:szCs w:val="24"/>
          <w:u w:val="none"/>
        </w:rPr>
        <w:t>施</w:t>
      </w:r>
      <w:r>
        <w:rPr>
          <w:rFonts w:hint="eastAsia" w:ascii="宋体" w:hAnsi="宋体" w:eastAsia="宋体"/>
          <w:bCs/>
          <w:sz w:val="24"/>
          <w:szCs w:val="24"/>
        </w:rPr>
        <w:t>工详细内容充分分析，</w:t>
      </w:r>
      <w:r>
        <w:rPr>
          <w:rFonts w:hint="eastAsia" w:ascii="宋体" w:hAnsi="宋体" w:eastAsia="宋体"/>
          <w:bCs/>
          <w:sz w:val="24"/>
          <w:szCs w:val="24"/>
          <w:lang w:val="en-US" w:eastAsia="zh-CN"/>
        </w:rPr>
        <w:t>根据需求</w:t>
      </w:r>
      <w:r>
        <w:rPr>
          <w:rFonts w:hint="eastAsia" w:ascii="宋体" w:hAnsi="宋体" w:eastAsia="宋体"/>
          <w:bCs/>
          <w:sz w:val="24"/>
          <w:szCs w:val="24"/>
        </w:rPr>
        <w:t>并提供详细的工艺方案，同时以此为报价基础。</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pPr>
        <w:pStyle w:val="131"/>
        <w:numPr>
          <w:ilvl w:val="0"/>
          <w:numId w:val="9"/>
        </w:numPr>
        <w:spacing w:line="360" w:lineRule="auto"/>
        <w:ind w:firstLineChars="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pPr>
        <w:spacing w:line="360" w:lineRule="auto"/>
        <w:ind w:left="420" w:left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主、辅材的采购、供应；</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其他甲方的施工要求。</w:t>
      </w:r>
    </w:p>
    <w:p>
      <w:pPr>
        <w:numPr>
          <w:ilvl w:val="0"/>
          <w:numId w:val="10"/>
        </w:numPr>
        <w:spacing w:line="360" w:lineRule="auto"/>
        <w:rPr>
          <w:rFonts w:ascii="宋体" w:hAnsi="宋体" w:eastAsia="宋体"/>
          <w:bCs/>
          <w:sz w:val="24"/>
          <w:szCs w:val="24"/>
        </w:rPr>
      </w:pPr>
      <w:r>
        <w:rPr>
          <w:rFonts w:hint="eastAsia" w:ascii="宋体" w:hAnsi="宋体" w:eastAsia="宋体"/>
          <w:bCs/>
          <w:sz w:val="24"/>
          <w:szCs w:val="24"/>
        </w:rPr>
        <w:t>响应甲方要求，配合制定出合理可行的总装不停线施工方案及计划。</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pPr>
        <w:widowControl/>
        <w:spacing w:line="360" w:lineRule="auto"/>
        <w:jc w:val="left"/>
        <w:rPr>
          <w:rFonts w:ascii="宋体" w:hAnsi="宋体" w:eastAsia="宋体"/>
          <w:sz w:val="24"/>
          <w:szCs w:val="24"/>
        </w:rPr>
      </w:pPr>
    </w:p>
    <w:p>
      <w:pPr>
        <w:keepNext/>
        <w:keepLines/>
        <w:spacing w:before="120" w:after="120" w:line="480" w:lineRule="exact"/>
        <w:jc w:val="center"/>
        <w:outlineLvl w:val="1"/>
        <w:rPr>
          <w:rFonts w:ascii="宋体" w:hAnsi="宋体" w:eastAsia="宋体" w:cs="Times New Roman"/>
          <w:bCs/>
          <w:kern w:val="44"/>
          <w:sz w:val="28"/>
          <w:szCs w:val="28"/>
        </w:rPr>
      </w:pPr>
      <w:bookmarkStart w:id="102" w:name="_Toc169605880"/>
      <w:bookmarkStart w:id="103" w:name="_Toc169605881"/>
      <w:r>
        <w:rPr>
          <w:rFonts w:hint="eastAsia" w:ascii="宋体" w:hAnsi="宋体" w:eastAsia="宋体" w:cs="Times New Roman"/>
          <w:b/>
          <w:bCs/>
          <w:kern w:val="44"/>
          <w:sz w:val="28"/>
          <w:szCs w:val="28"/>
        </w:rPr>
        <w:t>第二章技术要求</w:t>
      </w:r>
      <w:bookmarkEnd w:id="102"/>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pPr>
        <w:pStyle w:val="12"/>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pPr>
        <w:pStyle w:val="12"/>
        <w:numPr>
          <w:ilvl w:val="0"/>
          <w:numId w:val="11"/>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pPr>
        <w:pStyle w:val="12"/>
        <w:numPr>
          <w:ilvl w:val="0"/>
          <w:numId w:val="11"/>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pPr>
        <w:pStyle w:val="12"/>
        <w:numPr>
          <w:ilvl w:val="0"/>
          <w:numId w:val="11"/>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pPr>
        <w:pStyle w:val="12"/>
        <w:numPr>
          <w:ilvl w:val="0"/>
          <w:numId w:val="11"/>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pPr>
        <w:pStyle w:val="12"/>
        <w:numPr>
          <w:ilvl w:val="0"/>
          <w:numId w:val="11"/>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3.3项目内容</w:t>
      </w:r>
    </w:p>
    <w:p>
      <w:pPr>
        <w:widowControl/>
        <w:spacing w:line="360" w:lineRule="auto"/>
        <w:ind w:firstLine="480" w:firstLineChars="200"/>
        <w:jc w:val="left"/>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3.3.1底部电池框架落装吊具及底部电池吊具</w:t>
      </w:r>
    </w:p>
    <w:p>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3.3.1.1中部挂载横梁装配工装示意</w:t>
      </w:r>
    </w:p>
    <w:p>
      <w:pPr>
        <w:widowControl/>
        <w:spacing w:line="360" w:lineRule="auto"/>
        <w:ind w:firstLine="480" w:firstLineChars="200"/>
        <w:jc w:val="left"/>
        <w:rPr>
          <w:rFonts w:hint="default"/>
          <w:lang w:val="en-US" w:eastAsia="zh-CN"/>
        </w:rPr>
      </w:pPr>
      <w:r>
        <w:rPr>
          <w:rFonts w:hint="eastAsia" w:ascii="宋体" w:hAnsi="宋体" w:eastAsia="宋体" w:cs="宋体"/>
          <w:kern w:val="0"/>
          <w:sz w:val="24"/>
          <w:szCs w:val="24"/>
          <w:lang w:val="en-US" w:eastAsia="zh-CN"/>
        </w:rPr>
        <w:t>4个横梁吊挂在在吊具上时，整体平面度要求为2</w:t>
      </w:r>
    </w:p>
    <w:p>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drawing>
          <wp:inline distT="0" distB="0" distL="114300" distR="114300">
            <wp:extent cx="5751195" cy="3217545"/>
            <wp:effectExtent l="0" t="0" r="1905" b="8255"/>
            <wp:docPr id="4" name="图片 4" descr="b85f0524eaed8afc041d424ff7a3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85f0524eaed8afc041d424ff7a36157"/>
                    <pic:cNvPicPr>
                      <a:picLocks noChangeAspect="1"/>
                    </pic:cNvPicPr>
                  </pic:nvPicPr>
                  <pic:blipFill>
                    <a:blip r:embed="rId43"/>
                    <a:stretch>
                      <a:fillRect/>
                    </a:stretch>
                  </pic:blipFill>
                  <pic:spPr>
                    <a:xfrm>
                      <a:off x="0" y="0"/>
                      <a:ext cx="5751195" cy="3217545"/>
                    </a:xfrm>
                    <a:prstGeom prst="rect">
                      <a:avLst/>
                    </a:prstGeom>
                  </pic:spPr>
                </pic:pic>
              </a:graphicData>
            </a:graphic>
          </wp:inline>
        </w:drawing>
      </w:r>
    </w:p>
    <w:p>
      <w:pPr>
        <w:pStyle w:val="22"/>
        <w:jc w:val="center"/>
        <w:rPr>
          <w:rFonts w:hint="default"/>
          <w:lang w:val="en-US" w:eastAsia="zh-CN"/>
        </w:rPr>
      </w:pPr>
      <w:r>
        <w:rPr>
          <w:rFonts w:hint="eastAsia"/>
          <w:lang w:val="en-US" w:eastAsia="zh-CN"/>
        </w:rPr>
        <w:t>图3-1中部挂载横梁装配工装吊具示意</w:t>
      </w:r>
    </w:p>
    <w:p>
      <w:pPr>
        <w:pStyle w:val="22"/>
        <w:spacing w:line="360" w:lineRule="auto"/>
        <w:ind w:firstLine="480" w:firstLineChars="200"/>
        <w:rPr>
          <w:rFonts w:hint="default"/>
          <w:lang w:val="en-US" w:eastAsia="zh-CN"/>
        </w:rPr>
      </w:pPr>
      <w:r>
        <w:rPr>
          <w:rFonts w:hint="eastAsia" w:hAnsi="宋体" w:eastAsia="宋体" w:cs="宋体"/>
          <w:kern w:val="0"/>
          <w:sz w:val="24"/>
          <w:szCs w:val="24"/>
          <w:lang w:val="en-US" w:eastAsia="zh-CN"/>
        </w:rPr>
        <w:t>每个横梁需要增加两个辅助定位销</w:t>
      </w:r>
    </w:p>
    <w:p>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3.3.1.2两侧电池支架装配工装吊具示意</w:t>
      </w:r>
    </w:p>
    <w:p>
      <w:pPr>
        <w:pStyle w:val="22"/>
        <w:ind w:firstLine="480" w:firstLineChars="200"/>
        <w:rPr>
          <w:rFonts w:hint="default"/>
          <w:lang w:val="en-US" w:eastAsia="zh-CN"/>
        </w:rPr>
      </w:pPr>
      <w:r>
        <w:rPr>
          <w:rFonts w:hint="eastAsia" w:hAnsi="宋体" w:eastAsia="宋体" w:cs="宋体"/>
          <w:kern w:val="0"/>
          <w:sz w:val="24"/>
          <w:szCs w:val="24"/>
          <w:lang w:val="en-US" w:eastAsia="zh-CN"/>
        </w:rPr>
        <w:t>4个与横梁、电池支架贴合面的平面度为4</w:t>
      </w:r>
    </w:p>
    <w:p>
      <w:pPr>
        <w:widowControl/>
        <w:spacing w:line="360" w:lineRule="auto"/>
        <w:ind w:firstLine="420" w:firstLineChars="200"/>
        <w:jc w:val="center"/>
      </w:pPr>
      <w:r>
        <w:drawing>
          <wp:inline distT="0" distB="0" distL="114300" distR="114300">
            <wp:extent cx="3599815" cy="2633345"/>
            <wp:effectExtent l="9525" t="9525" r="10160"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4"/>
                    <a:stretch>
                      <a:fillRect/>
                    </a:stretch>
                  </pic:blipFill>
                  <pic:spPr>
                    <a:xfrm>
                      <a:off x="0" y="0"/>
                      <a:ext cx="3599815" cy="2633345"/>
                    </a:xfrm>
                    <a:prstGeom prst="rect">
                      <a:avLst/>
                    </a:prstGeom>
                    <a:noFill/>
                    <a:ln>
                      <a:solidFill>
                        <a:schemeClr val="bg2"/>
                      </a:solidFill>
                    </a:ln>
                  </pic:spPr>
                </pic:pic>
              </a:graphicData>
            </a:graphic>
          </wp:inline>
        </w:drawing>
      </w:r>
    </w:p>
    <w:p>
      <w:pPr>
        <w:pStyle w:val="22"/>
        <w:jc w:val="center"/>
        <w:rPr>
          <w:rFonts w:hint="eastAsia"/>
          <w:lang w:val="en-US" w:eastAsia="zh-CN"/>
        </w:rPr>
      </w:pPr>
      <w:r>
        <w:rPr>
          <w:rFonts w:hint="eastAsia"/>
          <w:lang w:val="en-US" w:eastAsia="zh-CN"/>
        </w:rPr>
        <w:t>图3-2 两侧电池支架装配工装吊具示意</w:t>
      </w:r>
    </w:p>
    <w:p>
      <w:pPr>
        <w:pStyle w:val="22"/>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3.3.1.</w:t>
      </w:r>
      <w:r>
        <w:rPr>
          <w:rFonts w:hint="eastAsia" w:hAnsi="宋体" w:eastAsia="宋体" w:cs="宋体"/>
          <w:kern w:val="0"/>
          <w:sz w:val="24"/>
          <w:szCs w:val="24"/>
          <w:lang w:val="en-US" w:eastAsia="zh-CN"/>
        </w:rPr>
        <w:t>3底部电池吊具</w:t>
      </w:r>
      <w:r>
        <w:rPr>
          <w:rFonts w:hint="eastAsia" w:ascii="宋体" w:hAnsi="宋体" w:eastAsia="宋体" w:cs="宋体"/>
          <w:kern w:val="0"/>
          <w:sz w:val="24"/>
          <w:szCs w:val="24"/>
          <w:lang w:val="en-US" w:eastAsia="zh-CN"/>
        </w:rPr>
        <w:t>：</w:t>
      </w:r>
    </w:p>
    <w:p>
      <w:pPr>
        <w:pStyle w:val="22"/>
        <w:spacing w:line="360" w:lineRule="auto"/>
        <w:ind w:firstLine="480" w:firstLineChars="200"/>
        <w:rPr>
          <w:rFonts w:hint="default" w:ascii="宋体" w:hAnsi="宋体" w:eastAsia="宋体" w:cs="宋体"/>
          <w:kern w:val="0"/>
          <w:sz w:val="24"/>
          <w:szCs w:val="24"/>
          <w:lang w:val="en-US" w:eastAsia="zh-CN"/>
        </w:rPr>
      </w:pPr>
      <w:r>
        <w:rPr>
          <w:rFonts w:hint="eastAsia" w:hAnsi="宋体" w:eastAsia="宋体" w:cs="宋体"/>
          <w:kern w:val="0"/>
          <w:sz w:val="24"/>
          <w:szCs w:val="24"/>
          <w:lang w:val="en-US" w:eastAsia="zh-CN"/>
        </w:rPr>
        <w:t>需根据产品尺寸及重量（单块电池≥1.5t）定制，保证吊具可满足底部电池的吊运，且便于工人操作。</w:t>
      </w:r>
    </w:p>
    <w:p>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3.3.2底部电池装配</w:t>
      </w:r>
    </w:p>
    <w:p>
      <w:pPr>
        <w:pStyle w:val="22"/>
        <w:rPr>
          <w:rFonts w:hint="default"/>
          <w:highlight w:val="none"/>
          <w:lang w:val="en-US" w:eastAsia="zh-CN"/>
        </w:rPr>
      </w:pPr>
      <w:r>
        <w:rPr>
          <w:rFonts w:hint="eastAsia" w:hAnsi="宋体" w:eastAsia="宋体" w:cs="宋体"/>
          <w:kern w:val="0"/>
          <w:sz w:val="24"/>
          <w:szCs w:val="24"/>
          <w:lang w:val="en-US" w:eastAsia="zh-CN"/>
        </w:rPr>
        <w:t xml:space="preserve">    基本逻辑：底部电池吊运至工装上后，</w:t>
      </w:r>
      <w:r>
        <w:rPr>
          <w:rFonts w:hint="eastAsia" w:hAnsi="宋体" w:eastAsia="宋体" w:cs="宋体"/>
          <w:kern w:val="0"/>
          <w:sz w:val="24"/>
          <w:szCs w:val="24"/>
          <w:highlight w:val="none"/>
          <w:lang w:val="en-US" w:eastAsia="zh-CN"/>
        </w:rPr>
        <w:t>电动小车驮运对应不同型号电池的工装，运行到指定位置进行装配。整体工作节拍需满足生产需求，单车承载重量＜20t，非自动运行部分需配备遥控器控制。</w:t>
      </w:r>
    </w:p>
    <w:p>
      <w:pPr>
        <w:pStyle w:val="22"/>
        <w:ind w:firstLine="480" w:firstLineChars="200"/>
        <w:rPr>
          <w:rFonts w:hint="default"/>
          <w:lang w:val="en-US" w:eastAsia="zh-CN"/>
        </w:rPr>
      </w:pPr>
      <w:r>
        <w:rPr>
          <w:rFonts w:hint="eastAsia" w:hAnsi="宋体" w:eastAsia="宋体" w:cs="宋体"/>
          <w:kern w:val="0"/>
          <w:sz w:val="24"/>
          <w:szCs w:val="24"/>
          <w:lang w:val="en-US" w:eastAsia="zh-CN"/>
        </w:rPr>
        <w:t>3.3.2.1车架支撑方式</w:t>
      </w:r>
    </w:p>
    <w:p>
      <w:pPr>
        <w:widowControl/>
        <w:spacing w:line="360" w:lineRule="auto"/>
        <w:ind w:firstLine="480" w:firstLineChars="200"/>
        <w:jc w:val="left"/>
        <w:rPr>
          <w:rFonts w:hint="default" w:ascii="宋体" w:hAnsi="宋体" w:eastAsia="宋体" w:cs="宋体"/>
          <w:kern w:val="0"/>
          <w:sz w:val="24"/>
          <w:szCs w:val="24"/>
          <w:lang w:val="en-US" w:eastAsia="zh-CN"/>
        </w:rPr>
      </w:pPr>
      <w:r>
        <w:rPr>
          <w:rFonts w:hint="default" w:ascii="宋体" w:hAnsi="宋体" w:eastAsia="宋体" w:cs="宋体"/>
          <w:kern w:val="0"/>
          <w:sz w:val="24"/>
          <w:szCs w:val="24"/>
          <w:lang w:val="en-US" w:eastAsia="zh-CN"/>
        </w:rPr>
        <w:t>支撑前横梁</w:t>
      </w:r>
      <w:r>
        <w:rPr>
          <w:rFonts w:hint="eastAsia" w:ascii="宋体" w:hAnsi="宋体" w:eastAsia="宋体" w:cs="宋体"/>
          <w:kern w:val="0"/>
          <w:sz w:val="24"/>
          <w:szCs w:val="24"/>
          <w:lang w:val="en-US" w:eastAsia="zh-CN"/>
        </w:rPr>
        <w:t>及</w:t>
      </w:r>
      <w:r>
        <w:rPr>
          <w:rFonts w:hint="default" w:ascii="宋体" w:hAnsi="宋体" w:eastAsia="宋体" w:cs="宋体"/>
          <w:kern w:val="0"/>
          <w:sz w:val="24"/>
          <w:szCs w:val="24"/>
          <w:lang w:val="en-US" w:eastAsia="zh-CN"/>
        </w:rPr>
        <w:t>2个后桥。</w:t>
      </w:r>
      <w:r>
        <w:rPr>
          <w:rFonts w:hint="eastAsia" w:ascii="宋体" w:hAnsi="宋体" w:eastAsia="宋体" w:cs="宋体"/>
          <w:kern w:val="0"/>
          <w:sz w:val="24"/>
          <w:szCs w:val="24"/>
          <w:lang w:val="en-US" w:eastAsia="zh-CN"/>
        </w:rPr>
        <w:t>车架落装过程中有定位导向，前后桥支撑升起，支撑整个车架。</w:t>
      </w:r>
    </w:p>
    <w:p>
      <w:pPr>
        <w:widowControl/>
        <w:spacing w:line="360" w:lineRule="exact"/>
        <w:ind w:firstLine="480" w:firstLineChars="200"/>
        <w:jc w:val="left"/>
        <w:rPr>
          <w:rFonts w:hint="eastAsia" w:ascii="宋体" w:hAnsi="宋体" w:eastAsia="宋体" w:cs="宋体"/>
          <w:kern w:val="0"/>
          <w:sz w:val="24"/>
          <w:szCs w:val="24"/>
        </w:rPr>
      </w:pPr>
    </w:p>
    <w:p>
      <w:pPr>
        <w:pStyle w:val="22"/>
        <w:jc w:val="center"/>
      </w:pPr>
      <w:r>
        <w:drawing>
          <wp:inline distT="0" distB="0" distL="114300" distR="114300">
            <wp:extent cx="2093595" cy="1440180"/>
            <wp:effectExtent l="0" t="0" r="1905" b="762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45"/>
                    <a:stretch>
                      <a:fillRect/>
                    </a:stretch>
                  </pic:blipFill>
                  <pic:spPr>
                    <a:xfrm>
                      <a:off x="0" y="0"/>
                      <a:ext cx="2093595" cy="1440180"/>
                    </a:xfrm>
                    <a:prstGeom prst="rect">
                      <a:avLst/>
                    </a:prstGeom>
                  </pic:spPr>
                </pic:pic>
              </a:graphicData>
            </a:graphic>
          </wp:inline>
        </w:drawing>
      </w:r>
      <w:r>
        <w:drawing>
          <wp:inline distT="0" distB="0" distL="114300" distR="114300">
            <wp:extent cx="1342390" cy="1440180"/>
            <wp:effectExtent l="0" t="0" r="3810" b="762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46"/>
                    <a:stretch>
                      <a:fillRect/>
                    </a:stretch>
                  </pic:blipFill>
                  <pic:spPr>
                    <a:xfrm>
                      <a:off x="0" y="0"/>
                      <a:ext cx="1342390" cy="1440180"/>
                    </a:xfrm>
                    <a:prstGeom prst="rect">
                      <a:avLst/>
                    </a:prstGeom>
                  </pic:spPr>
                </pic:pic>
              </a:graphicData>
            </a:graphic>
          </wp:inline>
        </w:drawing>
      </w:r>
      <w:r>
        <w:drawing>
          <wp:inline distT="0" distB="0" distL="114300" distR="114300">
            <wp:extent cx="1747520" cy="1440180"/>
            <wp:effectExtent l="0" t="0" r="508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7"/>
                    <a:stretch>
                      <a:fillRect/>
                    </a:stretch>
                  </pic:blipFill>
                  <pic:spPr>
                    <a:xfrm>
                      <a:off x="0" y="0"/>
                      <a:ext cx="1747520" cy="1440180"/>
                    </a:xfrm>
                    <a:prstGeom prst="rect">
                      <a:avLst/>
                    </a:prstGeom>
                  </pic:spPr>
                </pic:pic>
              </a:graphicData>
            </a:graphic>
          </wp:inline>
        </w:drawing>
      </w:r>
    </w:p>
    <w:p>
      <w:pPr>
        <w:pStyle w:val="22"/>
        <w:jc w:val="center"/>
        <w:rPr>
          <w:rFonts w:hint="default" w:eastAsiaTheme="minorEastAsia"/>
          <w:lang w:val="en-US" w:eastAsia="zh-CN"/>
        </w:rPr>
      </w:pPr>
      <w:r>
        <w:rPr>
          <w:rFonts w:hint="eastAsia"/>
          <w:lang w:val="en-US" w:eastAsia="zh-CN"/>
        </w:rPr>
        <w:t>图3-3 车架支撑点示意</w:t>
      </w:r>
    </w:p>
    <w:p>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3.3.2.2电池与电池框架支撑方式</w:t>
      </w:r>
    </w:p>
    <w:p>
      <w:pPr>
        <w:pStyle w:val="22"/>
        <w:spacing w:line="360" w:lineRule="auto"/>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粗定位： 电池的四个角增加树脂块导向；精定位：每块电池2个定位销精定位。</w:t>
      </w:r>
    </w:p>
    <w:p>
      <w:pPr>
        <w:pStyle w:val="22"/>
        <w:jc w:val="center"/>
        <w:rPr>
          <w:rFonts w:hint="eastAsia" w:eastAsiaTheme="minorEastAsia"/>
          <w:lang w:eastAsia="zh-CN"/>
        </w:rPr>
      </w:pPr>
      <w:r>
        <w:rPr>
          <w:rFonts w:hint="eastAsia" w:eastAsiaTheme="minorEastAsia"/>
          <w:lang w:eastAsia="zh-CN"/>
        </w:rPr>
        <w:drawing>
          <wp:inline distT="0" distB="0" distL="114300" distR="114300">
            <wp:extent cx="3844925" cy="2692400"/>
            <wp:effectExtent l="0" t="0" r="3175" b="0"/>
            <wp:docPr id="9" name="图片 9" descr="9550be2d363c5d56489f9bd8fcf22c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550be2d363c5d56489f9bd8fcf22cfd"/>
                    <pic:cNvPicPr>
                      <a:picLocks noChangeAspect="1"/>
                    </pic:cNvPicPr>
                  </pic:nvPicPr>
                  <pic:blipFill>
                    <a:blip r:embed="rId48"/>
                    <a:stretch>
                      <a:fillRect/>
                    </a:stretch>
                  </pic:blipFill>
                  <pic:spPr>
                    <a:xfrm>
                      <a:off x="0" y="0"/>
                      <a:ext cx="3844925" cy="2692400"/>
                    </a:xfrm>
                    <a:prstGeom prst="rect">
                      <a:avLst/>
                    </a:prstGeom>
                  </pic:spPr>
                </pic:pic>
              </a:graphicData>
            </a:graphic>
          </wp:inline>
        </w:drawing>
      </w:r>
    </w:p>
    <w:p>
      <w:pPr>
        <w:pStyle w:val="22"/>
        <w:jc w:val="center"/>
        <w:rPr>
          <w:rFonts w:hint="default" w:eastAsiaTheme="minorEastAsia"/>
          <w:highlight w:val="none"/>
          <w:lang w:val="en-US" w:eastAsia="zh-CN"/>
        </w:rPr>
      </w:pPr>
      <w:r>
        <w:rPr>
          <w:rFonts w:hint="eastAsia"/>
          <w:highlight w:val="none"/>
          <w:lang w:val="en-US" w:eastAsia="zh-CN"/>
        </w:rPr>
        <w:t>图3-4 粗定位示意</w:t>
      </w:r>
    </w:p>
    <w:p>
      <w:pPr>
        <w:pStyle w:val="22"/>
        <w:jc w:val="center"/>
      </w:pPr>
      <w:r>
        <w:drawing>
          <wp:inline distT="0" distB="0" distL="114300" distR="114300">
            <wp:extent cx="3844290" cy="1526540"/>
            <wp:effectExtent l="0" t="0" r="3810" b="10160"/>
            <wp:docPr id="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
                    <pic:cNvPicPr>
                      <a:picLocks noChangeAspect="1"/>
                    </pic:cNvPicPr>
                  </pic:nvPicPr>
                  <pic:blipFill>
                    <a:blip r:embed="rId49"/>
                    <a:srcRect l="2246" t="2995" r="6905" b="16886"/>
                    <a:stretch>
                      <a:fillRect/>
                    </a:stretch>
                  </pic:blipFill>
                  <pic:spPr>
                    <a:xfrm>
                      <a:off x="0" y="0"/>
                      <a:ext cx="3844290" cy="1526540"/>
                    </a:xfrm>
                    <a:prstGeom prst="rect">
                      <a:avLst/>
                    </a:prstGeom>
                  </pic:spPr>
                </pic:pic>
              </a:graphicData>
            </a:graphic>
          </wp:inline>
        </w:drawing>
      </w:r>
    </w:p>
    <w:p>
      <w:pPr>
        <w:pStyle w:val="22"/>
        <w:jc w:val="center"/>
        <w:rPr>
          <w:rFonts w:hint="default" w:eastAsiaTheme="minorEastAsia"/>
          <w:lang w:val="en-US" w:eastAsia="zh-CN"/>
        </w:rPr>
      </w:pPr>
      <w:r>
        <w:rPr>
          <w:rFonts w:hint="eastAsia"/>
          <w:lang w:val="en-US" w:eastAsia="zh-CN"/>
        </w:rPr>
        <w:t>图3-5 精定位示意</w:t>
      </w:r>
    </w:p>
    <w:p>
      <w:pPr>
        <w:widowControl/>
        <w:spacing w:line="360" w:lineRule="auto"/>
        <w:ind w:firstLine="480" w:firstLineChars="200"/>
        <w:jc w:val="left"/>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3.3.2.3电池框架组合方式及定位</w:t>
      </w:r>
    </w:p>
    <w:p>
      <w:pPr>
        <w:pStyle w:val="22"/>
        <w:spacing w:line="360" w:lineRule="auto"/>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因电池模块的组数不确定，不同厂家电池尺寸不同，避免电池框架与车架干涉，安装尺寸相近电池共用一个工装台，定位工装块设计可</w:t>
      </w:r>
      <w:r>
        <w:rPr>
          <w:rFonts w:hint="eastAsia" w:hAnsi="宋体" w:eastAsia="宋体" w:cs="宋体"/>
          <w:kern w:val="0"/>
          <w:sz w:val="24"/>
          <w:szCs w:val="24"/>
          <w:lang w:val="en-US" w:eastAsia="zh-CN" w:bidi="ar-SA"/>
        </w:rPr>
        <w:t>调，</w:t>
      </w:r>
      <w:r>
        <w:rPr>
          <w:rFonts w:hint="eastAsia" w:ascii="宋体" w:hAnsi="宋体" w:eastAsia="宋体" w:cs="宋体"/>
          <w:kern w:val="0"/>
          <w:sz w:val="24"/>
          <w:szCs w:val="24"/>
          <w:lang w:val="en-US" w:eastAsia="zh-CN" w:bidi="ar-SA"/>
        </w:rPr>
        <w:t>2块与3块电池安装差异大，需分别设计工装台。</w:t>
      </w:r>
    </w:p>
    <w:p>
      <w:pPr>
        <w:pStyle w:val="22"/>
        <w:ind w:firstLine="420" w:firstLineChars="200"/>
      </w:pPr>
    </w:p>
    <w:p>
      <w:pPr>
        <w:pStyle w:val="22"/>
        <w:ind w:firstLine="420" w:firstLineChars="200"/>
      </w:pPr>
    </w:p>
    <w:p>
      <w:pPr>
        <w:pStyle w:val="22"/>
        <w:ind w:firstLine="420" w:firstLineChars="200"/>
      </w:pPr>
      <w:r>
        <w:drawing>
          <wp:inline distT="0" distB="0" distL="114300" distR="114300">
            <wp:extent cx="5197475" cy="2255520"/>
            <wp:effectExtent l="0" t="0" r="9525" b="508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50"/>
                    <a:stretch>
                      <a:fillRect/>
                    </a:stretch>
                  </pic:blipFill>
                  <pic:spPr>
                    <a:xfrm>
                      <a:off x="0" y="0"/>
                      <a:ext cx="5197475" cy="2255520"/>
                    </a:xfrm>
                    <a:prstGeom prst="rect">
                      <a:avLst/>
                    </a:prstGeom>
                  </pic:spPr>
                </pic:pic>
              </a:graphicData>
            </a:graphic>
          </wp:inline>
        </w:drawing>
      </w:r>
    </w:p>
    <w:p>
      <w:pPr>
        <w:pStyle w:val="22"/>
        <w:ind w:firstLine="420" w:firstLineChars="200"/>
        <w:jc w:val="center"/>
        <w:rPr>
          <w:rFonts w:hint="eastAsia"/>
          <w:lang w:val="en-US" w:eastAsia="zh-CN"/>
        </w:rPr>
      </w:pPr>
      <w:r>
        <w:rPr>
          <w:rFonts w:hint="eastAsia"/>
          <w:lang w:val="en-US" w:eastAsia="zh-CN"/>
        </w:rPr>
        <w:t>图3-6拖盘尺寸需根据产品定制</w:t>
      </w:r>
    </w:p>
    <w:p>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3.3.2.4 电池位置调整方案</w:t>
      </w:r>
    </w:p>
    <w:p>
      <w:pPr>
        <w:pStyle w:val="22"/>
        <w:numPr>
          <w:ilvl w:val="0"/>
          <w:numId w:val="0"/>
        </w:numPr>
        <w:spacing w:line="360" w:lineRule="auto"/>
        <w:ind w:left="420" w:leftChars="0" w:hanging="420" w:firstLineChars="0"/>
        <w:rPr>
          <w:rFonts w:hint="default" w:ascii="宋体" w:hAnsi="宋体" w:eastAsia="宋体" w:cs="宋体"/>
          <w:kern w:val="0"/>
          <w:sz w:val="24"/>
          <w:szCs w:val="24"/>
          <w:lang w:val="en-US" w:eastAsia="zh-CN" w:bidi="ar-SA"/>
        </w:rPr>
      </w:pPr>
      <w:r>
        <w:rPr>
          <w:rFonts w:hint="default" w:ascii="Wingdings" w:hAnsi="Wingdings" w:eastAsia="宋体" w:cs="宋体"/>
          <w:kern w:val="0"/>
          <w:sz w:val="24"/>
          <w:szCs w:val="24"/>
          <w:lang w:val="en-US" w:eastAsia="zh-CN" w:bidi="ar-SA"/>
        </w:rPr>
        <w:t></w:t>
      </w:r>
      <w:r>
        <w:rPr>
          <w:rFonts w:hint="eastAsia" w:ascii="Wingdings" w:hAnsi="Wingdings" w:eastAsia="宋体" w:cs="宋体"/>
          <w:kern w:val="0"/>
          <w:sz w:val="24"/>
          <w:szCs w:val="24"/>
          <w:lang w:val="en-US" w:eastAsia="zh-CN" w:bidi="ar-SA"/>
        </w:rPr>
        <w:t xml:space="preserve"> </w:t>
      </w:r>
      <w:r>
        <w:rPr>
          <w:rFonts w:hint="default" w:ascii="宋体" w:hAnsi="宋体" w:eastAsia="宋体" w:cs="宋体"/>
          <w:kern w:val="0"/>
          <w:sz w:val="24"/>
          <w:szCs w:val="24"/>
          <w:lang w:val="en-US" w:eastAsia="zh-CN" w:bidi="ar-SA"/>
        </w:rPr>
        <w:t>高度调整: 升降机推杆结构，精度＞0.1mm；</w:t>
      </w:r>
    </w:p>
    <w:p>
      <w:pPr>
        <w:pStyle w:val="22"/>
        <w:spacing w:line="360" w:lineRule="auto"/>
        <w:rPr>
          <w:rFonts w:hint="default" w:ascii="宋体" w:hAnsi="宋体" w:eastAsia="宋体" w:cs="宋体"/>
          <w:kern w:val="0"/>
          <w:sz w:val="24"/>
          <w:szCs w:val="24"/>
          <w:lang w:val="en-US" w:eastAsia="zh-CN" w:bidi="ar-SA"/>
        </w:rPr>
      </w:pPr>
      <w:r>
        <w:rPr>
          <w:rFonts w:hint="default" w:ascii="Wingdings" w:hAnsi="Wingdings" w:eastAsia="宋体" w:cs="宋体"/>
          <w:kern w:val="0"/>
          <w:sz w:val="24"/>
          <w:szCs w:val="24"/>
          <w:lang w:val="en-US" w:eastAsia="zh-CN" w:bidi="ar-SA"/>
        </w:rPr>
        <w:t></w:t>
      </w:r>
      <w:r>
        <w:rPr>
          <w:rFonts w:hint="eastAsia" w:ascii="Wingdings" w:hAnsi="Wingdings" w:eastAsia="宋体" w:cs="宋体"/>
          <w:kern w:val="0"/>
          <w:sz w:val="24"/>
          <w:szCs w:val="24"/>
          <w:lang w:val="en-US" w:eastAsia="zh-CN" w:bidi="ar-SA"/>
        </w:rPr>
        <w:t xml:space="preserve"> </w:t>
      </w:r>
      <w:r>
        <w:rPr>
          <w:rFonts w:hint="default" w:ascii="宋体" w:hAnsi="宋体" w:eastAsia="宋体" w:cs="宋体"/>
          <w:kern w:val="0"/>
          <w:sz w:val="24"/>
          <w:szCs w:val="24"/>
          <w:lang w:val="en-US" w:eastAsia="zh-CN" w:bidi="ar-SA"/>
        </w:rPr>
        <w:t>XY方向与车架对齐调整</w:t>
      </w:r>
      <w:r>
        <w:rPr>
          <w:rFonts w:hint="eastAsia" w:hAnsi="宋体" w:eastAsia="宋体" w:cs="宋体"/>
          <w:kern w:val="0"/>
          <w:sz w:val="24"/>
          <w:szCs w:val="24"/>
          <w:lang w:val="en-US" w:eastAsia="zh-CN" w:bidi="ar-SA"/>
        </w:rPr>
        <w:t>。</w:t>
      </w:r>
    </w:p>
    <w:p>
      <w:pPr>
        <w:pStyle w:val="22"/>
        <w:spacing w:line="360" w:lineRule="auto"/>
        <w:rPr>
          <w:rFonts w:hint="default" w:ascii="宋体" w:hAnsi="宋体" w:eastAsia="宋体" w:cs="宋体"/>
          <w:kern w:val="0"/>
          <w:sz w:val="24"/>
          <w:szCs w:val="24"/>
          <w:lang w:val="en-US" w:eastAsia="zh-CN" w:bidi="ar-SA"/>
        </w:rPr>
      </w:pPr>
      <w:r>
        <w:rPr>
          <w:rFonts w:hint="default" w:ascii="Wingdings" w:hAnsi="Wingdings" w:eastAsia="宋体" w:cs="宋体"/>
          <w:kern w:val="0"/>
          <w:sz w:val="24"/>
          <w:szCs w:val="24"/>
          <w:lang w:val="en-US" w:eastAsia="zh-CN" w:bidi="ar-SA"/>
        </w:rPr>
        <w:t></w:t>
      </w:r>
      <w:r>
        <w:rPr>
          <w:rFonts w:hint="eastAsia" w:ascii="Wingdings" w:hAnsi="Wingdings" w:eastAsia="宋体" w:cs="宋体"/>
          <w:kern w:val="0"/>
          <w:sz w:val="24"/>
          <w:szCs w:val="24"/>
          <w:lang w:val="en-US" w:eastAsia="zh-CN" w:bidi="ar-SA"/>
        </w:rPr>
        <w:t xml:space="preserve"> </w:t>
      </w:r>
      <w:r>
        <w:rPr>
          <w:rFonts w:hint="default" w:ascii="宋体" w:hAnsi="宋体" w:eastAsia="宋体" w:cs="宋体"/>
          <w:kern w:val="0"/>
          <w:sz w:val="24"/>
          <w:szCs w:val="24"/>
          <w:lang w:val="en-US" w:eastAsia="zh-CN" w:bidi="ar-SA"/>
        </w:rPr>
        <w:t>XY平面 与支架安装面平面度调整方式：调整角度＞2°。</w:t>
      </w:r>
    </w:p>
    <w:p>
      <w:pPr>
        <w:pStyle w:val="22"/>
        <w:spacing w:line="360" w:lineRule="auto"/>
        <w:rPr>
          <w:rFonts w:hint="default" w:ascii="宋体" w:hAnsi="宋体" w:eastAsia="宋体" w:cs="宋体"/>
          <w:kern w:val="0"/>
          <w:sz w:val="24"/>
          <w:szCs w:val="24"/>
          <w:lang w:val="en-US" w:eastAsia="zh-CN" w:bidi="ar-SA"/>
        </w:rPr>
      </w:pPr>
      <w:r>
        <w:rPr>
          <w:rFonts w:hint="default" w:ascii="Wingdings" w:hAnsi="Wingdings" w:eastAsia="宋体" w:cs="宋体"/>
          <w:kern w:val="0"/>
          <w:sz w:val="24"/>
          <w:szCs w:val="24"/>
          <w:lang w:val="en-US" w:eastAsia="zh-CN" w:bidi="ar-SA"/>
        </w:rPr>
        <w:t></w:t>
      </w:r>
      <w:r>
        <w:rPr>
          <w:rFonts w:hint="eastAsia" w:ascii="Wingdings" w:hAnsi="Wingdings" w:eastAsia="宋体" w:cs="宋体"/>
          <w:kern w:val="0"/>
          <w:sz w:val="24"/>
          <w:szCs w:val="24"/>
          <w:lang w:val="en-US" w:eastAsia="zh-CN" w:bidi="ar-SA"/>
        </w:rPr>
        <w:t xml:space="preserve"> </w:t>
      </w:r>
      <w:r>
        <w:rPr>
          <w:rFonts w:hint="default" w:ascii="宋体" w:hAnsi="宋体" w:eastAsia="宋体" w:cs="宋体"/>
          <w:kern w:val="0"/>
          <w:sz w:val="24"/>
          <w:szCs w:val="24"/>
          <w:lang w:val="en-US" w:eastAsia="zh-CN" w:bidi="ar-SA"/>
        </w:rPr>
        <w:t>弹簧+楔形块+吊链调整；装配过程中位置调整后，</w:t>
      </w:r>
      <w:r>
        <w:rPr>
          <w:rFonts w:hint="default" w:ascii="宋体" w:hAnsi="宋体" w:eastAsia="宋体" w:cs="宋体"/>
          <w:kern w:val="0"/>
          <w:sz w:val="24"/>
          <w:szCs w:val="24"/>
          <w:highlight w:val="none"/>
          <w:lang w:val="en-US" w:eastAsia="zh-CN" w:bidi="ar-SA"/>
        </w:rPr>
        <w:t>磁铁吸附固定电池托盘</w:t>
      </w:r>
      <w:r>
        <w:rPr>
          <w:rFonts w:hint="default" w:ascii="宋体" w:hAnsi="宋体" w:eastAsia="宋体" w:cs="宋体"/>
          <w:kern w:val="0"/>
          <w:sz w:val="24"/>
          <w:szCs w:val="24"/>
          <w:lang w:val="en-US" w:eastAsia="zh-CN" w:bidi="ar-SA"/>
        </w:rPr>
        <w:t>。</w:t>
      </w:r>
    </w:p>
    <w:p>
      <w:pPr>
        <w:pStyle w:val="22"/>
        <w:spacing w:line="360" w:lineRule="auto"/>
        <w:rPr>
          <w:rFonts w:hint="default" w:ascii="宋体" w:hAnsi="宋体" w:eastAsia="宋体" w:cs="宋体"/>
          <w:kern w:val="0"/>
          <w:sz w:val="24"/>
          <w:szCs w:val="24"/>
          <w:lang w:val="en-US" w:eastAsia="zh-CN" w:bidi="ar-SA"/>
        </w:rPr>
      </w:pPr>
      <w:r>
        <w:rPr>
          <w:rFonts w:hint="default" w:ascii="Wingdings" w:hAnsi="Wingdings" w:eastAsia="宋体" w:cs="宋体"/>
          <w:kern w:val="0"/>
          <w:sz w:val="24"/>
          <w:szCs w:val="24"/>
          <w:lang w:val="en-US" w:eastAsia="zh-CN" w:bidi="ar-SA"/>
        </w:rPr>
        <w:t></w:t>
      </w:r>
      <w:r>
        <w:rPr>
          <w:rFonts w:hint="eastAsia" w:ascii="Wingdings" w:hAnsi="Wingdings" w:eastAsia="宋体" w:cs="宋体"/>
          <w:kern w:val="0"/>
          <w:sz w:val="24"/>
          <w:szCs w:val="24"/>
          <w:lang w:val="en-US" w:eastAsia="zh-CN" w:bidi="ar-SA"/>
        </w:rPr>
        <w:t xml:space="preserve"> </w:t>
      </w:r>
      <w:r>
        <w:rPr>
          <w:rFonts w:hint="default" w:ascii="宋体" w:hAnsi="宋体" w:eastAsia="宋体" w:cs="宋体"/>
          <w:kern w:val="0"/>
          <w:sz w:val="24"/>
          <w:szCs w:val="24"/>
          <w:lang w:val="en-US" w:eastAsia="zh-CN" w:bidi="ar-SA"/>
        </w:rPr>
        <w:t>上、中、下三层板，在边缘安装点位置均需避空。</w:t>
      </w:r>
    </w:p>
    <w:p>
      <w:pPr>
        <w:pStyle w:val="22"/>
        <w:spacing w:line="360" w:lineRule="auto"/>
        <w:rPr>
          <w:rFonts w:hint="default" w:ascii="宋体" w:hAnsi="宋体" w:eastAsia="宋体" w:cs="宋体"/>
          <w:kern w:val="0"/>
          <w:sz w:val="24"/>
          <w:szCs w:val="24"/>
          <w:lang w:val="en-US" w:eastAsia="zh-CN" w:bidi="ar-SA"/>
        </w:rPr>
      </w:pPr>
      <w:r>
        <w:rPr>
          <w:rFonts w:hint="default" w:ascii="Wingdings" w:hAnsi="Wingdings" w:eastAsia="宋体" w:cs="宋体"/>
          <w:kern w:val="0"/>
          <w:sz w:val="24"/>
          <w:szCs w:val="24"/>
          <w:lang w:val="en-US" w:eastAsia="zh-CN" w:bidi="ar-SA"/>
        </w:rPr>
        <w:t></w:t>
      </w:r>
      <w:r>
        <w:rPr>
          <w:rFonts w:hint="eastAsia" w:ascii="Wingdings" w:hAnsi="Wingdings" w:eastAsia="宋体" w:cs="宋体"/>
          <w:kern w:val="0"/>
          <w:sz w:val="24"/>
          <w:szCs w:val="24"/>
          <w:lang w:val="en-US" w:eastAsia="zh-CN" w:bidi="ar-SA"/>
        </w:rPr>
        <w:t xml:space="preserve"> </w:t>
      </w:r>
      <w:r>
        <w:rPr>
          <w:rFonts w:hint="default" w:ascii="宋体" w:hAnsi="宋体" w:eastAsia="宋体" w:cs="宋体"/>
          <w:kern w:val="0"/>
          <w:sz w:val="24"/>
          <w:szCs w:val="24"/>
          <w:lang w:val="en-US" w:eastAsia="zh-CN" w:bidi="ar-SA"/>
        </w:rPr>
        <w:t xml:space="preserve">车架落在固定支撑后，下翼面距离地面高度约1.2m </w:t>
      </w:r>
      <w:r>
        <w:rPr>
          <w:rFonts w:hint="eastAsia" w:hAnsi="宋体" w:eastAsia="宋体" w:cs="宋体"/>
          <w:kern w:val="0"/>
          <w:sz w:val="24"/>
          <w:szCs w:val="24"/>
          <w:lang w:val="en-US" w:eastAsia="zh-CN" w:bidi="ar-SA"/>
        </w:rPr>
        <w:t>~1.5m</w:t>
      </w:r>
      <w:r>
        <w:rPr>
          <w:rFonts w:hint="default" w:ascii="宋体" w:hAnsi="宋体" w:eastAsia="宋体" w:cs="宋体"/>
          <w:kern w:val="0"/>
          <w:sz w:val="24"/>
          <w:szCs w:val="24"/>
          <w:lang w:val="en-US" w:eastAsia="zh-CN" w:bidi="ar-SA"/>
        </w:rPr>
        <w:t>左右。升降前整体高度需低于 1.1m</w:t>
      </w:r>
      <w:r>
        <w:rPr>
          <w:rFonts w:hint="eastAsia" w:hAnsi="宋体" w:eastAsia="宋体" w:cs="宋体"/>
          <w:kern w:val="0"/>
          <w:sz w:val="24"/>
          <w:szCs w:val="24"/>
          <w:lang w:val="en-US" w:eastAsia="zh-CN" w:bidi="ar-SA"/>
        </w:rPr>
        <w:t>。</w:t>
      </w:r>
    </w:p>
    <w:p>
      <w:pPr>
        <w:pStyle w:val="22"/>
        <w:ind w:firstLine="420" w:firstLineChars="200"/>
        <w:rPr>
          <w:rFonts w:hint="eastAsia" w:eastAsiaTheme="minorEastAsia"/>
          <w:lang w:eastAsia="zh-CN"/>
        </w:rPr>
      </w:pPr>
      <w:r>
        <w:rPr>
          <w:rFonts w:hint="eastAsia" w:eastAsiaTheme="minorEastAsia"/>
          <w:lang w:eastAsia="zh-CN"/>
        </w:rPr>
        <w:drawing>
          <wp:inline distT="0" distB="0" distL="114300" distR="114300">
            <wp:extent cx="5758815" cy="3069590"/>
            <wp:effectExtent l="0" t="0" r="6985" b="3810"/>
            <wp:docPr id="3" name="图片 3" descr="c0742756-1535-430b-be35-68a557637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0742756-1535-430b-be35-68a557637c12"/>
                    <pic:cNvPicPr>
                      <a:picLocks noChangeAspect="1"/>
                    </pic:cNvPicPr>
                  </pic:nvPicPr>
                  <pic:blipFill>
                    <a:blip r:embed="rId51"/>
                    <a:stretch>
                      <a:fillRect/>
                    </a:stretch>
                  </pic:blipFill>
                  <pic:spPr>
                    <a:xfrm>
                      <a:off x="0" y="0"/>
                      <a:ext cx="5758815" cy="3069590"/>
                    </a:xfrm>
                    <a:prstGeom prst="rect">
                      <a:avLst/>
                    </a:prstGeom>
                  </pic:spPr>
                </pic:pic>
              </a:graphicData>
            </a:graphic>
          </wp:inline>
        </w:drawing>
      </w:r>
    </w:p>
    <w:p>
      <w:pPr>
        <w:pStyle w:val="22"/>
        <w:ind w:firstLine="420" w:firstLineChars="200"/>
        <w:jc w:val="center"/>
      </w:pPr>
      <w:r>
        <w:rPr>
          <w:rFonts w:hint="eastAsia"/>
          <w:lang w:val="en-US" w:eastAsia="zh-CN"/>
        </w:rPr>
        <w:t>图3-7 调整工装示意</w:t>
      </w:r>
    </w:p>
    <w:p>
      <w:pPr>
        <w:pStyle w:val="22"/>
        <w:ind w:firstLine="420" w:firstLineChars="200"/>
        <w:jc w:val="both"/>
        <w:rPr>
          <w:rFonts w:hint="default"/>
          <w:lang w:val="en-US" w:eastAsia="zh-CN"/>
        </w:rPr>
      </w:pP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pPr>
        <w:pStyle w:val="22"/>
        <w:rPr>
          <w:rFonts w:hAnsi="宋体" w:eastAsia="宋体"/>
        </w:rPr>
      </w:pPr>
    </w:p>
    <w:p>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103"/>
    </w:p>
    <w:p>
      <w:pPr>
        <w:rPr>
          <w:rFonts w:ascii="宋体" w:hAnsi="宋体" w:eastAsia="宋体"/>
        </w:rPr>
      </w:pPr>
    </w:p>
    <w:p>
      <w:pPr>
        <w:keepNext/>
        <w:keepLines/>
        <w:spacing w:line="360" w:lineRule="auto"/>
        <w:jc w:val="center"/>
        <w:outlineLvl w:val="2"/>
        <w:rPr>
          <w:rFonts w:ascii="宋体" w:hAnsi="宋体" w:eastAsia="宋体" w:cs="宋体"/>
          <w:b/>
          <w:bCs/>
          <w:sz w:val="24"/>
          <w:szCs w:val="32"/>
        </w:rPr>
      </w:pPr>
      <w:bookmarkStart w:id="104" w:name="_Toc169605882"/>
      <w:r>
        <w:rPr>
          <w:rFonts w:hint="eastAsia" w:ascii="宋体" w:hAnsi="宋体" w:eastAsia="宋体" w:cs="宋体"/>
          <w:b/>
          <w:bCs/>
          <w:sz w:val="24"/>
          <w:szCs w:val="32"/>
        </w:rPr>
        <w:t>第一节  供货范围</w:t>
      </w:r>
      <w:bookmarkEnd w:id="104"/>
    </w:p>
    <w:p>
      <w:pPr>
        <w:pStyle w:val="131"/>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color w:val="FF0000"/>
                <w:sz w:val="24"/>
                <w:szCs w:val="24"/>
              </w:rPr>
            </w:pPr>
            <w:r>
              <w:rPr>
                <w:rFonts w:hint="eastAsia" w:ascii="宋体" w:hAnsi="宋体" w:eastAsia="宋体"/>
                <w:b/>
              </w:rPr>
              <w:t>序号</w:t>
            </w:r>
          </w:p>
        </w:tc>
        <w:tc>
          <w:tcPr>
            <w:tcW w:w="3520" w:type="dxa"/>
            <w:vAlign w:val="center"/>
          </w:tcPr>
          <w:p>
            <w:pPr>
              <w:spacing w:line="360" w:lineRule="exact"/>
              <w:jc w:val="center"/>
              <w:rPr>
                <w:rFonts w:ascii="宋体" w:hAnsi="宋体" w:eastAsia="宋体" w:cs="宋体"/>
                <w:color w:val="FF0000"/>
                <w:sz w:val="24"/>
                <w:szCs w:val="24"/>
              </w:rPr>
            </w:pPr>
            <w:r>
              <w:rPr>
                <w:rFonts w:hint="eastAsia" w:ascii="宋体" w:hAnsi="宋体" w:eastAsia="宋体"/>
                <w:b/>
              </w:rPr>
              <w:t>名称</w:t>
            </w:r>
          </w:p>
        </w:tc>
        <w:tc>
          <w:tcPr>
            <w:tcW w:w="1215"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sz w:val="24"/>
                <w:szCs w:val="24"/>
              </w:rPr>
            </w:pPr>
            <w:r>
              <w:rPr>
                <w:rFonts w:hint="eastAsia" w:ascii="宋体" w:hAnsi="宋体" w:eastAsia="宋体"/>
                <w:b/>
              </w:rPr>
              <w:t>1</w:t>
            </w:r>
          </w:p>
        </w:tc>
        <w:tc>
          <w:tcPr>
            <w:tcW w:w="3520" w:type="dxa"/>
            <w:vAlign w:val="center"/>
          </w:tcPr>
          <w:p>
            <w:pPr>
              <w:spacing w:line="360" w:lineRule="auto"/>
              <w:jc w:val="center"/>
              <w:rPr>
                <w:rFonts w:hint="default" w:ascii="宋体" w:hAnsi="宋体" w:eastAsia="宋体" w:cs="宋体"/>
                <w:sz w:val="24"/>
                <w:lang w:val="en-US" w:eastAsia="zh-CN"/>
              </w:rPr>
            </w:pPr>
            <w:r>
              <w:rPr>
                <w:rFonts w:hint="eastAsia" w:ascii="宋体" w:hAnsi="宋体" w:eastAsia="宋体"/>
                <w:bCs/>
                <w:sz w:val="24"/>
                <w:szCs w:val="24"/>
                <w:lang w:val="en-US" w:eastAsia="zh-CN"/>
              </w:rPr>
              <w:t>底部电池装配系统</w:t>
            </w:r>
          </w:p>
        </w:tc>
        <w:tc>
          <w:tcPr>
            <w:tcW w:w="121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2</w:t>
            </w:r>
          </w:p>
        </w:tc>
        <w:tc>
          <w:tcPr>
            <w:tcW w:w="3520"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cs="宋体"/>
                <w:kern w:val="0"/>
                <w:sz w:val="24"/>
                <w:szCs w:val="24"/>
                <w:lang w:val="en-US" w:eastAsia="zh-CN"/>
              </w:rPr>
              <w:t>中部挂载横梁装配工装吊具</w:t>
            </w:r>
          </w:p>
        </w:tc>
        <w:tc>
          <w:tcPr>
            <w:tcW w:w="121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3</w:t>
            </w:r>
          </w:p>
        </w:tc>
        <w:tc>
          <w:tcPr>
            <w:tcW w:w="3520"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cs="宋体"/>
                <w:kern w:val="0"/>
                <w:sz w:val="24"/>
                <w:szCs w:val="24"/>
                <w:lang w:val="en-US" w:eastAsia="zh-CN"/>
              </w:rPr>
              <w:t>两侧电池支架装配工装吊具</w:t>
            </w:r>
          </w:p>
        </w:tc>
        <w:tc>
          <w:tcPr>
            <w:tcW w:w="121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b/>
              </w:rPr>
            </w:pPr>
            <w:r>
              <w:rPr>
                <w:rFonts w:hint="eastAsia" w:ascii="宋体" w:hAnsi="宋体" w:eastAsia="宋体"/>
                <w:b/>
                <w:lang w:val="en-US" w:eastAsia="zh-CN"/>
              </w:rPr>
              <w:t>4</w:t>
            </w:r>
          </w:p>
        </w:tc>
        <w:tc>
          <w:tcPr>
            <w:tcW w:w="3520"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底部电池吊具</w:t>
            </w:r>
          </w:p>
        </w:tc>
        <w:tc>
          <w:tcPr>
            <w:tcW w:w="1215"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w:t>
            </w:r>
          </w:p>
        </w:tc>
        <w:tc>
          <w:tcPr>
            <w:tcW w:w="2693" w:type="dxa"/>
            <w:vAlign w:val="center"/>
          </w:tcPr>
          <w:p>
            <w:pPr>
              <w:pStyle w:val="130"/>
              <w:spacing w:beforeLines="0" w:afterLines="0" w:line="360" w:lineRule="auto"/>
              <w:rPr>
                <w:rFonts w:ascii="宋体" w:hAnsi="宋体" w:eastAsia="宋体" w:cs="宋体"/>
                <w:sz w:val="24"/>
              </w:rPr>
            </w:pPr>
          </w:p>
        </w:tc>
      </w:tr>
    </w:tbl>
    <w:p>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收到中标通知书后</w:t>
      </w:r>
      <w:r>
        <w:rPr>
          <w:rFonts w:hint="eastAsia" w:ascii="宋体" w:hAnsi="宋体" w:eastAsia="宋体" w:cs="宋体"/>
          <w:bCs/>
          <w:sz w:val="24"/>
          <w:szCs w:val="24"/>
          <w:u w:val="single"/>
        </w:rPr>
        <w:t>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105" w:name="_Toc169605883"/>
    </w:p>
    <w:p>
      <w:pPr>
        <w:pStyle w:val="22"/>
        <w:spacing w:line="360" w:lineRule="auto"/>
        <w:rPr>
          <w:rFonts w:hAnsi="宋体" w:eastAsia="宋体"/>
        </w:rPr>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105"/>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lang w:val="en-US" w:eastAsia="zh-CN"/>
        </w:rPr>
        <w:t>40</w:t>
      </w:r>
      <w:r>
        <w:rPr>
          <w:rFonts w:hint="eastAsia" w:ascii="宋体" w:hAnsi="宋体" w:eastAsia="宋体"/>
          <w:sz w:val="24"/>
          <w:szCs w:val="24"/>
        </w:rPr>
        <w:t>个日历日之内交货至供货地点。</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highlight w:val="none"/>
          <w:u w:val="single"/>
          <w:lang w:val="en-US" w:eastAsia="zh-CN"/>
        </w:rPr>
        <w:t>15</w:t>
      </w:r>
      <w:r>
        <w:rPr>
          <w:rFonts w:hint="eastAsia" w:ascii="宋体" w:hAnsi="宋体" w:eastAsia="宋体"/>
          <w:sz w:val="24"/>
          <w:szCs w:val="24"/>
          <w:highlight w:val="none"/>
        </w:rPr>
        <w:t>个日历日之</w:t>
      </w:r>
      <w:r>
        <w:rPr>
          <w:rFonts w:hint="eastAsia" w:ascii="宋体" w:hAnsi="宋体" w:eastAsia="宋体"/>
          <w:sz w:val="24"/>
          <w:szCs w:val="24"/>
        </w:rPr>
        <w:t>内安装调试完毕。</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360" w:lineRule="auto"/>
        <w:rPr>
          <w:rFonts w:ascii="宋体" w:hAnsi="宋体" w:eastAsia="宋体" w:cs="Times New Roman"/>
          <w:szCs w:val="20"/>
        </w:rPr>
      </w:pPr>
    </w:p>
    <w:p>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pPr>
        <w:keepNext/>
        <w:keepLines/>
        <w:spacing w:line="360" w:lineRule="auto"/>
        <w:jc w:val="center"/>
        <w:outlineLvl w:val="1"/>
        <w:rPr>
          <w:rFonts w:ascii="宋体" w:hAnsi="宋体" w:eastAsia="宋体" w:cs="Times New Roman"/>
          <w:b/>
          <w:bCs/>
          <w:kern w:val="44"/>
          <w:sz w:val="28"/>
          <w:szCs w:val="28"/>
        </w:rPr>
      </w:pPr>
      <w:bookmarkStart w:id="106" w:name="_Toc169605884"/>
      <w:r>
        <w:rPr>
          <w:rFonts w:hint="eastAsia" w:ascii="宋体" w:hAnsi="宋体" w:eastAsia="宋体" w:cs="Times New Roman"/>
          <w:b/>
          <w:bCs/>
          <w:kern w:val="44"/>
          <w:sz w:val="28"/>
          <w:szCs w:val="28"/>
        </w:rPr>
        <w:t>第四章质保期及售后服务</w:t>
      </w:r>
      <w:bookmarkEnd w:id="106"/>
    </w:p>
    <w:p>
      <w:pPr>
        <w:pStyle w:val="123"/>
        <w:spacing w:line="360" w:lineRule="auto"/>
        <w:rPr>
          <w:rFonts w:ascii="宋体" w:hAnsi="宋体"/>
        </w:rPr>
      </w:pPr>
      <w:r>
        <w:rPr>
          <w:rFonts w:hint="eastAsia" w:ascii="宋体" w:hAnsi="宋体"/>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pPr>
        <w:pStyle w:val="123"/>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pPr>
        <w:pStyle w:val="12"/>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pPr>
        <w:pStyle w:val="123"/>
        <w:spacing w:line="360" w:lineRule="auto"/>
        <w:rPr>
          <w:rFonts w:ascii="宋体" w:hAnsi="宋体" w:cs="宋体"/>
        </w:rPr>
      </w:pPr>
      <w:r>
        <w:rPr>
          <w:rFonts w:hint="eastAsia" w:ascii="宋体" w:hAnsi="宋体" w:cs="宋体"/>
        </w:rPr>
        <w:t>三、安装调试及验收服务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pPr>
        <w:pStyle w:val="123"/>
        <w:spacing w:line="360" w:lineRule="auto"/>
        <w:rPr>
          <w:rFonts w:ascii="宋体" w:hAnsi="宋体" w:cs="宋体"/>
        </w:rPr>
      </w:pPr>
      <w:r>
        <w:rPr>
          <w:rFonts w:hint="eastAsia" w:ascii="宋体" w:hAnsi="宋体" w:cs="宋体"/>
        </w:rPr>
        <w:t>四、售后服务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pPr>
        <w:pStyle w:val="123"/>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pPr>
        <w:spacing w:line="360" w:lineRule="auto"/>
        <w:ind w:firstLine="480" w:firstLineChars="200"/>
        <w:rPr>
          <w:rFonts w:ascii="宋体" w:hAnsi="宋体" w:eastAsia="宋体" w:cs="宋体"/>
          <w:color w:val="000000"/>
          <w:sz w:val="24"/>
          <w:szCs w:val="24"/>
        </w:rPr>
      </w:pPr>
    </w:p>
    <w:p>
      <w:pPr>
        <w:pStyle w:val="22"/>
        <w:spacing w:line="360" w:lineRule="auto"/>
        <w:rPr>
          <w:rFonts w:hAnsi="宋体" w:eastAsia="宋体"/>
        </w:rPr>
      </w:pPr>
      <w:r>
        <w:rPr>
          <w:rFonts w:hAnsi="宋体" w:eastAsia="宋体"/>
        </w:rPr>
        <w:br w:type="page"/>
      </w:r>
    </w:p>
    <w:p>
      <w:pPr>
        <w:keepNext/>
        <w:keepLines/>
        <w:spacing w:line="360" w:lineRule="auto"/>
        <w:jc w:val="center"/>
        <w:outlineLvl w:val="1"/>
        <w:rPr>
          <w:rFonts w:ascii="宋体" w:hAnsi="宋体" w:eastAsia="宋体" w:cs="Times New Roman"/>
          <w:b/>
          <w:bCs/>
          <w:kern w:val="44"/>
          <w:sz w:val="28"/>
          <w:szCs w:val="28"/>
        </w:rPr>
      </w:pPr>
      <w:bookmarkStart w:id="107" w:name="_Toc465187646"/>
      <w:r>
        <w:rPr>
          <w:rFonts w:hint="eastAsia" w:ascii="宋体" w:hAnsi="宋体" w:eastAsia="宋体" w:cs="Times New Roman"/>
          <w:b/>
          <w:bCs/>
          <w:kern w:val="44"/>
          <w:sz w:val="28"/>
          <w:szCs w:val="28"/>
        </w:rPr>
        <w:t>第五章  终验收</w:t>
      </w:r>
      <w:bookmarkEnd w:id="107"/>
    </w:p>
    <w:p>
      <w:pPr>
        <w:spacing w:line="360" w:lineRule="auto"/>
        <w:ind w:firstLine="480" w:firstLineChars="200"/>
        <w:rPr>
          <w:rFonts w:ascii="宋体" w:hAnsi="宋体" w:eastAsia="宋体"/>
          <w:sz w:val="24"/>
          <w:szCs w:val="24"/>
        </w:rPr>
      </w:pPr>
      <w:bookmarkStart w:id="108" w:name="_Toc465187647"/>
      <w:r>
        <w:rPr>
          <w:rFonts w:hint="eastAsia" w:ascii="宋体" w:hAnsi="宋体" w:eastAsia="宋体"/>
          <w:sz w:val="24"/>
          <w:szCs w:val="24"/>
        </w:rPr>
        <w:t>按照参考招标文件、投标文件、答疑文件、技术交流文件等形成并达成一致的技术协议书和合同规定验收。</w:t>
      </w:r>
    </w:p>
    <w:p>
      <w:pPr>
        <w:pStyle w:val="123"/>
        <w:spacing w:line="360" w:lineRule="auto"/>
        <w:rPr>
          <w:rFonts w:ascii="宋体" w:hAnsi="宋体"/>
          <w:color w:val="auto"/>
        </w:rPr>
      </w:pPr>
      <w:r>
        <w:rPr>
          <w:rFonts w:hint="eastAsia" w:ascii="宋体" w:hAnsi="宋体"/>
          <w:color w:val="auto"/>
        </w:rPr>
        <w:t>一.检验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pPr>
        <w:pStyle w:val="123"/>
        <w:spacing w:line="360" w:lineRule="auto"/>
        <w:rPr>
          <w:rFonts w:ascii="宋体" w:hAnsi="宋体"/>
          <w:color w:val="auto"/>
        </w:rPr>
      </w:pPr>
      <w:r>
        <w:rPr>
          <w:rFonts w:hint="eastAsia" w:ascii="宋体" w:hAnsi="宋体"/>
          <w:color w:val="auto"/>
        </w:rPr>
        <w:t>二.验收标准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pPr>
        <w:pStyle w:val="136"/>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08"/>
    </w:p>
    <w:p>
      <w:pPr>
        <w:pStyle w:val="123"/>
        <w:spacing w:line="360" w:lineRule="auto"/>
        <w:rPr>
          <w:rFonts w:ascii="宋体" w:hAnsi="宋体"/>
          <w:color w:val="auto"/>
        </w:rPr>
      </w:pPr>
      <w:r>
        <w:rPr>
          <w:rFonts w:ascii="宋体" w:hAnsi="宋体"/>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3"/>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3"/>
        <w:spacing w:before="120" w:after="120" w:line="480" w:lineRule="exact"/>
        <w:rPr>
          <w:rFonts w:ascii="宋体" w:hAnsi="宋体" w:eastAsia="宋体" w:cs="宋体"/>
          <w:b w:val="0"/>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bookmarkStart w:id="109" w:name="_Toc465187648"/>
    </w:p>
    <w:bookmarkEnd w:id="109"/>
    <w:p>
      <w:pPr>
        <w:pStyle w:val="22"/>
      </w:pPr>
    </w:p>
    <w:p>
      <w:pPr>
        <w:spacing w:line="360" w:lineRule="auto"/>
        <w:jc w:val="center"/>
        <w:outlineLvl w:val="0"/>
        <w:rPr>
          <w:rFonts w:ascii="宋体" w:hAnsi="Calibri" w:eastAsia="宋体" w:cs="Times New Roman"/>
          <w:b/>
          <w:sz w:val="36"/>
          <w:szCs w:val="36"/>
        </w:rPr>
      </w:pPr>
      <w:bookmarkStart w:id="110"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10"/>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6" w:type="default"/>
          <w:footerReference r:id="rId17"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11" w:name="_Toc8509"/>
      <w:bookmarkStart w:id="112" w:name="_Toc15851"/>
      <w:bookmarkStart w:id="113"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11"/>
      <w:bookmarkEnd w:id="112"/>
      <w:bookmarkEnd w:id="113"/>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2222"/>
        <w:gridCol w:w="2428"/>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2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28"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2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4"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1</w:t>
            </w:r>
          </w:p>
        </w:tc>
        <w:tc>
          <w:tcPr>
            <w:tcW w:w="2222" w:type="dxa"/>
            <w:vAlign w:val="center"/>
          </w:tcPr>
          <w:p>
            <w:pPr>
              <w:spacing w:line="360" w:lineRule="auto"/>
              <w:jc w:val="center"/>
              <w:rPr>
                <w:rFonts w:hint="eastAsia" w:ascii="宋体" w:hAnsi="宋体" w:eastAsia="宋体" w:cs="宋体"/>
                <w:color w:val="000000"/>
                <w:kern w:val="0"/>
                <w:sz w:val="24"/>
                <w:szCs w:val="24"/>
                <w:lang w:eastAsia="zh-CN" w:bidi="ar"/>
              </w:rPr>
            </w:pPr>
            <w:r>
              <w:rPr>
                <w:rFonts w:hint="eastAsia" w:ascii="宋体" w:hAnsi="宋体" w:eastAsia="宋体"/>
                <w:bCs/>
                <w:sz w:val="24"/>
                <w:szCs w:val="24"/>
                <w:lang w:val="en-US" w:eastAsia="zh-CN"/>
              </w:rPr>
              <w:t>底部电池装配系统</w:t>
            </w:r>
          </w:p>
        </w:tc>
        <w:tc>
          <w:tcPr>
            <w:tcW w:w="2428"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eastAsia="宋体"/>
                <w:bCs/>
                <w:sz w:val="24"/>
                <w:szCs w:val="24"/>
                <w:lang w:val="en-US" w:eastAsia="zh-CN"/>
              </w:rPr>
              <w:t>非标定制</w:t>
            </w:r>
          </w:p>
        </w:tc>
        <w:tc>
          <w:tcPr>
            <w:tcW w:w="630"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套</w:t>
            </w:r>
          </w:p>
        </w:tc>
        <w:tc>
          <w:tcPr>
            <w:tcW w:w="64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2</w:t>
            </w:r>
          </w:p>
        </w:tc>
        <w:tc>
          <w:tcPr>
            <w:tcW w:w="2222"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cs="宋体"/>
                <w:kern w:val="0"/>
                <w:sz w:val="24"/>
                <w:szCs w:val="24"/>
                <w:lang w:val="en-US" w:eastAsia="zh-CN"/>
              </w:rPr>
              <w:t>中部挂载横梁装配工装吊具</w:t>
            </w:r>
          </w:p>
        </w:tc>
        <w:tc>
          <w:tcPr>
            <w:tcW w:w="242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非标定制</w:t>
            </w:r>
          </w:p>
        </w:tc>
        <w:tc>
          <w:tcPr>
            <w:tcW w:w="630"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64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3</w:t>
            </w:r>
          </w:p>
        </w:tc>
        <w:tc>
          <w:tcPr>
            <w:tcW w:w="2222"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cs="宋体"/>
                <w:kern w:val="0"/>
                <w:sz w:val="24"/>
                <w:szCs w:val="24"/>
                <w:lang w:val="en-US" w:eastAsia="zh-CN"/>
              </w:rPr>
              <w:t>两侧电池支架装配工装吊具</w:t>
            </w:r>
          </w:p>
        </w:tc>
        <w:tc>
          <w:tcPr>
            <w:tcW w:w="242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非标定制</w:t>
            </w:r>
          </w:p>
        </w:tc>
        <w:tc>
          <w:tcPr>
            <w:tcW w:w="630"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64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eastAsia="宋体"/>
                <w:b/>
                <w:lang w:val="en-US" w:eastAsia="zh-CN"/>
              </w:rPr>
            </w:pPr>
            <w:r>
              <w:rPr>
                <w:rFonts w:hint="eastAsia" w:ascii="宋体" w:hAnsi="宋体" w:eastAsia="宋体"/>
                <w:b/>
                <w:lang w:val="en-US" w:eastAsia="zh-CN"/>
              </w:rPr>
              <w:t>4</w:t>
            </w:r>
          </w:p>
        </w:tc>
        <w:tc>
          <w:tcPr>
            <w:tcW w:w="2222"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底部电池吊具</w:t>
            </w:r>
          </w:p>
        </w:tc>
        <w:tc>
          <w:tcPr>
            <w:tcW w:w="2428"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非标定制</w:t>
            </w:r>
          </w:p>
        </w:tc>
        <w:tc>
          <w:tcPr>
            <w:tcW w:w="630"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645"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2222"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2428"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1"/>
        <w:gridCol w:w="1656"/>
        <w:gridCol w:w="2420"/>
        <w:gridCol w:w="891"/>
        <w:gridCol w:w="793"/>
        <w:gridCol w:w="2028"/>
        <w:gridCol w:w="1630"/>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6"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0"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6"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0"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1656" w:type="dxa"/>
            <w:vAlign w:val="center"/>
          </w:tcPr>
          <w:p>
            <w:pPr>
              <w:spacing w:line="360" w:lineRule="auto"/>
              <w:jc w:val="center"/>
              <w:rPr>
                <w:rFonts w:hint="eastAsia" w:ascii="宋体" w:hAnsi="宋体" w:eastAsia="宋体" w:cs="宋体"/>
                <w:color w:val="000000"/>
                <w:kern w:val="0"/>
                <w:sz w:val="20"/>
                <w:szCs w:val="20"/>
                <w:lang w:eastAsia="zh-CN" w:bidi="ar"/>
              </w:rPr>
            </w:pPr>
            <w:r>
              <w:rPr>
                <w:rFonts w:hint="eastAsia" w:ascii="宋体" w:hAnsi="宋体" w:eastAsia="宋体"/>
                <w:bCs/>
                <w:sz w:val="24"/>
                <w:szCs w:val="24"/>
                <w:lang w:val="en-US" w:eastAsia="zh-CN"/>
              </w:rPr>
              <w:t>底部电池装配系统</w:t>
            </w:r>
          </w:p>
        </w:tc>
        <w:tc>
          <w:tcPr>
            <w:tcW w:w="2420" w:type="dxa"/>
            <w:vAlign w:val="center"/>
          </w:tcPr>
          <w:p>
            <w:pPr>
              <w:spacing w:line="360" w:lineRule="auto"/>
              <w:jc w:val="center"/>
              <w:rPr>
                <w:rFonts w:hint="default" w:ascii="宋体" w:hAnsi="宋体" w:eastAsia="宋体" w:cs="宋体"/>
                <w:sz w:val="18"/>
                <w:szCs w:val="18"/>
                <w:lang w:val="en-US" w:eastAsia="zh-CN"/>
              </w:rPr>
            </w:pPr>
            <w:r>
              <w:rPr>
                <w:rFonts w:hint="eastAsia" w:ascii="宋体" w:hAnsi="宋体" w:eastAsia="宋体"/>
                <w:bCs/>
                <w:sz w:val="24"/>
                <w:szCs w:val="24"/>
                <w:lang w:val="en-US" w:eastAsia="zh-CN"/>
              </w:rPr>
              <w:t>非标定制</w:t>
            </w:r>
          </w:p>
        </w:tc>
        <w:tc>
          <w:tcPr>
            <w:tcW w:w="891"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1</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2</w:t>
            </w:r>
          </w:p>
        </w:tc>
        <w:tc>
          <w:tcPr>
            <w:tcW w:w="1656"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cs="宋体"/>
                <w:kern w:val="0"/>
                <w:sz w:val="24"/>
                <w:szCs w:val="24"/>
                <w:lang w:val="en-US" w:eastAsia="zh-CN"/>
              </w:rPr>
              <w:t>中部挂载横梁装配工装吊具</w:t>
            </w:r>
          </w:p>
        </w:tc>
        <w:tc>
          <w:tcPr>
            <w:tcW w:w="2420" w:type="dxa"/>
            <w:vAlign w:val="center"/>
          </w:tcPr>
          <w:p>
            <w:pPr>
              <w:spacing w:line="360" w:lineRule="auto"/>
              <w:jc w:val="center"/>
              <w:rPr>
                <w:rFonts w:hint="eastAsia" w:ascii="宋体" w:hAnsi="宋体" w:eastAsia="宋体" w:cs="宋体"/>
                <w:sz w:val="18"/>
                <w:szCs w:val="18"/>
                <w:lang w:val="en-US" w:eastAsia="zh-CN"/>
              </w:rPr>
            </w:pPr>
            <w:r>
              <w:rPr>
                <w:rFonts w:hint="eastAsia" w:ascii="宋体" w:hAnsi="宋体" w:eastAsia="宋体"/>
                <w:bCs/>
                <w:sz w:val="24"/>
                <w:szCs w:val="24"/>
                <w:lang w:val="en-US" w:eastAsia="zh-CN"/>
              </w:rPr>
              <w:t>非标定制</w:t>
            </w:r>
          </w:p>
        </w:tc>
        <w:tc>
          <w:tcPr>
            <w:tcW w:w="891"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3</w:t>
            </w:r>
          </w:p>
        </w:tc>
        <w:tc>
          <w:tcPr>
            <w:tcW w:w="1656"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cs="宋体"/>
                <w:kern w:val="0"/>
                <w:sz w:val="24"/>
                <w:szCs w:val="24"/>
                <w:lang w:val="en-US" w:eastAsia="zh-CN"/>
              </w:rPr>
              <w:t>两侧电池支架装配工装吊具</w:t>
            </w:r>
          </w:p>
        </w:tc>
        <w:tc>
          <w:tcPr>
            <w:tcW w:w="2420" w:type="dxa"/>
            <w:vAlign w:val="center"/>
          </w:tcPr>
          <w:p>
            <w:pPr>
              <w:spacing w:line="360" w:lineRule="auto"/>
              <w:jc w:val="center"/>
              <w:rPr>
                <w:rFonts w:hint="eastAsia" w:ascii="宋体" w:hAnsi="宋体" w:eastAsia="宋体" w:cs="宋体"/>
                <w:sz w:val="18"/>
                <w:szCs w:val="18"/>
                <w:lang w:val="en-US" w:eastAsia="zh-CN"/>
              </w:rPr>
            </w:pPr>
            <w:r>
              <w:rPr>
                <w:rFonts w:hint="eastAsia" w:ascii="宋体" w:hAnsi="宋体" w:eastAsia="宋体"/>
                <w:bCs/>
                <w:sz w:val="24"/>
                <w:szCs w:val="24"/>
                <w:lang w:val="en-US" w:eastAsia="zh-CN"/>
              </w:rPr>
              <w:t>非标定制</w:t>
            </w:r>
          </w:p>
        </w:tc>
        <w:tc>
          <w:tcPr>
            <w:tcW w:w="891"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4</w:t>
            </w:r>
          </w:p>
        </w:tc>
        <w:tc>
          <w:tcPr>
            <w:tcW w:w="1656"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底部电池吊具</w:t>
            </w:r>
          </w:p>
        </w:tc>
        <w:tc>
          <w:tcPr>
            <w:tcW w:w="2420" w:type="dxa"/>
            <w:vAlign w:val="center"/>
          </w:tcPr>
          <w:p>
            <w:pPr>
              <w:spacing w:line="360" w:lineRule="auto"/>
              <w:jc w:val="center"/>
              <w:rPr>
                <w:rFonts w:hint="eastAsia" w:ascii="宋体" w:hAnsi="宋体" w:eastAsia="宋体" w:cs="宋体"/>
                <w:sz w:val="18"/>
                <w:szCs w:val="18"/>
                <w:lang w:val="en-US" w:eastAsia="zh-CN"/>
              </w:rPr>
            </w:pPr>
            <w:r>
              <w:rPr>
                <w:rFonts w:hint="eastAsia" w:ascii="宋体" w:hAnsi="宋体" w:eastAsia="宋体"/>
                <w:bCs/>
                <w:sz w:val="24"/>
                <w:szCs w:val="24"/>
                <w:lang w:val="en-US" w:eastAsia="zh-CN"/>
              </w:rPr>
              <w:t>非标定制</w:t>
            </w:r>
          </w:p>
        </w:tc>
        <w:tc>
          <w:tcPr>
            <w:tcW w:w="891" w:type="dxa"/>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bCs/>
                <w:sz w:val="24"/>
                <w:szCs w:val="24"/>
                <w:lang w:val="en-US" w:eastAsia="zh-CN"/>
              </w:rPr>
              <w:t>套</w:t>
            </w:r>
          </w:p>
        </w:tc>
        <w:tc>
          <w:tcPr>
            <w:tcW w:w="793" w:type="dxa"/>
            <w:vAlign w:val="center"/>
          </w:tcPr>
          <w:p>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pPr>
              <w:pStyle w:val="130"/>
              <w:spacing w:before="60" w:after="60" w:line="240" w:lineRule="auto"/>
              <w:jc w:val="center"/>
              <w:rPr>
                <w:rFonts w:hint="eastAsia" w:ascii="宋体" w:hAnsi="宋体" w:eastAsia="宋体" w:cs="宋体"/>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8"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9"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30"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31"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adjustRightInd w:val="0"/>
        <w:snapToGrid w:val="0"/>
        <w:spacing w:line="360" w:lineRule="auto"/>
        <w:ind w:firstLine="570"/>
        <w:jc w:val="left"/>
        <w:rPr>
          <w:rFonts w:hint="eastAsia" w:ascii="宋体" w:hAnsi="宋体" w:eastAsia="宋体" w:cs="宋体"/>
          <w:bCs/>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pPr>
              <w:spacing w:line="420" w:lineRule="exact"/>
              <w:jc w:val="center"/>
              <w:rPr>
                <w:rFonts w:hint="eastAsia" w:ascii="宋体" w:hAnsi="宋体" w:eastAsia="宋体" w:cs="宋体"/>
                <w:sz w:val="24"/>
                <w:szCs w:val="24"/>
              </w:rPr>
            </w:pP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pPr>
        <w:tabs>
          <w:tab w:val="left" w:pos="1196"/>
          <w:tab w:val="right" w:pos="15518"/>
        </w:tabs>
        <w:jc w:val="left"/>
        <w:rPr>
          <w:rFonts w:hint="eastAsia" w:asciiTheme="minorEastAsia" w:hAnsiTheme="minorEastAsia" w:eastAsiaTheme="minorEastAsia" w:cstheme="minorEastAsia"/>
          <w:sz w:val="20"/>
          <w:szCs w:val="20"/>
          <w:lang w:eastAsia="zh-CN"/>
        </w:rPr>
      </w:pPr>
      <w:r>
        <w:rPr>
          <w:rFonts w:hint="eastAsia" w:asciiTheme="minorEastAsia" w:hAnsiTheme="minorEastAsia" w:cstheme="minorEastAsia"/>
          <w:sz w:val="20"/>
          <w:szCs w:val="20"/>
          <w:lang w:eastAsia="zh-CN"/>
        </w:rPr>
        <w:tab/>
      </w: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5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5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5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5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56"/>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57"/>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58"/>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9"/>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60"/>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61"/>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62"/>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63"/>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64"/>
                    <a:stretch>
                      <a:fillRect/>
                    </a:stretch>
                  </pic:blipFill>
                  <pic:spPr>
                    <a:xfrm>
                      <a:off x="0" y="0"/>
                      <a:ext cx="5760085" cy="1956600"/>
                    </a:xfrm>
                    <a:prstGeom prst="rect">
                      <a:avLst/>
                    </a:prstGeom>
                  </pic:spPr>
                </pic:pic>
              </a:graphicData>
            </a:graphic>
          </wp:inline>
        </w:drawing>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Pr>
        <w:rPr>
          <w:rFonts w:hint="eastAsia" w:ascii="仿宋_GB2312" w:hAnsi="仿宋_GB2312" w:eastAsia="仿宋_GB2312" w:cs="仿宋_GB2312"/>
        </w:rPr>
      </w:pPr>
    </w:p>
    <w:p>
      <w:pPr>
        <w:rPr>
          <w:rFonts w:hint="eastAsia" w:ascii="仿宋_GB2312" w:hAnsi="仿宋_GB2312" w:eastAsia="仿宋_GB2312" w:cs="仿宋_GB2312"/>
        </w:rPr>
      </w:pPr>
    </w:p>
    <w:p>
      <w:pPr>
        <w:pStyle w:val="2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2"/>
        <w:outlineLvl w:val="2"/>
      </w:pPr>
      <w:r>
        <w:drawing>
          <wp:inline distT="0" distB="0" distL="114300" distR="114300">
            <wp:extent cx="5749290" cy="2501265"/>
            <wp:effectExtent l="0" t="0" r="381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5"/>
                    <a:stretch>
                      <a:fillRect/>
                    </a:stretch>
                  </pic:blipFill>
                  <pic:spPr>
                    <a:xfrm>
                      <a:off x="0" y="0"/>
                      <a:ext cx="5749290" cy="2501265"/>
                    </a:xfrm>
                    <a:prstGeom prst="rect">
                      <a:avLst/>
                    </a:prstGeom>
                    <a:noFill/>
                    <a:ln>
                      <a:noFill/>
                    </a:ln>
                  </pic:spPr>
                </pic:pic>
              </a:graphicData>
            </a:graphic>
          </wp:inline>
        </w:drawing>
      </w:r>
    </w:p>
    <w:p>
      <w:pPr>
        <w:pStyle w:val="22"/>
        <w:outlineLvl w:val="2"/>
      </w:pPr>
      <w:r>
        <w:drawing>
          <wp:inline distT="0" distB="0" distL="114300" distR="114300">
            <wp:extent cx="5746750" cy="3303270"/>
            <wp:effectExtent l="0" t="0" r="6350"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6"/>
                    <a:stretch>
                      <a:fillRect/>
                    </a:stretch>
                  </pic:blipFill>
                  <pic:spPr>
                    <a:xfrm>
                      <a:off x="0" y="0"/>
                      <a:ext cx="5746750" cy="3303270"/>
                    </a:xfrm>
                    <a:prstGeom prst="rect">
                      <a:avLst/>
                    </a:prstGeom>
                    <a:noFill/>
                    <a:ln>
                      <a:noFill/>
                    </a:ln>
                  </pic:spPr>
                </pic:pic>
              </a:graphicData>
            </a:graphic>
          </wp:inline>
        </w:drawing>
      </w:r>
    </w:p>
    <w:p>
      <w:pPr>
        <w:pStyle w:val="22"/>
        <w:outlineLvl w:val="2"/>
        <w:rPr>
          <w:rFonts w:hint="default"/>
          <w:lang w:val="en-US" w:eastAsia="zh-CN"/>
        </w:rPr>
      </w:pPr>
      <w:r>
        <w:drawing>
          <wp:inline distT="0" distB="0" distL="114300" distR="114300">
            <wp:extent cx="5742940" cy="2099310"/>
            <wp:effectExtent l="0" t="0" r="10160" b="889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7"/>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8"/>
                    <a:stretch>
                      <a:fillRect/>
                    </a:stretch>
                  </pic:blipFill>
                  <pic:spPr>
                    <a:xfrm>
                      <a:off x="0" y="0"/>
                      <a:ext cx="5742940" cy="2925445"/>
                    </a:xfrm>
                    <a:prstGeom prst="rect">
                      <a:avLst/>
                    </a:prstGeom>
                    <a:noFill/>
                    <a:ln>
                      <a:noFill/>
                    </a:ln>
                  </pic:spPr>
                </pic:pic>
              </a:graphicData>
            </a:graphic>
          </wp:inline>
        </w:drawing>
      </w:r>
    </w:p>
    <w:p/>
    <w:p>
      <w:pPr>
        <w:rPr>
          <w:rFonts w:hint="eastAsia"/>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237490" cy="154940"/>
              <wp:effectExtent l="0" t="0" r="0" b="0"/>
              <wp:wrapNone/>
              <wp:docPr id="1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7360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A7Bt0pLwIAAFQEAAAOAAAAAAAAAAEAIAAAACE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rFonts w:hint="eastAsia"/>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237490" cy="15494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7462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lZKniy8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CVkqeLLwIAAFQEAAAOAAAAAAAAAAEAIAAAACE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384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5">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10"/>
  </w:num>
  <w:num w:numId="4">
    <w:abstractNumId w:val="2"/>
  </w:num>
  <w:num w:numId="5">
    <w:abstractNumId w:val="1"/>
  </w:num>
  <w:num w:numId="6">
    <w:abstractNumId w:val="6"/>
  </w:num>
  <w:num w:numId="7">
    <w:abstractNumId w:val="0"/>
  </w:num>
  <w:num w:numId="8">
    <w:abstractNumId w:val="3"/>
  </w:num>
  <w:num w:numId="9">
    <w:abstractNumId w:val="7"/>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4302"/>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44ECD"/>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813218C"/>
    <w:rsid w:val="181E57CF"/>
    <w:rsid w:val="18454A08"/>
    <w:rsid w:val="18586F2B"/>
    <w:rsid w:val="18656713"/>
    <w:rsid w:val="18844BDB"/>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957C32"/>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B1923"/>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7559F7"/>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5C6052"/>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B63EAC"/>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9F52B6F"/>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967FD4"/>
    <w:rsid w:val="3CAA596A"/>
    <w:rsid w:val="3CB1587B"/>
    <w:rsid w:val="3CB735F2"/>
    <w:rsid w:val="3CBE0C38"/>
    <w:rsid w:val="3CC372BE"/>
    <w:rsid w:val="3CED621B"/>
    <w:rsid w:val="3D030207"/>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3C4972"/>
    <w:rsid w:val="3FBD79D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637C4"/>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554453"/>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42015"/>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C4C87"/>
    <w:rsid w:val="68EE72DF"/>
    <w:rsid w:val="692D2B05"/>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75F58"/>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EA55F4"/>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3.xml"/><Relationship Id="rId69" Type="http://schemas.openxmlformats.org/officeDocument/2006/relationships/customXml" Target="../customXml/item1.xml"/><Relationship Id="rId68" Type="http://schemas.openxmlformats.org/officeDocument/2006/relationships/image" Target="media/image27.png"/><Relationship Id="rId67" Type="http://schemas.openxmlformats.org/officeDocument/2006/relationships/image" Target="media/image26.png"/><Relationship Id="rId66" Type="http://schemas.openxmlformats.org/officeDocument/2006/relationships/image" Target="media/image25.png"/><Relationship Id="rId65" Type="http://schemas.openxmlformats.org/officeDocument/2006/relationships/image" Target="media/image24.png"/><Relationship Id="rId64" Type="http://schemas.openxmlformats.org/officeDocument/2006/relationships/image" Target="media/image23.png"/><Relationship Id="rId63" Type="http://schemas.openxmlformats.org/officeDocument/2006/relationships/image" Target="media/image22.png"/><Relationship Id="rId62" Type="http://schemas.openxmlformats.org/officeDocument/2006/relationships/image" Target="media/image21.png"/><Relationship Id="rId61" Type="http://schemas.openxmlformats.org/officeDocument/2006/relationships/image" Target="media/image20.png"/><Relationship Id="rId60" Type="http://schemas.openxmlformats.org/officeDocument/2006/relationships/image" Target="media/image19.png"/><Relationship Id="rId6" Type="http://schemas.openxmlformats.org/officeDocument/2006/relationships/header" Target="header2.xml"/><Relationship Id="rId59" Type="http://schemas.openxmlformats.org/officeDocument/2006/relationships/image" Target="media/image18.png"/><Relationship Id="rId58" Type="http://schemas.openxmlformats.org/officeDocument/2006/relationships/image" Target="media/image17.png"/><Relationship Id="rId57" Type="http://schemas.openxmlformats.org/officeDocument/2006/relationships/image" Target="media/image16.png"/><Relationship Id="rId56" Type="http://schemas.openxmlformats.org/officeDocument/2006/relationships/image" Target="media/image15.png"/><Relationship Id="rId55" Type="http://schemas.openxmlformats.org/officeDocument/2006/relationships/image" Target="media/image14.png"/><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footer" Target="footer2.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footer" Target="footer1.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8.xml"/><Relationship Id="rId34" Type="http://schemas.openxmlformats.org/officeDocument/2006/relationships/header" Target="header7.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82</Pages>
  <Words>23344</Words>
  <Characters>24414</Characters>
  <Lines>371</Lines>
  <Paragraphs>104</Paragraphs>
  <TotalTime>39</TotalTime>
  <ScaleCrop>false</ScaleCrop>
  <LinksUpToDate>false</LinksUpToDate>
  <CharactersWithSpaces>24910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2025-11-26T02:00:58Z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eyJoZGlkIjoiNmY2NmQzZjVmOWZlYjA2ZjdkZDFiNWRhYmRiYWI5MWEiLCJ1c2VySWQiOiIzMDU3ODk3NzcifQ==</vt:lpwstr>
  </property>
</Properties>
</file>