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17"/>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rPr>
        <w:t>中国重汽科技园区餐厅家具、厨具设备采购项目</w:t>
      </w:r>
    </w:p>
    <w:p w14:paraId="612663B5">
      <w:pPr>
        <w:ind w:right="280"/>
        <w:jc w:val="center"/>
        <w:rPr>
          <w:sz w:val="28"/>
          <w:szCs w:val="28"/>
        </w:rPr>
      </w:pPr>
    </w:p>
    <w:p w14:paraId="18CBF8EA">
      <w:pPr>
        <w:ind w:right="280"/>
        <w:jc w:val="center"/>
        <w:rPr>
          <w:sz w:val="28"/>
          <w:szCs w:val="28"/>
        </w:rPr>
      </w:pPr>
    </w:p>
    <w:p w14:paraId="6418E5FF">
      <w:pPr>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cyan"/>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FSCZB2025090116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u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u w:val="none"/>
        </w:rPr>
        <w:t>有限公司</w:t>
      </w:r>
    </w:p>
    <w:p w14:paraId="0D8A0D9A">
      <w:pPr>
        <w:jc w:val="center"/>
        <w:rPr>
          <w:rFonts w:ascii="宋体" w:hAnsi="宋体"/>
          <w:sz w:val="28"/>
          <w:szCs w:val="28"/>
        </w:rPr>
      </w:pPr>
    </w:p>
    <w:p w14:paraId="1D0371D8">
      <w:pPr>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u w:val="none"/>
        </w:rPr>
        <w:t>20</w:t>
      </w:r>
      <w:r>
        <w:rPr>
          <w:rFonts w:hint="eastAsia" w:ascii="宋体" w:hAnsi="宋体"/>
          <w:sz w:val="28"/>
          <w:szCs w:val="28"/>
          <w:u w:val="none"/>
          <w:lang w:val="en-US" w:eastAsia="zh-CN"/>
        </w:rPr>
        <w:t>25</w:t>
      </w:r>
      <w:r>
        <w:rPr>
          <w:rFonts w:hint="eastAsia" w:ascii="宋体" w:hAnsi="宋体"/>
          <w:sz w:val="28"/>
          <w:szCs w:val="28"/>
          <w:u w:val="none"/>
        </w:rPr>
        <w:t>年</w:t>
      </w:r>
      <w:r>
        <w:rPr>
          <w:rFonts w:hint="eastAsia" w:ascii="宋体" w:hAnsi="宋体"/>
          <w:sz w:val="28"/>
          <w:szCs w:val="28"/>
          <w:u w:val="none"/>
          <w:lang w:val="en-US" w:eastAsia="zh-CN"/>
        </w:rPr>
        <w:t>9</w:t>
      </w:r>
      <w:r>
        <w:rPr>
          <w:rFonts w:hint="eastAsia" w:ascii="宋体" w:hAnsi="宋体"/>
          <w:sz w:val="28"/>
          <w:szCs w:val="28"/>
          <w:u w:val="none"/>
        </w:rPr>
        <w:t>月</w:t>
      </w:r>
    </w:p>
    <w:p w14:paraId="0230EEDA">
      <w:pPr>
        <w:pStyle w:val="19"/>
      </w:pPr>
      <w:bookmarkStart w:id="0" w:name="_Toc47976587"/>
      <w:r>
        <w:rPr>
          <w:rFonts w:hint="eastAsia"/>
        </w:rPr>
        <w:t>招标公告</w:t>
      </w:r>
      <w:bookmarkEnd w:id="0"/>
    </w:p>
    <w:p w14:paraId="5953C7BF">
      <w:pPr>
        <w:pStyle w:val="19"/>
        <w:rPr>
          <w:rFonts w:hint="eastAsia"/>
          <w:sz w:val="28"/>
        </w:rPr>
      </w:pPr>
      <w:bookmarkStart w:id="1" w:name="_Toc32474"/>
      <w:r>
        <w:rPr>
          <w:rFonts w:hint="eastAsia"/>
          <w:sz w:val="28"/>
          <w:highlight w:val="none"/>
          <w:u w:val="single"/>
        </w:rPr>
        <w:t>中国重汽科技园区餐厅家具、厨具设备采购项目</w:t>
      </w:r>
      <w:r>
        <w:rPr>
          <w:rFonts w:hint="eastAsia"/>
          <w:sz w:val="28"/>
        </w:rPr>
        <w:t>招标公告</w:t>
      </w:r>
      <w:bookmarkEnd w:id="1"/>
    </w:p>
    <w:p w14:paraId="3B867C39">
      <w:pPr>
        <w:pStyle w:val="19"/>
        <w:rPr>
          <w:rFonts w:hint="eastAsia"/>
        </w:rPr>
      </w:pPr>
    </w:p>
    <w:p w14:paraId="2A47C58A">
      <w:pPr>
        <w:pStyle w:val="20"/>
      </w:pPr>
      <w:bookmarkStart w:id="2" w:name="_Toc47976588"/>
      <w:r>
        <w:rPr>
          <w:rFonts w:hint="eastAsia"/>
        </w:rPr>
        <w:t>项目名称及项目编号</w:t>
      </w:r>
      <w:bookmarkEnd w:id="2"/>
    </w:p>
    <w:p w14:paraId="1E71F649">
      <w:pPr>
        <w:pStyle w:val="21"/>
      </w:pPr>
      <w:r>
        <w:rPr>
          <w:rFonts w:hint="eastAsia"/>
        </w:rPr>
        <w:t>项目名称：</w:t>
      </w:r>
      <w:r>
        <w:rPr>
          <w:rFonts w:hint="eastAsia"/>
          <w:highlight w:val="none"/>
        </w:rPr>
        <w:t>中国重汽科技园区餐厅家具、厨具设备采购项目</w:t>
      </w:r>
    </w:p>
    <w:p w14:paraId="0505B139">
      <w:pPr>
        <w:pStyle w:val="21"/>
      </w:pPr>
      <w:r>
        <w:rPr>
          <w:rFonts w:hint="eastAsia"/>
        </w:rPr>
        <w:t>项目编号：</w:t>
      </w:r>
      <w:r>
        <w:rPr>
          <w:rFonts w:hint="eastAsia"/>
          <w:highlight w:val="none"/>
          <w:lang w:val="en-US" w:eastAsia="zh-CN"/>
        </w:rPr>
        <w:t>FSCZB2025090116</w:t>
      </w:r>
    </w:p>
    <w:p w14:paraId="0AB9F24D">
      <w:pPr>
        <w:pStyle w:val="20"/>
      </w:pPr>
      <w:bookmarkStart w:id="3" w:name="_Toc47976589"/>
      <w:r>
        <w:rPr>
          <w:rFonts w:hint="eastAsia"/>
          <w:lang w:val="en-US" w:eastAsia="zh-CN"/>
        </w:rPr>
        <w:t>项目概况</w:t>
      </w:r>
      <w:r>
        <w:rPr>
          <w:rFonts w:hint="eastAsia"/>
        </w:rPr>
        <w:t>及招标形式</w:t>
      </w:r>
      <w:bookmarkEnd w:id="3"/>
    </w:p>
    <w:p w14:paraId="528164D7">
      <w:pPr>
        <w:pStyle w:val="21"/>
        <w:numPr>
          <w:ilvl w:val="0"/>
          <w:numId w:val="3"/>
        </w:numPr>
        <w:rPr>
          <w:rFonts w:hint="eastAsia"/>
          <w:highlight w:val="none"/>
        </w:rPr>
      </w:pPr>
      <w:r>
        <w:rPr>
          <w:rFonts w:hint="eastAsia"/>
          <w:highlight w:val="none"/>
        </w:rPr>
        <w:t>招标内容：</w:t>
      </w:r>
      <w:r>
        <w:rPr>
          <w:rFonts w:hint="eastAsia"/>
          <w:highlight w:val="none"/>
          <w:lang w:val="en-US" w:eastAsia="zh-CN"/>
        </w:rPr>
        <w:t>科技园区餐厅家具、厨具设备老化，在使用中容易存在安全隐患。项目为A（中国重汽科技园区餐厅家具）、B（中国重汽科技园区餐厅厨具设备）整包项目，包含设备拆除、安装、施工、调试、售后、质保、辅料等，具体内容及要求详见招标文件。</w:t>
      </w:r>
    </w:p>
    <w:p w14:paraId="2BE21298">
      <w:pPr>
        <w:pStyle w:val="22"/>
        <w:keepNext w:val="0"/>
        <w:keepLines w:val="0"/>
        <w:pageBreakBefore w:val="0"/>
        <w:widowControl w:val="0"/>
        <w:numPr>
          <w:ilvl w:val="0"/>
          <w:numId w:val="0"/>
        </w:numPr>
        <w:kinsoku/>
        <w:wordWrap/>
        <w:overflowPunct/>
        <w:topLinePunct w:val="0"/>
        <w:autoSpaceDE/>
        <w:autoSpaceDN/>
        <w:bidi w:val="0"/>
        <w:adjustRightInd/>
        <w:snapToGrid/>
        <w:ind w:left="992" w:leftChars="0"/>
        <w:textAlignment w:val="auto"/>
        <w:rPr>
          <w:rFonts w:hint="eastAsia" w:cs="Times New Roman"/>
          <w:b/>
          <w:bCs/>
          <w:color w:val="auto"/>
          <w:highlight w:val="none"/>
          <w:u w:val="none"/>
          <w:lang w:val="en-US" w:eastAsia="zh-CN"/>
        </w:rPr>
      </w:pPr>
      <w:r>
        <w:rPr>
          <w:rFonts w:hint="eastAsia" w:cs="Times New Roman"/>
          <w:b/>
          <w:bCs/>
          <w:color w:val="auto"/>
          <w:highlight w:val="none"/>
          <w:u w:val="none"/>
          <w:lang w:val="en-US" w:eastAsia="zh-CN"/>
        </w:rPr>
        <w:t>①A项目（中国重汽科技园区餐厅家具），投标限价为人民币</w:t>
      </w:r>
      <w:r>
        <w:rPr>
          <w:rFonts w:hint="eastAsia" w:cs="Times New Roman"/>
          <w:b/>
          <w:bCs/>
          <w:color w:val="auto"/>
          <w:highlight w:val="yellow"/>
          <w:u w:val="single"/>
          <w:lang w:val="en-US" w:eastAsia="zh-CN"/>
        </w:rPr>
        <w:t>4.59万元（含税，税率13%）</w:t>
      </w:r>
      <w:r>
        <w:rPr>
          <w:rFonts w:hint="eastAsia" w:cs="Times New Roman"/>
          <w:b/>
          <w:bCs/>
          <w:color w:val="auto"/>
          <w:highlight w:val="none"/>
          <w:u w:val="none"/>
          <w:lang w:val="en-US" w:eastAsia="zh-CN"/>
        </w:rPr>
        <w:t>，超过投标限价无法投标。</w:t>
      </w:r>
    </w:p>
    <w:p w14:paraId="1470A6D0">
      <w:pPr>
        <w:pStyle w:val="22"/>
        <w:keepNext w:val="0"/>
        <w:keepLines w:val="0"/>
        <w:pageBreakBefore w:val="0"/>
        <w:widowControl w:val="0"/>
        <w:numPr>
          <w:ilvl w:val="0"/>
          <w:numId w:val="0"/>
        </w:numPr>
        <w:kinsoku/>
        <w:wordWrap/>
        <w:overflowPunct/>
        <w:topLinePunct w:val="0"/>
        <w:autoSpaceDE/>
        <w:autoSpaceDN/>
        <w:bidi w:val="0"/>
        <w:adjustRightInd/>
        <w:snapToGrid/>
        <w:ind w:left="992" w:leftChars="0"/>
        <w:textAlignment w:val="auto"/>
        <w:rPr>
          <w:rFonts w:hint="eastAsia"/>
          <w:highlight w:val="none"/>
        </w:rPr>
      </w:pPr>
      <w:r>
        <w:rPr>
          <w:rFonts w:hint="eastAsia" w:cs="Times New Roman"/>
          <w:b/>
          <w:bCs/>
          <w:color w:val="auto"/>
          <w:highlight w:val="none"/>
          <w:u w:val="none"/>
          <w:lang w:val="en-US" w:eastAsia="zh-CN"/>
        </w:rPr>
        <w:t>②B项目（中国重汽科技园区餐厅厨具设备），投标限价为人民币</w:t>
      </w:r>
      <w:r>
        <w:rPr>
          <w:rFonts w:hint="eastAsia" w:cs="Times New Roman"/>
          <w:b/>
          <w:bCs/>
          <w:color w:val="auto"/>
          <w:highlight w:val="yellow"/>
          <w:u w:val="single"/>
          <w:lang w:val="en-US" w:eastAsia="zh-CN"/>
        </w:rPr>
        <w:t>16.12万元（含税，税率13%）</w:t>
      </w:r>
      <w:r>
        <w:rPr>
          <w:rFonts w:hint="eastAsia" w:cs="Times New Roman"/>
          <w:b/>
          <w:bCs/>
          <w:color w:val="auto"/>
          <w:highlight w:val="none"/>
          <w:u w:val="none"/>
          <w:lang w:val="en-US" w:eastAsia="zh-CN"/>
        </w:rPr>
        <w:t>，超过投标限价无法投标。</w:t>
      </w:r>
    </w:p>
    <w:p w14:paraId="4EC58B63">
      <w:pPr>
        <w:pStyle w:val="21"/>
      </w:pPr>
      <w:r>
        <w:rPr>
          <w:rFonts w:hint="eastAsia"/>
        </w:rPr>
        <w:t>招标形式：</w:t>
      </w:r>
      <w:r>
        <w:rPr>
          <w:rFonts w:hint="eastAsia"/>
          <w:highlight w:val="none"/>
          <w:lang w:val="en-US" w:eastAsia="zh-CN"/>
        </w:rPr>
        <w:t>公开招标</w:t>
      </w:r>
    </w:p>
    <w:p w14:paraId="0B813421">
      <w:pPr>
        <w:pStyle w:val="20"/>
        <w:rPr>
          <w:highlight w:val="none"/>
        </w:rPr>
      </w:pPr>
      <w:bookmarkStart w:id="4" w:name="_Toc47976590"/>
      <w:r>
        <w:rPr>
          <w:rFonts w:hint="eastAsia"/>
          <w:highlight w:val="none"/>
        </w:rPr>
        <w:t>投标人资格要求</w:t>
      </w:r>
      <w:bookmarkEnd w:id="4"/>
    </w:p>
    <w:p w14:paraId="247875F3">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eastAsia="zh-CN"/>
        </w:rPr>
      </w:pPr>
      <w:r>
        <w:rPr>
          <w:rFonts w:hint="eastAsia" w:ascii="宋体" w:hAnsi="宋体" w:cs="宋体"/>
          <w:b/>
          <w:bCs/>
          <w:sz w:val="21"/>
          <w:szCs w:val="21"/>
          <w:highlight w:val="none"/>
          <w:lang w:val="en-US" w:eastAsia="zh-CN"/>
        </w:rPr>
        <w:t>投标人条件</w:t>
      </w:r>
    </w:p>
    <w:p w14:paraId="1EE2F60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1.1拟投标人必须是在中华人民共和国境内注册的独立法人机构，具有独立承担民事责任能力，注册资金不少于300万人民币（截止发标日期）；公司成立五年以上（以营业执照成立日期到开标当日满五年为准）；且经营范围满足招标人需求；并在人员、设备、资金等方面具有承担本项目的能力；</w:t>
      </w:r>
    </w:p>
    <w:p w14:paraId="21F9339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1.2拟投标人应提供三证合一的营业执照盖章版复印件；</w:t>
      </w:r>
    </w:p>
    <w:p w14:paraId="526EC9C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1.3拟投标人应提供法定代表人资格证明，</w:t>
      </w:r>
      <w:r>
        <w:rPr>
          <w:rFonts w:hint="eastAsia"/>
          <w:b/>
          <w:bCs/>
          <w:highlight w:val="none"/>
          <w:lang w:val="en-US" w:eastAsia="zh-CN"/>
        </w:rPr>
        <w:t>法人授权委托书原件</w:t>
      </w:r>
      <w:r>
        <w:rPr>
          <w:rFonts w:hint="eastAsia"/>
          <w:b/>
          <w:bCs/>
          <w:lang w:val="en-US" w:eastAsia="zh-CN"/>
        </w:rPr>
        <w:t>；</w:t>
      </w:r>
    </w:p>
    <w:p w14:paraId="7FDB52F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1.4拟投标人在《国家企业信用信息公示系统》、信用中国、天眼查、启信宝等企业信息查询系统中不存在不良记录；拟投标人三年内无违法及重大违规情况；</w:t>
      </w:r>
    </w:p>
    <w:p w14:paraId="50FF2D5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b/>
          <w:bCs/>
          <w:lang w:val="en-US" w:eastAsia="zh-CN"/>
        </w:rPr>
      </w:pPr>
      <w:r>
        <w:rPr>
          <w:rFonts w:hint="eastAsia"/>
          <w:b/>
          <w:bCs/>
          <w:lang w:val="en-US" w:eastAsia="zh-CN"/>
        </w:rPr>
        <w:t>1.5拟投标人近三年的经审计的公司财务报表（资产负债表、损益表、现金流量表）未显示异常；</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b/>
          <w:bCs/>
          <w:lang w:val="en-US" w:eastAsia="zh-CN"/>
        </w:rPr>
        <w:t>1.6如资质条件符合投标要求可同时参与A、B项目。</w:t>
      </w:r>
    </w:p>
    <w:p w14:paraId="5FB328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b/>
          <w:bCs/>
          <w:sz w:val="21"/>
          <w:szCs w:val="21"/>
          <w:highlight w:val="none"/>
          <w:lang w:val="en-US" w:eastAsia="zh-CN"/>
        </w:rPr>
      </w:pPr>
    </w:p>
    <w:p w14:paraId="45C04D47">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资质文件</w:t>
      </w:r>
    </w:p>
    <w:p w14:paraId="0B1B5FE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2.1营业执照副本复印件（需加盖公章）；</w:t>
      </w:r>
    </w:p>
    <w:p w14:paraId="4A4CCCB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2.2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727428D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2.3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086263F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2.4近三年内在经营活动中无与本项目有关的违法及重大违规行为的声明；</w:t>
      </w:r>
    </w:p>
    <w:p w14:paraId="2F59BCC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2.5投标人在国家企业信用信息公示系统中无与本项目有关的行政处罚、经营异常和失信信息的声明；（附投标当日系统内相关截图或报告）</w:t>
      </w:r>
    </w:p>
    <w:p w14:paraId="3B04F95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2.6企业对外担保说明（写明贵单位对外有无对外担保和质押业务，需加盖公章）；</w:t>
      </w:r>
    </w:p>
    <w:p w14:paraId="2195E6C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2.7企业信用证明材料（征信中心出具的信用报告）；</w:t>
      </w:r>
    </w:p>
    <w:p w14:paraId="57B68FE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2.8企业最近半年的完税证明，并附年度纳税信用评价信息（可从电子税务局查询截图，需加盖公章）；</w:t>
      </w:r>
    </w:p>
    <w:p w14:paraId="547873C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2.9供方的直接或间接股东、法定代表人、董事、监事、高管非重汽员工及其亲属声明；</w:t>
      </w:r>
    </w:p>
    <w:p w14:paraId="2611F3B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lang w:val="en-US" w:eastAsia="zh-CN"/>
        </w:rPr>
      </w:pPr>
      <w:r>
        <w:rPr>
          <w:rFonts w:hint="eastAsia"/>
          <w:b/>
          <w:bCs/>
          <w:lang w:val="en-US" w:eastAsia="zh-CN"/>
        </w:rPr>
        <w:t>2.10 2022年1月1日至今，企业近三年同类项目业绩证明，须提供用户清单、采购合同复印件；</w:t>
      </w:r>
    </w:p>
    <w:p w14:paraId="4BF0675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2.11投标保证金缴纳凭证，同时正文描述付款账号、户名、开户行名称、开户行行号、保证金金额。</w:t>
      </w:r>
    </w:p>
    <w:p w14:paraId="76B97D53">
      <w:pPr>
        <w:pStyle w:val="20"/>
        <w:rPr>
          <w:highlight w:val="none"/>
        </w:rPr>
      </w:pPr>
      <w:bookmarkStart w:id="5" w:name="_Toc47976591"/>
      <w:r>
        <w:rPr>
          <w:rFonts w:hint="eastAsia"/>
          <w:highlight w:val="none"/>
        </w:rPr>
        <w:t>报名及招标文件的获取</w:t>
      </w:r>
      <w:bookmarkEnd w:id="5"/>
    </w:p>
    <w:p w14:paraId="3FBD4336">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b/>
          <w:bCs/>
          <w:highlight w:val="none"/>
          <w:u w:val="none"/>
        </w:rPr>
      </w:pPr>
      <w:r>
        <w:rPr>
          <w:rFonts w:hint="eastAsia"/>
          <w:b/>
          <w:bCs/>
          <w:highlight w:val="none"/>
          <w:lang w:val="en-US" w:eastAsia="zh-CN"/>
        </w:rPr>
        <w:t>应标</w:t>
      </w:r>
      <w:r>
        <w:rPr>
          <w:rFonts w:hint="eastAsia"/>
          <w:b/>
          <w:bCs/>
          <w:highlight w:val="none"/>
        </w:rPr>
        <w:t>报名截止时间：</w:t>
      </w:r>
      <w:r>
        <w:rPr>
          <w:rFonts w:hint="eastAsia"/>
          <w:b/>
          <w:bCs/>
          <w:highlight w:val="none"/>
          <w:u w:val="none"/>
        </w:rPr>
        <w:t>2025年</w:t>
      </w:r>
      <w:r>
        <w:rPr>
          <w:rFonts w:hint="eastAsia"/>
          <w:b/>
          <w:bCs/>
          <w:highlight w:val="none"/>
          <w:u w:val="none"/>
          <w:lang w:val="en-US" w:eastAsia="zh-CN"/>
        </w:rPr>
        <w:t>10</w:t>
      </w:r>
      <w:r>
        <w:rPr>
          <w:rFonts w:hint="eastAsia"/>
          <w:b/>
          <w:bCs/>
          <w:highlight w:val="none"/>
          <w:u w:val="none"/>
        </w:rPr>
        <w:t>月</w:t>
      </w:r>
      <w:r>
        <w:rPr>
          <w:rFonts w:hint="eastAsia"/>
          <w:b/>
          <w:bCs/>
          <w:highlight w:val="none"/>
          <w:u w:val="none"/>
          <w:lang w:val="en-US" w:eastAsia="zh-CN"/>
        </w:rPr>
        <w:t>10</w:t>
      </w:r>
      <w:r>
        <w:rPr>
          <w:rFonts w:hint="eastAsia"/>
          <w:b/>
          <w:bCs/>
          <w:highlight w:val="none"/>
          <w:u w:val="none"/>
        </w:rPr>
        <w:t>日17点</w:t>
      </w:r>
    </w:p>
    <w:p w14:paraId="5E258C48">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b/>
          <w:bCs/>
          <w:lang w:eastAsia="zh-CN"/>
        </w:rPr>
      </w:pPr>
      <w:r>
        <w:rPr>
          <w:rFonts w:hint="eastAsia"/>
          <w:b/>
          <w:bCs/>
        </w:rPr>
        <w:t>注：请务必在应标截止时间前完成注册及应标操作，注册审核需2-4日，应标截止时间精确到秒，逾期将无法应标。请自行掌握时间，避免无法应标</w:t>
      </w:r>
      <w:r>
        <w:rPr>
          <w:rFonts w:hint="eastAsia"/>
          <w:b/>
          <w:bCs/>
          <w:lang w:eastAsia="zh-CN"/>
        </w:rPr>
        <w:t>。</w:t>
      </w:r>
    </w:p>
    <w:p w14:paraId="4321D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highlight w:val="cyan"/>
          <w:lang w:eastAsia="zh-CN"/>
        </w:rPr>
      </w:pPr>
      <w:r>
        <w:rPr>
          <w:rFonts w:hint="eastAsia"/>
          <w:b/>
          <w:bCs/>
        </w:rPr>
        <w:t>2.招标文件获取方式：</w:t>
      </w:r>
      <w:r>
        <w:rPr>
          <w:rFonts w:hint="eastAsia"/>
          <w:b/>
          <w:bCs/>
          <w:highlight w:val="none"/>
        </w:rPr>
        <w:t>投标人</w:t>
      </w:r>
      <w:r>
        <w:rPr>
          <w:rFonts w:hint="eastAsia"/>
          <w:b/>
          <w:bCs/>
          <w:highlight w:val="none"/>
          <w:lang w:val="en-US" w:eastAsia="zh-CN"/>
        </w:rPr>
        <w:t>应标报名成功后</w:t>
      </w:r>
      <w:r>
        <w:rPr>
          <w:rFonts w:hint="eastAsia"/>
          <w:b/>
          <w:bCs/>
          <w:highlight w:val="none"/>
        </w:rPr>
        <w:t>，在中国重汽e采通平台上获取招标文件</w:t>
      </w:r>
      <w:r>
        <w:rPr>
          <w:rFonts w:hint="eastAsia"/>
          <w:b/>
          <w:bCs/>
          <w:highlight w:val="none"/>
          <w:lang w:eastAsia="zh-CN"/>
        </w:rPr>
        <w:t>。</w:t>
      </w:r>
    </w:p>
    <w:p w14:paraId="72556E2D">
      <w:pPr>
        <w:keepNext w:val="0"/>
        <w:keepLines w:val="0"/>
        <w:pageBreakBefore w:val="0"/>
        <w:widowControl w:val="0"/>
        <w:kinsoku/>
        <w:wordWrap/>
        <w:overflowPunct/>
        <w:topLinePunct w:val="0"/>
        <w:autoSpaceDE/>
        <w:autoSpaceDN/>
        <w:bidi w:val="0"/>
        <w:adjustRightInd/>
        <w:snapToGrid/>
        <w:spacing w:line="360" w:lineRule="auto"/>
        <w:textAlignment w:val="auto"/>
        <w:rPr>
          <w:b/>
          <w:bCs/>
        </w:rPr>
      </w:pPr>
      <w:r>
        <w:rPr>
          <w:rFonts w:hint="eastAsia"/>
          <w:b/>
          <w:bCs/>
          <w:lang w:val="en-US" w:eastAsia="zh-CN"/>
        </w:rPr>
        <w:t>3.</w:t>
      </w:r>
      <w:r>
        <w:rPr>
          <w:rFonts w:hint="eastAsia"/>
          <w:b/>
          <w:bCs/>
        </w:rPr>
        <w:t>报名方式：拟投标人根据招标人在中国重汽官网等公开媒体上发布的招标信息，在“中国重汽e采通”平台报名。按照中国重汽e采通“SRM非生产供应商注册手册”</w:t>
      </w:r>
      <w:r>
        <w:rPr>
          <w:rFonts w:hint="eastAsia"/>
          <w:b/>
          <w:bCs/>
          <w:highlight w:val="none"/>
          <w:lang w:eastAsia="zh-CN"/>
        </w:rPr>
        <w:t>（</w:t>
      </w:r>
      <w:r>
        <w:rPr>
          <w:rFonts w:hint="eastAsia"/>
          <w:b/>
          <w:bCs/>
          <w:highlight w:val="none"/>
          <w:lang w:val="en-US" w:eastAsia="zh-CN"/>
        </w:rPr>
        <w:t>附件</w:t>
      </w:r>
      <w:r>
        <w:rPr>
          <w:rFonts w:hint="eastAsia"/>
          <w:b/>
          <w:bCs/>
          <w:highlight w:val="none"/>
          <w:lang w:eastAsia="zh-CN"/>
        </w:rPr>
        <w:t>）</w:t>
      </w:r>
      <w:r>
        <w:rPr>
          <w:rFonts w:hint="eastAsia"/>
          <w:b/>
          <w:bCs/>
        </w:rPr>
        <w:t>进行注册，注册完毕后按照“SRM系统供应商用户手册”</w:t>
      </w:r>
      <w:r>
        <w:rPr>
          <w:rFonts w:hint="eastAsia"/>
          <w:b/>
          <w:bCs/>
          <w:highlight w:val="none"/>
          <w:lang w:eastAsia="zh-CN"/>
        </w:rPr>
        <w:t>（</w:t>
      </w:r>
      <w:r>
        <w:rPr>
          <w:rFonts w:hint="eastAsia"/>
          <w:b/>
          <w:bCs/>
          <w:highlight w:val="none"/>
          <w:lang w:val="en-US" w:eastAsia="zh-CN"/>
        </w:rPr>
        <w:t>附件）</w:t>
      </w:r>
      <w:r>
        <w:rPr>
          <w:rFonts w:hint="eastAsia"/>
          <w:b/>
          <w:bCs/>
        </w:rPr>
        <w:t>，登录重汽e采通平台后进入“供应商应标”，选择对应的项目，点击“应标”后</w:t>
      </w:r>
      <w:r>
        <w:rPr>
          <w:rFonts w:hint="eastAsia"/>
          <w:b/>
          <w:bCs/>
          <w:highlight w:val="none"/>
        </w:rPr>
        <w:t>按照招标</w:t>
      </w:r>
      <w:r>
        <w:rPr>
          <w:rFonts w:hint="eastAsia"/>
          <w:b/>
          <w:bCs/>
          <w:highlight w:val="none"/>
          <w:lang w:val="en-US" w:eastAsia="zh-CN"/>
        </w:rPr>
        <w:t>公告中“投标人资格要求-资质文件”中</w:t>
      </w:r>
      <w:r>
        <w:rPr>
          <w:rFonts w:hint="eastAsia"/>
          <w:b/>
          <w:bCs/>
          <w:highlight w:val="none"/>
        </w:rPr>
        <w:t>的</w:t>
      </w:r>
      <w:r>
        <w:rPr>
          <w:rFonts w:hint="eastAsia"/>
          <w:b/>
          <w:bCs/>
          <w:highlight w:val="none"/>
          <w:lang w:val="en-US" w:eastAsia="zh-CN"/>
        </w:rPr>
        <w:t>2</w:t>
      </w:r>
      <w:r>
        <w:rPr>
          <w:rFonts w:hint="eastAsia"/>
          <w:b/>
          <w:bCs/>
          <w:highlight w:val="none"/>
        </w:rPr>
        <w:t>.1-</w:t>
      </w:r>
      <w:r>
        <w:rPr>
          <w:rFonts w:hint="eastAsia"/>
          <w:b/>
          <w:bCs/>
          <w:highlight w:val="none"/>
          <w:lang w:val="en-US" w:eastAsia="zh-CN"/>
        </w:rPr>
        <w:t>2</w:t>
      </w:r>
      <w:r>
        <w:rPr>
          <w:rFonts w:hint="eastAsia"/>
          <w:b/>
          <w:bCs/>
          <w:highlight w:val="none"/>
        </w:rPr>
        <w:t>.1</w:t>
      </w:r>
      <w:r>
        <w:rPr>
          <w:rFonts w:hint="eastAsia"/>
          <w:b/>
          <w:bCs/>
          <w:highlight w:val="none"/>
          <w:lang w:val="en-US" w:eastAsia="zh-CN"/>
        </w:rPr>
        <w:t>0</w:t>
      </w:r>
      <w:r>
        <w:rPr>
          <w:rFonts w:hint="eastAsia"/>
          <w:b/>
          <w:bCs/>
          <w:highlight w:val="none"/>
        </w:rPr>
        <w:t>准备资料并上传</w:t>
      </w:r>
      <w:r>
        <w:rPr>
          <w:rFonts w:hint="eastAsia"/>
          <w:b/>
          <w:bCs/>
        </w:rPr>
        <w:t>，资质审查通过即为报名成功；公示期间请尽快报名。</w:t>
      </w:r>
    </w:p>
    <w:p w14:paraId="27B65ABD">
      <w:pPr>
        <w:pStyle w:val="20"/>
        <w:rPr>
          <w:highlight w:val="none"/>
        </w:rPr>
      </w:pPr>
      <w:r>
        <w:rPr>
          <w:rFonts w:hint="eastAsia"/>
          <w:highlight w:val="none"/>
          <w:lang w:val="en-US" w:eastAsia="zh-CN"/>
        </w:rPr>
        <w:t>开标时间和地点</w:t>
      </w:r>
    </w:p>
    <w:p w14:paraId="242FF2EC">
      <w:pPr>
        <w:pStyle w:val="20"/>
        <w:keepNext w:val="0"/>
        <w:keepLines w:val="0"/>
        <w:pageBreakBefore w:val="0"/>
        <w:widowControl w:val="0"/>
        <w:numPr>
          <w:ilvl w:val="0"/>
          <w:numId w:val="6"/>
        </w:numPr>
        <w:kinsoku/>
        <w:wordWrap/>
        <w:overflowPunct/>
        <w:topLinePunct w:val="0"/>
        <w:autoSpaceDE/>
        <w:autoSpaceDN/>
        <w:bidi w:val="0"/>
        <w:adjustRightInd/>
        <w:snapToGrid/>
        <w:ind w:left="420" w:leftChars="0" w:hanging="420"/>
        <w:textAlignment w:val="auto"/>
        <w:rPr>
          <w:rFonts w:hint="eastAsia"/>
          <w:sz w:val="21"/>
          <w:szCs w:val="15"/>
          <w:highlight w:val="none"/>
          <w:shd w:val="clear" w:color="auto" w:fill="auto"/>
          <w:lang w:val="en-US" w:eastAsia="zh-CN"/>
        </w:rPr>
      </w:pPr>
      <w:r>
        <w:rPr>
          <w:rFonts w:hint="eastAsia"/>
          <w:sz w:val="21"/>
          <w:szCs w:val="15"/>
          <w:highlight w:val="none"/>
          <w:shd w:val="clear" w:color="auto" w:fill="auto"/>
          <w:lang w:val="en-US" w:eastAsia="zh-CN"/>
        </w:rPr>
        <w:t>开标时间：2025年11月4日上午9:00(北京时间)，若有变动，另行通知。</w:t>
      </w:r>
      <w:bookmarkStart w:id="13" w:name="_GoBack"/>
      <w:bookmarkEnd w:id="13"/>
    </w:p>
    <w:p w14:paraId="4014512E">
      <w:pPr>
        <w:pStyle w:val="20"/>
        <w:keepNext w:val="0"/>
        <w:keepLines w:val="0"/>
        <w:pageBreakBefore w:val="0"/>
        <w:widowControl w:val="0"/>
        <w:numPr>
          <w:ilvl w:val="0"/>
          <w:numId w:val="6"/>
        </w:numPr>
        <w:kinsoku/>
        <w:wordWrap/>
        <w:overflowPunct/>
        <w:topLinePunct w:val="0"/>
        <w:autoSpaceDE/>
        <w:autoSpaceDN/>
        <w:bidi w:val="0"/>
        <w:adjustRightInd/>
        <w:snapToGrid/>
        <w:ind w:left="420" w:leftChars="0" w:hanging="420"/>
        <w:textAlignment w:val="auto"/>
        <w:rPr>
          <w:rFonts w:hint="default"/>
          <w:sz w:val="21"/>
          <w:szCs w:val="15"/>
          <w:highlight w:val="none"/>
          <w:shd w:val="clear" w:color="auto" w:fill="auto"/>
          <w:lang w:val="en-US" w:eastAsia="zh-CN"/>
        </w:rPr>
      </w:pPr>
      <w:r>
        <w:rPr>
          <w:rFonts w:hint="eastAsia"/>
          <w:sz w:val="21"/>
          <w:szCs w:val="15"/>
          <w:highlight w:val="none"/>
          <w:shd w:val="clear" w:color="auto" w:fill="auto"/>
          <w:lang w:val="en-US" w:eastAsia="zh-CN"/>
        </w:rPr>
        <w:t>开标地点：重汽科技大厦（待定）</w:t>
      </w:r>
    </w:p>
    <w:p w14:paraId="22385406">
      <w:pPr>
        <w:pStyle w:val="20"/>
      </w:pPr>
      <w:bookmarkStart w:id="6" w:name="_Toc47976593"/>
      <w:r>
        <w:rPr>
          <w:rFonts w:hint="eastAsia"/>
        </w:rPr>
        <w:t>招标公告发布媒介</w:t>
      </w:r>
      <w:bookmarkEnd w:id="6"/>
    </w:p>
    <w:p w14:paraId="15C59335">
      <w:pPr>
        <w:pStyle w:val="21"/>
        <w:numPr>
          <w:ilvl w:val="0"/>
          <w:numId w:val="0"/>
        </w:numPr>
        <w:ind w:left="1130" w:hanging="420"/>
        <w:rPr>
          <w:rFonts w:hint="eastAsia"/>
          <w:highlight w:val="none"/>
        </w:rPr>
      </w:pPr>
      <w:r>
        <w:rPr>
          <w:rFonts w:hint="eastAsia"/>
          <w:highlight w:val="none"/>
        </w:rPr>
        <w:t>本次招标公告在中国重型汽车集团有限公司官网上发布。</w:t>
      </w:r>
    </w:p>
    <w:p w14:paraId="65FC2213">
      <w:pPr>
        <w:pStyle w:val="20"/>
        <w:rPr>
          <w:highlight w:val="none"/>
        </w:rPr>
      </w:pPr>
      <w:bookmarkStart w:id="7" w:name="_Toc47976594"/>
      <w:r>
        <w:rPr>
          <w:rFonts w:hint="eastAsia"/>
          <w:highlight w:val="none"/>
        </w:rPr>
        <w:t>联系方式</w:t>
      </w:r>
      <w:bookmarkEnd w:id="7"/>
    </w:p>
    <w:p w14:paraId="7A4743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1.</w:t>
      </w:r>
      <w:r>
        <w:rPr>
          <w:rFonts w:hint="eastAsia"/>
          <w:b/>
          <w:bCs/>
        </w:rPr>
        <w:t>商务联系人：袁晖</w:t>
      </w:r>
      <w:r>
        <w:rPr>
          <w:rFonts w:hint="eastAsia"/>
          <w:b/>
          <w:bCs/>
          <w:lang w:val="en-US" w:eastAsia="zh-CN"/>
        </w:rPr>
        <w:t>/15263077646 邮箱yuanhui@sinotruk.com</w:t>
      </w:r>
    </w:p>
    <w:p w14:paraId="3F1D5A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highlight w:val="none"/>
        </w:rPr>
      </w:pPr>
      <w:r>
        <w:rPr>
          <w:rFonts w:hint="eastAsia"/>
          <w:b/>
          <w:bCs/>
          <w:lang w:val="en-US" w:eastAsia="zh-CN"/>
        </w:rPr>
        <w:t>2.</w:t>
      </w:r>
      <w:r>
        <w:rPr>
          <w:rFonts w:hint="eastAsia"/>
          <w:b/>
          <w:bCs/>
        </w:rPr>
        <w:t>技术联系人：</w:t>
      </w:r>
      <w:r>
        <w:rPr>
          <w:rFonts w:hint="eastAsia"/>
          <w:b/>
          <w:bCs/>
          <w:highlight w:val="none"/>
          <w:lang w:val="en-US" w:eastAsia="zh-CN"/>
        </w:rPr>
        <w:t>冯冠国/</w:t>
      </w:r>
      <w:r>
        <w:rPr>
          <w:rFonts w:hint="eastAsia"/>
          <w:b/>
          <w:bCs/>
          <w:highlight w:val="none"/>
        </w:rPr>
        <w:t>15066668583</w:t>
      </w:r>
      <w:r>
        <w:rPr>
          <w:rFonts w:hint="eastAsia"/>
          <w:b/>
          <w:bCs/>
          <w:highlight w:val="none"/>
          <w:lang w:val="en-US" w:eastAsia="zh-CN"/>
        </w:rPr>
        <w:t xml:space="preserve"> </w:t>
      </w:r>
      <w:r>
        <w:rPr>
          <w:rFonts w:hint="eastAsia"/>
          <w:b/>
          <w:bCs/>
          <w:highlight w:val="none"/>
        </w:rPr>
        <w:t>邮箱：</w:t>
      </w:r>
      <w:r>
        <w:rPr>
          <w:rFonts w:hint="eastAsia"/>
          <w:b/>
          <w:bCs/>
          <w:highlight w:val="none"/>
          <w:lang w:val="en-US" w:eastAsia="zh-CN"/>
        </w:rPr>
        <w:t>fengguanguo</w:t>
      </w:r>
      <w:r>
        <w:rPr>
          <w:rFonts w:hint="eastAsia"/>
          <w:b/>
          <w:bCs/>
          <w:highlight w:val="none"/>
        </w:rPr>
        <w:t>@sinotruk.com</w:t>
      </w:r>
    </w:p>
    <w:p w14:paraId="30727383">
      <w:pPr>
        <w:pStyle w:val="20"/>
        <w:bidi w:val="0"/>
        <w:rPr>
          <w:rFonts w:hint="eastAsia"/>
          <w:lang w:val="en-US" w:eastAsia="zh-CN"/>
        </w:rPr>
      </w:pPr>
      <w:r>
        <w:rPr>
          <w:rFonts w:hint="eastAsia"/>
          <w:lang w:val="en-US" w:eastAsia="zh-CN"/>
        </w:rPr>
        <w:t>本次招标最终解释权归中国重汽集团济南动力有限公司。</w:t>
      </w:r>
    </w:p>
    <w:p w14:paraId="10D32A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p>
    <w:p w14:paraId="5F538BD8">
      <w:pPr>
        <w:pStyle w:val="22"/>
      </w:pPr>
    </w:p>
    <w:p w14:paraId="22C6BEDA">
      <w:pPr>
        <w:pStyle w:val="22"/>
        <w:jc w:val="both"/>
        <w:rPr>
          <w:rFonts w:hint="eastAsia"/>
          <w:highlight w:val="cyan"/>
          <w:u w:val="single"/>
          <w:lang w:val="en-US" w:eastAsia="zh-CN"/>
        </w:rPr>
      </w:pPr>
    </w:p>
    <w:p w14:paraId="410F58AB">
      <w:pPr>
        <w:pStyle w:val="22"/>
        <w:ind w:firstLine="6510" w:firstLineChars="3100"/>
        <w:jc w:val="both"/>
        <w:rPr>
          <w:highlight w:val="none"/>
        </w:rPr>
      </w:pPr>
      <w:r>
        <w:rPr>
          <w:rFonts w:hint="eastAsia"/>
          <w:highlight w:val="none"/>
          <w:lang w:val="en-US" w:eastAsia="zh-CN"/>
        </w:rPr>
        <w:t>2025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30</w:t>
      </w:r>
      <w:r>
        <w:rPr>
          <w:rFonts w:hint="eastAsia"/>
          <w:highlight w:val="none"/>
        </w:rPr>
        <w:t>日</w:t>
      </w:r>
    </w:p>
    <w:p w14:paraId="04C96706">
      <w:pPr>
        <w:pStyle w:val="22"/>
      </w:pPr>
    </w:p>
    <w:p w14:paraId="2AC0B6D4">
      <w:pPr>
        <w:pStyle w:val="22"/>
      </w:pPr>
    </w:p>
    <w:p w14:paraId="3F16ECAB">
      <w:pPr>
        <w:pStyle w:val="22"/>
      </w:pPr>
    </w:p>
    <w:p w14:paraId="1EFE663E">
      <w:pPr>
        <w:pStyle w:val="22"/>
      </w:pPr>
    </w:p>
    <w:p w14:paraId="42B4032D">
      <w:pPr>
        <w:pStyle w:val="22"/>
      </w:pPr>
    </w:p>
    <w:p w14:paraId="7E59CD33">
      <w:pPr>
        <w:pStyle w:val="22"/>
      </w:pPr>
    </w:p>
    <w:p w14:paraId="08A75682">
      <w:pPr>
        <w:pStyle w:val="22"/>
      </w:pPr>
    </w:p>
    <w:p w14:paraId="2200B9B8">
      <w:pPr>
        <w:pStyle w:val="22"/>
      </w:pPr>
    </w:p>
    <w:p w14:paraId="3B1AAC4E">
      <w:pPr>
        <w:pStyle w:val="22"/>
      </w:pPr>
    </w:p>
    <w:p w14:paraId="7D1CBDD0">
      <w:pPr>
        <w:pStyle w:val="22"/>
      </w:pPr>
    </w:p>
    <w:p w14:paraId="0D743438">
      <w:pPr>
        <w:pStyle w:val="22"/>
      </w:pPr>
    </w:p>
    <w:p w14:paraId="180EEF12">
      <w:pPr>
        <w:pStyle w:val="22"/>
      </w:pPr>
    </w:p>
    <w:p w14:paraId="7A796F52">
      <w:pPr>
        <w:pStyle w:val="22"/>
      </w:pPr>
    </w:p>
    <w:p w14:paraId="600DE1DD">
      <w:pPr>
        <w:pStyle w:val="19"/>
        <w:jc w:val="left"/>
        <w:rPr>
          <w:rFonts w:hint="eastAsia" w:ascii="宋体" w:hAnsi="宋体" w:eastAsia="宋体" w:cs="宋体"/>
          <w:sz w:val="32"/>
          <w:szCs w:val="32"/>
          <w:highlight w:val="yellow"/>
          <w:lang w:eastAsia="zh-CN"/>
        </w:rPr>
      </w:pPr>
      <w:bookmarkStart w:id="8" w:name="_Toc47976616"/>
      <w:bookmarkStart w:id="9" w:name="_Toc4225"/>
      <w:r>
        <w:rPr>
          <w:rFonts w:hint="eastAsia" w:ascii="宋体" w:hAnsi="宋体" w:eastAsia="宋体" w:cs="宋体"/>
          <w:sz w:val="32"/>
          <w:szCs w:val="32"/>
          <w:highlight w:val="yellow"/>
        </w:rPr>
        <w:t>附件</w:t>
      </w:r>
      <w:bookmarkEnd w:id="8"/>
      <w:bookmarkEnd w:id="9"/>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none"/>
          <w:lang w:val="en-US" w:eastAsia="zh-CN"/>
        </w:rPr>
        <w:t>济南动力</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w:t>
      </w:r>
      <w:r>
        <w:rPr>
          <w:rFonts w:hint="eastAsia" w:ascii="宋体" w:hAnsi="宋体" w:eastAsia="宋体" w:cs="Times New Roman"/>
          <w:color w:val="000000"/>
          <w:sz w:val="24"/>
          <w:szCs w:val="24"/>
          <w:highlight w:val="none"/>
        </w:rPr>
        <w:t>资质证明文件、商务文件。</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bCs/>
          <w:color w:val="000000"/>
          <w:sz w:val="24"/>
          <w:szCs w:val="24"/>
          <w:u w:val="single"/>
          <w:lang w:val="en-US" w:eastAsia="zh-CN"/>
        </w:rPr>
        <w:t>90</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69C6E647">
      <w:pPr>
        <w:pStyle w:val="3"/>
      </w:pPr>
    </w:p>
    <w:p w14:paraId="45091E86">
      <w:pPr>
        <w:pStyle w:val="4"/>
      </w:pPr>
    </w:p>
    <w:p w14:paraId="57006D89">
      <w:pPr>
        <w:pStyle w:val="20"/>
        <w:numPr>
          <w:ilvl w:val="0"/>
          <w:numId w:val="0"/>
        </w:numPr>
        <w:ind w:leftChars="0"/>
        <w:rPr>
          <w:rFonts w:hint="eastAsia" w:ascii="宋体" w:hAnsi="宋体" w:eastAsia="宋体" w:cs="宋体"/>
          <w:sz w:val="32"/>
          <w:szCs w:val="32"/>
          <w:highlight w:val="yellow"/>
          <w:lang w:val="en-US" w:eastAsia="zh-CN"/>
        </w:rPr>
      </w:pPr>
      <w:bookmarkStart w:id="10" w:name="_Toc47976618"/>
      <w:bookmarkStart w:id="11" w:name="_Toc29366869"/>
      <w:bookmarkStart w:id="12" w:name="_Toc29366865"/>
      <w:r>
        <w:rPr>
          <w:rFonts w:hint="eastAsia" w:ascii="宋体" w:hAnsi="宋体" w:eastAsia="宋体" w:cs="宋体"/>
          <w:sz w:val="32"/>
          <w:szCs w:val="32"/>
          <w:highlight w:val="yellow"/>
          <w:lang w:val="en-US" w:eastAsia="zh-CN"/>
        </w:rPr>
        <w:t>附件2</w:t>
      </w:r>
    </w:p>
    <w:bookmarkEnd w:id="1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9"/>
      </w:pPr>
    </w:p>
    <w:p w14:paraId="3A5DEF51">
      <w:pPr>
        <w:spacing w:line="360" w:lineRule="auto"/>
        <w:rPr>
          <w:rFonts w:ascii="宋体" w:hAnsi="宋体" w:cs="宋体"/>
          <w:sz w:val="24"/>
          <w:szCs w:val="21"/>
        </w:rPr>
      </w:pPr>
    </w:p>
    <w:p w14:paraId="6EC04676">
      <w:pPr>
        <w:spacing w:line="360" w:lineRule="auto"/>
        <w:rPr>
          <w:rFonts w:ascii="宋体" w:hAnsi="宋体" w:cs="宋体"/>
          <w:sz w:val="24"/>
          <w:szCs w:val="21"/>
        </w:rPr>
      </w:pPr>
    </w:p>
    <w:bookmarkEnd w:id="11"/>
    <w:bookmarkEnd w:id="12"/>
    <w:p w14:paraId="33174FF7">
      <w:pPr>
        <w:pStyle w:val="20"/>
        <w:numPr>
          <w:ilvl w:val="0"/>
          <w:numId w:val="0"/>
        </w:numPr>
        <w:ind w:leftChars="0"/>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z w:val="32"/>
          <w:szCs w:val="32"/>
          <w:highlight w:val="yellow"/>
          <w:lang w:val="en-US" w:eastAsia="zh-CN"/>
        </w:rPr>
        <w:t>附件3</w:t>
      </w:r>
      <w:r>
        <w:rPr>
          <w:rFonts w:hint="eastAsia" w:ascii="宋体" w:hAnsi="宋体" w:eastAsia="宋体" w:cs="宋体"/>
          <w:spacing w:val="15"/>
          <w:position w:val="3"/>
          <w:sz w:val="32"/>
          <w:szCs w:val="32"/>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32"/>
          <w:szCs w:val="32"/>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32"/>
          <w:szCs w:val="32"/>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32"/>
          <w:szCs w:val="32"/>
          <w14:textOutline w14:w="4356" w14:cap="sq" w14:cmpd="sng" w14:algn="ctr">
            <w14:solidFill>
              <w14:srgbClr w14:val="000000"/>
            </w14:solidFill>
            <w14:prstDash w14:val="solid"/>
            <w14:bevel/>
          </w14:textOutline>
        </w:rPr>
        <w:t>表</w:t>
      </w:r>
      <w:r>
        <w:rPr>
          <w:rFonts w:hint="eastAsia" w:ascii="宋体" w:hAnsi="宋体" w:eastAsia="宋体" w:cs="宋体"/>
          <w:spacing w:val="7"/>
          <w:sz w:val="32"/>
          <w:szCs w:val="32"/>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32"/>
          <w:szCs w:val="32"/>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32"/>
          <w:szCs w:val="32"/>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23"/>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2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23"/>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2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23"/>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2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23"/>
              <w:spacing w:before="111"/>
              <w:ind w:left="509"/>
            </w:pPr>
            <w:r>
              <w:t xml:space="preserve">企业法人代表  </w:t>
            </w:r>
          </w:p>
        </w:tc>
        <w:tc>
          <w:tcPr>
            <w:tcW w:w="4680" w:type="dxa"/>
            <w:gridSpan w:val="4"/>
          </w:tcPr>
          <w:p w14:paraId="19E9CD95">
            <w:pPr>
              <w:pStyle w:val="7"/>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2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23"/>
              <w:spacing w:before="114"/>
              <w:ind w:left="720"/>
            </w:pPr>
            <w:r>
              <w:t xml:space="preserve">品牌区分 </w:t>
            </w:r>
          </w:p>
        </w:tc>
        <w:tc>
          <w:tcPr>
            <w:tcW w:w="7500" w:type="dxa"/>
            <w:gridSpan w:val="6"/>
          </w:tcPr>
          <w:p w14:paraId="6CB73591">
            <w:pPr>
              <w:pStyle w:val="2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23"/>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23"/>
              <w:spacing w:before="15"/>
              <w:ind w:left="279"/>
            </w:pPr>
            <w:r>
              <w:rPr>
                <w:spacing w:val="-2"/>
              </w:rPr>
              <w:t>质量</w:t>
            </w:r>
            <w:r>
              <w:t xml:space="preserve"> </w:t>
            </w:r>
          </w:p>
          <w:p w14:paraId="7E67F972">
            <w:pPr>
              <w:pStyle w:val="23"/>
              <w:spacing w:before="30" w:line="277" w:lineRule="exact"/>
              <w:ind w:left="279"/>
            </w:pPr>
            <w:r>
              <w:rPr>
                <w:rFonts w:hint="eastAsia"/>
              </w:rPr>
              <w:t>体系</w:t>
            </w:r>
          </w:p>
        </w:tc>
        <w:tc>
          <w:tcPr>
            <w:tcW w:w="2820" w:type="dxa"/>
            <w:gridSpan w:val="2"/>
          </w:tcPr>
          <w:p w14:paraId="75D97D6D">
            <w:pPr>
              <w:pStyle w:val="23"/>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23"/>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9"/>
        <w:rPr>
          <w:rFonts w:ascii="Times New Roman" w:hAnsi="Times New Roman" w:eastAsia="宋体" w:cs="Times New Roman"/>
          <w:b/>
          <w:bCs/>
          <w:color w:val="000000"/>
          <w:sz w:val="24"/>
          <w:szCs w:val="24"/>
        </w:rPr>
      </w:pPr>
    </w:p>
    <w:p w14:paraId="0DD430E4">
      <w:pPr>
        <w:pStyle w:val="9"/>
        <w:rPr>
          <w:rFonts w:ascii="Times New Roman" w:hAnsi="Times New Roman" w:eastAsia="宋体" w:cs="Times New Roman"/>
          <w:b/>
          <w:bCs/>
          <w:color w:val="000000"/>
          <w:sz w:val="24"/>
          <w:szCs w:val="24"/>
        </w:rPr>
      </w:pPr>
    </w:p>
    <w:p w14:paraId="206455E0">
      <w:pPr>
        <w:pStyle w:val="9"/>
        <w:rPr>
          <w:rFonts w:ascii="Times New Roman" w:hAnsi="Times New Roman" w:eastAsia="宋体" w:cs="Times New Roman"/>
          <w:b/>
          <w:bCs/>
          <w:color w:val="000000"/>
          <w:sz w:val="24"/>
          <w:szCs w:val="24"/>
        </w:rPr>
      </w:pPr>
    </w:p>
    <w:p w14:paraId="443F2AF2">
      <w:pPr>
        <w:pStyle w:val="9"/>
        <w:rPr>
          <w:rFonts w:ascii="Times New Roman" w:hAnsi="Times New Roman" w:eastAsia="宋体" w:cs="Times New Roman"/>
          <w:b/>
          <w:bCs/>
          <w:color w:val="000000"/>
          <w:sz w:val="24"/>
          <w:szCs w:val="24"/>
        </w:rPr>
      </w:pPr>
    </w:p>
    <w:p w14:paraId="465F6513">
      <w:pPr>
        <w:pStyle w:val="9"/>
        <w:rPr>
          <w:rFonts w:ascii="Times New Roman" w:hAnsi="Times New Roman" w:eastAsia="宋体" w:cs="Times New Roman"/>
          <w:b/>
          <w:bCs/>
          <w:color w:val="000000"/>
          <w:sz w:val="24"/>
          <w:szCs w:val="24"/>
        </w:rPr>
      </w:pPr>
    </w:p>
    <w:p w14:paraId="1B1620C5">
      <w:pPr>
        <w:pStyle w:val="9"/>
        <w:rPr>
          <w:rFonts w:ascii="Times New Roman" w:hAnsi="Times New Roman" w:eastAsia="宋体" w:cs="Times New Roman"/>
          <w:b/>
          <w:bCs/>
          <w:color w:val="000000"/>
          <w:sz w:val="24"/>
          <w:szCs w:val="24"/>
        </w:rPr>
      </w:pPr>
    </w:p>
    <w:p w14:paraId="3AF3DD77">
      <w:pPr>
        <w:pStyle w:val="9"/>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9"/>
        <w:rPr>
          <w:rFonts w:ascii="Times New Roman" w:hAnsi="Times New Roman" w:eastAsia="宋体" w:cs="Times New Roman"/>
          <w:b/>
          <w:bCs/>
          <w:color w:val="000000"/>
          <w:sz w:val="24"/>
          <w:szCs w:val="24"/>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967ED0">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yellow"/>
        </w:rPr>
        <w:t>附件</w:t>
      </w:r>
      <w:r>
        <w:rPr>
          <w:rFonts w:hint="eastAsia" w:ascii="Times New Roman" w:hAnsi="Times New Roman" w:cs="Times New Roman"/>
          <w:b/>
          <w:bCs/>
          <w:color w:val="000000"/>
          <w:sz w:val="24"/>
          <w:szCs w:val="24"/>
          <w:highlight w:val="yellow"/>
          <w:lang w:val="en-US" w:eastAsia="zh-CN"/>
        </w:rPr>
        <w:t>4</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5BFC78E8">
      <w:pPr>
        <w:spacing w:before="75" w:line="227" w:lineRule="auto"/>
        <w:ind w:left="135"/>
        <w:rPr>
          <w:rFonts w:eastAsia="宋体"/>
          <w:sz w:val="24"/>
          <w:szCs w:val="24"/>
        </w:rPr>
        <w:sectPr>
          <w:footerReference r:id="rId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yellow"/>
        </w:rPr>
        <w:t>附件</w:t>
      </w:r>
      <w:r>
        <w:rPr>
          <w:rFonts w:hint="eastAsia" w:ascii="Times New Roman" w:hAnsi="Times New Roman" w:cs="Times New Roman"/>
          <w:b/>
          <w:bCs/>
          <w:color w:val="000000"/>
          <w:sz w:val="24"/>
          <w:szCs w:val="24"/>
          <w:highlight w:val="yellow"/>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0616883">
      <w:pPr>
        <w:spacing w:line="360" w:lineRule="auto"/>
        <w:ind w:firstLine="480" w:firstLineChars="200"/>
        <w:rPr>
          <w:rFonts w:ascii="宋体" w:hAnsi="宋体" w:eastAsia="宋体" w:cs="Times New Roman"/>
          <w:color w:val="000000"/>
          <w:sz w:val="24"/>
          <w:szCs w:val="24"/>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F7233A4">
      <w:pPr>
        <w:pStyle w:val="9"/>
        <w:outlineLvl w:val="2"/>
        <w:rPr>
          <w:rFonts w:hAnsi="宋体" w:eastAsia="宋体" w:cs="宋体"/>
          <w:b/>
          <w:bCs/>
          <w:color w:val="000000"/>
          <w:sz w:val="24"/>
          <w:szCs w:val="24"/>
        </w:rPr>
      </w:pPr>
      <w:r>
        <w:rPr>
          <w:rFonts w:hint="eastAsia" w:hAnsi="宋体" w:eastAsia="宋体" w:cs="宋体"/>
          <w:b/>
          <w:bCs/>
          <w:color w:val="000000"/>
          <w:sz w:val="24"/>
          <w:szCs w:val="24"/>
          <w:highlight w:val="yellow"/>
        </w:rPr>
        <w:t>附件</w:t>
      </w:r>
      <w:r>
        <w:rPr>
          <w:rFonts w:hint="eastAsia" w:hAnsi="宋体" w:cs="宋体"/>
          <w:b/>
          <w:bCs/>
          <w:color w:val="000000"/>
          <w:sz w:val="24"/>
          <w:szCs w:val="24"/>
          <w:highlight w:val="yellow"/>
          <w:lang w:val="en-US" w:eastAsia="zh-CN"/>
        </w:rPr>
        <w:t>6</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7"/>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9"/>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9"/>
      </w:pPr>
    </w:p>
    <w:p w14:paraId="7AAAB53F">
      <w:pPr>
        <w:pStyle w:val="9"/>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w:t>
      </w:r>
      <w:r>
        <w:rPr>
          <w:rFonts w:hint="eastAsia" w:ascii="宋体" w:hAnsi="宋体" w:eastAsia="宋体" w:cs="宋体"/>
          <w:b/>
          <w:bCs/>
          <w:color w:val="000000"/>
          <w:sz w:val="24"/>
          <w:szCs w:val="28"/>
          <w:highlight w:val="none"/>
        </w:rPr>
        <w:t>；</w:t>
      </w:r>
    </w:p>
    <w:p w14:paraId="7A367765">
      <w:pPr>
        <w:pStyle w:val="9"/>
        <w:rPr>
          <w:highlight w:val="cyan"/>
        </w:rPr>
      </w:pPr>
      <w:r>
        <w:rPr>
          <w:rFonts w:hint="eastAsia" w:hAnsi="宋体" w:eastAsia="宋体" w:cs="宋体"/>
          <w:b/>
          <w:bCs/>
          <w:color w:val="000000"/>
          <w:sz w:val="24"/>
          <w:szCs w:val="28"/>
          <w:highlight w:val="none"/>
        </w:rPr>
        <w:t>2.配套能力“供货类别”填“直管单位非生产招标/</w:t>
      </w:r>
      <w:r>
        <w:rPr>
          <w:rFonts w:hint="eastAsia" w:hAnsi="宋体" w:cs="宋体"/>
          <w:b/>
          <w:bCs/>
          <w:color w:val="000000"/>
          <w:sz w:val="24"/>
          <w:szCs w:val="28"/>
          <w:highlight w:val="none"/>
          <w:lang w:val="en-US" w:eastAsia="zh-CN"/>
        </w:rPr>
        <w:t>货物/班车食堂</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none"/>
          <w:lang w:val="en-US" w:eastAsia="zh-CN"/>
        </w:rPr>
        <w:t>保卫保障部</w:t>
      </w:r>
      <w:r>
        <w:rPr>
          <w:rFonts w:hint="eastAsia" w:hAnsi="宋体" w:eastAsia="宋体" w:cs="宋体"/>
          <w:b/>
          <w:bCs/>
          <w:color w:val="000000"/>
          <w:sz w:val="24"/>
          <w:szCs w:val="28"/>
          <w:highlight w:val="none"/>
        </w:rPr>
        <w:t>”。</w:t>
      </w:r>
    </w:p>
    <w:p w14:paraId="33367BCF">
      <w:pPr>
        <w:pStyle w:val="9"/>
        <w:sectPr>
          <w:pgSz w:w="11906" w:h="16838"/>
          <w:pgMar w:top="1588" w:right="1418" w:bottom="1134" w:left="1418" w:header="851" w:footer="992" w:gutter="0"/>
          <w:cols w:space="720" w:num="1"/>
          <w:titlePg/>
          <w:docGrid w:type="lines" w:linePitch="312" w:charSpace="0"/>
        </w:sectPr>
      </w:pPr>
    </w:p>
    <w:p w14:paraId="75321FE7">
      <w:pPr>
        <w:pStyle w:val="9"/>
        <w:outlineLvl w:val="2"/>
        <w:rPr>
          <w:rFonts w:hAnsi="宋体" w:eastAsia="宋体" w:cs="Times New Roman"/>
          <w:b/>
          <w:color w:val="000000"/>
          <w:sz w:val="24"/>
          <w:szCs w:val="24"/>
        </w:rPr>
      </w:pPr>
      <w:r>
        <w:rPr>
          <w:rFonts w:hint="eastAsia" w:hAnsi="宋体" w:eastAsia="宋体" w:cs="宋体"/>
          <w:b/>
          <w:bCs/>
          <w:color w:val="000000"/>
          <w:sz w:val="24"/>
          <w:szCs w:val="24"/>
          <w:highlight w:val="yellow"/>
        </w:rPr>
        <w:t>附件</w:t>
      </w:r>
      <w:r>
        <w:rPr>
          <w:rFonts w:hint="eastAsia" w:hAnsi="宋体" w:cs="宋体"/>
          <w:b/>
          <w:bCs/>
          <w:color w:val="000000"/>
          <w:sz w:val="24"/>
          <w:szCs w:val="24"/>
          <w:highlight w:val="yellow"/>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w:t>
      </w:r>
      <w:r>
        <w:rPr>
          <w:rStyle w:val="16"/>
          <w:rFonts w:hint="eastAsia" w:ascii="宋体" w:hAnsi="宋体" w:eastAsia="宋体" w:cs="宋体"/>
          <w:sz w:val="24"/>
          <w:szCs w:val="24"/>
          <w:lang w:val="en-US" w:eastAsia="zh-CN"/>
        </w:rPr>
        <w:t>s</w:t>
      </w:r>
      <w:r>
        <w:rPr>
          <w:rStyle w:val="16"/>
          <w:rFonts w:hint="eastAsia" w:ascii="宋体" w:hAnsi="宋体" w:eastAsia="宋体" w:cs="宋体"/>
          <w:sz w:val="24"/>
          <w:szCs w:val="24"/>
        </w:rPr>
        <w:t>://ecaitong.sinotruk.com:8012/</w:t>
      </w:r>
      <w:r>
        <w:rPr>
          <w:rStyle w:val="16"/>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9"/>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1BA320C9">
      <w:pPr>
        <w:pStyle w:val="9"/>
        <w:rPr>
          <w:rFonts w:hAnsi="宋体" w:eastAsia="宋体" w:cs="Times New Roman"/>
          <w:b/>
          <w:color w:val="000000"/>
          <w:sz w:val="24"/>
          <w:szCs w:val="24"/>
        </w:rPr>
      </w:pPr>
    </w:p>
    <w:p w14:paraId="380218D1">
      <w:pPr>
        <w:pStyle w:val="9"/>
        <w:rPr>
          <w:rFonts w:hAnsi="宋体" w:eastAsia="宋体" w:cs="Times New Roman"/>
          <w:b/>
          <w:color w:val="000000"/>
          <w:sz w:val="24"/>
          <w:szCs w:val="24"/>
        </w:rPr>
      </w:pPr>
    </w:p>
    <w:p w14:paraId="66308F9E">
      <w:pPr>
        <w:pStyle w:val="22"/>
        <w:rPr>
          <w:rFonts w:hint="default" w:hAnsi="宋体"/>
          <w:sz w:val="24"/>
          <w:lang w:val="en-US"/>
        </w:rPr>
      </w:pPr>
    </w:p>
    <w:p w14:paraId="1487E717">
      <w:pPr>
        <w:pStyle w:val="22"/>
      </w:pPr>
    </w:p>
    <w:p w14:paraId="4BBE139D">
      <w:pPr>
        <w:pStyle w:val="22"/>
      </w:pPr>
    </w:p>
    <w:p w14:paraId="6424F6EE">
      <w:pPr>
        <w:pStyle w:val="22"/>
      </w:pPr>
    </w:p>
    <w:p w14:paraId="39FF82D2">
      <w:pPr>
        <w:pStyle w:val="22"/>
      </w:pPr>
    </w:p>
    <w:p w14:paraId="7F596091">
      <w:pPr>
        <w:pStyle w:val="22"/>
      </w:pPr>
    </w:p>
    <w:p w14:paraId="55E61D6A">
      <w:pPr>
        <w:pStyle w:val="22"/>
      </w:pPr>
    </w:p>
    <w:p w14:paraId="6695B136">
      <w:pPr>
        <w:pStyle w:val="22"/>
      </w:pPr>
    </w:p>
    <w:p w14:paraId="2B3A0B34">
      <w:pPr>
        <w:pStyle w:val="22"/>
      </w:pPr>
    </w:p>
    <w:p w14:paraId="2FE22B29">
      <w:pPr>
        <w:pStyle w:val="2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0"/>
      <w:framePr w:wrap="around" w:vAnchor="text" w:hAnchor="margin" w:xAlign="center" w:y="1"/>
      <w:rPr>
        <w:rStyle w:val="15"/>
      </w:rPr>
    </w:pPr>
    <w:r>
      <w:fldChar w:fldCharType="begin"/>
    </w:r>
    <w:r>
      <w:rPr>
        <w:rStyle w:val="15"/>
      </w:rPr>
      <w:instrText xml:space="preserve">PAGE  </w:instrText>
    </w:r>
    <w:r>
      <w:fldChar w:fldCharType="end"/>
    </w:r>
  </w:p>
  <w:p w14:paraId="7AD47F75">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74D7F">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476D9"/>
    <w:multiLevelType w:val="singleLevel"/>
    <w:tmpl w:val="8D0476D9"/>
    <w:lvl w:ilvl="0" w:tentative="0">
      <w:start w:val="1"/>
      <w:numFmt w:val="decimal"/>
      <w:lvlText w:val="%1."/>
      <w:lvlJc w:val="left"/>
      <w:pPr>
        <w:tabs>
          <w:tab w:val="left" w:pos="312"/>
        </w:tabs>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4CE18DEC"/>
    <w:multiLevelType w:val="singleLevel"/>
    <w:tmpl w:val="4CE18DEC"/>
    <w:lvl w:ilvl="0" w:tentative="0">
      <w:start w:val="1"/>
      <w:numFmt w:val="decimal"/>
      <w:lvlText w:val="%1."/>
      <w:lvlJc w:val="left"/>
      <w:pPr>
        <w:tabs>
          <w:tab w:val="left" w:pos="312"/>
        </w:tabs>
      </w:pPr>
    </w:lvl>
  </w:abstractNum>
  <w:abstractNum w:abstractNumId="3">
    <w:nsid w:val="52CB9FE5"/>
    <w:multiLevelType w:val="singleLevel"/>
    <w:tmpl w:val="52CB9FE5"/>
    <w:lvl w:ilvl="0" w:tentative="0">
      <w:start w:val="1"/>
      <w:numFmt w:val="decimal"/>
      <w:lvlText w:val="%1."/>
      <w:lvlJc w:val="left"/>
      <w:pPr>
        <w:tabs>
          <w:tab w:val="left" w:pos="312"/>
        </w:tabs>
      </w:pPr>
    </w:lvl>
  </w:abstractNum>
  <w:abstractNum w:abstractNumId="4">
    <w:nsid w:val="56D20133"/>
    <w:multiLevelType w:val="multilevel"/>
    <w:tmpl w:val="56D20133"/>
    <w:lvl w:ilvl="0" w:tentative="0">
      <w:start w:val="1"/>
      <w:numFmt w:val="chineseCountingThousand"/>
      <w:pStyle w:val="21"/>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5"/>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96089"/>
    <w:rsid w:val="02BD4D7D"/>
    <w:rsid w:val="07AE4097"/>
    <w:rsid w:val="09280F57"/>
    <w:rsid w:val="09BC4A90"/>
    <w:rsid w:val="09FE6DEC"/>
    <w:rsid w:val="0A5B4F72"/>
    <w:rsid w:val="0E5232CD"/>
    <w:rsid w:val="0F0E7B3C"/>
    <w:rsid w:val="100C7578"/>
    <w:rsid w:val="11D717EA"/>
    <w:rsid w:val="12810624"/>
    <w:rsid w:val="15A01A35"/>
    <w:rsid w:val="162561E4"/>
    <w:rsid w:val="17901E38"/>
    <w:rsid w:val="220A23E4"/>
    <w:rsid w:val="221943D6"/>
    <w:rsid w:val="243770B4"/>
    <w:rsid w:val="25AD37B3"/>
    <w:rsid w:val="2987256D"/>
    <w:rsid w:val="2C354B93"/>
    <w:rsid w:val="30CE50EB"/>
    <w:rsid w:val="320171A9"/>
    <w:rsid w:val="331D35FA"/>
    <w:rsid w:val="33451189"/>
    <w:rsid w:val="346C4839"/>
    <w:rsid w:val="39C742BF"/>
    <w:rsid w:val="3D37175C"/>
    <w:rsid w:val="3E047890"/>
    <w:rsid w:val="3E07730F"/>
    <w:rsid w:val="3FF83C07"/>
    <w:rsid w:val="42254279"/>
    <w:rsid w:val="43B458B4"/>
    <w:rsid w:val="445D7CFA"/>
    <w:rsid w:val="46717A8D"/>
    <w:rsid w:val="467F664E"/>
    <w:rsid w:val="46D325FD"/>
    <w:rsid w:val="47665118"/>
    <w:rsid w:val="48822425"/>
    <w:rsid w:val="4A4F3011"/>
    <w:rsid w:val="4D8B1D7C"/>
    <w:rsid w:val="4D8C1650"/>
    <w:rsid w:val="4DCB3F26"/>
    <w:rsid w:val="4F5B00B0"/>
    <w:rsid w:val="52120376"/>
    <w:rsid w:val="5A1804F3"/>
    <w:rsid w:val="5CB0012E"/>
    <w:rsid w:val="5DD22E43"/>
    <w:rsid w:val="5EC56770"/>
    <w:rsid w:val="60B21205"/>
    <w:rsid w:val="659770B8"/>
    <w:rsid w:val="6954706E"/>
    <w:rsid w:val="69857B04"/>
    <w:rsid w:val="69E72CD3"/>
    <w:rsid w:val="6ADC37BF"/>
    <w:rsid w:val="6D943EDD"/>
    <w:rsid w:val="6DFB5D0A"/>
    <w:rsid w:val="6FA67EF8"/>
    <w:rsid w:val="708741CD"/>
    <w:rsid w:val="73DC213A"/>
    <w:rsid w:val="74CA6436"/>
    <w:rsid w:val="79C9495F"/>
    <w:rsid w:val="7BC462D5"/>
    <w:rsid w:val="7BE41208"/>
    <w:rsid w:val="7CBB319E"/>
    <w:rsid w:val="7D092315"/>
    <w:rsid w:val="7E71751A"/>
    <w:rsid w:val="7EF85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semiHidden/>
    <w:qFormat/>
    <w:uiPriority w:val="0"/>
    <w:pPr>
      <w:keepNext/>
      <w:keepLines/>
      <w:spacing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正文格式"/>
    <w:basedOn w:val="3"/>
    <w:qFormat/>
    <w:uiPriority w:val="0"/>
    <w:pPr>
      <w:widowControl/>
      <w:adjustRightInd w:val="0"/>
      <w:snapToGrid w:val="0"/>
      <w:spacing w:line="400" w:lineRule="atLeast"/>
      <w:ind w:firstLine="482"/>
      <w:textAlignment w:val="baseline"/>
    </w:pPr>
    <w:rPr>
      <w:rFonts w:ascii="Times New Roman" w:hAnsi="Times New Roman" w:eastAsia="宋体" w:cs="Times New Roman"/>
      <w:kern w:val="0"/>
      <w:sz w:val="24"/>
    </w:rPr>
  </w:style>
  <w:style w:type="paragraph" w:styleId="3">
    <w:name w:val="Body Text"/>
    <w:basedOn w:val="1"/>
    <w:next w:val="4"/>
    <w:semiHidden/>
    <w:qFormat/>
    <w:uiPriority w:val="98"/>
    <w:rPr>
      <w:rFonts w:ascii="仿宋_GB2312" w:eastAsia="仿宋_GB2312"/>
      <w:sz w:val="32"/>
    </w:rPr>
  </w:style>
  <w:style w:type="paragraph" w:styleId="4">
    <w:name w:val="Normal Indent"/>
    <w:basedOn w:val="1"/>
    <w:next w:val="1"/>
    <w:qFormat/>
    <w:uiPriority w:val="0"/>
    <w:pPr>
      <w:widowControl/>
      <w:spacing w:before="100" w:beforeAutospacing="1" w:after="100" w:afterAutospacing="1"/>
      <w:jc w:val="left"/>
    </w:pPr>
    <w:rPr>
      <w:rFonts w:ascii="宋体" w:hAnsi="宋体" w:cs="宋体"/>
      <w:kern w:val="0"/>
      <w:sz w:val="24"/>
    </w:rPr>
  </w:style>
  <w:style w:type="paragraph" w:styleId="8">
    <w:name w:val="Body Text Indent"/>
    <w:basedOn w:val="1"/>
    <w:semiHidden/>
    <w:qFormat/>
    <w:uiPriority w:val="0"/>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semiHidden/>
    <w:qFormat/>
    <w:uiPriority w:val="0"/>
    <w:pPr>
      <w:tabs>
        <w:tab w:val="center" w:pos="4153"/>
        <w:tab w:val="right" w:pos="8306"/>
      </w:tabs>
      <w:snapToGrid w:val="0"/>
      <w:jc w:val="left"/>
    </w:pPr>
    <w:rPr>
      <w:sz w:val="18"/>
      <w:szCs w:val="18"/>
    </w:rPr>
  </w:style>
  <w:style w:type="paragraph" w:styleId="1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character" w:styleId="15">
    <w:name w:val="page number"/>
    <w:basedOn w:val="14"/>
    <w:semiHidden/>
    <w:qFormat/>
    <w:uiPriority w:val="0"/>
  </w:style>
  <w:style w:type="character" w:styleId="16">
    <w:name w:val="Hyperlink"/>
    <w:basedOn w:val="14"/>
    <w:qFormat/>
    <w:uiPriority w:val="99"/>
    <w:rPr>
      <w:rFonts w:cs="Times New Roman"/>
      <w:color w:val="1F4F88"/>
      <w:u w:val="none"/>
    </w:rPr>
  </w:style>
  <w:style w:type="paragraph" w:customStyle="1" w:styleId="17">
    <w:name w:val="表格"/>
    <w:basedOn w:val="1"/>
    <w:qFormat/>
    <w:uiPriority w:val="10"/>
    <w:rPr>
      <w:rFonts w:ascii="宋体" w:hAnsi="宋体"/>
      <w:szCs w:val="30"/>
    </w:rPr>
  </w:style>
  <w:style w:type="paragraph" w:customStyle="1" w:styleId="1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19">
    <w:name w:val="章节"/>
    <w:basedOn w:val="9"/>
    <w:qFormat/>
    <w:uiPriority w:val="0"/>
    <w:pPr>
      <w:spacing w:line="360" w:lineRule="auto"/>
      <w:jc w:val="center"/>
      <w:outlineLvl w:val="0"/>
    </w:pPr>
    <w:rPr>
      <w:rFonts w:ascii="黑体" w:eastAsia="黑体"/>
      <w:b/>
      <w:bCs/>
      <w:sz w:val="36"/>
      <w:szCs w:val="36"/>
    </w:rPr>
  </w:style>
  <w:style w:type="paragraph" w:customStyle="1" w:styleId="20">
    <w:name w:val="一级标题"/>
    <w:basedOn w:val="9"/>
    <w:qFormat/>
    <w:uiPriority w:val="1"/>
    <w:pPr>
      <w:numPr>
        <w:ilvl w:val="0"/>
        <w:numId w:val="1"/>
      </w:numPr>
      <w:spacing w:line="360" w:lineRule="auto"/>
      <w:ind w:left="420"/>
      <w:outlineLvl w:val="1"/>
    </w:pPr>
    <w:rPr>
      <w:rFonts w:ascii="黑体" w:eastAsia="黑体"/>
      <w:b/>
      <w:bCs/>
      <w:sz w:val="28"/>
    </w:rPr>
  </w:style>
  <w:style w:type="paragraph" w:customStyle="1" w:styleId="21">
    <w:name w:val="（二）级标题"/>
    <w:basedOn w:val="9"/>
    <w:qFormat/>
    <w:uiPriority w:val="2"/>
    <w:pPr>
      <w:numPr>
        <w:ilvl w:val="0"/>
        <w:numId w:val="2"/>
      </w:numPr>
      <w:spacing w:line="360" w:lineRule="auto"/>
      <w:outlineLvl w:val="2"/>
    </w:pPr>
    <w:rPr>
      <w:b/>
    </w:rPr>
  </w:style>
  <w:style w:type="paragraph" w:customStyle="1" w:styleId="22">
    <w:name w:val="标书正文"/>
    <w:basedOn w:val="9"/>
    <w:qFormat/>
    <w:uiPriority w:val="9"/>
    <w:pPr>
      <w:spacing w:line="360" w:lineRule="auto"/>
      <w:jc w:val="left"/>
    </w:pPr>
  </w:style>
  <w:style w:type="paragraph" w:customStyle="1" w:styleId="23">
    <w:name w:val="Table Paragraph"/>
    <w:basedOn w:val="1"/>
    <w:qFormat/>
    <w:uiPriority w:val="1"/>
    <w:rPr>
      <w:rFonts w:ascii="宋体" w:hAnsi="宋体" w:eastAsia="宋体" w:cs="宋体"/>
    </w:rPr>
  </w:style>
  <w:style w:type="table" w:customStyle="1" w:styleId="2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3671</Words>
  <Characters>3963</Characters>
  <Lines>0</Lines>
  <Paragraphs>0</Paragraphs>
  <TotalTime>11</TotalTime>
  <ScaleCrop>false</ScaleCrop>
  <LinksUpToDate>false</LinksUpToDate>
  <CharactersWithSpaces>5628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2025-09-24T14:44:00Z</dcterms:created>
  <dc:creator>Lenovo</dc:creator>
  <cp:lastModifiedBy>wosyh</cp:lastModifiedBy>
  <dcterms:modified xsi:type="dcterms:W3CDTF">2025-09-30T06:43:51Z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eyJoZGlkIjoiNDE1M2QwOGQyZTlkOTk1YTk3ZGYwNjRmMTMwNWQ1MjEiLCJ1c2VySWQiOiIyOTIxNzE2NzgifQ==</vt:lpwstr>
  </property>
  <property fmtid="{D5CDD505-2E9C-101B-9397-08002B2CF9AE}" pid="4" name="ICV">
    <vt:lpwstr>4BF84726E8BE486A9ABBEDA374F985A9_12</vt:lpwstr>
  </property>
</Properties>
</file>