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5"/>
        <w:rPr>
          <w:rFonts w:hint="eastAsia"/>
        </w:rPr>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hint="eastAsia" w:ascii="宋体" w:hAnsi="宋体"/>
          <w:sz w:val="48"/>
          <w:szCs w:val="48"/>
        </w:rPr>
      </w:pPr>
    </w:p>
    <w:p>
      <w:pPr>
        <w:ind w:right="280"/>
        <w:jc w:val="center"/>
        <w:rPr>
          <w:rFonts w:hint="eastAsia" w:ascii="宋体" w:hAnsi="宋体"/>
          <w:sz w:val="48"/>
          <w:szCs w:val="48"/>
        </w:rPr>
      </w:pPr>
    </w:p>
    <w:p>
      <w:pPr>
        <w:ind w:right="280"/>
        <w:jc w:val="center"/>
        <w:rPr>
          <w:rFonts w:hint="eastAsia" w:ascii="宋体" w:hAnsi="宋体"/>
          <w:sz w:val="48"/>
          <w:szCs w:val="48"/>
        </w:rPr>
      </w:pPr>
    </w:p>
    <w:p>
      <w:pPr>
        <w:ind w:right="280"/>
        <w:jc w:val="both"/>
        <w:rPr>
          <w:rFonts w:hint="eastAsia" w:ascii="楷体_GB2312" w:hAnsi="宋体" w:eastAsia="楷体_GB2312"/>
          <w:sz w:val="52"/>
          <w:szCs w:val="52"/>
        </w:rPr>
      </w:pPr>
    </w:p>
    <w:p>
      <w:pPr>
        <w:ind w:right="280"/>
        <w:jc w:val="center"/>
        <w:rPr>
          <w:rFonts w:hint="eastAsia" w:eastAsia="宋体"/>
          <w:sz w:val="28"/>
          <w:szCs w:val="28"/>
          <w:lang w:eastAsia="zh-CN"/>
        </w:rPr>
      </w:pPr>
      <w:r>
        <w:rPr>
          <w:rFonts w:hint="eastAsia" w:ascii="楷体_GB2312" w:hAnsi="宋体" w:eastAsia="楷体_GB2312"/>
          <w:sz w:val="52"/>
          <w:szCs w:val="52"/>
          <w:lang w:eastAsia="zh-CN"/>
        </w:rPr>
        <w:t>2025年重汽集团Hiwork存储扩容项目</w:t>
      </w:r>
    </w:p>
    <w:p>
      <w:pPr>
        <w:jc w:val="center"/>
        <w:rPr>
          <w:rFonts w:hint="eastAsia" w:ascii="宋体" w:hAnsi="宋体" w:cs="宋体"/>
          <w:sz w:val="72"/>
          <w:szCs w:val="72"/>
        </w:rPr>
      </w:pPr>
      <w:r>
        <w:rPr>
          <w:rFonts w:hint="eastAsia" w:ascii="宋体" w:hAnsi="宋体" w:cs="宋体"/>
          <w:sz w:val="72"/>
          <w:szCs w:val="72"/>
        </w:rPr>
        <w:t>招标文件</w:t>
      </w:r>
    </w:p>
    <w:p>
      <w:pPr>
        <w:jc w:val="center"/>
        <w:rPr>
          <w:rFonts w:hint="eastAsia" w:ascii="宋体" w:hAnsi="宋体"/>
          <w:sz w:val="48"/>
          <w:szCs w:val="48"/>
        </w:rPr>
      </w:pPr>
    </w:p>
    <w:p>
      <w:pPr>
        <w:jc w:val="center"/>
        <w:rPr>
          <w:rFonts w:hint="eastAsia" w:ascii="宋体" w:hAnsi="宋体"/>
          <w:sz w:val="48"/>
          <w:szCs w:val="48"/>
        </w:rPr>
      </w:pPr>
    </w:p>
    <w:p>
      <w:pPr>
        <w:widowControl/>
        <w:spacing w:line="300" w:lineRule="atLeast"/>
        <w:jc w:val="center"/>
        <w:rPr>
          <w:rFonts w:hint="eastAsia" w:ascii="Helvetica" w:hAnsi="Helvetica" w:cs="宋体"/>
          <w:kern w:val="0"/>
          <w:szCs w:val="21"/>
        </w:rPr>
      </w:pPr>
      <w:r>
        <w:rPr>
          <w:rFonts w:hint="eastAsia" w:ascii="宋体" w:hAnsi="宋体" w:cs="宋体"/>
          <w:b/>
          <w:bCs/>
          <w:kern w:val="0"/>
          <w:sz w:val="32"/>
          <w:szCs w:val="32"/>
        </w:rPr>
        <w:t>项目编号：</w:t>
      </w:r>
      <w:r>
        <w:rPr>
          <w:rFonts w:hint="eastAsia" w:ascii="宋体" w:hAnsi="宋体" w:cs="宋体"/>
          <w:b/>
          <w:bCs/>
          <w:kern w:val="0"/>
          <w:sz w:val="32"/>
          <w:szCs w:val="32"/>
          <w:highlight w:val="yellow"/>
          <w:u w:val="single"/>
        </w:rPr>
        <w:t>FSCZB2025090131</w:t>
      </w:r>
    </w:p>
    <w:p>
      <w:pPr>
        <w:jc w:val="center"/>
        <w:rPr>
          <w:rFonts w:hint="eastAsia" w:ascii="宋体" w:hAnsi="宋体"/>
          <w:sz w:val="48"/>
          <w:szCs w:val="48"/>
        </w:rPr>
      </w:pPr>
    </w:p>
    <w:p>
      <w:pPr>
        <w:jc w:val="center"/>
        <w:rPr>
          <w:rFonts w:hint="eastAsia" w:ascii="宋体" w:hAnsi="宋体"/>
          <w:sz w:val="48"/>
          <w:szCs w:val="4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rPr>
        <w:t>济南动力</w:t>
      </w:r>
      <w:r>
        <w:rPr>
          <w:rFonts w:hint="eastAsia" w:ascii="宋体" w:hAnsi="宋体"/>
          <w:sz w:val="28"/>
          <w:szCs w:val="28"/>
        </w:rPr>
        <w:t>有限公司</w:t>
      </w:r>
    </w:p>
    <w:p>
      <w:pPr>
        <w:jc w:val="center"/>
        <w:rPr>
          <w:rFonts w:hint="eastAsia" w:ascii="宋体" w:hAnsi="宋体"/>
          <w:sz w:val="28"/>
          <w:szCs w:val="28"/>
        </w:rPr>
      </w:pPr>
    </w:p>
    <w:p>
      <w:pPr>
        <w:jc w:val="center"/>
        <w:rPr>
          <w:rFonts w:hint="eastAsia" w:ascii="宋体" w:hAnsi="宋体"/>
          <w:sz w:val="28"/>
          <w:szCs w:val="28"/>
          <w:u w:val="single"/>
        </w:rPr>
      </w:pPr>
      <w:r>
        <w:rPr>
          <w:rFonts w:hint="eastAsia" w:ascii="宋体" w:hAnsi="宋体"/>
          <w:sz w:val="28"/>
          <w:szCs w:val="28"/>
          <w:u w:val="single"/>
        </w:rPr>
        <w:t>2025年9月</w:t>
      </w:r>
    </w:p>
    <w:p>
      <w:pPr>
        <w:spacing w:line="480" w:lineRule="auto"/>
        <w:jc w:val="center"/>
        <w:rPr>
          <w:rFonts w:hint="eastAsia"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pPr>
            <w:pStyle w:val="69"/>
            <w:jc w:val="center"/>
            <w:rPr>
              <w:rFonts w:hint="eastAsia"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21"/>
            <w:tabs>
              <w:tab w:val="right" w:leader="middleDot" w:pos="9070"/>
              <w:tab w:val="clear" w:pos="8729"/>
            </w:tabs>
            <w:rPr>
              <w:rFonts w:hint="eastAsia"/>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"_Toc7104" </w:instrText>
          </w:r>
          <w:r>
            <w:fldChar w:fldCharType="separate"/>
          </w:r>
          <w:r>
            <w:rPr>
              <w:rFonts w:hint="eastAsia"/>
            </w:rPr>
            <w:t>招标公告（适用于公开招标）</w:t>
          </w:r>
          <w:r>
            <w:tab/>
          </w:r>
          <w:r>
            <w:fldChar w:fldCharType="begin"/>
          </w:r>
          <w:r>
            <w:instrText xml:space="preserve"> PAGEREF _Toc7104 \h </w:instrText>
          </w:r>
          <w:r>
            <w:fldChar w:fldCharType="separate"/>
          </w:r>
          <w:r>
            <w:t>- 1 -</w:t>
          </w:r>
          <w:r>
            <w:fldChar w:fldCharType="end"/>
          </w:r>
          <w:r>
            <w:fldChar w:fldCharType="end"/>
          </w:r>
        </w:p>
        <w:p>
          <w:pPr>
            <w:pStyle w:val="21"/>
            <w:tabs>
              <w:tab w:val="right" w:leader="middleDot" w:pos="9070"/>
              <w:tab w:val="clear" w:pos="8729"/>
            </w:tabs>
            <w:rPr>
              <w:rFonts w:hint="eastAsia"/>
            </w:rPr>
          </w:pPr>
          <w:r>
            <w:fldChar w:fldCharType="begin"/>
          </w:r>
          <w:r>
            <w:instrText xml:space="preserve"> HYPERLINK \l "_Toc7753" </w:instrText>
          </w:r>
          <w: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fldChar w:fldCharType="end"/>
          </w:r>
        </w:p>
        <w:p>
          <w:pPr>
            <w:pStyle w:val="21"/>
            <w:tabs>
              <w:tab w:val="right" w:leader="middleDot" w:pos="9070"/>
              <w:tab w:val="clear" w:pos="8729"/>
            </w:tabs>
            <w:rPr>
              <w:rFonts w:hint="eastAsia"/>
            </w:rPr>
          </w:pPr>
          <w:r>
            <w:fldChar w:fldCharType="begin"/>
          </w:r>
          <w:r>
            <w:instrText xml:space="preserve"> HYPERLINK \l "_Toc1910" </w:instrText>
          </w:r>
          <w:r>
            <w:fldChar w:fldCharType="separate"/>
          </w:r>
          <w:r>
            <w:rPr>
              <w:rFonts w:hint="eastAsia"/>
            </w:rPr>
            <w:t>第二部分　技术标书</w:t>
          </w:r>
          <w:r>
            <w:tab/>
          </w:r>
          <w:r>
            <w:fldChar w:fldCharType="begin"/>
          </w:r>
          <w:r>
            <w:instrText xml:space="preserve"> PAGEREF _Toc1910 \h </w:instrText>
          </w:r>
          <w:r>
            <w:fldChar w:fldCharType="separate"/>
          </w:r>
          <w:r>
            <w:t>- 8 -</w:t>
          </w:r>
          <w:r>
            <w:fldChar w:fldCharType="end"/>
          </w:r>
          <w:r>
            <w:fldChar w:fldCharType="end"/>
          </w:r>
        </w:p>
        <w:p>
          <w:pPr>
            <w:pStyle w:val="21"/>
            <w:tabs>
              <w:tab w:val="right" w:leader="middleDot" w:pos="9070"/>
              <w:tab w:val="clear" w:pos="8729"/>
            </w:tabs>
            <w:rPr>
              <w:rFonts w:hint="eastAsia"/>
            </w:rPr>
          </w:pPr>
          <w:r>
            <w:fldChar w:fldCharType="begin"/>
          </w:r>
          <w:r>
            <w:instrText xml:space="preserve"> HYPERLINK \l "_Toc20595" </w:instrText>
          </w:r>
          <w: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fldChar w:fldCharType="end"/>
          </w:r>
        </w:p>
        <w:p>
          <w:pPr>
            <w:pStyle w:val="21"/>
            <w:tabs>
              <w:tab w:val="right" w:leader="middleDot" w:pos="9070"/>
              <w:tab w:val="clear" w:pos="8729"/>
            </w:tabs>
            <w:rPr>
              <w:rFonts w:hint="eastAsia"/>
            </w:rPr>
          </w:pPr>
          <w:r>
            <w:fldChar w:fldCharType="begin"/>
          </w:r>
          <w:r>
            <w:instrText xml:space="preserve"> HYPERLINK \l "_Toc5925" </w:instrText>
          </w:r>
          <w:r>
            <w:fldChar w:fldCharType="separate"/>
          </w:r>
          <w:r>
            <w:rPr>
              <w:rFonts w:hint="eastAsia"/>
            </w:rPr>
            <w:t>第四部分　投标文件附件</w:t>
          </w:r>
          <w:r>
            <w:tab/>
          </w:r>
          <w:r>
            <w:fldChar w:fldCharType="begin"/>
          </w:r>
          <w:r>
            <w:instrText xml:space="preserve"> PAGEREF _Toc5925 \h </w:instrText>
          </w:r>
          <w:r>
            <w:fldChar w:fldCharType="separate"/>
          </w:r>
          <w:r>
            <w:t>- 9 -</w:t>
          </w:r>
          <w:r>
            <w:fldChar w:fldCharType="end"/>
          </w:r>
          <w:r>
            <w:fldChar w:fldCharType="end"/>
          </w:r>
        </w:p>
        <w:p>
          <w:pPr>
            <w:pStyle w:val="21"/>
            <w:rPr>
              <w:rFonts w:hint="eastAsia"/>
            </w:rPr>
          </w:pPr>
          <w:r>
            <w:rPr>
              <w:rFonts w:hint="eastAsia" w:ascii="Calibri" w:hAnsi="Calibri"/>
              <w:bCs/>
              <w:kern w:val="44"/>
              <w:szCs w:val="44"/>
            </w:rPr>
            <w:fldChar w:fldCharType="end"/>
          </w:r>
        </w:p>
      </w:sdtContent>
    </w:sdt>
    <w:p>
      <w:pPr>
        <w:pStyle w:val="2"/>
        <w:tabs>
          <w:tab w:val="left" w:pos="2940"/>
        </w:tabs>
        <w:spacing w:line="360" w:lineRule="auto"/>
      </w:pPr>
      <w:r>
        <w:tab/>
      </w:r>
    </w:p>
    <w:p>
      <w:pPr>
        <w:pStyle w:val="2"/>
        <w:spacing w:line="360" w:lineRule="auto"/>
        <w:rPr>
          <w:rFonts w:hint="eastAsia"/>
        </w:rPr>
        <w:sectPr>
          <w:pgSz w:w="11906" w:h="16838"/>
          <w:pgMar w:top="1701" w:right="1418" w:bottom="1134" w:left="1418" w:header="851" w:footer="992" w:gutter="0"/>
          <w:pgNumType w:fmt="numberInDash" w:start="1"/>
          <w:cols w:space="720" w:num="1"/>
          <w:titlePg/>
          <w:docGrid w:type="lines" w:linePitch="312" w:charSpace="0"/>
        </w:sectPr>
      </w:pPr>
    </w:p>
    <w:p>
      <w:pPr>
        <w:pStyle w:val="77"/>
        <w:rPr>
          <w:rFonts w:hint="eastAsia"/>
        </w:rPr>
      </w:pPr>
    </w:p>
    <w:p>
      <w:pPr>
        <w:pStyle w:val="72"/>
      </w:pPr>
      <w:bookmarkStart w:id="0" w:name="_Toc47976595"/>
      <w:bookmarkStart w:id="1" w:name="_Toc7753"/>
      <w:r>
        <w:rPr>
          <w:rFonts w:hint="eastAsia"/>
        </w:rPr>
        <w:t>第一部分  投标人须知</w:t>
      </w:r>
      <w:bookmarkEnd w:id="0"/>
      <w:bookmarkEnd w:id="1"/>
    </w:p>
    <w:p>
      <w:pPr>
        <w:pStyle w:val="73"/>
        <w:numPr>
          <w:ilvl w:val="0"/>
          <w:numId w:val="9"/>
        </w:numPr>
        <w:ind w:left="420"/>
        <w:jc w:val="left"/>
      </w:pPr>
      <w:bookmarkStart w:id="2" w:name="_Toc47976596"/>
      <w:r>
        <w:rPr>
          <w:rFonts w:hint="eastAsia"/>
        </w:rPr>
        <w:t>项目介绍</w:t>
      </w:r>
      <w:bookmarkEnd w:id="2"/>
    </w:p>
    <w:p>
      <w:pPr>
        <w:pStyle w:val="77"/>
        <w:numPr>
          <w:ilvl w:val="0"/>
          <w:numId w:val="10"/>
        </w:numPr>
      </w:pPr>
      <w:r>
        <w:rPr>
          <w:rFonts w:hint="eastAsia"/>
        </w:rPr>
        <w:t>项目名称：</w:t>
      </w:r>
      <w:r>
        <w:rPr>
          <w:rFonts w:hint="eastAsia"/>
          <w:highlight w:val="yellow"/>
          <w:lang w:eastAsia="zh-CN"/>
        </w:rPr>
        <w:t>2025年重汽集团Hiwork存储扩容项目</w:t>
      </w:r>
    </w:p>
    <w:p>
      <w:pPr>
        <w:pStyle w:val="77"/>
        <w:numPr>
          <w:ilvl w:val="0"/>
          <w:numId w:val="0"/>
        </w:numPr>
        <w:ind w:leftChars="0" w:firstLine="420" w:firstLineChars="200"/>
      </w:pPr>
      <w:r>
        <w:rPr>
          <w:rFonts w:hint="eastAsia"/>
        </w:rPr>
        <w:t>项目编号：</w:t>
      </w:r>
      <w:r>
        <w:rPr>
          <w:rFonts w:hint="eastAsia"/>
          <w:highlight w:val="yellow"/>
        </w:rPr>
        <w:t>FSCZB2025090131</w:t>
      </w:r>
    </w:p>
    <w:p>
      <w:pPr>
        <w:pStyle w:val="77"/>
        <w:numPr>
          <w:ilvl w:val="0"/>
          <w:numId w:val="10"/>
        </w:numPr>
      </w:pPr>
      <w:r>
        <w:rPr>
          <w:rFonts w:hint="eastAsia"/>
        </w:rPr>
        <w:t>招标形式：</w:t>
      </w:r>
      <w:bookmarkStart w:id="3" w:name="_Toc47112482"/>
      <w:r>
        <w:rPr>
          <w:rFonts w:hint="eastAsia"/>
          <w:highlight w:val="yellow"/>
          <w:lang w:val="en-US" w:eastAsia="zh-CN"/>
        </w:rPr>
        <w:t>单一来源</w:t>
      </w:r>
    </w:p>
    <w:p>
      <w:pPr>
        <w:pStyle w:val="77"/>
        <w:numPr>
          <w:ilvl w:val="0"/>
          <w:numId w:val="10"/>
        </w:numPr>
      </w:pPr>
      <w:r>
        <w:rPr>
          <w:rFonts w:hint="eastAsia"/>
        </w:rPr>
        <w:t>项目概况：</w:t>
      </w:r>
      <w:r>
        <w:rPr>
          <w:rFonts w:hint="eastAsia"/>
          <w:highlight w:val="yellow"/>
          <w:lang w:val="en-US" w:eastAsia="zh-CN"/>
        </w:rPr>
        <w:t>新增一台阿里Hiwork原厂专属存储，容量96T,对重汽集团Hiwork系统存储集群进行扩容</w:t>
      </w:r>
      <w:r>
        <w:rPr>
          <w:rFonts w:hint="eastAsia" w:hAnsi="Courier New"/>
          <w:highlight w:val="yellow"/>
          <w:lang w:val="en-US" w:eastAsia="zh-CN"/>
        </w:rPr>
        <w:t>。</w:t>
      </w:r>
    </w:p>
    <w:p>
      <w:pPr>
        <w:pStyle w:val="77"/>
        <w:numPr>
          <w:ilvl w:val="0"/>
          <w:numId w:val="10"/>
        </w:numPr>
      </w:pPr>
      <w:r>
        <w:rPr>
          <w:rFonts w:hint="eastAsia"/>
        </w:rPr>
        <w:t>招标内容具体要求详见《技术标书》。</w:t>
      </w:r>
    </w:p>
    <w:p>
      <w:pPr>
        <w:pStyle w:val="77"/>
        <w:numPr>
          <w:ilvl w:val="0"/>
          <w:numId w:val="10"/>
        </w:numPr>
      </w:pPr>
      <w:r>
        <w:rPr>
          <w:rFonts w:hint="eastAsia"/>
        </w:rPr>
        <w:t>报价：</w:t>
      </w:r>
      <w:r>
        <w:rPr>
          <w:rFonts w:hint="eastAsia" w:ascii="仿宋_GB2312" w:hAnsi="仿宋_GB2312" w:eastAsia="仿宋_GB2312" w:cs="仿宋_GB2312"/>
          <w:sz w:val="24"/>
          <w:szCs w:val="24"/>
        </w:rPr>
        <w:t>如需要，由</w:t>
      </w:r>
      <w:r>
        <w:rPr>
          <w:rFonts w:hint="eastAsia" w:ascii="仿宋_GB2312" w:hAnsi="仿宋_GB2312" w:eastAsia="仿宋_GB2312" w:cs="仿宋_GB2312"/>
          <w:color w:val="000000"/>
          <w:sz w:val="24"/>
          <w:szCs w:val="24"/>
        </w:rPr>
        <w:t>投标人自行勘察现场，进行合理报价。投标总报价应包括设备费、原厂服务费及相关配件、随机资料、保险、税费、运杂、安装调试、与其他专业配合</w:t>
      </w:r>
      <w:r>
        <w:rPr>
          <w:rFonts w:hint="eastAsia" w:ascii="仿宋_GB2312" w:hAnsi="仿宋_GB2312" w:eastAsia="仿宋_GB2312" w:cs="仿宋_GB2312"/>
          <w:color w:val="000000"/>
          <w:sz w:val="24"/>
          <w:szCs w:val="24"/>
          <w:lang w:eastAsia="zh-CN"/>
        </w:rPr>
        <w:t>（如收口收边等）、配合办理政府验收手续（不限质监验收、消防验收、环评及职业卫生评价、安全评价等）</w:t>
      </w:r>
      <w:r>
        <w:rPr>
          <w:rFonts w:hint="eastAsia" w:ascii="仿宋_GB2312" w:hAnsi="仿宋_GB2312" w:eastAsia="仿宋_GB2312" w:cs="仿宋_GB2312"/>
          <w:color w:val="000000"/>
          <w:sz w:val="24"/>
          <w:szCs w:val="24"/>
        </w:rPr>
        <w:t>及可预见的风险以及其它不可预见等全部费用。</w:t>
      </w:r>
      <w:r>
        <w:rPr>
          <w:rFonts w:hint="eastAsia"/>
          <w:b/>
          <w:bCs/>
          <w:color w:val="FF0000"/>
          <w:highlight w:val="yellow"/>
        </w:rPr>
        <w:t>报价应包含币种、不含税金额、税率及价税合计金额</w:t>
      </w:r>
    </w:p>
    <w:p>
      <w:pPr>
        <w:pStyle w:val="77"/>
        <w:numPr>
          <w:ilvl w:val="0"/>
          <w:numId w:val="10"/>
        </w:numPr>
      </w:pPr>
      <w:r>
        <w:rPr>
          <w:rFonts w:hint="eastAsia"/>
        </w:rPr>
        <w:t>招标人信息：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招标人地址：济南市历城区华奥路777号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赵力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Courier New" w:eastAsia="宋体" w:cs="Times New Roman"/>
          <w:kern w:val="2"/>
          <w:sz w:val="21"/>
          <w:highlight w:val="yellow"/>
          <w:lang w:val="en-US" w:eastAsia="zh-CN" w:bidi="ar-SA"/>
        </w:rPr>
      </w:pPr>
      <w:r>
        <w:rPr>
          <w:rFonts w:hint="eastAsia" w:ascii="宋体" w:hAnsi="Courier New" w:eastAsia="宋体" w:cs="Times New Roman"/>
          <w:kern w:val="2"/>
          <w:sz w:val="21"/>
          <w:highlight w:val="yellow"/>
          <w:lang w:val="en-US" w:eastAsia="zh-CN" w:bidi="ar-SA"/>
        </w:rPr>
        <w:t>电话：17860606595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highlight w:val="yellow"/>
          <w:lang w:val="en-US" w:eastAsia="zh-CN" w:bidi="ar-SA"/>
        </w:rPr>
        <w:t>邮箱：zhaoli@sinotruk.com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技术联系人：吕国栋     </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电话：15588822325</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邮箱：lvguodong@sinotruk.com</w:t>
      </w:r>
    </w:p>
    <w:bookmarkEnd w:id="3"/>
    <w:p>
      <w:pPr>
        <w:pStyle w:val="73"/>
      </w:pPr>
      <w:bookmarkStart w:id="4" w:name="_Toc47976598"/>
      <w:r>
        <w:rPr>
          <w:rFonts w:hint="eastAsia"/>
        </w:rPr>
        <w:t>合格的投标人。</w:t>
      </w:r>
      <w:bookmarkEnd w:id="4"/>
    </w:p>
    <w:p>
      <w:pPr>
        <w:pStyle w:val="74"/>
        <w:numPr>
          <w:ilvl w:val="0"/>
          <w:numId w:val="11"/>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pPr>
        <w:pStyle w:val="74"/>
        <w:numPr>
          <w:ilvl w:val="0"/>
          <w:numId w:val="11"/>
        </w:numPr>
        <w:ind w:left="0" w:firstLine="0"/>
        <w:rPr>
          <w:b w:val="0"/>
          <w:bCs/>
        </w:rPr>
      </w:pPr>
      <w:r>
        <w:rPr>
          <w:rFonts w:hint="eastAsia"/>
          <w:b w:val="0"/>
          <w:bCs/>
        </w:rPr>
        <w:t>拟标投人必须是在中华人民共和国境内注册的独立法人机构，具有独立承担民事责任能力；注册资金不少于</w:t>
      </w:r>
      <w:r>
        <w:rPr>
          <w:rFonts w:hint="eastAsia"/>
          <w:b w:val="0"/>
          <w:bCs/>
          <w:highlight w:val="yellow"/>
          <w:u w:val="single"/>
          <w:lang w:val="en-US" w:eastAsia="zh-CN"/>
        </w:rPr>
        <w:t>100</w:t>
      </w:r>
      <w:r>
        <w:rPr>
          <w:rFonts w:hint="eastAsia"/>
          <w:b w:val="0"/>
          <w:bCs/>
        </w:rPr>
        <w:t>万人民币（或等值其他货币）；公司成立</w:t>
      </w:r>
      <w:r>
        <w:rPr>
          <w:rFonts w:hint="eastAsia"/>
          <w:b w:val="0"/>
          <w:bCs/>
          <w:highlight w:val="yellow"/>
          <w:u w:val="single"/>
          <w:lang w:val="en-US" w:eastAsia="zh-CN"/>
        </w:rPr>
        <w:t>3</w:t>
      </w:r>
      <w:r>
        <w:rPr>
          <w:rFonts w:hint="eastAsia"/>
          <w:b w:val="0"/>
          <w:bCs/>
        </w:rPr>
        <w:t>年以上（以营业执照成立日期到开标当日满</w:t>
      </w:r>
      <w:r>
        <w:rPr>
          <w:rFonts w:hint="eastAsia"/>
          <w:b w:val="0"/>
          <w:bCs/>
          <w:highlight w:val="yellow"/>
          <w:u w:val="single"/>
          <w:lang w:val="en-US" w:eastAsia="zh-CN"/>
        </w:rPr>
        <w:t>3</w:t>
      </w:r>
      <w:r>
        <w:rPr>
          <w:rFonts w:hint="eastAsia"/>
          <w:b w:val="0"/>
          <w:bCs/>
        </w:rPr>
        <w:t>年为准），且经营范围满足招标人需求；并在人员、设备、资金等方面具有承担本项目的能力；</w:t>
      </w:r>
    </w:p>
    <w:p>
      <w:pPr>
        <w:pStyle w:val="74"/>
        <w:numPr>
          <w:ilvl w:val="0"/>
          <w:numId w:val="11"/>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pPr>
        <w:pStyle w:val="74"/>
        <w:numPr>
          <w:ilvl w:val="0"/>
          <w:numId w:val="11"/>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pPr>
        <w:pStyle w:val="74"/>
        <w:numPr>
          <w:ilvl w:val="0"/>
          <w:numId w:val="11"/>
        </w:numPr>
        <w:ind w:left="0" w:firstLine="0"/>
        <w:rPr>
          <w:b w:val="0"/>
          <w:bCs/>
        </w:rPr>
      </w:pPr>
      <w:r>
        <w:rPr>
          <w:rFonts w:hint="eastAsia"/>
          <w:b w:val="0"/>
          <w:bCs/>
        </w:rPr>
        <w:t>无招标违规、谎报年度报告信息、提供虚假资质资料等行为或其他行政处罚记录；</w:t>
      </w:r>
    </w:p>
    <w:p>
      <w:pPr>
        <w:pStyle w:val="74"/>
        <w:numPr>
          <w:ilvl w:val="0"/>
          <w:numId w:val="11"/>
        </w:numPr>
        <w:ind w:left="0" w:firstLine="0"/>
        <w:rPr>
          <w:b w:val="0"/>
          <w:bCs/>
        </w:rPr>
      </w:pPr>
      <w:r>
        <w:rPr>
          <w:rFonts w:hint="eastAsia"/>
          <w:b w:val="0"/>
          <w:bCs/>
        </w:rPr>
        <w:t>近三年内在经营活动中无与本项目有关的违法及重大违规情况；</w:t>
      </w:r>
    </w:p>
    <w:p>
      <w:pPr>
        <w:pStyle w:val="74"/>
        <w:numPr>
          <w:ilvl w:val="0"/>
          <w:numId w:val="11"/>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pPr>
        <w:pStyle w:val="74"/>
        <w:numPr>
          <w:ilvl w:val="0"/>
          <w:numId w:val="11"/>
        </w:numPr>
        <w:ind w:left="0" w:firstLine="0"/>
        <w:rPr>
          <w:b w:val="0"/>
          <w:bCs/>
        </w:rPr>
      </w:pPr>
      <w:r>
        <w:rPr>
          <w:rFonts w:hint="eastAsia"/>
          <w:b w:val="0"/>
          <w:bCs/>
        </w:rPr>
        <w:t>公司经营范围满足招标项目需求；</w:t>
      </w:r>
    </w:p>
    <w:p>
      <w:pPr>
        <w:pStyle w:val="74"/>
        <w:numPr>
          <w:ilvl w:val="0"/>
          <w:numId w:val="11"/>
        </w:numPr>
        <w:ind w:left="0" w:firstLine="0"/>
        <w:rPr>
          <w:b w:val="0"/>
          <w:bCs/>
        </w:rPr>
      </w:pPr>
      <w:r>
        <w:rPr>
          <w:rFonts w:hint="eastAsia"/>
          <w:b w:val="0"/>
          <w:bCs/>
        </w:rPr>
        <w:t>投标人须具有履行招标文件所有设备、专业技术等要求的能力；</w:t>
      </w:r>
    </w:p>
    <w:p>
      <w:pPr>
        <w:pStyle w:val="74"/>
        <w:numPr>
          <w:ilvl w:val="0"/>
          <w:numId w:val="11"/>
        </w:numPr>
        <w:ind w:left="0" w:firstLine="0"/>
        <w:rPr>
          <w:b w:val="0"/>
          <w:bCs/>
        </w:rPr>
      </w:pPr>
      <w:r>
        <w:rPr>
          <w:rFonts w:hint="eastAsia"/>
          <w:b w:val="0"/>
          <w:bCs/>
        </w:rPr>
        <w:t>投标人须有依法缴纳税收和社会保障资金的良好记录；</w:t>
      </w:r>
    </w:p>
    <w:p>
      <w:pPr>
        <w:pStyle w:val="74"/>
        <w:numPr>
          <w:ilvl w:val="0"/>
          <w:numId w:val="11"/>
        </w:numPr>
        <w:ind w:left="0" w:firstLine="0"/>
        <w:rPr>
          <w:b w:val="0"/>
          <w:bCs/>
        </w:rPr>
      </w:pPr>
      <w:r>
        <w:rPr>
          <w:rFonts w:hint="eastAsia"/>
          <w:b w:val="0"/>
          <w:bCs/>
        </w:rPr>
        <w:t>具有本次招标货物的供货、安装、售后服务等的相应资质；</w:t>
      </w:r>
    </w:p>
    <w:p>
      <w:pPr>
        <w:pStyle w:val="74"/>
        <w:numPr>
          <w:ilvl w:val="0"/>
          <w:numId w:val="11"/>
        </w:numPr>
        <w:ind w:left="0" w:firstLine="0"/>
        <w:rPr>
          <w:b w:val="0"/>
          <w:bCs/>
        </w:rPr>
      </w:pPr>
      <w:r>
        <w:rPr>
          <w:rFonts w:hint="eastAsia"/>
          <w:b w:val="0"/>
          <w:bCs/>
        </w:rPr>
        <w:t>投标人须负责提供合理的便于运输的包装物，并承担相关费用；</w:t>
      </w:r>
    </w:p>
    <w:p>
      <w:pPr>
        <w:pStyle w:val="74"/>
        <w:numPr>
          <w:ilvl w:val="0"/>
          <w:numId w:val="11"/>
        </w:numPr>
        <w:ind w:left="0" w:firstLine="0"/>
        <w:rPr>
          <w:b w:val="0"/>
          <w:bCs/>
        </w:rPr>
      </w:pPr>
      <w:r>
        <w:rPr>
          <w:rFonts w:hint="eastAsia"/>
          <w:b w:val="0"/>
          <w:bCs/>
        </w:rPr>
        <w:t>投标人须认可招标人的工作指令，包括节、假日能正常开展工作的要求。</w:t>
      </w:r>
    </w:p>
    <w:p>
      <w:pPr>
        <w:pStyle w:val="74"/>
        <w:numPr>
          <w:ilvl w:val="0"/>
          <w:numId w:val="11"/>
        </w:numPr>
        <w:ind w:left="0" w:firstLine="0"/>
        <w:rPr>
          <w:b w:val="0"/>
          <w:bCs/>
        </w:rPr>
      </w:pPr>
      <w:r>
        <w:rPr>
          <w:rFonts w:hint="eastAsia"/>
          <w:b w:val="0"/>
          <w:bCs/>
        </w:rPr>
        <w:t>拟投标人的直接或间接股东、法定代表人、董事、监事、高管非重汽员工及其亲属；</w:t>
      </w:r>
    </w:p>
    <w:p>
      <w:pPr>
        <w:pStyle w:val="74"/>
        <w:numPr>
          <w:ilvl w:val="0"/>
          <w:numId w:val="11"/>
        </w:numPr>
        <w:ind w:left="0" w:firstLine="0"/>
        <w:rPr>
          <w:b w:val="0"/>
          <w:bCs/>
        </w:rPr>
      </w:pPr>
      <w:r>
        <w:rPr>
          <w:rFonts w:hint="eastAsia"/>
          <w:b w:val="0"/>
          <w:bCs/>
        </w:rPr>
        <w:t>投标人必须是最终投标、签订合同的单位，不得以任何理由将已中标项目以任何形式转包或者分包给其他单位；</w:t>
      </w:r>
    </w:p>
    <w:p>
      <w:pPr>
        <w:pStyle w:val="74"/>
        <w:numPr>
          <w:ilvl w:val="0"/>
          <w:numId w:val="11"/>
        </w:numPr>
        <w:ind w:left="0" w:firstLine="0"/>
        <w:rPr>
          <w:color w:val="FF0000"/>
        </w:rPr>
      </w:pPr>
      <w:r>
        <w:rPr>
          <w:rFonts w:hint="eastAsia"/>
          <w:b w:val="0"/>
          <w:bCs/>
        </w:rPr>
        <w:t>本次招标项目（</w:t>
      </w:r>
      <w:r>
        <w:rPr>
          <w:rFonts w:hint="eastAsia"/>
          <w:b w:val="0"/>
          <w:bCs/>
          <w:highlight w:val="yellow"/>
        </w:rPr>
        <w:t>不接受</w:t>
      </w:r>
      <w:r>
        <w:rPr>
          <w:rFonts w:hint="eastAsia"/>
          <w:b w:val="0"/>
          <w:bCs/>
        </w:rPr>
        <w:t>）联合体投标；</w:t>
      </w:r>
      <w:r>
        <w:rPr>
          <w:rFonts w:hint="eastAsia"/>
          <w:color w:val="FF0000"/>
        </w:rPr>
        <w:t>（注：接受/不接受择一保留。</w:t>
      </w:r>
      <w:r>
        <w:rPr>
          <w:rFonts w:hint="eastAsia" w:hAnsi="宋体" w:cs="宋体"/>
          <w:color w:val="FF0000"/>
          <w:sz w:val="18"/>
          <w:szCs w:val="18"/>
        </w:rPr>
        <w:t>正式标书删除红字内容</w:t>
      </w:r>
      <w:r>
        <w:rPr>
          <w:rFonts w:hint="eastAsia"/>
          <w:color w:val="FF0000"/>
        </w:rPr>
        <w:t>）</w:t>
      </w:r>
    </w:p>
    <w:p>
      <w:pPr>
        <w:pStyle w:val="74"/>
        <w:numPr>
          <w:ilvl w:val="0"/>
          <w:numId w:val="11"/>
        </w:numPr>
        <w:ind w:left="0" w:firstLine="0"/>
        <w:rPr>
          <w:b w:val="0"/>
          <w:bCs/>
        </w:rPr>
      </w:pPr>
      <w:r>
        <w:rPr>
          <w:rFonts w:hint="eastAsia"/>
          <w:b w:val="0"/>
          <w:bCs/>
        </w:rPr>
        <w:t>法律、行政法规规定的其他条件；</w:t>
      </w:r>
    </w:p>
    <w:p>
      <w:pPr>
        <w:pStyle w:val="74"/>
        <w:numPr>
          <w:ilvl w:val="0"/>
          <w:numId w:val="11"/>
        </w:numPr>
        <w:ind w:left="0" w:firstLine="0"/>
        <w:rPr>
          <w:b w:val="0"/>
          <w:bCs/>
          <w:highlight w:val="cyan"/>
        </w:rPr>
      </w:pPr>
      <w:r>
        <w:rPr>
          <w:rFonts w:hint="eastAsia"/>
          <w:b w:val="0"/>
          <w:bCs/>
        </w:rPr>
        <w:t>投标人是招标货物的制造商或制造商授权的经销商；一个制造商对同一品牌同一型号的货物,仅能委托一个代理商参加投标。如为代理商投标，需获得生产厂家正式授权，提供授权书原件，保证提供原厂售后服务并提供原厂售后服务承诺书原件。</w:t>
      </w:r>
      <w:r>
        <w:rPr>
          <w:rFonts w:hint="eastAsia"/>
          <w:color w:val="FF0000"/>
        </w:rPr>
        <w:t>（视项目具体要求保留或删除该项。</w:t>
      </w:r>
      <w:r>
        <w:rPr>
          <w:rFonts w:hint="eastAsia" w:hAnsi="宋体" w:cs="宋体"/>
          <w:color w:val="FF0000"/>
          <w:sz w:val="18"/>
          <w:szCs w:val="18"/>
        </w:rPr>
        <w:t>正式标书删除红字内容</w:t>
      </w:r>
      <w:r>
        <w:rPr>
          <w:rFonts w:hint="eastAsia"/>
          <w:color w:val="FF0000"/>
        </w:rPr>
        <w:t>）</w:t>
      </w:r>
    </w:p>
    <w:p>
      <w:pPr>
        <w:pStyle w:val="73"/>
      </w:pPr>
      <w:r>
        <w:rPr>
          <w:rFonts w:hint="eastAsia"/>
        </w:rPr>
        <w:t>招标文件的领取、答疑、应标及投标报名</w:t>
      </w:r>
    </w:p>
    <w:p>
      <w:pPr>
        <w:pStyle w:val="77"/>
        <w:numPr>
          <w:ilvl w:val="0"/>
          <w:numId w:val="12"/>
        </w:numPr>
        <w:jc w:val="both"/>
      </w:pPr>
      <w:r>
        <w:rPr>
          <w:rFonts w:hint="eastAsia"/>
        </w:rPr>
        <w:t>发标时间：</w:t>
      </w:r>
      <w:r>
        <w:rPr>
          <w:rFonts w:hint="eastAsia"/>
          <w:highlight w:val="yellow"/>
        </w:rPr>
        <w:t>20</w:t>
      </w:r>
      <w:r>
        <w:rPr>
          <w:rFonts w:hint="eastAsia"/>
          <w:highlight w:val="yellow"/>
          <w:lang w:val="en-US" w:eastAsia="zh-CN"/>
        </w:rPr>
        <w:t>25</w:t>
      </w:r>
      <w:r>
        <w:rPr>
          <w:rFonts w:hint="eastAsia"/>
          <w:highlight w:val="yellow"/>
        </w:rPr>
        <w:t>年</w:t>
      </w:r>
      <w:r>
        <w:rPr>
          <w:rFonts w:hint="eastAsia"/>
          <w:highlight w:val="yellow"/>
          <w:lang w:val="en-US" w:eastAsia="zh-CN"/>
        </w:rPr>
        <w:t>9</w:t>
      </w:r>
      <w:r>
        <w:rPr>
          <w:rFonts w:hint="eastAsia"/>
          <w:highlight w:val="yellow"/>
        </w:rPr>
        <w:t>月</w:t>
      </w:r>
      <w:r>
        <w:rPr>
          <w:rFonts w:hint="eastAsia"/>
          <w:highlight w:val="yellow"/>
          <w:lang w:val="en-US" w:eastAsia="zh-CN"/>
        </w:rPr>
        <w:t>30</w:t>
      </w:r>
      <w:r>
        <w:rPr>
          <w:rFonts w:hint="eastAsia"/>
          <w:highlight w:val="yellow"/>
        </w:rPr>
        <w:t>日</w:t>
      </w:r>
    </w:p>
    <w:p>
      <w:pPr>
        <w:pStyle w:val="77"/>
        <w:numPr>
          <w:ilvl w:val="0"/>
          <w:numId w:val="12"/>
        </w:numPr>
        <w:jc w:val="both"/>
        <w:rPr>
          <w:highlight w:val="yellow"/>
        </w:rPr>
      </w:pPr>
      <w:r>
        <w:rPr>
          <w:rFonts w:hint="eastAsia"/>
          <w:highlight w:val="yellow"/>
        </w:rPr>
        <w:t>招标文件领取方式、地点及领取截止时间</w:t>
      </w:r>
    </w:p>
    <w:p>
      <w:pPr>
        <w:pStyle w:val="77"/>
        <w:numPr>
          <w:ilvl w:val="0"/>
          <w:numId w:val="12"/>
        </w:numPr>
        <w:jc w:val="both"/>
      </w:pPr>
      <w:r>
        <w:rPr>
          <w:rFonts w:hint="eastAsia"/>
        </w:rPr>
        <w:t>答疑时间：</w:t>
      </w:r>
      <w:r>
        <w:rPr>
          <w:rFonts w:hint="eastAsia"/>
          <w:highlight w:val="yellow"/>
        </w:rPr>
        <w:t>20</w:t>
      </w:r>
      <w:r>
        <w:rPr>
          <w:rFonts w:hint="eastAsia"/>
          <w:highlight w:val="yellow"/>
          <w:lang w:val="en-US" w:eastAsia="zh-CN"/>
        </w:rPr>
        <w:t>25</w:t>
      </w:r>
      <w:r>
        <w:rPr>
          <w:rFonts w:hint="eastAsia"/>
          <w:highlight w:val="yellow"/>
        </w:rPr>
        <w:t>年</w:t>
      </w:r>
      <w:r>
        <w:rPr>
          <w:rFonts w:hint="eastAsia"/>
          <w:highlight w:val="yellow"/>
          <w:lang w:val="en-US" w:eastAsia="zh-CN"/>
        </w:rPr>
        <w:t>10</w:t>
      </w:r>
      <w:r>
        <w:rPr>
          <w:rFonts w:hint="eastAsia"/>
          <w:highlight w:val="yellow"/>
        </w:rPr>
        <w:t>月</w:t>
      </w:r>
      <w:r>
        <w:rPr>
          <w:rFonts w:hint="eastAsia"/>
          <w:highlight w:val="yellow"/>
          <w:lang w:val="en-US" w:eastAsia="zh-CN"/>
        </w:rPr>
        <w:t>10</w:t>
      </w:r>
      <w:r>
        <w:rPr>
          <w:rFonts w:hint="eastAsia"/>
          <w:highlight w:val="yellow"/>
        </w:rPr>
        <w:t>日前</w:t>
      </w:r>
    </w:p>
    <w:p>
      <w:pPr>
        <w:pStyle w:val="77"/>
        <w:numPr>
          <w:ilvl w:val="0"/>
          <w:numId w:val="12"/>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pPr>
        <w:pStyle w:val="77"/>
        <w:numPr>
          <w:ilvl w:val="0"/>
          <w:numId w:val="12"/>
        </w:numPr>
        <w:jc w:val="both"/>
      </w:pPr>
      <w:r>
        <w:rPr>
          <w:rFonts w:hint="eastAsia"/>
        </w:rPr>
        <w:t>领取答疑、澄清和修改文件时间：</w:t>
      </w:r>
      <w:r>
        <w:rPr>
          <w:rFonts w:hint="eastAsia"/>
          <w:highlight w:val="yellow"/>
        </w:rPr>
        <w:t>20</w:t>
      </w:r>
      <w:r>
        <w:rPr>
          <w:rFonts w:hint="eastAsia"/>
          <w:highlight w:val="yellow"/>
          <w:lang w:val="en-US" w:eastAsia="zh-CN"/>
        </w:rPr>
        <w:t>25</w:t>
      </w:r>
      <w:r>
        <w:rPr>
          <w:rFonts w:hint="eastAsia"/>
          <w:highlight w:val="yellow"/>
        </w:rPr>
        <w:t>年</w:t>
      </w:r>
      <w:r>
        <w:rPr>
          <w:rFonts w:hint="eastAsia"/>
          <w:highlight w:val="yellow"/>
          <w:lang w:val="en-US" w:eastAsia="zh-CN"/>
        </w:rPr>
        <w:t>10</w:t>
      </w:r>
      <w:r>
        <w:rPr>
          <w:rFonts w:hint="eastAsia"/>
          <w:highlight w:val="yellow"/>
        </w:rPr>
        <w:t>月</w:t>
      </w:r>
      <w:r>
        <w:rPr>
          <w:rFonts w:hint="eastAsia"/>
          <w:highlight w:val="yellow"/>
          <w:lang w:val="en-US" w:eastAsia="zh-CN"/>
        </w:rPr>
        <w:t>10</w:t>
      </w:r>
      <w:r>
        <w:rPr>
          <w:rFonts w:hint="eastAsia"/>
          <w:highlight w:val="yellow"/>
        </w:rPr>
        <w:t>日前：</w:t>
      </w:r>
    </w:p>
    <w:p>
      <w:pPr>
        <w:pStyle w:val="77"/>
        <w:numPr>
          <w:ilvl w:val="0"/>
          <w:numId w:val="12"/>
        </w:numPr>
        <w:ind w:left="0" w:firstLine="0"/>
        <w:jc w:val="both"/>
      </w:pPr>
      <w:r>
        <w:rPr>
          <w:rFonts w:hint="eastAsia"/>
        </w:rPr>
        <w:t>答疑、澄清和修改文件方式：招标人将以电子邮件的方式将招标文件的答疑澄清文件发送至答疑文件提交时登记的电子邮箱。</w:t>
      </w:r>
    </w:p>
    <w:p>
      <w:pPr>
        <w:pStyle w:val="77"/>
        <w:numPr>
          <w:ilvl w:val="0"/>
          <w:numId w:val="12"/>
        </w:numPr>
        <w:jc w:val="both"/>
        <w:rPr>
          <w:highlight w:val="yellow"/>
        </w:rPr>
      </w:pPr>
      <w:r>
        <w:rPr>
          <w:rFonts w:hint="eastAsia"/>
          <w:highlight w:val="yellow"/>
        </w:rPr>
        <w:t>报名方式</w:t>
      </w:r>
    </w:p>
    <w:p>
      <w:pPr>
        <w:numPr>
          <w:ilvl w:val="255"/>
          <w:numId w:val="0"/>
        </w:numPr>
        <w:spacing w:line="360" w:lineRule="auto"/>
        <w:jc w:val="left"/>
        <w:rPr>
          <w:rFonts w:ascii="宋体" w:hAnsi="宋体" w:eastAsia="宋体" w:cs="宋体"/>
          <w:b/>
          <w:bCs/>
          <w:color w:val="C00000"/>
          <w:szCs w:val="20"/>
          <w:highlight w:val="none"/>
          <w:lang w:bidi="ar"/>
        </w:rPr>
      </w:pPr>
      <w:r>
        <w:rPr>
          <w:rFonts w:hint="eastAsia" w:ascii="Times New Roman" w:hAnsi="Times New Roman" w:eastAsia="宋体" w:cs="宋体"/>
          <w:sz w:val="24"/>
          <w:szCs w:val="22"/>
          <w:highlight w:val="none"/>
        </w:rPr>
        <w:t>本次招标注册、应标、澄清、报价全部操作需要登录E采通系统进行操作，网址如下：</w:t>
      </w:r>
      <w:r>
        <w:rPr>
          <w:highlight w:val="none"/>
        </w:rPr>
        <w:fldChar w:fldCharType="begin"/>
      </w:r>
      <w:r>
        <w:rPr>
          <w:highlight w:val="none"/>
        </w:rPr>
        <w:instrText xml:space="preserve">HYPERLINK "http://ecaitong.sinotruk.com:8012/，请于截止日期前完成注册、应标等操作。"</w:instrText>
      </w:r>
      <w:r>
        <w:rPr>
          <w:highlight w:val="none"/>
        </w:rPr>
        <w:fldChar w:fldCharType="separate"/>
      </w:r>
      <w:r>
        <w:rPr>
          <w:rFonts w:hint="eastAsia" w:ascii="Times New Roman" w:hAnsi="Times New Roman" w:eastAsia="宋体" w:cs="宋体"/>
          <w:sz w:val="24"/>
          <w:szCs w:val="22"/>
          <w:highlight w:val="none"/>
        </w:rPr>
        <w:t>http://ecaitong.sinotruk.com:8012/，请于截止日期前完成注册、应标、投标等操作，超过截止日期未将盖章（或电子章）技术标、商务标、资质等文件上传系统的，系统自动关闭上传入口，视为放弃应标。</w:t>
      </w:r>
      <w:r>
        <w:rPr>
          <w:rFonts w:ascii="Times New Roman" w:hAnsi="Times New Roman" w:eastAsia="宋体" w:cs="宋体"/>
          <w:sz w:val="24"/>
          <w:szCs w:val="22"/>
          <w:highlight w:val="none"/>
        </w:rPr>
        <w:fldChar w:fldCharType="end"/>
      </w:r>
    </w:p>
    <w:p>
      <w:pPr>
        <w:spacing w:line="360" w:lineRule="auto"/>
        <w:ind w:left="1890" w:hanging="1890" w:hangingChars="900"/>
        <w:rPr>
          <w:highlight w:val="yellow"/>
        </w:rPr>
      </w:pPr>
      <w:r>
        <w:rPr>
          <w:rFonts w:hint="eastAsia" w:ascii="宋体" w:hAnsi="Courier New" w:eastAsia="宋体" w:cs="宋体"/>
          <w:szCs w:val="20"/>
          <w:highlight w:val="none"/>
          <w:lang w:bidi="ar"/>
        </w:rPr>
        <w:t xml:space="preserve">    </w:t>
      </w:r>
      <w:r>
        <w:rPr>
          <w:rFonts w:ascii="宋体" w:hAnsi="宋体"/>
          <w:szCs w:val="20"/>
          <w:highlight w:val="none"/>
        </w:rPr>
        <w:t xml:space="preserve"> </w:t>
      </w:r>
      <w:r>
        <w:rPr>
          <w:rFonts w:hint="eastAsia" w:ascii="宋体" w:hAnsi="宋体"/>
          <w:szCs w:val="20"/>
          <w:highlight w:val="none"/>
        </w:rPr>
        <w:t xml:space="preserve"> </w:t>
      </w:r>
      <w:r>
        <w:rPr>
          <w:rFonts w:hint="eastAsia" w:ascii="宋体" w:hAnsi="宋体" w:eastAsia="宋体" w:cs="宋体"/>
          <w:color w:val="000000" w:themeColor="text1"/>
          <w:szCs w:val="20"/>
          <w:highlight w:val="none"/>
          <w:lang w:bidi="ar"/>
          <w14:textFill>
            <w14:solidFill>
              <w14:schemeClr w14:val="tx1"/>
            </w14:solidFill>
          </w14:textFill>
        </w:rPr>
        <w:object>
          <v:shape id="_x0000_i1025" o:spt="75" type="#_x0000_t75" style="height:67pt;width:72pt;" o:ole="t" filled="f" o:preferrelative="t" stroked="f" coordsize="21600,21600">
            <v:path/>
            <v:fill on="f" focussize="0,0"/>
            <v:stroke on="f" joinstyle="miter"/>
            <v:imagedata r:id="rId32" o:title=""/>
            <o:lock v:ext="edit" aspectratio="t"/>
            <w10:wrap type="none"/>
            <w10:anchorlock/>
          </v:shape>
          <o:OLEObject Type="Embed" ProgID="Package" ShapeID="_x0000_i1025" DrawAspect="Icon" ObjectID="_1468075725" r:id="rId31">
            <o:LockedField>false</o:LockedField>
          </o:OLEObject>
        </w:object>
      </w:r>
      <w:r>
        <w:rPr>
          <w:rFonts w:hint="eastAsia" w:ascii="宋体" w:hAnsi="宋体" w:eastAsia="宋体" w:cs="宋体"/>
          <w:color w:val="000000" w:themeColor="text1"/>
          <w:szCs w:val="20"/>
          <w:highlight w:val="none"/>
          <w:lang w:bidi="ar"/>
          <w14:textFill>
            <w14:solidFill>
              <w14:schemeClr w14:val="tx1"/>
            </w14:solidFill>
          </w14:textFill>
        </w:rPr>
        <w:object>
          <v:shape id="_x0000_i1026" o:spt="75" type="#_x0000_t75" style="height:67pt;width:72pt;" o:ole="t" filled="f" o:preferrelative="t" stroked="f" coordsize="21600,21600">
            <v:path/>
            <v:fill on="f" focussize="0,0"/>
            <v:stroke on="f" joinstyle="miter"/>
            <v:imagedata r:id="rId34" o:title=""/>
            <o:lock v:ext="edit" aspectratio="t"/>
            <w10:wrap type="none"/>
            <w10:anchorlock/>
          </v:shape>
          <o:OLEObject Type="Embed" ProgID="Word.Document.12" ShapeID="_x0000_i1026" DrawAspect="Icon" ObjectID="_1468075726" r:id="rId33">
            <o:LockedField>false</o:LockedField>
          </o:OLEObject>
        </w:object>
      </w:r>
    </w:p>
    <w:p>
      <w:pPr>
        <w:pStyle w:val="77"/>
        <w:numPr>
          <w:ilvl w:val="0"/>
          <w:numId w:val="12"/>
        </w:numPr>
        <w:jc w:val="both"/>
        <w:rPr>
          <w:highlight w:val="yellow"/>
        </w:rPr>
      </w:pPr>
      <w:r>
        <w:rPr>
          <w:rFonts w:hint="eastAsia"/>
          <w:highlight w:val="yellow"/>
        </w:rPr>
        <w:t>应标截止时间</w:t>
      </w:r>
      <w:r>
        <w:rPr>
          <w:rFonts w:hint="eastAsia"/>
          <w:highlight w:val="yellow"/>
          <w:lang w:val="en-US" w:eastAsia="zh-CN"/>
        </w:rPr>
        <w:t xml:space="preserve"> ：</w:t>
      </w:r>
      <w:r>
        <w:rPr>
          <w:rFonts w:hint="eastAsia"/>
          <w:highlight w:val="yellow"/>
        </w:rPr>
        <w:t>20</w:t>
      </w:r>
      <w:r>
        <w:rPr>
          <w:rFonts w:hint="eastAsia"/>
          <w:highlight w:val="yellow"/>
          <w:lang w:val="en-US" w:eastAsia="zh-CN"/>
        </w:rPr>
        <w:t>25</w:t>
      </w:r>
      <w:r>
        <w:rPr>
          <w:rFonts w:hint="eastAsia"/>
          <w:highlight w:val="yellow"/>
        </w:rPr>
        <w:t>年</w:t>
      </w:r>
      <w:r>
        <w:rPr>
          <w:rFonts w:hint="eastAsia"/>
          <w:highlight w:val="yellow"/>
          <w:lang w:val="en-US" w:eastAsia="zh-CN"/>
        </w:rPr>
        <w:t>10</w:t>
      </w:r>
      <w:r>
        <w:rPr>
          <w:rFonts w:hint="eastAsia"/>
          <w:highlight w:val="yellow"/>
        </w:rPr>
        <w:t>月</w:t>
      </w:r>
      <w:r>
        <w:rPr>
          <w:rFonts w:hint="eastAsia"/>
          <w:highlight w:val="yellow"/>
          <w:lang w:val="en-US" w:eastAsia="zh-CN"/>
        </w:rPr>
        <w:t>10</w:t>
      </w:r>
      <w:r>
        <w:rPr>
          <w:rFonts w:hint="eastAsia"/>
          <w:highlight w:val="yellow"/>
        </w:rPr>
        <w:t>日前：</w:t>
      </w:r>
    </w:p>
    <w:p>
      <w:pPr>
        <w:pStyle w:val="73"/>
        <w:rPr>
          <w:rFonts w:ascii="宋体" w:eastAsia="宋体"/>
        </w:rPr>
      </w:pPr>
      <w:r>
        <w:rPr>
          <w:rFonts w:hint="eastAsia"/>
        </w:rPr>
        <w:t>投标文件编制</w:t>
      </w:r>
    </w:p>
    <w:p>
      <w:pPr>
        <w:pStyle w:val="74"/>
        <w:numPr>
          <w:ilvl w:val="0"/>
          <w:numId w:val="13"/>
        </w:numPr>
        <w:ind w:firstLine="0"/>
        <w:rPr>
          <w:b w:val="0"/>
        </w:rPr>
      </w:pPr>
      <w:r>
        <w:rPr>
          <w:rFonts w:hint="eastAsia"/>
          <w:b w:val="0"/>
        </w:rPr>
        <w:t>投标文件的组成</w:t>
      </w:r>
    </w:p>
    <w:p>
      <w:pPr>
        <w:pStyle w:val="74"/>
        <w:numPr>
          <w:ilvl w:val="0"/>
          <w:numId w:val="0"/>
        </w:numPr>
        <w:rPr>
          <w:b w:val="0"/>
          <w:bCs/>
        </w:rPr>
      </w:pPr>
      <w:r>
        <w:rPr>
          <w:rFonts w:hint="eastAsia"/>
          <w:b w:val="0"/>
          <w:bCs/>
        </w:rPr>
        <w:t>投标人编写的投标文件由《投标文件（资质标）》、《投标文件（技术标）》(若有）、《投标文件（商务标）》（开标一览表）文件组成，共计</w:t>
      </w:r>
      <w:r>
        <w:rPr>
          <w:rFonts w:hint="eastAsia"/>
          <w:b w:val="0"/>
          <w:bCs/>
          <w:highlight w:val="yellow"/>
          <w:u w:val="single"/>
          <w:lang w:val="en-US" w:eastAsia="zh-CN"/>
        </w:rPr>
        <w:t>3</w:t>
      </w:r>
      <w:r>
        <w:rPr>
          <w:rFonts w:hint="eastAsia"/>
          <w:b w:val="0"/>
          <w:bCs/>
        </w:rPr>
        <w:t>个文件。</w:t>
      </w:r>
    </w:p>
    <w:p>
      <w:pPr>
        <w:pStyle w:val="75"/>
        <w:numPr>
          <w:ilvl w:val="0"/>
          <w:numId w:val="14"/>
        </w:numPr>
        <w:rPr>
          <w:b w:val="0"/>
          <w:bCs/>
        </w:rPr>
      </w:pPr>
      <w:r>
        <w:rPr>
          <w:rFonts w:hint="eastAsia"/>
          <w:b w:val="0"/>
          <w:bCs/>
        </w:rPr>
        <w:t>资质文件：</w:t>
      </w:r>
    </w:p>
    <w:p>
      <w:pPr>
        <w:pStyle w:val="76"/>
        <w:numPr>
          <w:ilvl w:val="0"/>
          <w:numId w:val="15"/>
        </w:numPr>
        <w:rPr>
          <w:bCs/>
        </w:rPr>
      </w:pPr>
      <w:r>
        <w:rPr>
          <w:rFonts w:hint="eastAsia"/>
          <w:bCs/>
        </w:rPr>
        <w:t>法定代表人身份证明；</w:t>
      </w:r>
    </w:p>
    <w:p>
      <w:pPr>
        <w:pStyle w:val="76"/>
        <w:numPr>
          <w:ilvl w:val="0"/>
          <w:numId w:val="15"/>
        </w:numPr>
        <w:rPr>
          <w:bCs/>
        </w:rPr>
      </w:pPr>
      <w:r>
        <w:rPr>
          <w:rFonts w:hint="eastAsia"/>
          <w:bCs/>
        </w:rPr>
        <w:t>法定代表人授权委托书（授权人需带身份证原件）；</w:t>
      </w:r>
    </w:p>
    <w:p>
      <w:pPr>
        <w:pStyle w:val="76"/>
        <w:numPr>
          <w:ilvl w:val="0"/>
          <w:numId w:val="15"/>
        </w:numPr>
        <w:rPr>
          <w:bCs/>
        </w:rPr>
      </w:pPr>
      <w:r>
        <w:rPr>
          <w:rFonts w:hint="eastAsia"/>
          <w:bCs/>
        </w:rPr>
        <w:t>营业执照副本原件或复印件并加盖公章；</w:t>
      </w:r>
    </w:p>
    <w:p>
      <w:pPr>
        <w:pStyle w:val="76"/>
        <w:numPr>
          <w:ilvl w:val="0"/>
          <w:numId w:val="15"/>
        </w:numPr>
        <w:ind w:left="0" w:firstLine="0"/>
        <w:rPr>
          <w:bCs/>
        </w:rPr>
      </w:pPr>
      <w:r>
        <w:rPr>
          <w:rFonts w:hint="eastAsia"/>
          <w:bCs/>
        </w:rPr>
        <w:t>投标人应具有相应生产证明，若非原厂商需提供原厂商授权书（原件或加盖投标单位公章的彩色打印件）；</w:t>
      </w:r>
    </w:p>
    <w:p>
      <w:pPr>
        <w:pStyle w:val="76"/>
        <w:numPr>
          <w:ilvl w:val="0"/>
          <w:numId w:val="15"/>
        </w:numPr>
        <w:ind w:left="0" w:firstLine="0"/>
        <w:rPr>
          <w:bCs/>
        </w:rPr>
      </w:pPr>
      <w:r>
        <w:rPr>
          <w:rFonts w:hint="eastAsia"/>
          <w:bCs/>
        </w:rPr>
        <w:t>证明投标人满足投标资料表中列出的业绩要求的文件；</w:t>
      </w:r>
    </w:p>
    <w:p>
      <w:pPr>
        <w:pStyle w:val="76"/>
        <w:numPr>
          <w:ilvl w:val="0"/>
          <w:numId w:val="15"/>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76"/>
        <w:numPr>
          <w:ilvl w:val="0"/>
          <w:numId w:val="15"/>
        </w:numPr>
        <w:rPr>
          <w:bCs/>
        </w:rPr>
      </w:pPr>
      <w:r>
        <w:rPr>
          <w:rFonts w:hint="eastAsia"/>
          <w:bCs/>
        </w:rPr>
        <w:t>企业最近半年完税证明、信用证明材料（征信报告）；</w:t>
      </w:r>
    </w:p>
    <w:p>
      <w:pPr>
        <w:pStyle w:val="76"/>
        <w:numPr>
          <w:ilvl w:val="0"/>
          <w:numId w:val="15"/>
        </w:numPr>
        <w:rPr>
          <w:bCs/>
        </w:rPr>
      </w:pPr>
      <w:r>
        <w:rPr>
          <w:rFonts w:hint="eastAsia"/>
          <w:bCs/>
        </w:rPr>
        <w:t>年度纳税信用评价信息（可从电子税务局查询截图，需加盖公章）；</w:t>
      </w:r>
    </w:p>
    <w:p>
      <w:pPr>
        <w:pStyle w:val="76"/>
        <w:numPr>
          <w:ilvl w:val="0"/>
          <w:numId w:val="15"/>
        </w:numPr>
        <w:rPr>
          <w:bCs/>
        </w:rPr>
      </w:pPr>
      <w:r>
        <w:rPr>
          <w:rFonts w:hint="eastAsia"/>
          <w:bCs/>
        </w:rPr>
        <w:t>企业对外担保说明（写明贵单位对外有无对外担保和质押业务，需加盖公章）。</w:t>
      </w:r>
    </w:p>
    <w:p>
      <w:pPr>
        <w:pStyle w:val="76"/>
        <w:numPr>
          <w:ilvl w:val="0"/>
          <w:numId w:val="15"/>
        </w:numPr>
        <w:rPr>
          <w:bCs/>
        </w:rPr>
      </w:pPr>
      <w:r>
        <w:rPr>
          <w:rFonts w:hint="eastAsia"/>
          <w:bCs/>
        </w:rPr>
        <w:t>信用中国截图或国家企业信用信息公示系统截图；</w:t>
      </w:r>
    </w:p>
    <w:p>
      <w:pPr>
        <w:pStyle w:val="76"/>
        <w:numPr>
          <w:ilvl w:val="0"/>
          <w:numId w:val="15"/>
        </w:numPr>
        <w:rPr>
          <w:bCs/>
        </w:rPr>
      </w:pPr>
      <w:r>
        <w:rPr>
          <w:rFonts w:hint="eastAsia"/>
          <w:bCs/>
        </w:rPr>
        <w:t>招标文件中要求的其它资格证明文件。</w:t>
      </w:r>
    </w:p>
    <w:p>
      <w:pPr>
        <w:pStyle w:val="76"/>
        <w:numPr>
          <w:ilvl w:val="0"/>
          <w:numId w:val="16"/>
        </w:numPr>
        <w:ind w:left="10" w:firstLine="0"/>
        <w:rPr>
          <w:bCs/>
        </w:rPr>
      </w:pPr>
      <w:r>
        <w:rPr>
          <w:rFonts w:hint="eastAsia"/>
          <w:bCs/>
        </w:rPr>
        <w:t>对于投标人资质审核不通过的，招标人有权拒绝其投标。</w:t>
      </w:r>
    </w:p>
    <w:p>
      <w:pPr>
        <w:pStyle w:val="75"/>
        <w:numPr>
          <w:ilvl w:val="0"/>
          <w:numId w:val="14"/>
        </w:numPr>
        <w:rPr>
          <w:b w:val="0"/>
          <w:bCs/>
          <w:highlight w:val="yellow"/>
        </w:rPr>
      </w:pPr>
      <w:r>
        <w:rPr>
          <w:rFonts w:hint="eastAsia"/>
          <w:b w:val="0"/>
          <w:bCs/>
          <w:highlight w:val="yellow"/>
        </w:rPr>
        <w:t>技术标：</w:t>
      </w:r>
    </w:p>
    <w:p>
      <w:pPr>
        <w:pStyle w:val="76"/>
        <w:numPr>
          <w:ilvl w:val="0"/>
          <w:numId w:val="17"/>
        </w:numPr>
        <w:rPr>
          <w:bCs/>
          <w:highlight w:val="yellow"/>
        </w:rPr>
      </w:pPr>
      <w:r>
        <w:rPr>
          <w:rFonts w:hint="eastAsia"/>
          <w:bCs/>
          <w:highlight w:val="yellow"/>
        </w:rPr>
        <w:t>技术配置对比表。</w:t>
      </w:r>
    </w:p>
    <w:p>
      <w:pPr>
        <w:pStyle w:val="76"/>
        <w:numPr>
          <w:ilvl w:val="0"/>
          <w:numId w:val="17"/>
        </w:numPr>
        <w:rPr>
          <w:bCs/>
          <w:highlight w:val="yellow"/>
        </w:rPr>
      </w:pPr>
      <w:r>
        <w:rPr>
          <w:rFonts w:hint="eastAsia"/>
          <w:bCs/>
          <w:highlight w:val="yellow"/>
        </w:rPr>
        <w:t>投标设备配置明细表；</w:t>
      </w:r>
    </w:p>
    <w:p>
      <w:pPr>
        <w:pStyle w:val="76"/>
        <w:numPr>
          <w:ilvl w:val="0"/>
          <w:numId w:val="17"/>
        </w:numPr>
        <w:rPr>
          <w:bCs/>
          <w:highlight w:val="yellow"/>
        </w:rPr>
      </w:pPr>
      <w:r>
        <w:rPr>
          <w:rFonts w:hint="eastAsia"/>
          <w:bCs/>
          <w:highlight w:val="yellow"/>
        </w:rPr>
        <w:t>技术规格偏离表；</w:t>
      </w:r>
    </w:p>
    <w:p>
      <w:pPr>
        <w:pStyle w:val="76"/>
        <w:numPr>
          <w:ilvl w:val="0"/>
          <w:numId w:val="17"/>
        </w:numPr>
        <w:rPr>
          <w:bCs/>
          <w:highlight w:val="yellow"/>
        </w:rPr>
      </w:pPr>
      <w:r>
        <w:rPr>
          <w:rFonts w:hint="eastAsia"/>
          <w:bCs/>
          <w:highlight w:val="yellow"/>
        </w:rPr>
        <w:t>技术性能、参数的描述；</w:t>
      </w:r>
      <w:r>
        <w:rPr>
          <w:bCs/>
          <w:highlight w:val="yellow"/>
        </w:rPr>
        <w:t xml:space="preserve"> </w:t>
      </w:r>
    </w:p>
    <w:p>
      <w:pPr>
        <w:pStyle w:val="76"/>
        <w:numPr>
          <w:ilvl w:val="0"/>
          <w:numId w:val="17"/>
        </w:numPr>
        <w:rPr>
          <w:bCs/>
          <w:highlight w:val="yellow"/>
        </w:rPr>
      </w:pPr>
      <w:r>
        <w:rPr>
          <w:rFonts w:hint="eastAsia"/>
          <w:bCs/>
          <w:highlight w:val="yellow"/>
        </w:rPr>
        <w:t>备品备件工具材料明细表；</w:t>
      </w:r>
      <w:r>
        <w:rPr>
          <w:bCs/>
          <w:highlight w:val="yellow"/>
        </w:rPr>
        <w:t xml:space="preserve"> </w:t>
      </w:r>
    </w:p>
    <w:p>
      <w:pPr>
        <w:pStyle w:val="75"/>
        <w:numPr>
          <w:ilvl w:val="0"/>
          <w:numId w:val="14"/>
        </w:numPr>
        <w:rPr>
          <w:b w:val="0"/>
          <w:bCs/>
        </w:rPr>
      </w:pPr>
      <w:r>
        <w:rPr>
          <w:rFonts w:hint="eastAsia"/>
          <w:b w:val="0"/>
          <w:bCs/>
        </w:rPr>
        <w:t>商务标：</w:t>
      </w:r>
    </w:p>
    <w:p>
      <w:pPr>
        <w:pStyle w:val="76"/>
        <w:numPr>
          <w:ilvl w:val="0"/>
          <w:numId w:val="18"/>
        </w:numPr>
        <w:rPr>
          <w:bCs/>
          <w:highlight w:val="yellow"/>
        </w:rPr>
      </w:pPr>
      <w:r>
        <w:rPr>
          <w:rFonts w:hint="eastAsia"/>
          <w:bCs/>
          <w:highlight w:val="yellow"/>
        </w:rPr>
        <w:t>开标一览表</w:t>
      </w:r>
    </w:p>
    <w:p>
      <w:pPr>
        <w:pStyle w:val="76"/>
        <w:numPr>
          <w:ilvl w:val="0"/>
          <w:numId w:val="18"/>
        </w:numPr>
        <w:rPr>
          <w:bCs/>
          <w:highlight w:val="yellow"/>
        </w:rPr>
      </w:pPr>
      <w:r>
        <w:rPr>
          <w:rFonts w:hint="eastAsia"/>
          <w:bCs/>
          <w:highlight w:val="yellow"/>
        </w:rPr>
        <w:t>投标函（格式见附件）;</w:t>
      </w:r>
    </w:p>
    <w:p>
      <w:pPr>
        <w:pStyle w:val="76"/>
        <w:numPr>
          <w:ilvl w:val="0"/>
          <w:numId w:val="18"/>
        </w:numPr>
        <w:rPr>
          <w:bCs/>
          <w:highlight w:val="yellow"/>
        </w:rPr>
      </w:pPr>
      <w:r>
        <w:rPr>
          <w:rFonts w:hint="eastAsia"/>
          <w:bCs/>
          <w:highlight w:val="yellow"/>
        </w:rPr>
        <w:t>商务条款偏离表；</w:t>
      </w:r>
    </w:p>
    <w:p>
      <w:pPr>
        <w:pStyle w:val="76"/>
        <w:numPr>
          <w:ilvl w:val="0"/>
          <w:numId w:val="18"/>
        </w:numPr>
        <w:rPr>
          <w:bCs/>
          <w:highlight w:val="yellow"/>
        </w:rPr>
      </w:pPr>
      <w:r>
        <w:rPr>
          <w:rFonts w:hint="eastAsia"/>
          <w:bCs/>
          <w:highlight w:val="yellow"/>
        </w:rPr>
        <w:t>投标货物分项报价表；</w:t>
      </w:r>
      <w:r>
        <w:rPr>
          <w:rFonts w:hint="eastAsia"/>
          <w:b/>
          <w:color w:val="FF0000"/>
        </w:rPr>
        <w:t>（视项目具体情况可删除。</w:t>
      </w:r>
      <w:r>
        <w:rPr>
          <w:rFonts w:hint="eastAsia" w:hAnsi="宋体" w:cs="宋体"/>
          <w:b/>
          <w:color w:val="FF0000"/>
          <w:sz w:val="18"/>
          <w:szCs w:val="18"/>
        </w:rPr>
        <w:t>正式标书删除红字内容</w:t>
      </w:r>
      <w:r>
        <w:rPr>
          <w:rFonts w:hint="eastAsia"/>
          <w:b/>
          <w:color w:val="FF0000"/>
        </w:rPr>
        <w:t>）</w:t>
      </w:r>
    </w:p>
    <w:p>
      <w:pPr>
        <w:pStyle w:val="76"/>
        <w:numPr>
          <w:ilvl w:val="0"/>
          <w:numId w:val="18"/>
        </w:numPr>
        <w:rPr>
          <w:bCs/>
        </w:rPr>
      </w:pPr>
      <w:r>
        <w:rPr>
          <w:rFonts w:hint="eastAsia"/>
          <w:bCs/>
          <w:highlight w:val="yellow"/>
        </w:rPr>
        <w:t>备配件目录价格及折扣报价表</w:t>
      </w:r>
    </w:p>
    <w:p>
      <w:pPr>
        <w:pStyle w:val="76"/>
        <w:numPr>
          <w:ilvl w:val="0"/>
          <w:numId w:val="16"/>
        </w:numPr>
        <w:ind w:left="10" w:firstLine="0"/>
        <w:rPr>
          <w:bCs/>
        </w:rPr>
      </w:pPr>
      <w:r>
        <w:rPr>
          <w:rFonts w:hint="eastAsia"/>
          <w:bCs/>
        </w:rPr>
        <w:t>商务报价注意内容：最高投标限价（招标控制价）：人民币</w:t>
      </w:r>
      <w:r>
        <w:rPr>
          <w:rFonts w:hint="eastAsia"/>
          <w:bCs/>
          <w:highlight w:val="yellow"/>
          <w:u w:val="single"/>
        </w:rPr>
        <w:t xml:space="preserve"> </w:t>
      </w:r>
      <w:r>
        <w:rPr>
          <w:rFonts w:hint="eastAsia"/>
          <w:bCs/>
          <w:highlight w:val="yellow"/>
          <w:u w:val="single"/>
          <w:lang w:val="en-US" w:eastAsia="zh-CN"/>
        </w:rPr>
        <w:t>47</w:t>
      </w:r>
      <w:r>
        <w:rPr>
          <w:rFonts w:hint="eastAsia"/>
          <w:bCs/>
          <w:highlight w:val="yellow"/>
          <w:u w:val="single"/>
        </w:rPr>
        <w:t xml:space="preserve"> </w:t>
      </w:r>
      <w:r>
        <w:rPr>
          <w:rFonts w:hint="eastAsia"/>
          <w:bCs/>
        </w:rPr>
        <w:t>万元（含</w:t>
      </w:r>
      <w:r>
        <w:rPr>
          <w:rFonts w:hint="eastAsia"/>
          <w:bCs/>
          <w:highlight w:val="yellow"/>
          <w:u w:val="single"/>
          <w:lang w:val="en-US" w:eastAsia="zh-CN"/>
        </w:rPr>
        <w:t>13</w:t>
      </w:r>
      <w:r>
        <w:rPr>
          <w:rFonts w:hint="eastAsia"/>
          <w:bCs/>
        </w:rPr>
        <w:t>%增值税），超过投标限价无法投标。</w:t>
      </w:r>
    </w:p>
    <w:p>
      <w:pPr>
        <w:pStyle w:val="74"/>
        <w:numPr>
          <w:ilvl w:val="0"/>
          <w:numId w:val="13"/>
        </w:numPr>
        <w:ind w:firstLine="0"/>
        <w:rPr>
          <w:b w:val="0"/>
        </w:rPr>
      </w:pPr>
      <w:r>
        <w:rPr>
          <w:rFonts w:hint="eastAsia"/>
          <w:b w:val="0"/>
        </w:rPr>
        <w:t>投标文件的投递</w:t>
      </w:r>
    </w:p>
    <w:p>
      <w:pPr>
        <w:pStyle w:val="76"/>
        <w:numPr>
          <w:ilvl w:val="0"/>
          <w:numId w:val="0"/>
        </w:numPr>
        <w:ind w:leftChars="0"/>
        <w:rPr>
          <w:rFonts w:hint="eastAsia" w:ascii="宋体" w:hAnsi="Courier New" w:eastAsia="宋体" w:cs="Times New Roman"/>
          <w:bCs/>
          <w:highlight w:val="yellow"/>
          <w:lang w:val="en-US" w:eastAsia="zh-CN"/>
        </w:rPr>
      </w:pPr>
      <w:r>
        <w:rPr>
          <w:rFonts w:hint="eastAsia" w:ascii="宋体" w:hAnsi="Courier New" w:eastAsia="宋体" w:cs="Times New Roman"/>
          <w:bCs/>
          <w:highlight w:val="yellow"/>
          <w:lang w:val="en-US" w:eastAsia="zh-CN"/>
        </w:rPr>
        <w:t>1.投标方式： 在中国重汽e采通平台应标成功后，进入“供应商投标”环节，投递盖章扫描版电子标书（包含资质标书、技术标书、商务标书），若逾期未在中国重汽e采通平台上传电子标书，即便递交了纸版投标文件，一律视为无效。纸质版投标文件的份数要求为正本一份，资质投标书、技术投标书及商务投标书的同类文件封装在一个包封里，包封表面按照附件13标注文件信息；共计三个包封。如选择到场参与开标，自行携带纸质投标文件于开标前至开标地点即可。如选择线上参与开标，纸质投标文件需在开标日前两天，邮寄到指定地址。</w:t>
      </w:r>
    </w:p>
    <w:p>
      <w:pPr>
        <w:pStyle w:val="76"/>
        <w:numPr>
          <w:ilvl w:val="0"/>
          <w:numId w:val="0"/>
        </w:numPr>
        <w:ind w:leftChars="0"/>
        <w:rPr>
          <w:rFonts w:hint="eastAsia" w:ascii="宋体" w:hAnsi="Courier New" w:eastAsia="宋体" w:cs="Times New Roman"/>
          <w:bCs/>
          <w:highlight w:val="yellow"/>
        </w:rPr>
      </w:pPr>
      <w:r>
        <w:rPr>
          <w:rFonts w:hint="eastAsia"/>
          <w:bCs/>
          <w:highlight w:val="yellow"/>
          <w:lang w:val="en-US" w:eastAsia="zh-CN"/>
        </w:rPr>
        <w:t>2.</w:t>
      </w:r>
      <w:r>
        <w:rPr>
          <w:rFonts w:hint="eastAsia"/>
          <w:bCs/>
          <w:highlight w:val="yellow"/>
        </w:rPr>
        <w:t>邮寄地址：</w:t>
      </w:r>
      <w:r>
        <w:rPr>
          <w:rFonts w:hint="eastAsia" w:ascii="宋体" w:hAnsi="Courier New" w:eastAsia="宋体" w:cs="Times New Roman"/>
          <w:bCs/>
          <w:highlight w:val="yellow"/>
        </w:rPr>
        <w:t>山东省济南市历城区华奥路777号</w:t>
      </w:r>
    </w:p>
    <w:p>
      <w:pPr>
        <w:pStyle w:val="76"/>
        <w:numPr>
          <w:ilvl w:val="0"/>
          <w:numId w:val="0"/>
        </w:numPr>
        <w:ind w:leftChars="0"/>
        <w:rPr>
          <w:bCs/>
          <w:highlight w:val="yellow"/>
        </w:rPr>
      </w:pPr>
      <w:r>
        <w:rPr>
          <w:rFonts w:hint="eastAsia"/>
          <w:bCs/>
          <w:highlight w:val="yellow"/>
          <w:lang w:val="en-US" w:eastAsia="zh-CN"/>
        </w:rPr>
        <w:t>3.</w:t>
      </w:r>
      <w:r>
        <w:rPr>
          <w:rFonts w:hint="eastAsia"/>
          <w:bCs/>
          <w:highlight w:val="yellow"/>
        </w:rPr>
        <w:t>联系人及联系方式：</w:t>
      </w:r>
    </w:p>
    <w:p>
      <w:pPr>
        <w:pStyle w:val="76"/>
        <w:numPr>
          <w:ilvl w:val="0"/>
          <w:numId w:val="0"/>
        </w:numPr>
        <w:ind w:leftChars="0"/>
        <w:rPr>
          <w:rFonts w:hint="default" w:eastAsia="宋体"/>
          <w:bCs/>
          <w:lang w:val="en-US" w:eastAsia="zh-CN"/>
        </w:rPr>
      </w:pPr>
      <w:r>
        <w:rPr>
          <w:rFonts w:hint="eastAsia" w:ascii="宋体" w:hAnsi="Courier New" w:eastAsia="宋体" w:cs="Times New Roman"/>
          <w:bCs/>
          <w:highlight w:val="yellow"/>
          <w:lang w:val="en-US" w:eastAsia="zh-CN"/>
        </w:rPr>
        <w:t>4.投标文件递交截止时间：20</w:t>
      </w:r>
      <w:r>
        <w:rPr>
          <w:rFonts w:hint="eastAsia" w:cs="Times New Roman"/>
          <w:bCs/>
          <w:highlight w:val="yellow"/>
          <w:lang w:val="en-US" w:eastAsia="zh-CN"/>
        </w:rPr>
        <w:t>25</w:t>
      </w:r>
      <w:r>
        <w:rPr>
          <w:rFonts w:hint="eastAsia"/>
          <w:bCs/>
          <w:highlight w:val="yellow"/>
        </w:rPr>
        <w:t>年</w:t>
      </w:r>
      <w:r>
        <w:rPr>
          <w:rFonts w:hint="eastAsia"/>
          <w:bCs/>
          <w:highlight w:val="yellow"/>
          <w:lang w:val="en-US" w:eastAsia="zh-CN"/>
        </w:rPr>
        <w:t>10</w:t>
      </w:r>
      <w:r>
        <w:rPr>
          <w:rFonts w:hint="eastAsia"/>
          <w:bCs/>
          <w:highlight w:val="yellow"/>
        </w:rPr>
        <w:t>月</w:t>
      </w:r>
      <w:r>
        <w:rPr>
          <w:rFonts w:hint="eastAsia"/>
          <w:bCs/>
          <w:highlight w:val="yellow"/>
          <w:lang w:val="en-US" w:eastAsia="zh-CN"/>
        </w:rPr>
        <w:t>15</w:t>
      </w:r>
      <w:r>
        <w:rPr>
          <w:rFonts w:hint="eastAsia"/>
          <w:bCs/>
          <w:highlight w:val="yellow"/>
        </w:rPr>
        <w:t>日</w:t>
      </w:r>
      <w:r>
        <w:rPr>
          <w:rFonts w:hint="eastAsia"/>
          <w:bCs/>
          <w:highlight w:val="yellow"/>
          <w:lang w:val="en-US" w:eastAsia="zh-CN"/>
        </w:rPr>
        <w:t>17</w:t>
      </w:r>
      <w:r>
        <w:rPr>
          <w:rFonts w:hint="eastAsia"/>
          <w:bCs/>
          <w:highlight w:val="yellow"/>
        </w:rPr>
        <w:t>:</w:t>
      </w:r>
      <w:r>
        <w:rPr>
          <w:rFonts w:hint="eastAsia"/>
          <w:bCs/>
          <w:highlight w:val="yellow"/>
          <w:lang w:val="en-US" w:eastAsia="zh-CN"/>
        </w:rPr>
        <w:t>00</w:t>
      </w:r>
      <w:r>
        <w:rPr>
          <w:rFonts w:hint="eastAsia"/>
          <w:bCs/>
          <w:highlight w:val="yellow"/>
        </w:rPr>
        <w:t>:</w:t>
      </w:r>
      <w:r>
        <w:rPr>
          <w:rFonts w:hint="eastAsia"/>
          <w:bCs/>
          <w:highlight w:val="yellow"/>
          <w:lang w:val="en-US" w:eastAsia="zh-CN"/>
        </w:rPr>
        <w:t>00</w:t>
      </w:r>
    </w:p>
    <w:p>
      <w:pPr>
        <w:pStyle w:val="73"/>
      </w:pPr>
      <w:bookmarkStart w:id="5" w:name="_Toc47976601"/>
      <w:r>
        <w:rPr>
          <w:rFonts w:hint="eastAsia"/>
        </w:rPr>
        <w:t>投标保证金收取、缴纳有效期及罚没</w:t>
      </w:r>
    </w:p>
    <w:p>
      <w:pPr>
        <w:pStyle w:val="73"/>
        <w:numPr>
          <w:ilvl w:val="0"/>
          <w:numId w:val="19"/>
        </w:numPr>
        <w:rPr>
          <w:rFonts w:hint="eastAsia" w:ascii="宋体" w:hAnsi="宋体" w:eastAsia="宋体" w:cs="宋体"/>
          <w:b w:val="0"/>
          <w:bCs w:val="0"/>
          <w:sz w:val="21"/>
          <w:szCs w:val="21"/>
          <w:u w:val="single"/>
        </w:rPr>
      </w:pPr>
      <w:r>
        <w:rPr>
          <w:rFonts w:hint="eastAsia" w:ascii="宋体" w:hAnsi="宋体" w:eastAsia="宋体" w:cs="宋体"/>
          <w:b w:val="0"/>
          <w:bCs w:val="0"/>
          <w:sz w:val="21"/>
          <w:szCs w:val="21"/>
        </w:rPr>
        <w:t>投标保证金的缴纳</w:t>
      </w:r>
    </w:p>
    <w:p>
      <w:pPr>
        <w:pStyle w:val="73"/>
        <w:numPr>
          <w:ilvl w:val="0"/>
          <w:numId w:val="20"/>
        </w:numPr>
        <w:rPr>
          <w:rFonts w:hint="eastAsia" w:ascii="宋体" w:hAnsi="宋体" w:eastAsia="宋体" w:cs="宋体"/>
          <w:b w:val="0"/>
          <w:bCs w:val="0"/>
          <w:sz w:val="21"/>
          <w:szCs w:val="21"/>
          <w:u w:val="single"/>
        </w:rPr>
      </w:pPr>
      <w:r>
        <w:rPr>
          <w:rFonts w:hint="eastAsia" w:ascii="宋体" w:hAnsi="宋体" w:eastAsia="宋体" w:cs="宋体"/>
          <w:b w:val="0"/>
          <w:bCs w:val="0"/>
          <w:sz w:val="21"/>
          <w:szCs w:val="21"/>
        </w:rPr>
        <w:t>投标保证金的缴纳形式：</w:t>
      </w:r>
      <w:r>
        <w:rPr>
          <w:rFonts w:hint="eastAsia" w:ascii="宋体" w:hAnsi="宋体" w:eastAsia="宋体" w:cs="宋体"/>
          <w:b w:val="0"/>
          <w:bCs w:val="0"/>
          <w:sz w:val="21"/>
          <w:szCs w:val="21"/>
          <w:u w:val="single"/>
        </w:rPr>
        <w:t>提交银行投标保函或从银行基本账户转账</w:t>
      </w:r>
    </w:p>
    <w:p>
      <w:pPr>
        <w:pStyle w:val="73"/>
        <w:numPr>
          <w:ilvl w:val="0"/>
          <w:numId w:val="20"/>
        </w:numPr>
        <w:rPr>
          <w:rFonts w:hint="eastAsia" w:ascii="宋体" w:hAnsi="宋体" w:eastAsia="宋体" w:cs="宋体"/>
          <w:b w:val="0"/>
          <w:bCs w:val="0"/>
          <w:sz w:val="21"/>
          <w:szCs w:val="21"/>
          <w:highlight w:val="yellow"/>
          <w:u w:val="single"/>
        </w:rPr>
      </w:pPr>
      <w:r>
        <w:rPr>
          <w:rFonts w:hint="eastAsia" w:ascii="宋体" w:hAnsi="宋体" w:eastAsia="宋体" w:cs="宋体"/>
          <w:b w:val="0"/>
          <w:bCs w:val="0"/>
          <w:sz w:val="21"/>
          <w:szCs w:val="21"/>
        </w:rPr>
        <w:t>投标保证金的金额：人民币</w:t>
      </w:r>
      <w:r>
        <w:rPr>
          <w:rFonts w:hint="eastAsia" w:ascii="宋体" w:hAnsi="宋体" w:eastAsia="宋体" w:cs="宋体"/>
          <w:b w:val="0"/>
          <w:bCs w:val="0"/>
          <w:sz w:val="21"/>
          <w:szCs w:val="21"/>
          <w:highlight w:val="yellow"/>
          <w:u w:val="single"/>
          <w:lang w:val="en-US" w:eastAsia="zh-CN"/>
        </w:rPr>
        <w:t>5000</w:t>
      </w:r>
      <w:r>
        <w:rPr>
          <w:rFonts w:hint="eastAsia" w:ascii="宋体" w:hAnsi="宋体" w:eastAsia="宋体" w:cs="宋体"/>
          <w:b w:val="0"/>
          <w:bCs w:val="0"/>
          <w:sz w:val="21"/>
          <w:szCs w:val="21"/>
        </w:rPr>
        <w:t>元</w:t>
      </w:r>
    </w:p>
    <w:p>
      <w:pPr>
        <w:pStyle w:val="73"/>
        <w:numPr>
          <w:ilvl w:val="0"/>
          <w:numId w:val="20"/>
        </w:numPr>
        <w:rPr>
          <w:rFonts w:hint="eastAsia"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开户名称：</w:t>
      </w:r>
      <w:r>
        <w:rPr>
          <w:rFonts w:hint="eastAsia" w:ascii="宋体" w:hAnsi="宋体" w:eastAsia="宋体" w:cs="宋体"/>
          <w:b w:val="0"/>
          <w:bCs w:val="0"/>
          <w:sz w:val="21"/>
          <w:szCs w:val="21"/>
          <w:highlight w:val="yellow"/>
          <w:u w:val="single"/>
        </w:rPr>
        <w:t xml:space="preserve">中国重汽集团济南动力有限公司  </w:t>
      </w:r>
    </w:p>
    <w:p>
      <w:pPr>
        <w:tabs>
          <w:tab w:val="left" w:pos="932"/>
        </w:tabs>
        <w:ind w:firstLine="420" w:firstLineChars="20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w:t>
      </w:r>
      <w:r>
        <w:rPr>
          <w:rFonts w:hint="eastAsia" w:ascii="宋体" w:hAnsi="宋体" w:eastAsia="宋体" w:cs="宋体"/>
          <w:b w:val="0"/>
          <w:bCs w:val="0"/>
          <w:kern w:val="2"/>
          <w:sz w:val="21"/>
          <w:szCs w:val="21"/>
          <w:highlight w:val="yellow"/>
          <w:u w:val="single"/>
          <w:lang w:val="en-US" w:eastAsia="zh-CN" w:bidi="ar-SA"/>
        </w:rPr>
        <w:t xml:space="preserve"> 中国建设银行济南市天桥区支行 </w:t>
      </w:r>
    </w:p>
    <w:p>
      <w:pPr>
        <w:pStyle w:val="73"/>
        <w:numPr>
          <w:ilvl w:val="0"/>
          <w:numId w:val="0"/>
        </w:numPr>
        <w:rPr>
          <w:rFonts w:hint="eastAsia" w:ascii="宋体" w:hAnsi="宋体" w:eastAsia="宋体" w:cs="宋体"/>
          <w:b w:val="0"/>
          <w:bCs w:val="0"/>
          <w:kern w:val="2"/>
          <w:sz w:val="21"/>
          <w:szCs w:val="21"/>
          <w:highlight w:val="yellow"/>
          <w:u w:val="single"/>
          <w:lang w:val="en-US" w:eastAsia="zh-CN" w:bidi="ar-SA"/>
        </w:rPr>
      </w:pPr>
      <w:r>
        <w:rPr>
          <w:rFonts w:hint="eastAsia" w:ascii="宋体" w:hAnsi="宋体" w:eastAsia="宋体" w:cs="宋体"/>
          <w:b w:val="0"/>
          <w:bCs w:val="0"/>
          <w:sz w:val="21"/>
          <w:szCs w:val="21"/>
          <w:highlight w:val="yellow"/>
        </w:rPr>
        <w:t>银行帐号：</w:t>
      </w:r>
      <w:r>
        <w:rPr>
          <w:rFonts w:hint="eastAsia" w:ascii="宋体" w:hAnsi="宋体" w:eastAsia="宋体" w:cs="宋体"/>
          <w:b w:val="0"/>
          <w:bCs w:val="0"/>
          <w:kern w:val="2"/>
          <w:sz w:val="21"/>
          <w:szCs w:val="21"/>
          <w:highlight w:val="yellow"/>
          <w:u w:val="single"/>
          <w:lang w:val="en-US" w:eastAsia="zh-CN" w:bidi="ar-SA"/>
        </w:rPr>
        <w:t xml:space="preserve"> 37001616508050150300 </w:t>
      </w:r>
    </w:p>
    <w:p>
      <w:pPr>
        <w:pStyle w:val="73"/>
        <w:numPr>
          <w:ilvl w:val="0"/>
          <w:numId w:val="0"/>
        </w:numPr>
        <w:rPr>
          <w:rFonts w:hint="eastAsia"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开户行联号：</w:t>
      </w:r>
      <w:r>
        <w:rPr>
          <w:rFonts w:hint="eastAsia" w:ascii="宋体" w:hAnsi="宋体" w:eastAsia="宋体" w:cs="宋体"/>
          <w:b w:val="0"/>
          <w:bCs w:val="0"/>
          <w:kern w:val="2"/>
          <w:sz w:val="21"/>
          <w:szCs w:val="21"/>
          <w:highlight w:val="yellow"/>
          <w:u w:val="single"/>
          <w:lang w:val="en-US" w:eastAsia="zh-CN" w:bidi="ar-SA"/>
        </w:rPr>
        <w:t xml:space="preserve">105451000362 </w:t>
      </w:r>
    </w:p>
    <w:p>
      <w:pPr>
        <w:pStyle w:val="76"/>
        <w:numPr>
          <w:ilvl w:val="0"/>
          <w:numId w:val="16"/>
        </w:numPr>
        <w:ind w:left="10" w:firstLine="0"/>
        <w:rPr>
          <w:bCs/>
        </w:rPr>
      </w:pPr>
      <w:r>
        <w:rPr>
          <w:rFonts w:hint="eastAsia"/>
          <w:bCs/>
        </w:rPr>
        <w:t>转账附言：公司名称+项目名称+投标保证金。</w:t>
      </w:r>
    </w:p>
    <w:p>
      <w:pPr>
        <w:pStyle w:val="73"/>
        <w:numPr>
          <w:ilvl w:val="0"/>
          <w:numId w:val="0"/>
        </w:numPr>
        <w:ind w:left="425" w:hanging="425"/>
        <w:rPr>
          <w:rFonts w:hint="eastAsia" w:ascii="宋体" w:hAnsi="宋体" w:eastAsia="宋体" w:cs="宋体"/>
          <w:b w:val="0"/>
          <w:bCs w:val="0"/>
          <w:sz w:val="21"/>
          <w:szCs w:val="21"/>
        </w:rPr>
      </w:pPr>
      <w:r>
        <w:rPr>
          <w:rFonts w:ascii="宋体" w:hAnsi="宋体" w:eastAsia="宋体" w:cs="宋体"/>
          <w:b w:val="0"/>
          <w:bCs w:val="0"/>
          <w:sz w:val="21"/>
          <w:szCs w:val="21"/>
        </w:rPr>
        <w:t>(</w:t>
      </w: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sz w:val="21"/>
          <w:szCs w:val="21"/>
        </w:rPr>
        <w:t>保证金缴纳截止时间：202</w:t>
      </w:r>
      <w:r>
        <w:rPr>
          <w:rFonts w:hint="eastAsia" w:ascii="宋体" w:hAnsi="宋体" w:eastAsia="宋体" w:cs="宋体"/>
          <w:b w:val="0"/>
          <w:bCs w:val="0"/>
          <w:sz w:val="21"/>
          <w:szCs w:val="21"/>
          <w:lang w:val="en-US" w:eastAsia="zh-CN"/>
        </w:rPr>
        <w:t>5</w:t>
      </w:r>
      <w:r>
        <w:rPr>
          <w:rFonts w:hint="eastAsia" w:ascii="宋体" w:hAnsi="宋体" w:eastAsia="宋体" w:cs="宋体"/>
          <w:b w:val="0"/>
          <w:bCs w:val="0"/>
          <w:sz w:val="21"/>
          <w:szCs w:val="21"/>
        </w:rPr>
        <w:t>年</w:t>
      </w:r>
      <w:r>
        <w:rPr>
          <w:rFonts w:hint="eastAsia" w:ascii="宋体" w:hAnsi="宋体" w:eastAsia="宋体" w:cs="宋体"/>
          <w:b w:val="0"/>
          <w:bCs w:val="0"/>
          <w:sz w:val="21"/>
          <w:szCs w:val="21"/>
          <w:lang w:val="en-US" w:eastAsia="zh-CN"/>
        </w:rPr>
        <w:t>10</w:t>
      </w:r>
      <w:r>
        <w:rPr>
          <w:rFonts w:hint="eastAsia" w:ascii="宋体" w:hAnsi="宋体" w:eastAsia="宋体" w:cs="宋体"/>
          <w:b w:val="0"/>
          <w:bCs w:val="0"/>
          <w:sz w:val="21"/>
          <w:szCs w:val="21"/>
        </w:rPr>
        <w:t>月</w:t>
      </w:r>
      <w:r>
        <w:rPr>
          <w:rFonts w:hint="eastAsia" w:ascii="宋体" w:hAnsi="宋体" w:eastAsia="宋体" w:cs="宋体"/>
          <w:b w:val="0"/>
          <w:bCs w:val="0"/>
          <w:sz w:val="21"/>
          <w:szCs w:val="21"/>
          <w:lang w:val="en-US" w:eastAsia="zh-CN"/>
        </w:rPr>
        <w:t>15</w:t>
      </w:r>
      <w:r>
        <w:rPr>
          <w:rFonts w:hint="eastAsia" w:ascii="宋体" w:hAnsi="宋体" w:eastAsia="宋体" w:cs="宋体"/>
          <w:b w:val="0"/>
          <w:bCs w:val="0"/>
          <w:sz w:val="21"/>
          <w:szCs w:val="21"/>
        </w:rPr>
        <w:t>日</w:t>
      </w:r>
      <w:r>
        <w:rPr>
          <w:rFonts w:hint="eastAsia" w:ascii="宋体" w:hAnsi="宋体" w:eastAsia="宋体" w:cs="宋体"/>
          <w:b w:val="0"/>
          <w:bCs w:val="0"/>
          <w:sz w:val="21"/>
          <w:szCs w:val="21"/>
          <w:lang w:val="en-US" w:eastAsia="zh-CN"/>
        </w:rPr>
        <w:t>17</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00</w:t>
      </w:r>
      <w:r>
        <w:rPr>
          <w:rFonts w:hint="eastAsia" w:ascii="宋体" w:hAnsi="宋体" w:eastAsia="宋体" w:cs="宋体"/>
          <w:b w:val="0"/>
          <w:bCs w:val="0"/>
          <w:sz w:val="21"/>
          <w:szCs w:val="21"/>
        </w:rPr>
        <w:t>前</w:t>
      </w:r>
    </w:p>
    <w:p>
      <w:pPr>
        <w:pStyle w:val="73"/>
        <w:numPr>
          <w:ilvl w:val="0"/>
          <w:numId w:val="19"/>
        </w:numPr>
        <w:ind w:left="0" w:firstLine="0"/>
        <w:rPr>
          <w:rFonts w:hint="eastAsia" w:ascii="宋体" w:hAnsi="宋体" w:eastAsia="宋体" w:cs="宋体"/>
          <w:b w:val="0"/>
          <w:bCs w:val="0"/>
          <w:sz w:val="21"/>
          <w:szCs w:val="21"/>
        </w:rPr>
      </w:pPr>
      <w:r>
        <w:rPr>
          <w:rFonts w:hint="eastAsia" w:ascii="宋体" w:hAnsi="宋体" w:eastAsia="宋体" w:cs="宋体"/>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pPr>
        <w:pStyle w:val="73"/>
        <w:numPr>
          <w:ilvl w:val="0"/>
          <w:numId w:val="19"/>
        </w:numPr>
        <w:ind w:left="0" w:firstLine="0"/>
        <w:rPr>
          <w:rFonts w:hint="eastAsia" w:ascii="宋体" w:hAnsi="宋体" w:eastAsia="仿宋_GB2312" w:cs="宋体"/>
          <w:b w:val="0"/>
          <w:bCs w:val="0"/>
          <w:sz w:val="24"/>
          <w:szCs w:val="24"/>
        </w:rPr>
      </w:pPr>
      <w:r>
        <w:rPr>
          <w:rFonts w:hint="eastAsia" w:ascii="宋体" w:hAnsi="宋体" w:eastAsia="宋体" w:cs="宋体"/>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pPr>
        <w:pStyle w:val="73"/>
        <w:numPr>
          <w:ilvl w:val="0"/>
          <w:numId w:val="19"/>
        </w:numPr>
        <w:ind w:left="0" w:firstLine="0"/>
        <w:rPr>
          <w:rFonts w:hint="eastAsia" w:ascii="宋体" w:hAnsi="宋体" w:eastAsia="仿宋_GB2312" w:cs="宋体"/>
          <w:b w:val="0"/>
          <w:bCs w:val="0"/>
          <w:sz w:val="24"/>
          <w:szCs w:val="24"/>
        </w:rPr>
      </w:pPr>
      <w:r>
        <w:rPr>
          <w:rFonts w:hint="eastAsia" w:ascii="宋体" w:hAnsi="宋体" w:eastAsia="宋体" w:cs="宋体"/>
          <w:b w:val="0"/>
          <w:bCs w:val="0"/>
          <w:sz w:val="21"/>
          <w:szCs w:val="21"/>
        </w:rPr>
        <w:t>对于没有中标的投标人，投标保证金将于招标人内部完成中标人评审并确认最终中标人后在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45</w:t>
      </w:r>
      <w:r>
        <w:rPr>
          <w:rFonts w:hint="eastAsia" w:ascii="宋体" w:hAnsi="宋体" w:eastAsia="宋体" w:cs="宋体"/>
          <w:b w:val="0"/>
          <w:bCs w:val="0"/>
          <w:sz w:val="21"/>
          <w:szCs w:val="21"/>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45</w:t>
      </w:r>
      <w:r>
        <w:rPr>
          <w:rFonts w:hint="eastAsia" w:ascii="宋体" w:hAnsi="宋体" w:eastAsia="宋体" w:cs="宋体"/>
          <w:b w:val="0"/>
          <w:bCs w:val="0"/>
          <w:sz w:val="21"/>
          <w:szCs w:val="21"/>
        </w:rPr>
        <w:t>个工作日内原路返还（无息）。</w:t>
      </w:r>
    </w:p>
    <w:p>
      <w:pPr>
        <w:pStyle w:val="73"/>
        <w:numPr>
          <w:ilvl w:val="0"/>
          <w:numId w:val="19"/>
        </w:numPr>
        <w:ind w:left="0" w:firstLine="0"/>
        <w:rPr>
          <w:rFonts w:hint="eastAsia" w:ascii="宋体" w:hAnsi="宋体" w:eastAsia="仿宋_GB2312" w:cs="宋体"/>
          <w:b w:val="0"/>
          <w:bCs w:val="0"/>
          <w:sz w:val="24"/>
          <w:szCs w:val="24"/>
        </w:rPr>
      </w:pPr>
      <w:r>
        <w:rPr>
          <w:rFonts w:hint="eastAsia" w:ascii="宋体" w:hAnsi="宋体" w:eastAsia="宋体" w:cs="宋体"/>
          <w:b w:val="0"/>
          <w:bCs w:val="0"/>
          <w:sz w:val="21"/>
          <w:szCs w:val="21"/>
        </w:rPr>
        <w:t>发生以下情况时，有权没收保证金：</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①供应商在提交响应文件截止时间后撤回响应文件的；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②供应商在响应文件中提供虚假材料的；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③除因不可抗力或谈判文件、询价通知书认可的情形以外，成交供应商不与采购人签订合同的；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④供应商与采购人、其他供应商或者采购代理机构恶意串通、围标、陪标的；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⑥截至开标前3天，投标人无正当理由、未以书面形式向招标人递交说明而在投标截止日不来投标的。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⑦自中标通知书发出之日起30日内，中标人无正当理由投标人无正当签订合同的；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⑧采购文件规定的其他情形。</w:t>
      </w:r>
    </w:p>
    <w:bookmarkEnd w:id="5"/>
    <w:p>
      <w:pPr>
        <w:pStyle w:val="73"/>
      </w:pPr>
      <w:r>
        <w:rPr>
          <w:rFonts w:hint="eastAsia"/>
        </w:rPr>
        <w:t>开评标</w:t>
      </w:r>
    </w:p>
    <w:p>
      <w:pPr>
        <w:pStyle w:val="73"/>
        <w:numPr>
          <w:ilvl w:val="0"/>
          <w:numId w:val="21"/>
        </w:numPr>
        <w:ind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w:t>
      </w:r>
      <w:r>
        <w:rPr>
          <w:rFonts w:hint="eastAsia" w:ascii="宋体" w:hAnsi="宋体" w:eastAsia="宋体" w:cs="宋体"/>
          <w:b w:val="0"/>
          <w:bCs w:val="0"/>
          <w:sz w:val="21"/>
          <w:szCs w:val="21"/>
          <w:highlight w:val="yellow"/>
          <w:lang w:val="en-US" w:eastAsia="zh-CN"/>
        </w:rPr>
        <w:t>2025年10月16日</w:t>
      </w:r>
    </w:p>
    <w:p>
      <w:pPr>
        <w:pStyle w:val="73"/>
        <w:numPr>
          <w:ilvl w:val="0"/>
          <w:numId w:val="21"/>
        </w:numPr>
        <w:ind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开标地点：</w:t>
      </w:r>
      <w:r>
        <w:rPr>
          <w:rFonts w:hint="eastAsia" w:ascii="宋体" w:hAnsi="宋体" w:eastAsia="宋体" w:cs="宋体"/>
          <w:b w:val="0"/>
          <w:bCs w:val="0"/>
          <w:sz w:val="21"/>
          <w:szCs w:val="21"/>
          <w:highlight w:val="yellow"/>
          <w:lang w:val="en-US" w:eastAsia="zh-CN"/>
        </w:rPr>
        <w:t>中国重汽科技大厦3楼303会议室</w:t>
      </w:r>
    </w:p>
    <w:p>
      <w:pPr>
        <w:pStyle w:val="73"/>
        <w:numPr>
          <w:ilvl w:val="0"/>
          <w:numId w:val="21"/>
        </w:numPr>
        <w:ind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开标方式：</w:t>
      </w:r>
      <w:r>
        <w:rPr>
          <w:rFonts w:hint="eastAsia" w:ascii="宋体" w:hAnsi="宋体" w:eastAsia="宋体" w:cs="宋体"/>
          <w:b w:val="0"/>
          <w:bCs w:val="0"/>
          <w:sz w:val="21"/>
          <w:szCs w:val="21"/>
          <w:highlight w:val="yellow"/>
          <w:lang w:val="en-US" w:eastAsia="zh-CN"/>
        </w:rPr>
        <w:t>线下</w:t>
      </w:r>
      <w:bookmarkStart w:id="1182" w:name="_GoBack"/>
      <w:bookmarkEnd w:id="1182"/>
    </w:p>
    <w:p>
      <w:pPr>
        <w:numPr>
          <w:ilvl w:val="0"/>
          <w:numId w:val="22"/>
        </w:numPr>
        <w:spacing w:line="360" w:lineRule="auto"/>
        <w:ind w:left="11" w:firstLine="0"/>
        <w:rPr>
          <w:rFonts w:hint="eastAsia" w:ascii="宋体" w:hAnsi="宋体" w:cs="宋体"/>
          <w:color w:val="000000"/>
          <w:szCs w:val="21"/>
        </w:rPr>
      </w:pPr>
      <w:r>
        <w:rPr>
          <w:rFonts w:hint="eastAsia" w:ascii="宋体" w:hAnsi="Courier New"/>
          <w:bCs/>
        </w:rPr>
        <w:t>现场招</w:t>
      </w:r>
      <w:r>
        <w:rPr>
          <w:rFonts w:hint="eastAsia" w:ascii="宋体" w:hAnsi="宋体" w:cs="宋体"/>
          <w:szCs w:val="21"/>
        </w:rPr>
        <w:t>标：</w:t>
      </w:r>
      <w:r>
        <w:rPr>
          <w:rFonts w:hint="eastAsia" w:ascii="宋体" w:hAnsi="宋体" w:cs="宋体"/>
          <w:color w:val="000000"/>
          <w:szCs w:val="21"/>
        </w:rPr>
        <w:t>原则上来现场参与开标。如因特殊情况无法现场参与，需在开标前三日，通知招标人，由招标人创建视频链接，并在报名结束后统一通知。</w:t>
      </w:r>
    </w:p>
    <w:p>
      <w:pPr>
        <w:pStyle w:val="73"/>
        <w:numPr>
          <w:ilvl w:val="0"/>
          <w:numId w:val="22"/>
        </w:numPr>
        <w:ind w:left="11" w:firstLine="0"/>
        <w:rPr>
          <w:rFonts w:hint="eastAsia" w:ascii="宋体" w:hAnsi="宋体" w:eastAsia="宋体" w:cs="宋体"/>
          <w:color w:val="000000"/>
          <w:sz w:val="21"/>
          <w:szCs w:val="21"/>
        </w:rPr>
      </w:pPr>
      <w:r>
        <w:rPr>
          <w:rFonts w:hint="eastAsia" w:ascii="宋体" w:eastAsia="宋体"/>
          <w:b w:val="0"/>
          <w:sz w:val="21"/>
        </w:rPr>
        <w:t>线上招标：</w:t>
      </w:r>
      <w:r>
        <w:rPr>
          <w:rFonts w:hint="eastAsia" w:ascii="宋体" w:hAnsi="宋体" w:eastAsia="宋体" w:cs="宋体"/>
          <w:b w:val="0"/>
          <w:bCs w:val="0"/>
          <w:sz w:val="21"/>
          <w:szCs w:val="21"/>
        </w:rPr>
        <w:t>因招标人原因，允许各投标方通过视频会议等形式线上招标，所需过程资料均通过e采通进行提报，由</w:t>
      </w:r>
      <w:r>
        <w:rPr>
          <w:rFonts w:hint="eastAsia" w:ascii="宋体" w:hAnsi="宋体" w:eastAsia="宋体" w:cs="宋体"/>
          <w:color w:val="000000"/>
          <w:sz w:val="21"/>
          <w:szCs w:val="21"/>
        </w:rPr>
        <w:t>招标人创建视频链接，并在报名结束后统一通知。</w:t>
      </w:r>
    </w:p>
    <w:p>
      <w:pPr>
        <w:pStyle w:val="73"/>
        <w:numPr>
          <w:ilvl w:val="0"/>
          <w:numId w:val="0"/>
        </w:numPr>
        <w:ind w:left="59"/>
        <w:rPr>
          <w:rFonts w:hint="eastAsia" w:ascii="宋体" w:hAnsi="宋体" w:eastAsia="宋体" w:cs="宋体"/>
          <w:color w:val="000000"/>
          <w:sz w:val="21"/>
          <w:szCs w:val="21"/>
        </w:rPr>
      </w:pPr>
      <w:r>
        <w:rPr>
          <w:rFonts w:hint="eastAsia" w:ascii="宋体" w:hAnsi="宋体" w:eastAsia="宋体" w:cs="宋体"/>
          <w:color w:val="FF0000"/>
          <w:sz w:val="21"/>
          <w:szCs w:val="21"/>
        </w:rPr>
        <w:t>注：开标方式仅可根据项目情况从上选择一条保留至正式标书</w:t>
      </w:r>
      <w:r>
        <w:rPr>
          <w:rFonts w:hint="eastAsia" w:ascii="宋体" w:hAnsi="宋体" w:eastAsia="宋体" w:cs="宋体"/>
          <w:color w:val="FF0000"/>
          <w:sz w:val="18"/>
          <w:szCs w:val="18"/>
        </w:rPr>
        <w:t>（正式标书删除红字内容）</w:t>
      </w:r>
    </w:p>
    <w:p>
      <w:pPr>
        <w:pStyle w:val="73"/>
        <w:numPr>
          <w:ilvl w:val="0"/>
          <w:numId w:val="21"/>
        </w:numPr>
        <w:ind w:firstLine="0"/>
        <w:rPr>
          <w:rFonts w:hint="eastAsia" w:ascii="宋体" w:hAnsi="宋体" w:eastAsia="宋体" w:cs="宋体"/>
          <w:b w:val="0"/>
          <w:bCs w:val="0"/>
          <w:sz w:val="21"/>
          <w:szCs w:val="21"/>
        </w:rPr>
      </w:pPr>
      <w:r>
        <w:rPr>
          <w:rFonts w:hint="eastAsia" w:ascii="宋体" w:hAnsi="宋体" w:eastAsia="宋体" w:cs="宋体"/>
          <w:b w:val="0"/>
          <w:bCs w:val="0"/>
          <w:sz w:val="21"/>
          <w:szCs w:val="21"/>
        </w:rPr>
        <w:t>评标</w:t>
      </w:r>
    </w:p>
    <w:p>
      <w:pPr>
        <w:pStyle w:val="73"/>
        <w:numPr>
          <w:ilvl w:val="0"/>
          <w:numId w:val="23"/>
        </w:numPr>
        <w:ind w:left="0"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评标方法</w:t>
      </w:r>
    </w:p>
    <w:p>
      <w:pPr>
        <w:pStyle w:val="76"/>
        <w:numPr>
          <w:ilvl w:val="0"/>
          <w:numId w:val="16"/>
        </w:numPr>
        <w:ind w:left="10" w:firstLine="0"/>
        <w:rPr>
          <w:bCs/>
        </w:rPr>
      </w:pPr>
      <w:r>
        <w:rPr>
          <w:rFonts w:hint="eastAsia"/>
          <w:bCs/>
        </w:rPr>
        <w:t>评标方法（合理最低价中标）</w:t>
      </w:r>
    </w:p>
    <w:p>
      <w:pPr>
        <w:pStyle w:val="73"/>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本次招标采用技术标入围后，原则上合理最低价中标。本着公平、公正、公开的原则，在通过技术标综合评审后入围的前提下，选择合理最低价确定中标人，对未中标单位不做任何解释。</w:t>
      </w:r>
    </w:p>
    <w:p>
      <w:pPr>
        <w:pStyle w:val="76"/>
        <w:numPr>
          <w:ilvl w:val="0"/>
          <w:numId w:val="16"/>
        </w:numPr>
        <w:ind w:left="10" w:firstLine="0"/>
        <w:rPr>
          <w:bCs/>
        </w:rPr>
      </w:pPr>
      <w:r>
        <w:rPr>
          <w:rFonts w:hint="eastAsia"/>
          <w:bCs/>
        </w:rPr>
        <w:t>评标方法（综合评分法）</w:t>
      </w:r>
    </w:p>
    <w:p>
      <w:pPr>
        <w:pStyle w:val="73"/>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本次招标采用综合评分法评标，即在最大限度地满足招标文件实质性要求的前提下，按照评分标准中规定的评分因素和评分细则进行综合评价、评分。</w:t>
      </w:r>
    </w:p>
    <w:p>
      <w:pPr>
        <w:pStyle w:val="73"/>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评标委员会各成员独立对每一份有效投标文件进行评价并对除报价以外的评分项目进行评分，报价得分由工作人员通过计算得出。</w:t>
      </w:r>
    </w:p>
    <w:p>
      <w:pPr>
        <w:pStyle w:val="73"/>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投标人得分＝∑评委评价得分/评委人数＋商务标得分</w:t>
      </w:r>
    </w:p>
    <w:p>
      <w:pPr>
        <w:pStyle w:val="73"/>
        <w:numPr>
          <w:ilvl w:val="0"/>
          <w:numId w:val="0"/>
        </w:numPr>
        <w:ind w:left="59"/>
        <w:rPr>
          <w:rFonts w:hint="eastAsia" w:ascii="宋体" w:hAnsi="宋体" w:eastAsia="宋体" w:cs="宋体"/>
          <w:b w:val="0"/>
          <w:bCs w:val="0"/>
          <w:sz w:val="21"/>
          <w:szCs w:val="21"/>
        </w:rPr>
      </w:pPr>
      <w:r>
        <w:rPr>
          <w:rFonts w:hint="eastAsia" w:ascii="宋体" w:hAnsi="宋体" w:eastAsia="宋体" w:cs="宋体"/>
          <w:color w:val="FF0000"/>
          <w:sz w:val="21"/>
          <w:szCs w:val="21"/>
        </w:rPr>
        <w:t>注：评标方法仅可根据项目情况从上选择一条保留至正式标书</w:t>
      </w:r>
      <w:r>
        <w:rPr>
          <w:rFonts w:hint="eastAsia" w:ascii="宋体" w:hAnsi="宋体" w:eastAsia="宋体" w:cs="宋体"/>
          <w:color w:val="FF0000"/>
          <w:sz w:val="18"/>
          <w:szCs w:val="18"/>
        </w:rPr>
        <w:t>（正式标书删除红字内容）</w:t>
      </w:r>
    </w:p>
    <w:p>
      <w:pPr>
        <w:pStyle w:val="73"/>
        <w:numPr>
          <w:ilvl w:val="0"/>
          <w:numId w:val="23"/>
        </w:numPr>
        <w:ind w:left="0" w:firstLine="0"/>
        <w:rPr>
          <w:rFonts w:hint="eastAsia" w:ascii="宋体" w:hAnsi="宋体" w:eastAsia="宋体" w:cs="宋体"/>
          <w:b w:val="0"/>
          <w:bCs w:val="0"/>
          <w:sz w:val="21"/>
          <w:szCs w:val="21"/>
        </w:rPr>
      </w:pPr>
      <w:r>
        <w:rPr>
          <w:rFonts w:hint="eastAsia" w:ascii="宋体" w:hAnsi="宋体" w:eastAsia="宋体" w:cs="宋体"/>
          <w:b w:val="0"/>
          <w:bCs w:val="0"/>
          <w:sz w:val="21"/>
          <w:szCs w:val="21"/>
        </w:rPr>
        <w:t>评标流程</w:t>
      </w:r>
    </w:p>
    <w:p>
      <w:pPr>
        <w:numPr>
          <w:ilvl w:val="0"/>
          <w:numId w:val="24"/>
        </w:numPr>
        <w:spacing w:line="360" w:lineRule="auto"/>
        <w:rPr>
          <w:rFonts w:hint="eastAsia"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按照第一部分第四条投标文件编制资格证明文件中的1.1-1.11准备资料，上传完毕后，等待审核</w:t>
      </w:r>
      <w:r>
        <w:rPr>
          <w:rFonts w:hint="eastAsia" w:ascii="宋体" w:hAnsi="宋体" w:cs="宋体"/>
          <w:b/>
          <w:color w:val="000000"/>
          <w:szCs w:val="21"/>
        </w:rPr>
        <w:t>；</w:t>
      </w:r>
    </w:p>
    <w:p>
      <w:pPr>
        <w:numPr>
          <w:ilvl w:val="0"/>
          <w:numId w:val="24"/>
        </w:numPr>
        <w:spacing w:line="360" w:lineRule="auto"/>
        <w:rPr>
          <w:rFonts w:hint="eastAsia"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pPr>
        <w:numPr>
          <w:ilvl w:val="0"/>
          <w:numId w:val="24"/>
        </w:numPr>
        <w:spacing w:line="360" w:lineRule="auto"/>
        <w:rPr>
          <w:rFonts w:hint="eastAsia"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pPr>
        <w:numPr>
          <w:ilvl w:val="0"/>
          <w:numId w:val="24"/>
        </w:numPr>
        <w:spacing w:line="360" w:lineRule="auto"/>
        <w:rPr>
          <w:rFonts w:hint="eastAsia"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pPr>
        <w:numPr>
          <w:ilvl w:val="0"/>
          <w:numId w:val="24"/>
        </w:numPr>
        <w:spacing w:line="360" w:lineRule="auto"/>
        <w:rPr>
          <w:rFonts w:hint="eastAsia" w:ascii="宋体" w:hAnsi="宋体" w:cs="宋体"/>
          <w:b/>
          <w:bCs/>
          <w:color w:val="000000"/>
          <w:szCs w:val="21"/>
        </w:rPr>
      </w:pPr>
      <w:r>
        <w:rPr>
          <w:rFonts w:hint="eastAsia" w:ascii="宋体" w:hAnsi="宋体" w:cs="宋体"/>
          <w:b/>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pPr>
        <w:numPr>
          <w:ilvl w:val="0"/>
          <w:numId w:val="24"/>
        </w:numPr>
        <w:spacing w:line="360" w:lineRule="auto"/>
        <w:rPr>
          <w:rFonts w:hint="eastAsia" w:ascii="宋体" w:hAnsi="宋体" w:cs="宋体"/>
          <w:b/>
          <w:bCs/>
          <w:color w:val="000000"/>
          <w:szCs w:val="21"/>
        </w:rPr>
      </w:pPr>
      <w:r>
        <w:rPr>
          <w:rFonts w:hint="eastAsia" w:ascii="宋体" w:hAnsi="宋体" w:cs="宋体"/>
          <w:b/>
          <w:bCs/>
          <w:color w:val="000000"/>
          <w:szCs w:val="21"/>
        </w:rPr>
        <w:t>商务标评审：商务条款相应确认→价格澄清→商务标评审；评审期间产生的商务价格澄清均由投标人在重汽e采通平台限时内完成提交；</w:t>
      </w:r>
    </w:p>
    <w:p>
      <w:pPr>
        <w:pStyle w:val="76"/>
        <w:numPr>
          <w:ilvl w:val="0"/>
          <w:numId w:val="16"/>
        </w:numPr>
        <w:ind w:left="10" w:firstLine="0"/>
        <w:rPr>
          <w:b/>
        </w:rPr>
      </w:pPr>
      <w:r>
        <w:rPr>
          <w:rFonts w:hint="eastAsia"/>
          <w:b/>
        </w:rPr>
        <w:t>注意：投标人均需要自带笔记本电脑在重汽e采通进行自主投标和提交澄清函；投标和提交澄清函均有时间限制，超时未提交的按无效处理。</w:t>
      </w:r>
    </w:p>
    <w:p>
      <w:pPr>
        <w:pStyle w:val="73"/>
        <w:numPr>
          <w:ilvl w:val="0"/>
          <w:numId w:val="23"/>
        </w:numPr>
        <w:ind w:left="0"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评分标准</w:t>
      </w:r>
    </w:p>
    <w:p>
      <w:pPr>
        <w:pStyle w:val="11"/>
        <w:rPr>
          <w:rFonts w:hint="eastAsia" w:ascii="宋体" w:hAnsi="宋体" w:cs="宋体"/>
          <w:szCs w:val="21"/>
        </w:rPr>
      </w:pPr>
      <w:r>
        <w:rPr>
          <w:rFonts w:hint="eastAsia" w:ascii="宋体" w:hAnsi="宋体" w:cs="宋体"/>
          <w:b/>
          <w:bCs/>
          <w:color w:val="FF0000"/>
          <w:szCs w:val="21"/>
        </w:rPr>
        <w:t>注：采用合理最低价中标评标方法，技术标总分100分；采用综合评分法技术标+商务标共计100分。</w:t>
      </w:r>
    </w:p>
    <w:p>
      <w:pPr>
        <w:pStyle w:val="73"/>
      </w:pPr>
      <w:r>
        <w:rPr>
          <w:rFonts w:hint="eastAsia"/>
        </w:rPr>
        <w:t>定标</w:t>
      </w:r>
    </w:p>
    <w:p>
      <w:pPr>
        <w:pStyle w:val="73"/>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highlight w:val="yellow"/>
          <w:u w:val="single"/>
        </w:rPr>
        <w:t xml:space="preserve"> </w:t>
      </w:r>
      <w:r>
        <w:rPr>
          <w:rFonts w:hint="eastAsia" w:ascii="宋体" w:hAnsi="宋体" w:eastAsia="宋体" w:cs="宋体"/>
          <w:b w:val="0"/>
          <w:bCs w:val="0"/>
          <w:sz w:val="21"/>
          <w:szCs w:val="21"/>
          <w:highlight w:val="yellow"/>
          <w:u w:val="single"/>
          <w:lang w:val="en-US" w:eastAsia="zh-CN"/>
        </w:rPr>
        <w:t>1</w:t>
      </w:r>
      <w:r>
        <w:rPr>
          <w:rFonts w:hint="eastAsia" w:ascii="宋体" w:hAnsi="宋体" w:eastAsia="宋体" w:cs="宋体"/>
          <w:b w:val="0"/>
          <w:bCs w:val="0"/>
          <w:sz w:val="21"/>
          <w:szCs w:val="21"/>
          <w:highlight w:val="yellow"/>
          <w:u w:val="single"/>
        </w:rPr>
        <w:t xml:space="preserve">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pPr>
        <w:pStyle w:val="73"/>
      </w:pPr>
      <w:r>
        <w:rPr>
          <w:rFonts w:hint="eastAsia"/>
        </w:rPr>
        <w:t>废标及终止招标</w:t>
      </w:r>
    </w:p>
    <w:p>
      <w:pPr>
        <w:spacing w:line="360" w:lineRule="auto"/>
        <w:rPr>
          <w:rFonts w:hint="eastAsia"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left="425" w:right="2" w:hanging="425"/>
        <w:rPr>
          <w:rFonts w:hint="eastAsia"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pPr>
        <w:spacing w:line="360" w:lineRule="auto"/>
        <w:ind w:left="425" w:right="2" w:hanging="425"/>
        <w:rPr>
          <w:rFonts w:hint="eastAsia"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pPr>
        <w:spacing w:line="360" w:lineRule="auto"/>
        <w:ind w:left="425" w:right="2" w:hanging="425"/>
        <w:rPr>
          <w:rFonts w:hint="eastAsia"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pPr>
        <w:pStyle w:val="2"/>
        <w:spacing w:line="360" w:lineRule="auto"/>
        <w:ind w:left="425" w:hanging="425"/>
        <w:rPr>
          <w:rFonts w:hint="eastAsia" w:hAnsi="宋体" w:cs="宋体"/>
          <w:szCs w:val="21"/>
        </w:rPr>
      </w:pPr>
      <w:r>
        <w:rPr>
          <w:rFonts w:hAnsi="宋体" w:cs="宋体"/>
          <w:szCs w:val="21"/>
        </w:rPr>
        <w:t>(</w:t>
      </w:r>
      <w:r>
        <w:rPr>
          <w:rFonts w:hint="eastAsia" w:hAnsi="宋体" w:cs="宋体"/>
          <w:szCs w:val="21"/>
          <w:lang w:val="en-US" w:eastAsia="zh-CN"/>
        </w:rPr>
        <w:t>4</w:t>
      </w:r>
      <w:r>
        <w:rPr>
          <w:rFonts w:hAnsi="宋体" w:cs="宋体"/>
          <w:szCs w:val="21"/>
        </w:rPr>
        <w:t>)</w:t>
      </w:r>
      <w:r>
        <w:rPr>
          <w:rFonts w:hint="eastAsia" w:hAnsi="宋体" w:cs="宋体"/>
          <w:color w:val="000000"/>
          <w:szCs w:val="21"/>
        </w:rPr>
        <w:t>投标人被举报、检举，并经招标人查实无误的；</w:t>
      </w:r>
    </w:p>
    <w:p>
      <w:pPr>
        <w:spacing w:line="360" w:lineRule="auto"/>
        <w:ind w:left="425" w:right="2" w:hanging="425"/>
        <w:rPr>
          <w:rFonts w:hint="eastAsia" w:ascii="宋体" w:hAnsi="宋体" w:cs="宋体"/>
          <w:color w:val="000000"/>
          <w:szCs w:val="21"/>
        </w:rPr>
      </w:pPr>
      <w:r>
        <w:rPr>
          <w:rFonts w:ascii="宋体" w:hAnsi="宋体" w:cs="宋体"/>
          <w:color w:val="000000"/>
          <w:szCs w:val="21"/>
        </w:rPr>
        <w:t>(</w:t>
      </w:r>
      <w:r>
        <w:rPr>
          <w:rFonts w:hint="eastAsia" w:ascii="宋体" w:hAnsi="宋体" w:cs="宋体"/>
          <w:color w:val="000000"/>
          <w:szCs w:val="21"/>
          <w:lang w:val="en-US" w:eastAsia="zh-CN"/>
        </w:rPr>
        <w:t>5</w:t>
      </w:r>
      <w:r>
        <w:rPr>
          <w:rFonts w:ascii="宋体" w:hAnsi="宋体" w:cs="宋体"/>
          <w:color w:val="000000"/>
          <w:szCs w:val="21"/>
        </w:rPr>
        <w:t>)</w:t>
      </w:r>
      <w:r>
        <w:rPr>
          <w:rFonts w:hint="eastAsia" w:ascii="宋体" w:hAnsi="宋体" w:cs="宋体"/>
          <w:color w:val="000000"/>
          <w:szCs w:val="21"/>
        </w:rPr>
        <w:t>以他人名义投标或者以其他方式弄虚作假，骗取中标的；</w:t>
      </w:r>
    </w:p>
    <w:p>
      <w:pPr>
        <w:spacing w:line="360" w:lineRule="auto"/>
        <w:ind w:left="425" w:right="2" w:hanging="425"/>
        <w:rPr>
          <w:rFonts w:hint="eastAsia" w:ascii="宋体" w:hAnsi="宋体" w:cs="宋体"/>
          <w:szCs w:val="21"/>
        </w:rPr>
      </w:pPr>
      <w:r>
        <w:rPr>
          <w:rFonts w:ascii="宋体" w:hAnsi="宋体" w:cs="宋体"/>
          <w:szCs w:val="21"/>
        </w:rPr>
        <w:t>(</w:t>
      </w:r>
      <w:r>
        <w:rPr>
          <w:rFonts w:hint="eastAsia" w:ascii="宋体" w:hAnsi="宋体" w:cs="宋体"/>
          <w:szCs w:val="21"/>
          <w:lang w:val="en-US" w:eastAsia="zh-CN"/>
        </w:rPr>
        <w:t>6</w:t>
      </w:r>
      <w:r>
        <w:rPr>
          <w:rFonts w:ascii="宋体" w:hAnsi="宋体" w:cs="宋体"/>
          <w:szCs w:val="21"/>
        </w:rPr>
        <w:t>)</w:t>
      </w:r>
      <w:r>
        <w:rPr>
          <w:rFonts w:hint="eastAsia" w:ascii="宋体" w:hAnsi="宋体" w:cs="宋体"/>
          <w:szCs w:val="21"/>
        </w:rPr>
        <w:t>不同投标人的投标文件异常一致或者投标报价呈规律性差异的；</w:t>
      </w:r>
    </w:p>
    <w:p>
      <w:pPr>
        <w:spacing w:line="360" w:lineRule="auto"/>
        <w:ind w:left="425" w:right="2" w:hanging="425"/>
        <w:rPr>
          <w:rFonts w:hint="eastAsia" w:ascii="宋体" w:hAnsi="宋体" w:cs="宋体"/>
          <w:szCs w:val="21"/>
        </w:rPr>
      </w:pPr>
      <w:r>
        <w:rPr>
          <w:rFonts w:ascii="宋体" w:hAnsi="宋体" w:cs="宋体"/>
          <w:szCs w:val="21"/>
        </w:rPr>
        <w:t>(</w:t>
      </w:r>
      <w:r>
        <w:rPr>
          <w:rFonts w:hint="eastAsia" w:ascii="宋体" w:hAnsi="宋体" w:cs="宋体"/>
          <w:szCs w:val="21"/>
          <w:lang w:val="en-US" w:eastAsia="zh-CN"/>
        </w:rPr>
        <w:t>7</w:t>
      </w:r>
      <w:r>
        <w:rPr>
          <w:rFonts w:ascii="宋体" w:hAnsi="宋体" w:cs="宋体"/>
          <w:szCs w:val="21"/>
        </w:rPr>
        <w:t>)</w:t>
      </w:r>
      <w:r>
        <w:rPr>
          <w:rFonts w:hint="eastAsia" w:ascii="宋体" w:hAnsi="宋体" w:cs="宋体"/>
          <w:szCs w:val="21"/>
        </w:rPr>
        <w:t>投标人报价均超过最高限价的；</w:t>
      </w:r>
    </w:p>
    <w:p>
      <w:pPr>
        <w:spacing w:line="360" w:lineRule="auto"/>
        <w:ind w:left="425" w:right="2" w:hanging="425"/>
        <w:rPr>
          <w:rFonts w:hint="eastAsia" w:ascii="宋体" w:hAnsi="宋体" w:cs="宋体"/>
          <w:color w:val="000000"/>
          <w:szCs w:val="21"/>
        </w:rPr>
      </w:pPr>
      <w:r>
        <w:rPr>
          <w:rFonts w:ascii="宋体" w:hAnsi="宋体" w:cs="宋体"/>
          <w:color w:val="000000"/>
          <w:szCs w:val="21"/>
        </w:rPr>
        <w:t>(</w:t>
      </w:r>
      <w:r>
        <w:rPr>
          <w:rFonts w:hint="eastAsia" w:ascii="宋体" w:hAnsi="宋体" w:cs="宋体"/>
          <w:color w:val="000000"/>
          <w:szCs w:val="21"/>
          <w:lang w:val="en-US" w:eastAsia="zh-CN"/>
        </w:rPr>
        <w:t>8</w:t>
      </w:r>
      <w:r>
        <w:rPr>
          <w:rFonts w:ascii="宋体" w:hAnsi="宋体" w:cs="宋体"/>
          <w:color w:val="000000"/>
          <w:szCs w:val="21"/>
        </w:rPr>
        <w:t>)</w:t>
      </w:r>
      <w:r>
        <w:rPr>
          <w:rFonts w:hint="eastAsia" w:ascii="宋体" w:hAnsi="宋体" w:cs="宋体"/>
          <w:color w:val="000000"/>
          <w:szCs w:val="21"/>
        </w:rPr>
        <w:t>未按要求填报商务报价资料，对招标开展造成较大影响；</w:t>
      </w:r>
    </w:p>
    <w:p>
      <w:pPr>
        <w:spacing w:line="360" w:lineRule="auto"/>
        <w:ind w:left="425" w:right="2" w:hanging="425"/>
        <w:rPr>
          <w:rFonts w:hint="eastAsia" w:ascii="宋体" w:hAnsi="宋体" w:cs="宋体"/>
          <w:color w:val="000000"/>
          <w:szCs w:val="21"/>
        </w:rPr>
      </w:pPr>
      <w:r>
        <w:rPr>
          <w:rFonts w:ascii="宋体" w:hAnsi="宋体" w:cs="宋体"/>
          <w:color w:val="000000"/>
          <w:szCs w:val="21"/>
        </w:rPr>
        <w:t>(</w:t>
      </w:r>
      <w:r>
        <w:rPr>
          <w:rFonts w:hint="eastAsia" w:ascii="宋体" w:hAnsi="宋体" w:cs="宋体"/>
          <w:color w:val="000000"/>
          <w:szCs w:val="21"/>
          <w:lang w:val="en-US" w:eastAsia="zh-CN"/>
        </w:rPr>
        <w:t>9</w:t>
      </w:r>
      <w:r>
        <w:rPr>
          <w:rFonts w:ascii="宋体" w:hAnsi="宋体" w:cs="宋体"/>
          <w:color w:val="000000"/>
          <w:szCs w:val="21"/>
        </w:rPr>
        <w:t>)</w:t>
      </w:r>
      <w:r>
        <w:rPr>
          <w:rFonts w:hint="eastAsia" w:ascii="宋体" w:hAnsi="宋体" w:cs="宋体"/>
          <w:szCs w:val="21"/>
        </w:rPr>
        <w:t>未按照招标人规定的时间内在中国重汽e采通完成投标的；</w:t>
      </w:r>
    </w:p>
    <w:p>
      <w:pPr>
        <w:spacing w:line="360" w:lineRule="auto"/>
        <w:ind w:left="425" w:right="2" w:hanging="425"/>
        <w:rPr>
          <w:rFonts w:hint="eastAsia" w:ascii="宋体" w:hAnsi="宋体" w:cs="宋体"/>
          <w:color w:val="000000"/>
          <w:szCs w:val="21"/>
        </w:rPr>
      </w:pPr>
      <w:r>
        <w:rPr>
          <w:rFonts w:ascii="宋体" w:hAnsi="宋体" w:cs="宋体"/>
          <w:color w:val="000000"/>
          <w:szCs w:val="21"/>
        </w:rPr>
        <w:t>(1</w:t>
      </w:r>
      <w:r>
        <w:rPr>
          <w:rFonts w:hint="eastAsia" w:ascii="宋体" w:hAnsi="宋体" w:cs="宋体"/>
          <w:color w:val="000000"/>
          <w:szCs w:val="21"/>
          <w:lang w:val="en-US" w:eastAsia="zh-CN"/>
        </w:rPr>
        <w:t>0</w:t>
      </w:r>
      <w:r>
        <w:rPr>
          <w:rFonts w:ascii="宋体" w:hAnsi="宋体" w:cs="宋体"/>
          <w:color w:val="000000"/>
          <w:szCs w:val="21"/>
        </w:rPr>
        <w:t>)</w:t>
      </w:r>
      <w:r>
        <w:rPr>
          <w:rFonts w:hint="eastAsia" w:ascii="宋体" w:hAnsi="宋体" w:cs="宋体"/>
          <w:color w:val="000000"/>
          <w:szCs w:val="21"/>
        </w:rPr>
        <w:t>法律、法规规定的其他情况。</w:t>
      </w:r>
    </w:p>
    <w:p>
      <w:pPr>
        <w:spacing w:line="360" w:lineRule="auto"/>
        <w:ind w:left="425" w:right="2" w:hanging="425"/>
        <w:rPr>
          <w:rFonts w:hint="eastAsia"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pPr>
        <w:spacing w:line="360" w:lineRule="auto"/>
        <w:ind w:left="425" w:right="2" w:hanging="425"/>
        <w:rPr>
          <w:rFonts w:hint="eastAsia" w:ascii="宋体" w:hAnsi="宋体" w:cs="宋体"/>
          <w:szCs w:val="21"/>
        </w:rPr>
      </w:pPr>
      <w:r>
        <w:rPr>
          <w:rFonts w:ascii="宋体" w:hAnsi="宋体" w:cs="宋体"/>
          <w:szCs w:val="21"/>
        </w:rPr>
        <w:t>(</w:t>
      </w:r>
      <w:r>
        <w:rPr>
          <w:rFonts w:hint="eastAsia" w:ascii="宋体" w:hAnsi="宋体" w:cs="宋体"/>
          <w:szCs w:val="21"/>
          <w:lang w:val="en-US" w:eastAsia="zh-CN"/>
        </w:rPr>
        <w:t>1</w:t>
      </w:r>
      <w:r>
        <w:rPr>
          <w:rFonts w:ascii="宋体" w:hAnsi="宋体" w:cs="宋体"/>
          <w:szCs w:val="21"/>
        </w:rPr>
        <w:t>)</w:t>
      </w:r>
      <w:r>
        <w:rPr>
          <w:rFonts w:hint="eastAsia" w:ascii="宋体" w:hAnsi="宋体" w:cs="宋体"/>
          <w:szCs w:val="21"/>
        </w:rPr>
        <w:t>出现影响采购公正的违法、违规行为的；</w:t>
      </w:r>
    </w:p>
    <w:p>
      <w:pPr>
        <w:spacing w:line="360" w:lineRule="auto"/>
        <w:ind w:left="425" w:right="2" w:hanging="425"/>
        <w:rPr>
          <w:rFonts w:hint="eastAsia" w:ascii="宋体" w:hAnsi="宋体" w:cs="宋体"/>
          <w:bCs/>
          <w:szCs w:val="21"/>
        </w:rPr>
      </w:pPr>
      <w:r>
        <w:rPr>
          <w:rFonts w:ascii="宋体" w:hAnsi="宋体" w:cs="宋体"/>
          <w:bCs/>
          <w:szCs w:val="21"/>
        </w:rPr>
        <w:t>(</w:t>
      </w:r>
      <w:r>
        <w:rPr>
          <w:rFonts w:hint="eastAsia" w:ascii="宋体" w:hAnsi="宋体" w:cs="宋体"/>
          <w:bCs/>
          <w:szCs w:val="21"/>
          <w:lang w:val="en-US" w:eastAsia="zh-CN"/>
        </w:rPr>
        <w:t>2</w:t>
      </w:r>
      <w:r>
        <w:rPr>
          <w:rFonts w:ascii="宋体" w:hAnsi="宋体" w:cs="宋体"/>
          <w:bCs/>
          <w:szCs w:val="21"/>
        </w:rPr>
        <w:t>)</w:t>
      </w:r>
      <w:r>
        <w:rPr>
          <w:rFonts w:hint="eastAsia" w:ascii="宋体" w:hAnsi="宋体" w:cs="宋体"/>
          <w:bCs/>
          <w:szCs w:val="21"/>
        </w:rPr>
        <w:t>评标委员会经评审，认为所有投标都不符合招标文件要求的；</w:t>
      </w:r>
    </w:p>
    <w:p>
      <w:pPr>
        <w:spacing w:line="360" w:lineRule="auto"/>
        <w:ind w:left="425" w:right="2" w:hanging="425"/>
        <w:rPr>
          <w:rFonts w:hint="eastAsia" w:ascii="宋体" w:hAnsi="宋体" w:cs="宋体"/>
          <w:bCs/>
          <w:szCs w:val="21"/>
        </w:rPr>
      </w:pPr>
      <w:r>
        <w:rPr>
          <w:rFonts w:ascii="宋体" w:hAnsi="宋体" w:cs="宋体"/>
          <w:bCs/>
          <w:szCs w:val="21"/>
        </w:rPr>
        <w:t>(</w:t>
      </w:r>
      <w:r>
        <w:rPr>
          <w:rFonts w:hint="eastAsia" w:ascii="宋体" w:hAnsi="宋体" w:cs="宋体"/>
          <w:bCs/>
          <w:szCs w:val="21"/>
          <w:lang w:val="en-US" w:eastAsia="zh-CN"/>
        </w:rPr>
        <w:t>3</w:t>
      </w:r>
      <w:r>
        <w:rPr>
          <w:rFonts w:ascii="宋体" w:hAnsi="宋体" w:cs="宋体"/>
          <w:bCs/>
          <w:szCs w:val="21"/>
        </w:rPr>
        <w:t>)</w:t>
      </w:r>
      <w:r>
        <w:rPr>
          <w:rFonts w:hint="eastAsia" w:ascii="宋体" w:hAnsi="宋体" w:cs="宋体"/>
          <w:bCs/>
          <w:szCs w:val="21"/>
        </w:rPr>
        <w:t>因重大变故，采购任务取消的</w:t>
      </w:r>
      <w:bookmarkStart w:id="6" w:name="OLE_LINK26"/>
      <w:bookmarkStart w:id="7" w:name="OLE_LINK27"/>
      <w:bookmarkStart w:id="8" w:name="OLE_LINK25"/>
      <w:bookmarkStart w:id="9" w:name="OLE_LINK28"/>
      <w:bookmarkStart w:id="10" w:name="OLE_LINK29"/>
      <w:r>
        <w:rPr>
          <w:rFonts w:hint="eastAsia" w:ascii="宋体" w:hAnsi="宋体" w:cs="宋体"/>
          <w:bCs/>
          <w:szCs w:val="21"/>
        </w:rPr>
        <w:t>；</w:t>
      </w:r>
      <w:bookmarkEnd w:id="6"/>
      <w:bookmarkEnd w:id="7"/>
      <w:bookmarkEnd w:id="8"/>
      <w:bookmarkEnd w:id="9"/>
      <w:bookmarkEnd w:id="10"/>
    </w:p>
    <w:p>
      <w:pPr>
        <w:pStyle w:val="2"/>
        <w:spacing w:line="360" w:lineRule="auto"/>
        <w:ind w:left="425" w:hanging="425"/>
        <w:rPr>
          <w:rFonts w:hint="eastAsia" w:hAnsi="宋体" w:cs="宋体"/>
          <w:bCs/>
          <w:szCs w:val="21"/>
        </w:rPr>
      </w:pPr>
      <w:r>
        <w:rPr>
          <w:rFonts w:hAnsi="宋体" w:cs="宋体"/>
          <w:bCs/>
          <w:szCs w:val="21"/>
        </w:rPr>
        <w:t>(</w:t>
      </w:r>
      <w:r>
        <w:rPr>
          <w:rFonts w:hint="eastAsia" w:hAnsi="宋体" w:cs="宋体"/>
          <w:bCs/>
          <w:szCs w:val="21"/>
          <w:lang w:val="en-US" w:eastAsia="zh-CN"/>
        </w:rPr>
        <w:t>4</w:t>
      </w:r>
      <w:r>
        <w:rPr>
          <w:rFonts w:hAnsi="宋体" w:cs="宋体"/>
          <w:bCs/>
          <w:szCs w:val="21"/>
        </w:rPr>
        <w:t>)</w:t>
      </w:r>
      <w:r>
        <w:rPr>
          <w:rFonts w:hint="eastAsia" w:hAnsi="宋体" w:cs="宋体"/>
          <w:bCs/>
          <w:szCs w:val="21"/>
        </w:rPr>
        <w:t>招标人认为其他应终止招标的情形。</w:t>
      </w:r>
    </w:p>
    <w:p>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3"/>
      </w:pPr>
      <w:r>
        <w:rPr>
          <w:rFonts w:hint="eastAsia"/>
        </w:rPr>
        <w:t>合同签订</w:t>
      </w:r>
    </w:p>
    <w:p>
      <w:pPr>
        <w:spacing w:line="360" w:lineRule="auto"/>
        <w:rPr>
          <w:rFonts w:hint="eastAsia"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pPr>
        <w:spacing w:line="360" w:lineRule="auto"/>
        <w:rPr>
          <w:rFonts w:hint="eastAsia"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pPr>
        <w:spacing w:line="360" w:lineRule="auto"/>
        <w:rPr>
          <w:rFonts w:hint="eastAsia"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pPr>
        <w:spacing w:line="360" w:lineRule="auto"/>
        <w:rPr>
          <w:rFonts w:hint="eastAsia"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pPr>
        <w:spacing w:line="360" w:lineRule="auto"/>
        <w:rPr>
          <w:rFonts w:hint="eastAsia" w:ascii="宋体" w:hAnsi="宋体" w:cs="宋体"/>
          <w:color w:val="000000"/>
          <w:szCs w:val="21"/>
        </w:rPr>
      </w:pPr>
      <w:r>
        <w:rPr>
          <w:rFonts w:hint="eastAsia" w:ascii="宋体" w:hAnsi="宋体" w:cs="宋体"/>
          <w:b/>
          <w:szCs w:val="21"/>
        </w:rPr>
        <w:t>5.合同以双方最终签署的版本为准。</w:t>
      </w:r>
    </w:p>
    <w:p>
      <w:pPr>
        <w:pStyle w:val="73"/>
      </w:pPr>
      <w:r>
        <w:rPr>
          <w:rFonts w:hint="eastAsia"/>
        </w:rPr>
        <w:t>交货及付款</w:t>
      </w:r>
    </w:p>
    <w:p>
      <w:pPr>
        <w:pStyle w:val="73"/>
        <w:numPr>
          <w:ilvl w:val="0"/>
          <w:numId w:val="25"/>
        </w:numP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交货期：</w:t>
      </w:r>
      <w:r>
        <w:rPr>
          <w:rFonts w:hint="eastAsia" w:ascii="宋体" w:hAnsi="宋体" w:eastAsia="宋体" w:cs="宋体"/>
          <w:b w:val="0"/>
          <w:bCs w:val="0"/>
          <w:sz w:val="21"/>
          <w:szCs w:val="21"/>
          <w:highlight w:val="yellow"/>
          <w:lang w:val="en-US" w:eastAsia="zh-CN"/>
        </w:rPr>
        <w:t xml:space="preserve"> </w:t>
      </w:r>
      <w:r>
        <w:rPr>
          <w:rFonts w:hint="eastAsia" w:ascii="宋体" w:hAnsi="宋体" w:eastAsia="宋体" w:cs="宋体"/>
          <w:b w:val="0"/>
          <w:bCs w:val="0"/>
          <w:sz w:val="21"/>
          <w:szCs w:val="21"/>
          <w:highlight w:val="yellow"/>
        </w:rPr>
        <w:t>自合同签定生效之日起，</w:t>
      </w:r>
      <w:r>
        <w:rPr>
          <w:rFonts w:hint="eastAsia" w:ascii="宋体" w:hAnsi="宋体" w:eastAsia="宋体" w:cs="宋体"/>
          <w:b w:val="0"/>
          <w:bCs w:val="0"/>
          <w:sz w:val="21"/>
          <w:szCs w:val="21"/>
          <w:highlight w:val="yellow"/>
          <w:lang w:val="en-US" w:eastAsia="zh-CN"/>
        </w:rPr>
        <w:t>30</w:t>
      </w:r>
      <w:r>
        <w:rPr>
          <w:rFonts w:hint="eastAsia" w:ascii="宋体" w:hAnsi="宋体" w:eastAsia="宋体" w:cs="宋体"/>
          <w:b w:val="0"/>
          <w:bCs w:val="0"/>
          <w:sz w:val="21"/>
          <w:szCs w:val="21"/>
          <w:highlight w:val="yellow"/>
        </w:rPr>
        <w:t>个日历日之内</w:t>
      </w:r>
      <w:r>
        <w:rPr>
          <w:rFonts w:hint="eastAsia" w:ascii="宋体" w:hAnsi="宋体" w:eastAsia="宋体" w:cs="宋体"/>
          <w:b w:val="0"/>
          <w:bCs w:val="0"/>
          <w:sz w:val="21"/>
          <w:szCs w:val="21"/>
          <w:highlight w:val="yellow"/>
          <w:lang w:eastAsia="zh-CN"/>
        </w:rPr>
        <w:t>设备</w:t>
      </w:r>
      <w:r>
        <w:rPr>
          <w:rFonts w:hint="eastAsia" w:ascii="宋体" w:hAnsi="宋体" w:eastAsia="宋体" w:cs="宋体"/>
          <w:b w:val="0"/>
          <w:bCs w:val="0"/>
          <w:sz w:val="21"/>
          <w:szCs w:val="21"/>
          <w:highlight w:val="yellow"/>
        </w:rPr>
        <w:t>交货至供货地点</w:t>
      </w:r>
      <w:r>
        <w:rPr>
          <w:rFonts w:hint="eastAsia" w:ascii="宋体" w:hAnsi="宋体" w:eastAsia="宋体" w:cs="宋体"/>
          <w:b w:val="0"/>
          <w:bCs w:val="0"/>
          <w:sz w:val="21"/>
          <w:szCs w:val="21"/>
          <w:highlight w:val="yellow"/>
          <w:lang w:eastAsia="zh-CN"/>
        </w:rPr>
        <w:t>；</w:t>
      </w:r>
      <w:r>
        <w:rPr>
          <w:rFonts w:hint="eastAsia" w:ascii="宋体" w:hAnsi="宋体" w:eastAsia="宋体" w:cs="宋体"/>
          <w:b w:val="0"/>
          <w:bCs w:val="0"/>
          <w:sz w:val="21"/>
          <w:szCs w:val="21"/>
          <w:highlight w:val="yellow"/>
        </w:rPr>
        <w:t xml:space="preserve">连续 </w:t>
      </w:r>
      <w:r>
        <w:rPr>
          <w:rFonts w:hint="eastAsia" w:ascii="宋体" w:hAnsi="宋体" w:eastAsia="宋体" w:cs="宋体"/>
          <w:b w:val="0"/>
          <w:bCs w:val="0"/>
          <w:sz w:val="21"/>
          <w:szCs w:val="21"/>
          <w:highlight w:val="yellow"/>
          <w:lang w:val="en-US" w:eastAsia="zh-CN"/>
        </w:rPr>
        <w:t>30</w:t>
      </w:r>
      <w:r>
        <w:rPr>
          <w:rFonts w:hint="eastAsia" w:ascii="宋体" w:hAnsi="宋体" w:eastAsia="宋体" w:cs="宋体"/>
          <w:b w:val="0"/>
          <w:bCs w:val="0"/>
          <w:sz w:val="21"/>
          <w:szCs w:val="21"/>
          <w:highlight w:val="yellow"/>
        </w:rPr>
        <w:t>个日历日之内安装调试完毕</w:t>
      </w:r>
      <w:r>
        <w:rPr>
          <w:rFonts w:hint="eastAsia" w:ascii="宋体" w:hAnsi="宋体" w:eastAsia="宋体" w:cs="宋体"/>
          <w:b w:val="0"/>
          <w:bCs w:val="0"/>
          <w:sz w:val="21"/>
          <w:szCs w:val="21"/>
          <w:highlight w:val="yellow"/>
          <w:lang w:eastAsia="zh-CN"/>
        </w:rPr>
        <w:t>。</w:t>
      </w:r>
      <w:r>
        <w:rPr>
          <w:rFonts w:hint="eastAsia" w:ascii="宋体" w:hAnsi="宋体" w:eastAsia="宋体" w:cs="宋体"/>
          <w:b w:val="0"/>
          <w:bCs w:val="0"/>
          <w:sz w:val="21"/>
          <w:szCs w:val="21"/>
          <w:highlight w:val="yellow"/>
        </w:rPr>
        <w:t>安装调试工期超过</w:t>
      </w:r>
      <w:r>
        <w:rPr>
          <w:rFonts w:hint="eastAsia" w:ascii="宋体" w:hAnsi="宋体" w:eastAsia="宋体" w:cs="宋体"/>
          <w:b w:val="0"/>
          <w:bCs w:val="0"/>
          <w:sz w:val="21"/>
          <w:szCs w:val="21"/>
          <w:highlight w:val="yellow"/>
          <w:lang w:val="en-US" w:eastAsia="zh-CN"/>
        </w:rPr>
        <w:t>规定时间</w:t>
      </w:r>
      <w:r>
        <w:rPr>
          <w:rFonts w:hint="eastAsia" w:ascii="宋体" w:hAnsi="宋体" w:eastAsia="宋体" w:cs="宋体"/>
          <w:b w:val="0"/>
          <w:bCs w:val="0"/>
          <w:sz w:val="21"/>
          <w:szCs w:val="21"/>
          <w:highlight w:val="yellow"/>
        </w:rPr>
        <w:t>的，投标人应当随标书提供详细的工期计划</w:t>
      </w:r>
    </w:p>
    <w:p>
      <w:pPr>
        <w:pStyle w:val="73"/>
        <w:numPr>
          <w:ilvl w:val="0"/>
          <w:numId w:val="25"/>
        </w:numP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交货地点：</w:t>
      </w:r>
      <w:r>
        <w:rPr>
          <w:rFonts w:hint="eastAsia" w:ascii="宋体" w:hAnsi="宋体" w:eastAsia="宋体" w:cs="宋体"/>
          <w:b w:val="0"/>
          <w:bCs w:val="0"/>
          <w:sz w:val="21"/>
          <w:szCs w:val="21"/>
          <w:highlight w:val="yellow"/>
          <w:lang w:val="en-US" w:eastAsia="zh-CN"/>
        </w:rPr>
        <w:t>重汽集团数据中心机房2层托管区。</w:t>
      </w:r>
    </w:p>
    <w:p>
      <w:pPr>
        <w:pStyle w:val="73"/>
        <w:numPr>
          <w:ilvl w:val="0"/>
          <w:numId w:val="25"/>
        </w:numPr>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交货方式：</w:t>
      </w:r>
      <w:r>
        <w:rPr>
          <w:rFonts w:hint="eastAsia" w:ascii="宋体" w:hAnsi="宋体" w:eastAsia="宋体" w:cs="宋体"/>
          <w:b w:val="0"/>
          <w:bCs w:val="0"/>
          <w:sz w:val="21"/>
          <w:szCs w:val="21"/>
          <w:highlight w:val="yellow"/>
          <w:lang w:val="en-US" w:eastAsia="zh-CN"/>
        </w:rPr>
        <w:t>交钥匙方式</w:t>
      </w:r>
    </w:p>
    <w:p>
      <w:pPr>
        <w:pStyle w:val="73"/>
        <w:numPr>
          <w:ilvl w:val="0"/>
          <w:numId w:val="25"/>
        </w:numP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付款方式：</w:t>
      </w:r>
    </w:p>
    <w:p>
      <w:pPr>
        <w:pStyle w:val="73"/>
        <w:numPr>
          <w:ilvl w:val="0"/>
          <w:numId w:val="26"/>
        </w:numPr>
        <w:tabs>
          <w:tab w:val="clear" w:pos="-108"/>
        </w:tabs>
        <w:ind w:left="59"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半年期商业汇票（包括银行承兑汇票和商业承兑汇票）；</w:t>
      </w:r>
      <w:r>
        <w:rPr>
          <w:rFonts w:hint="eastAsia" w:ascii="宋体" w:hAnsi="宋体" w:eastAsia="宋体" w:cs="宋体"/>
          <w:color w:val="FF0000"/>
          <w:sz w:val="21"/>
          <w:szCs w:val="21"/>
          <w:highlight w:val="yellow"/>
        </w:rPr>
        <w:t>（5万元以上包括5万元）</w:t>
      </w:r>
    </w:p>
    <w:p>
      <w:pPr>
        <w:pStyle w:val="73"/>
        <w:numPr>
          <w:ilvl w:val="0"/>
          <w:numId w:val="0"/>
        </w:numPr>
        <w:ind w:left="59"/>
        <w:rPr>
          <w:rFonts w:hint="eastAsia" w:ascii="宋体" w:hAnsi="宋体" w:eastAsia="宋体" w:cs="宋体"/>
          <w:color w:val="FF0000"/>
          <w:sz w:val="21"/>
          <w:szCs w:val="21"/>
        </w:rPr>
      </w:pPr>
      <w:r>
        <w:rPr>
          <w:rFonts w:hint="eastAsia" w:ascii="宋体" w:hAnsi="宋体" w:eastAsia="宋体" w:cs="宋体"/>
          <w:color w:val="FF0000"/>
          <w:sz w:val="21"/>
          <w:szCs w:val="21"/>
        </w:rPr>
        <w:t>注：付款方式仅可根据项目情况从上选择一条保留至正式标书</w:t>
      </w:r>
      <w:r>
        <w:rPr>
          <w:rFonts w:hint="eastAsia" w:ascii="宋体" w:hAnsi="宋体" w:eastAsia="宋体" w:cs="宋体"/>
          <w:color w:val="FF0000"/>
          <w:sz w:val="18"/>
          <w:szCs w:val="18"/>
        </w:rPr>
        <w:t>（正式标书删除红字内容）</w:t>
      </w:r>
    </w:p>
    <w:p>
      <w:pPr>
        <w:pStyle w:val="73"/>
        <w:numPr>
          <w:ilvl w:val="0"/>
          <w:numId w:val="0"/>
        </w:numPr>
        <w:ind w:left="425" w:hanging="425"/>
        <w:rPr>
          <w:rFonts w:hint="eastAsia" w:ascii="宋体" w:hAnsi="宋体" w:eastAsia="宋体" w:cs="宋体"/>
          <w:b w:val="0"/>
          <w:bCs w:val="0"/>
          <w:sz w:val="21"/>
          <w:szCs w:val="21"/>
        </w:rPr>
      </w:pPr>
      <w:r>
        <w:rPr>
          <w:rFonts w:hint="eastAsia" w:ascii="宋体" w:hAnsi="宋体" w:eastAsia="宋体" w:cs="宋体"/>
          <w:b w:val="0"/>
          <w:bCs w:val="0"/>
          <w:sz w:val="21"/>
          <w:szCs w:val="21"/>
        </w:rPr>
        <w:t>5</w:t>
      </w:r>
      <w:r>
        <w:rPr>
          <w:rFonts w:ascii="宋体" w:hAnsi="宋体" w:eastAsia="宋体" w:cs="宋体"/>
          <w:b w:val="0"/>
          <w:bCs w:val="0"/>
          <w:sz w:val="21"/>
          <w:szCs w:val="21"/>
          <w:highlight w:val="yellow"/>
        </w:rPr>
        <w:t>.</w:t>
      </w:r>
      <w:r>
        <w:rPr>
          <w:rFonts w:hint="eastAsia" w:ascii="宋体" w:hAnsi="宋体" w:eastAsia="宋体" w:cs="宋体"/>
          <w:b w:val="0"/>
          <w:bCs w:val="0"/>
          <w:sz w:val="21"/>
          <w:szCs w:val="21"/>
          <w:highlight w:val="yellow"/>
        </w:rPr>
        <w:t>付款节点：</w:t>
      </w:r>
    </w:p>
    <w:p>
      <w:pPr>
        <w:pStyle w:val="63"/>
        <w:snapToGrid w:val="0"/>
        <w:spacing w:line="360" w:lineRule="auto"/>
        <w:ind w:firstLine="0" w:firstLineChars="0"/>
        <w:jc w:val="left"/>
        <w:rPr>
          <w:rFonts w:hint="eastAsia" w:ascii="宋体" w:hAnsi="宋体" w:cs="宋体"/>
          <w:szCs w:val="21"/>
        </w:rPr>
      </w:pPr>
      <w:r>
        <w:rPr>
          <w:rFonts w:hint="eastAsia" w:ascii="宋体" w:hAnsi="宋体" w:cs="宋体"/>
          <w:szCs w:val="21"/>
          <w:highlight w:val="yellow"/>
        </w:rPr>
        <w:t>9：1：</w:t>
      </w:r>
      <w:r>
        <w:rPr>
          <w:rFonts w:hint="eastAsia" w:ascii="宋体" w:hAnsi="宋体" w:cs="宋体"/>
          <w:szCs w:val="21"/>
        </w:rPr>
        <w:t>乙方完成甲方的需求，乙方开具合同价款90%的收据并100%的增值税专用发票，经甲方核对无误后支付90%。质保金10%在质保期届满后开具合同价款10%的收据后支付。</w:t>
      </w:r>
    </w:p>
    <w:p>
      <w:pPr>
        <w:pStyle w:val="73"/>
      </w:pPr>
      <w:r>
        <w:rPr>
          <w:rFonts w:hint="eastAsia"/>
        </w:rPr>
        <w:t>质保金</w:t>
      </w:r>
    </w:p>
    <w:p>
      <w:pPr>
        <w:pStyle w:val="73"/>
        <w:numPr>
          <w:ilvl w:val="0"/>
          <w:numId w:val="0"/>
        </w:numPr>
        <w:ind w:leftChars="0"/>
        <w:rPr>
          <w:rFonts w:hint="eastAsia" w:ascii="宋体" w:hAnsi="宋体" w:eastAsia="宋体" w:cs="宋体"/>
          <w:b w:val="0"/>
          <w:bCs w:val="0"/>
          <w:kern w:val="2"/>
          <w:sz w:val="21"/>
          <w:szCs w:val="21"/>
          <w:lang w:val="en-US" w:eastAsia="zh-CN" w:bidi="ar-SA"/>
        </w:rPr>
      </w:pPr>
      <w:r>
        <w:rPr>
          <w:rFonts w:hint="eastAsia" w:ascii="仿宋_GB2312" w:hAnsi="仿宋_GB2312" w:eastAsia="仿宋_GB2312" w:cs="仿宋_GB2312"/>
          <w:color w:val="000000"/>
          <w:sz w:val="24"/>
          <w:szCs w:val="24"/>
          <w:highlight w:val="yellow"/>
        </w:rPr>
        <w:t>合同总价款的10%作为本合同约定设备的质量保证金，质量保证金在质量保证期内不计利息。待每套合同设备质量保证期满，中标人向招标人提交金额为合同价款</w:t>
      </w:r>
      <w:r>
        <w:rPr>
          <w:rFonts w:hint="eastAsia" w:ascii="仿宋_GB2312" w:hAnsi="仿宋_GB2312" w:eastAsia="仿宋_GB2312" w:cs="仿宋_GB2312"/>
          <w:b/>
          <w:bCs/>
          <w:color w:val="000000"/>
          <w:sz w:val="24"/>
          <w:szCs w:val="24"/>
          <w:highlight w:val="yellow"/>
        </w:rPr>
        <w:t>10%</w:t>
      </w:r>
      <w:r>
        <w:rPr>
          <w:rFonts w:hint="eastAsia" w:ascii="仿宋_GB2312" w:hAnsi="仿宋_GB2312" w:eastAsia="仿宋_GB2312" w:cs="仿宋_GB2312"/>
          <w:color w:val="000000"/>
          <w:sz w:val="24"/>
          <w:szCs w:val="24"/>
          <w:highlight w:val="yellow"/>
        </w:rPr>
        <w:t>的收据（正本一份，复印件二份）及设备使用单位的使用情况说明，经招标人依照财务制度审核无误后</w:t>
      </w:r>
      <w:r>
        <w:rPr>
          <w:rFonts w:hint="eastAsia" w:ascii="仿宋_GB2312" w:hAnsi="仿宋_GB2312" w:eastAsia="仿宋_GB2312" w:cs="仿宋_GB2312"/>
          <w:color w:val="000000"/>
          <w:sz w:val="24"/>
          <w:szCs w:val="24"/>
          <w:highlight w:val="yellow"/>
          <w:lang w:val="en-US" w:eastAsia="zh-CN"/>
        </w:rPr>
        <w:t>支付</w:t>
      </w:r>
      <w:r>
        <w:rPr>
          <w:rFonts w:hint="eastAsia" w:ascii="仿宋_GB2312" w:hAnsi="仿宋_GB2312" w:eastAsia="仿宋_GB2312" w:cs="仿宋_GB2312"/>
          <w:color w:val="000000"/>
          <w:sz w:val="24"/>
          <w:szCs w:val="24"/>
          <w:highlight w:val="yellow"/>
        </w:rPr>
        <w:t>。如有质量问题，质量保证金予以相应扣除</w:t>
      </w:r>
      <w:r>
        <w:rPr>
          <w:rFonts w:hint="eastAsia" w:ascii="宋体" w:hAnsi="宋体" w:eastAsia="宋体" w:cs="宋体"/>
          <w:b w:val="0"/>
          <w:bCs w:val="0"/>
          <w:kern w:val="2"/>
          <w:sz w:val="21"/>
          <w:szCs w:val="21"/>
          <w:lang w:val="en-US" w:eastAsia="zh-CN" w:bidi="ar-SA"/>
        </w:rPr>
        <w:t>。</w:t>
      </w:r>
    </w:p>
    <w:p>
      <w:pPr>
        <w:pStyle w:val="73"/>
      </w:pPr>
      <w:r>
        <w:rPr>
          <w:rFonts w:hint="eastAsia"/>
        </w:rPr>
        <w:t>本次招标最终解释权归中国重汽集团</w:t>
      </w:r>
      <w:r>
        <w:rPr>
          <w:rFonts w:hint="eastAsia"/>
          <w:u w:val="single"/>
          <w:lang w:val="en-US" w:eastAsia="zh-CN"/>
        </w:rPr>
        <w:t>济南动力</w:t>
      </w:r>
      <w:r>
        <w:rPr>
          <w:rFonts w:hint="eastAsia"/>
        </w:rPr>
        <w:t>有限公司。</w:t>
      </w:r>
    </w:p>
    <w:p>
      <w:pPr>
        <w:pStyle w:val="72"/>
        <w:jc w:val="both"/>
      </w:pPr>
      <w:bookmarkStart w:id="11" w:name="_Toc47976607"/>
    </w:p>
    <w:p>
      <w:pPr>
        <w:pStyle w:val="72"/>
        <w:jc w:val="both"/>
      </w:pPr>
    </w:p>
    <w:p>
      <w:pPr>
        <w:pStyle w:val="72"/>
        <w:jc w:val="both"/>
      </w:pPr>
    </w:p>
    <w:p>
      <w:pPr>
        <w:pStyle w:val="72"/>
        <w:jc w:val="both"/>
      </w:pPr>
    </w:p>
    <w:p>
      <w:pPr>
        <w:pStyle w:val="72"/>
        <w:jc w:val="both"/>
      </w:pPr>
    </w:p>
    <w:p>
      <w:pPr>
        <w:pStyle w:val="72"/>
        <w:jc w:val="both"/>
      </w:pPr>
    </w:p>
    <w:p>
      <w:pPr>
        <w:pStyle w:val="72"/>
        <w:jc w:val="both"/>
      </w:pPr>
    </w:p>
    <w:p>
      <w:pPr>
        <w:pStyle w:val="72"/>
        <w:jc w:val="both"/>
      </w:pPr>
    </w:p>
    <w:p>
      <w:pPr>
        <w:pStyle w:val="72"/>
        <w:ind w:firstLine="2891" w:firstLineChars="800"/>
        <w:jc w:val="both"/>
      </w:pPr>
      <w:bookmarkStart w:id="12" w:name="_Toc1910"/>
      <w:r>
        <w:rPr>
          <w:rFonts w:hint="eastAsia"/>
        </w:rPr>
        <w:t>第二部分　</w:t>
      </w:r>
      <w:bookmarkEnd w:id="11"/>
      <w:r>
        <w:rPr>
          <w:rFonts w:hint="eastAsia"/>
        </w:rPr>
        <w:t>技术标书</w:t>
      </w:r>
      <w:bookmarkEnd w:id="12"/>
    </w:p>
    <w:p>
      <w:pPr>
        <w:pStyle w:val="13"/>
        <w:rPr>
          <w:rFonts w:hint="eastAsia" w:ascii="仿宋_GB2312" w:hAnsi="仿宋_GB2312" w:eastAsia="仿宋_GB2312" w:cs="仿宋_GB2312"/>
          <w:sz w:val="32"/>
          <w:szCs w:val="32"/>
        </w:rPr>
      </w:pPr>
    </w:p>
    <w:p>
      <w:pPr>
        <w:spacing w:line="480" w:lineRule="exact"/>
        <w:ind w:firstLine="377" w:firstLineChars="118"/>
        <w:jc w:val="left"/>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项目名称：</w:t>
      </w:r>
      <w:r>
        <w:rPr>
          <w:rFonts w:hint="eastAsia" w:ascii="仿宋_GB2312" w:hAnsi="仿宋_GB2312" w:eastAsia="仿宋_GB2312" w:cs="仿宋_GB2312"/>
          <w:bCs/>
          <w:sz w:val="32"/>
          <w:szCs w:val="32"/>
          <w:u w:val="single"/>
          <w:lang w:val="en-US" w:eastAsia="zh-CN"/>
        </w:rPr>
        <w:t>2025年重汽集团Hiwork存储扩容项目</w:t>
      </w:r>
    </w:p>
    <w:p>
      <w:pPr>
        <w:spacing w:line="480" w:lineRule="exact"/>
        <w:ind w:firstLine="377" w:firstLineChars="118"/>
        <w:jc w:val="left"/>
        <w:rPr>
          <w:rFonts w:hint="eastAsia" w:ascii="仿宋_GB2312" w:hAnsi="仿宋_GB2312" w:eastAsia="仿宋_GB2312" w:cs="仿宋_GB2312"/>
          <w:sz w:val="32"/>
          <w:szCs w:val="32"/>
        </w:rPr>
      </w:pPr>
    </w:p>
    <w:p>
      <w:pPr>
        <w:spacing w:line="480" w:lineRule="exact"/>
        <w:ind w:firstLine="377" w:firstLineChars="118"/>
        <w:jc w:val="left"/>
        <w:rPr>
          <w:rFonts w:hint="eastAsia" w:ascii="仿宋_GB2312" w:hAnsi="仿宋_GB2312" w:eastAsia="仿宋_GB2312" w:cs="仿宋_GB2312"/>
          <w:sz w:val="32"/>
          <w:szCs w:val="32"/>
        </w:rPr>
      </w:pPr>
    </w:p>
    <w:p>
      <w:pPr>
        <w:spacing w:line="480" w:lineRule="exact"/>
        <w:ind w:firstLine="320" w:firstLineChars="100"/>
        <w:jc w:val="left"/>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货物名称：</w:t>
      </w:r>
      <w:r>
        <w:rPr>
          <w:rFonts w:hint="eastAsia" w:ascii="仿宋_GB2312" w:hAnsi="仿宋_GB2312" w:eastAsia="仿宋_GB2312" w:cs="仿宋_GB2312"/>
          <w:bCs/>
          <w:sz w:val="32"/>
          <w:szCs w:val="32"/>
          <w:u w:val="single"/>
          <w:lang w:val="en-US" w:eastAsia="zh-CN"/>
        </w:rPr>
        <w:t>阿里Hiwork原厂专属存储1套</w:t>
      </w:r>
    </w:p>
    <w:p>
      <w:pPr>
        <w:spacing w:line="480" w:lineRule="exact"/>
        <w:ind w:firstLine="377" w:firstLineChars="118"/>
        <w:jc w:val="left"/>
        <w:rPr>
          <w:rFonts w:hint="eastAsia" w:ascii="仿宋_GB2312" w:hAnsi="仿宋_GB2312" w:eastAsia="仿宋_GB2312" w:cs="仿宋_GB2312"/>
          <w:sz w:val="32"/>
          <w:szCs w:val="32"/>
          <w:u w:val="single"/>
        </w:rPr>
      </w:pPr>
    </w:p>
    <w:p>
      <w:pPr>
        <w:pStyle w:val="13"/>
        <w:rPr>
          <w:rFonts w:hint="eastAsia" w:ascii="仿宋_GB2312" w:hAnsi="仿宋_GB2312" w:eastAsia="仿宋_GB2312" w:cs="仿宋_GB2312"/>
          <w:sz w:val="32"/>
          <w:szCs w:val="32"/>
          <w:u w:val="single"/>
        </w:rPr>
      </w:pPr>
    </w:p>
    <w:p>
      <w:pPr>
        <w:pStyle w:val="13"/>
        <w:rPr>
          <w:rFonts w:hint="eastAsia" w:ascii="仿宋_GB2312" w:hAnsi="仿宋_GB2312" w:eastAsia="仿宋_GB2312" w:cs="仿宋_GB2312"/>
          <w:sz w:val="32"/>
          <w:szCs w:val="32"/>
          <w:u w:val="single"/>
        </w:rPr>
      </w:pPr>
    </w:p>
    <w:p>
      <w:pPr>
        <w:pStyle w:val="13"/>
        <w:rPr>
          <w:rFonts w:hint="eastAsia" w:ascii="仿宋_GB2312" w:hAnsi="仿宋_GB2312" w:eastAsia="仿宋_GB2312" w:cs="仿宋_GB2312"/>
          <w:sz w:val="32"/>
          <w:szCs w:val="32"/>
          <w:u w:val="single"/>
        </w:rPr>
      </w:pPr>
    </w:p>
    <w:p>
      <w:pPr>
        <w:pStyle w:val="13"/>
        <w:rPr>
          <w:rFonts w:hint="eastAsia" w:ascii="仿宋_GB2312" w:hAnsi="仿宋_GB2312" w:eastAsia="仿宋_GB2312" w:cs="仿宋_GB2312"/>
          <w:sz w:val="32"/>
          <w:szCs w:val="32"/>
          <w:u w:val="single"/>
        </w:rPr>
      </w:pPr>
    </w:p>
    <w:p>
      <w:pPr>
        <w:pStyle w:val="13"/>
        <w:rPr>
          <w:rFonts w:hint="eastAsia" w:ascii="仿宋_GB2312" w:hAnsi="仿宋_GB2312" w:eastAsia="仿宋_GB2312" w:cs="仿宋_GB2312"/>
          <w:sz w:val="32"/>
          <w:szCs w:val="32"/>
          <w:u w:val="single"/>
        </w:rPr>
      </w:pPr>
    </w:p>
    <w:p>
      <w:pPr>
        <w:pStyle w:val="13"/>
        <w:jc w:val="center"/>
        <w:rPr>
          <w:rFonts w:hint="eastAsia" w:ascii="仿宋_GB2312" w:hAnsi="仿宋_GB2312" w:eastAsia="仿宋_GB2312" w:cs="仿宋_GB2312"/>
          <w:b/>
          <w:bCs/>
          <w:sz w:val="36"/>
          <w:szCs w:val="36"/>
          <w:u w:val="none"/>
          <w:lang w:val="en-US" w:eastAsia="zh-CN"/>
        </w:rPr>
      </w:pPr>
      <w:r>
        <w:rPr>
          <w:rFonts w:hint="eastAsia" w:ascii="仿宋_GB2312" w:hAnsi="仿宋_GB2312" w:eastAsia="仿宋_GB2312" w:cs="仿宋_GB2312"/>
          <w:b/>
          <w:bCs/>
          <w:sz w:val="36"/>
          <w:szCs w:val="36"/>
          <w:u w:val="none"/>
          <w:lang w:eastAsia="zh-CN"/>
        </w:rPr>
        <w:t>（</w:t>
      </w:r>
      <w:r>
        <w:rPr>
          <w:rFonts w:hint="eastAsia" w:ascii="仿宋_GB2312" w:hAnsi="仿宋_GB2312" w:eastAsia="仿宋_GB2312" w:cs="仿宋_GB2312"/>
          <w:b/>
          <w:bCs/>
          <w:sz w:val="36"/>
          <w:szCs w:val="36"/>
          <w:u w:val="none"/>
          <w:lang w:val="en-US" w:eastAsia="zh-CN"/>
        </w:rPr>
        <w:t>技术标书）</w:t>
      </w:r>
    </w:p>
    <w:p>
      <w:pPr>
        <w:pStyle w:val="13"/>
        <w:jc w:val="center"/>
        <w:rPr>
          <w:rFonts w:hint="eastAsia" w:ascii="仿宋_GB2312" w:hAnsi="仿宋_GB2312" w:eastAsia="仿宋_GB2312" w:cs="仿宋_GB2312"/>
          <w:b/>
          <w:bCs/>
          <w:sz w:val="36"/>
          <w:szCs w:val="36"/>
          <w:u w:val="none"/>
          <w:lang w:val="en-US" w:eastAsia="zh-CN"/>
        </w:rPr>
      </w:pPr>
    </w:p>
    <w:p>
      <w:pPr>
        <w:pStyle w:val="13"/>
        <w:jc w:val="center"/>
        <w:rPr>
          <w:rFonts w:hint="eastAsia" w:ascii="仿宋_GB2312" w:hAnsi="仿宋_GB2312" w:eastAsia="仿宋_GB2312" w:cs="仿宋_GB2312"/>
          <w:b/>
          <w:bCs/>
          <w:sz w:val="36"/>
          <w:szCs w:val="36"/>
          <w:u w:val="none"/>
          <w:lang w:val="en-US" w:eastAsia="zh-CN"/>
        </w:rPr>
      </w:pPr>
    </w:p>
    <w:p>
      <w:pPr>
        <w:pStyle w:val="13"/>
        <w:jc w:val="center"/>
        <w:rPr>
          <w:rFonts w:hint="eastAsia" w:ascii="仿宋_GB2312" w:hAnsi="仿宋_GB2312" w:eastAsia="仿宋_GB2312" w:cs="仿宋_GB2312"/>
        </w:rPr>
        <w:sectPr>
          <w:headerReference r:id="rId7" w:type="default"/>
          <w:footerReference r:id="rId8" w:type="default"/>
          <w:pgSz w:w="11906" w:h="16838"/>
          <w:pgMar w:top="1440" w:right="1080" w:bottom="1440" w:left="1080" w:header="1021" w:footer="680" w:gutter="0"/>
          <w:pgNumType w:start="1" w:chapStyle="1"/>
          <w:cols w:space="720" w:num="1"/>
          <w:docGrid w:type="lines" w:linePitch="326" w:charSpace="0"/>
        </w:sectPr>
      </w:pPr>
      <w:r>
        <w:rPr>
          <w:rFonts w:hint="eastAsia" w:ascii="仿宋_GB2312" w:hAnsi="仿宋_GB2312" w:eastAsia="仿宋_GB2312" w:cs="仿宋_GB2312"/>
          <w:b/>
          <w:bCs/>
          <w:sz w:val="36"/>
          <w:szCs w:val="36"/>
          <w:u w:val="none"/>
          <w:lang w:val="en-US" w:eastAsia="zh-CN"/>
        </w:rPr>
        <w:t>202</w:t>
      </w:r>
      <w:r>
        <w:rPr>
          <w:rFonts w:hint="eastAsia" w:hAnsi="仿宋_GB2312" w:cs="仿宋_GB2312"/>
          <w:b/>
          <w:bCs/>
          <w:sz w:val="36"/>
          <w:szCs w:val="36"/>
          <w:u w:val="none"/>
          <w:lang w:val="en-US" w:eastAsia="zh-CN"/>
        </w:rPr>
        <w:t>5</w:t>
      </w:r>
      <w:r>
        <w:rPr>
          <w:rFonts w:hint="eastAsia" w:ascii="仿宋_GB2312" w:hAnsi="仿宋_GB2312" w:eastAsia="仿宋_GB2312" w:cs="仿宋_GB2312"/>
          <w:b/>
          <w:bCs/>
          <w:sz w:val="36"/>
          <w:szCs w:val="36"/>
          <w:u w:val="none"/>
          <w:lang w:val="en-US" w:eastAsia="zh-CN"/>
        </w:rPr>
        <w:t>年</w:t>
      </w:r>
      <w:r>
        <w:rPr>
          <w:rFonts w:hint="eastAsia" w:hAnsi="仿宋_GB2312" w:cs="仿宋_GB2312"/>
          <w:b/>
          <w:bCs/>
          <w:sz w:val="36"/>
          <w:szCs w:val="36"/>
          <w:u w:val="none"/>
          <w:lang w:val="en-US" w:eastAsia="zh-CN"/>
        </w:rPr>
        <w:t>9</w:t>
      </w:r>
      <w:r>
        <w:rPr>
          <w:rFonts w:hint="eastAsia" w:ascii="仿宋_GB2312" w:hAnsi="仿宋_GB2312" w:eastAsia="仿宋_GB2312" w:cs="仿宋_GB2312"/>
          <w:b/>
          <w:bCs/>
          <w:sz w:val="36"/>
          <w:szCs w:val="36"/>
          <w:u w:val="none"/>
          <w:lang w:val="en-US" w:eastAsia="zh-CN"/>
        </w:rPr>
        <w:t>月</w:t>
      </w:r>
      <w:bookmarkStart w:id="13" w:name="_Toc3565"/>
      <w:bookmarkStart w:id="14" w:name="_Toc20467"/>
      <w:bookmarkStart w:id="15" w:name="_Toc28236"/>
      <w:bookmarkStart w:id="16" w:name="_Toc21497"/>
      <w:bookmarkStart w:id="17" w:name="_Toc16358"/>
      <w:bookmarkStart w:id="18" w:name="_Toc8032"/>
      <w:bookmarkStart w:id="19" w:name="_Toc4194"/>
      <w:bookmarkStart w:id="20" w:name="_Toc32378"/>
      <w:bookmarkStart w:id="21" w:name="_Toc18606"/>
      <w:bookmarkStart w:id="22" w:name="_Toc13562"/>
      <w:bookmarkStart w:id="23" w:name="_Toc4029"/>
      <w:bookmarkStart w:id="24" w:name="_Toc18182"/>
      <w:bookmarkStart w:id="25" w:name="_Toc12714"/>
      <w:bookmarkStart w:id="26" w:name="_Toc13555"/>
      <w:bookmarkStart w:id="27" w:name="_Toc4532"/>
      <w:bookmarkStart w:id="28" w:name="_Toc22649"/>
      <w:bookmarkStart w:id="29" w:name="_Toc8202"/>
      <w:bookmarkStart w:id="30" w:name="_Toc13988"/>
      <w:bookmarkStart w:id="31" w:name="_Toc13605"/>
      <w:bookmarkStart w:id="32" w:name="_Toc12563"/>
      <w:bookmarkStart w:id="33" w:name="_Toc133783966"/>
      <w:bookmarkStart w:id="34" w:name="_Toc3372"/>
      <w:bookmarkStart w:id="35" w:name="_Toc18805"/>
      <w:bookmarkStart w:id="36" w:name="_Toc20272"/>
      <w:bookmarkStart w:id="37" w:name="_Toc4483"/>
      <w:bookmarkStart w:id="38" w:name="_Toc7511"/>
      <w:bookmarkStart w:id="39" w:name="_Toc6957"/>
      <w:bookmarkStart w:id="40" w:name="_Toc11355"/>
      <w:bookmarkStart w:id="41" w:name="_Toc7110"/>
      <w:bookmarkStart w:id="42" w:name="_Toc30738"/>
      <w:bookmarkStart w:id="43" w:name="_Toc19672"/>
      <w:bookmarkStart w:id="44" w:name="_Toc24913"/>
      <w:bookmarkStart w:id="45" w:name="_Toc14517"/>
      <w:bookmarkStart w:id="46" w:name="_Toc23870"/>
      <w:bookmarkStart w:id="47" w:name="_Toc6346"/>
      <w:bookmarkStart w:id="48" w:name="_Toc1884"/>
      <w:bookmarkStart w:id="49" w:name="_Toc24964"/>
      <w:bookmarkStart w:id="50" w:name="_Toc12552"/>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Pr>
        <w:adjustRightInd w:val="0"/>
        <w:snapToGrid w:val="0"/>
        <w:spacing w:before="163" w:beforeLines="50" w:after="163" w:afterLines="50" w:line="360" w:lineRule="auto"/>
        <w:ind w:firstLine="3614" w:firstLineChars="1500"/>
        <w:jc w:val="both"/>
        <w:outlineLvl w:val="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第一章采购货物概况</w:t>
      </w:r>
    </w:p>
    <w:p>
      <w:pPr>
        <w:adjustRightInd w:val="0"/>
        <w:snapToGrid w:val="0"/>
        <w:spacing w:line="360" w:lineRule="auto"/>
        <w:jc w:val="center"/>
        <w:outlineLvl w:val="1"/>
        <w:rPr>
          <w:rFonts w:hint="eastAsia" w:ascii="仿宋_GB2312" w:hAnsi="仿宋_GB2312" w:eastAsia="仿宋_GB2312" w:cs="仿宋_GB2312"/>
          <w:b/>
          <w:bCs/>
        </w:rPr>
      </w:pPr>
      <w:r>
        <w:rPr>
          <w:rFonts w:hint="eastAsia" w:ascii="仿宋_GB2312" w:hAnsi="仿宋_GB2312" w:eastAsia="仿宋_GB2312" w:cs="仿宋_GB2312"/>
          <w:b/>
          <w:bCs/>
        </w:rPr>
        <w:t>第一节使用环境</w:t>
      </w:r>
    </w:p>
    <w:p>
      <w:pPr>
        <w:pStyle w:val="17"/>
        <w:snapToGrid w:val="0"/>
        <w:spacing w:line="360" w:lineRule="auto"/>
        <w:ind w:firstLine="480" w:firstLineChars="200"/>
        <w:rPr>
          <w:rFonts w:hint="eastAsia" w:ascii="仿宋_GB2312" w:hAnsi="仿宋_GB2312" w:eastAsia="仿宋_GB2312" w:cs="仿宋_GB2312"/>
          <w:highlight w:val="yellow"/>
          <w:lang w:val="en-US" w:eastAsia="zh-CN"/>
        </w:rPr>
      </w:pPr>
      <w:r>
        <w:rPr>
          <w:rFonts w:hint="eastAsia" w:ascii="仿宋_GB2312" w:hAnsi="仿宋_GB2312" w:eastAsia="仿宋_GB2312" w:cs="仿宋_GB2312"/>
          <w:highlight w:val="yellow"/>
          <w:lang w:val="en-US" w:eastAsia="zh-CN"/>
        </w:rPr>
        <w:t>1项目名称：2025年重汽集团Hiwork存储扩容项目</w:t>
      </w:r>
    </w:p>
    <w:p>
      <w:pPr>
        <w:pStyle w:val="17"/>
        <w:snapToGrid w:val="0"/>
        <w:spacing w:line="360" w:lineRule="auto"/>
        <w:ind w:firstLine="480" w:firstLineChars="200"/>
        <w:rPr>
          <w:rFonts w:hint="default" w:ascii="仿宋_GB2312" w:hAnsi="仿宋_GB2312" w:eastAsia="仿宋_GB2312" w:cs="仿宋_GB2312"/>
          <w:highlight w:val="yellow"/>
          <w:lang w:val="en-US" w:eastAsia="zh-CN"/>
        </w:rPr>
      </w:pPr>
      <w:r>
        <w:rPr>
          <w:rFonts w:hint="eastAsia" w:ascii="仿宋_GB2312" w:hAnsi="仿宋_GB2312" w:eastAsia="仿宋_GB2312" w:cs="仿宋_GB2312"/>
          <w:highlight w:val="yellow"/>
        </w:rPr>
        <w:t>2建设地点：</w:t>
      </w:r>
      <w:r>
        <w:rPr>
          <w:rFonts w:hint="eastAsia" w:ascii="仿宋_GB2312" w:hAnsi="仿宋_GB2312" w:eastAsia="仿宋_GB2312" w:cs="仿宋_GB2312"/>
          <w:highlight w:val="yellow"/>
          <w:lang w:val="en-US" w:eastAsia="zh-CN"/>
        </w:rPr>
        <w:t>集团数据中心机房2层托管区</w:t>
      </w:r>
    </w:p>
    <w:p>
      <w:pPr>
        <w:pStyle w:val="17"/>
        <w:snapToGrid w:val="0"/>
        <w:spacing w:line="360" w:lineRule="auto"/>
        <w:ind w:firstLine="480" w:firstLineChars="200"/>
        <w:rPr>
          <w:rFonts w:hint="eastAsia" w:ascii="仿宋_GB2312" w:hAnsi="仿宋_GB2312" w:eastAsia="仿宋_GB2312" w:cs="仿宋_GB2312"/>
          <w:highlight w:val="yellow"/>
        </w:rPr>
      </w:pPr>
      <w:r>
        <w:rPr>
          <w:rFonts w:hint="eastAsia" w:ascii="仿宋_GB2312" w:hAnsi="仿宋_GB2312" w:eastAsia="仿宋_GB2312" w:cs="仿宋_GB2312"/>
          <w:highlight w:val="yellow"/>
        </w:rPr>
        <w:t>3使用地点：</w:t>
      </w:r>
      <w:r>
        <w:rPr>
          <w:rFonts w:hint="eastAsia" w:ascii="仿宋_GB2312" w:hAnsi="仿宋_GB2312" w:eastAsia="仿宋_GB2312" w:cs="仿宋_GB2312"/>
          <w:highlight w:val="yellow"/>
          <w:lang w:val="en-US" w:eastAsia="zh-CN"/>
        </w:rPr>
        <w:t>集团数据中心机房2层托管区</w:t>
      </w:r>
    </w:p>
    <w:p>
      <w:pPr>
        <w:pStyle w:val="17"/>
        <w:snapToGrid w:val="0"/>
        <w:spacing w:line="360" w:lineRule="auto"/>
        <w:ind w:firstLine="480" w:firstLineChars="200"/>
        <w:rPr>
          <w:rFonts w:hint="eastAsia" w:ascii="仿宋_GB2312" w:hAnsi="仿宋_GB2312" w:eastAsia="仿宋_GB2312" w:cs="仿宋_GB2312"/>
          <w:highlight w:val="yellow"/>
          <w:lang w:val="en-US" w:eastAsia="zh-CN"/>
        </w:rPr>
      </w:pPr>
      <w:r>
        <w:rPr>
          <w:rFonts w:hint="eastAsia" w:ascii="仿宋_GB2312" w:hAnsi="仿宋_GB2312" w:eastAsia="仿宋_GB2312" w:cs="仿宋_GB2312"/>
        </w:rPr>
        <w:t>4工作制度：</w:t>
      </w:r>
      <w:r>
        <w:rPr>
          <w:rFonts w:hint="eastAsia" w:ascii="仿宋_GB2312" w:hAnsi="仿宋_GB2312" w:eastAsia="仿宋_GB2312" w:cs="仿宋_GB2312"/>
          <w:highlight w:val="yellow"/>
        </w:rPr>
        <w:t>全年</w:t>
      </w:r>
      <w:r>
        <w:rPr>
          <w:rFonts w:hint="eastAsia" w:ascii="仿宋_GB2312" w:hAnsi="仿宋_GB2312" w:eastAsia="仿宋_GB2312" w:cs="仿宋_GB2312"/>
          <w:highlight w:val="yellow"/>
          <w:lang w:val="en-US" w:eastAsia="zh-CN"/>
        </w:rPr>
        <w:t>24小时不间断运行</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5使用地点区域自然环境：</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5.1海拨高度：1000m以下。</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5.2环境温度：</w:t>
      </w:r>
      <w:r>
        <w:rPr>
          <w:rFonts w:hint="eastAsia" w:ascii="仿宋_GB2312" w:hAnsi="仿宋_GB2312" w:eastAsia="仿宋_GB2312" w:cs="仿宋_GB2312"/>
          <w:lang w:val="en-US" w:eastAsia="zh-CN"/>
        </w:rPr>
        <w:t>机房环境温度</w:t>
      </w:r>
      <w:r>
        <w:rPr>
          <w:rFonts w:hint="eastAsia" w:ascii="仿宋_GB2312" w:hAnsi="仿宋_GB2312" w:eastAsia="仿宋_GB2312" w:cs="仿宋_GB2312"/>
        </w:rPr>
        <w:t>10°C 至 35°C。</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5.3相对湿度：年平均59%，最大95%、最小15%。</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5.4 地震裂度：七度。</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6能源环境：</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6.1电力：中国制式，供电电压</w:t>
      </w:r>
      <w:r>
        <w:rPr>
          <w:rFonts w:hint="eastAsia" w:ascii="仿宋_GB2312" w:hAnsi="仿宋_GB2312" w:eastAsia="仿宋_GB2312" w:cs="仿宋_GB2312"/>
          <w:u w:val="single"/>
          <w:shd w:val="pct10" w:color="auto" w:fill="FFFFFF"/>
        </w:rPr>
        <w:t>380V±15%/220V±15%</w:t>
      </w:r>
      <w:r>
        <w:rPr>
          <w:rFonts w:hint="eastAsia" w:ascii="仿宋_GB2312" w:hAnsi="仿宋_GB2312" w:eastAsia="仿宋_GB2312" w:cs="仿宋_GB2312"/>
        </w:rPr>
        <w:t>，供电频率50Hz±2%。</w:t>
      </w:r>
    </w:p>
    <w:p>
      <w:pPr>
        <w:snapToGrid w:val="0"/>
        <w:spacing w:line="360" w:lineRule="auto"/>
        <w:ind w:firstLine="420" w:firstLineChars="200"/>
        <w:rPr>
          <w:rFonts w:hint="eastAsia" w:ascii="仿宋_GB2312" w:hAnsi="仿宋_GB2312" w:eastAsia="仿宋_GB2312" w:cs="仿宋_GB2312"/>
        </w:rPr>
      </w:pPr>
      <w:r>
        <w:rPr>
          <w:rFonts w:hint="eastAsia" w:ascii="仿宋_GB2312" w:hAnsi="仿宋_GB2312" w:eastAsia="仿宋_GB2312" w:cs="仿宋_GB2312"/>
        </w:rPr>
        <w:t xml:space="preserve">6.2 </w:t>
      </w:r>
      <w:r>
        <w:rPr>
          <w:rFonts w:hint="eastAsia" w:ascii="仿宋_GB2312" w:hAnsi="仿宋_GB2312" w:eastAsia="仿宋_GB2312" w:cs="仿宋_GB2312"/>
          <w:kern w:val="0"/>
        </w:rPr>
        <w:t>给水：市政自来水</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6.3压缩空气：自备空压机自产压缩空气，压力范围</w:t>
      </w:r>
      <w:r>
        <w:rPr>
          <w:rFonts w:hint="eastAsia" w:ascii="仿宋_GB2312" w:hAnsi="仿宋_GB2312" w:eastAsia="仿宋_GB2312" w:cs="仿宋_GB2312"/>
          <w:u w:val="single"/>
          <w:shd w:val="pct10" w:color="auto" w:fill="FFFFFF"/>
        </w:rPr>
        <w:t>0.5 ±0.1MPa</w:t>
      </w:r>
      <w:r>
        <w:rPr>
          <w:rFonts w:hint="eastAsia" w:ascii="仿宋_GB2312" w:hAnsi="仿宋_GB2312" w:eastAsia="仿宋_GB2312" w:cs="仿宋_GB2312"/>
        </w:rPr>
        <w:t>。</w:t>
      </w:r>
    </w:p>
    <w:p>
      <w:pPr>
        <w:pStyle w:val="17"/>
        <w:snapToGrid w:val="0"/>
        <w:spacing w:line="360" w:lineRule="auto"/>
        <w:ind w:firstLine="3132" w:firstLineChars="1300"/>
        <w:rPr>
          <w:rFonts w:hint="eastAsia" w:ascii="仿宋_GB2312" w:hAnsi="仿宋_GB2312" w:eastAsia="仿宋_GB2312" w:cs="仿宋_GB2312"/>
          <w:b/>
          <w:bCs/>
        </w:rPr>
      </w:pPr>
      <w:r>
        <w:rPr>
          <w:rFonts w:hint="eastAsia" w:ascii="仿宋_GB2312" w:hAnsi="仿宋_GB2312" w:eastAsia="仿宋_GB2312" w:cs="仿宋_GB2312"/>
          <w:b/>
          <w:bCs/>
        </w:rPr>
        <w:t>第二节采购货物概况</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1货物：</w:t>
      </w:r>
      <w:r>
        <w:rPr>
          <w:rFonts w:hint="eastAsia" w:ascii="仿宋_GB2312" w:hAnsi="仿宋_GB2312" w:eastAsia="仿宋_GB2312" w:cs="仿宋_GB2312"/>
          <w:u w:val="single"/>
          <w:lang w:val="en-US" w:eastAsia="zh-CN"/>
        </w:rPr>
        <w:t>阿里Hiwork原厂专属存储1套</w:t>
      </w:r>
      <w:r>
        <w:rPr>
          <w:rFonts w:hint="eastAsia" w:ascii="仿宋_GB2312" w:hAnsi="仿宋_GB2312" w:eastAsia="仿宋_GB2312" w:cs="仿宋_GB2312"/>
        </w:rPr>
        <w:t>（详见下表）</w:t>
      </w:r>
    </w:p>
    <w:tbl>
      <w:tblPr>
        <w:tblStyle w:val="31"/>
        <w:tblpPr w:leftFromText="180" w:rightFromText="180" w:vertAnchor="text" w:horzAnchor="page" w:tblpX="1071" w:tblpY="766"/>
        <w:tblOverlap w:val="never"/>
        <w:tblW w:w="9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927"/>
        <w:gridCol w:w="7050"/>
        <w:gridCol w:w="675"/>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6" w:type="dxa"/>
            <w:shd w:val="clear" w:color="auto" w:fill="auto"/>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序号</w:t>
            </w:r>
          </w:p>
        </w:tc>
        <w:tc>
          <w:tcPr>
            <w:tcW w:w="927" w:type="dxa"/>
            <w:shd w:val="clear" w:color="auto" w:fill="auto"/>
            <w:noWrap/>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名称</w:t>
            </w:r>
          </w:p>
        </w:tc>
        <w:tc>
          <w:tcPr>
            <w:tcW w:w="7050" w:type="dxa"/>
            <w:shd w:val="clear" w:color="auto" w:fill="auto"/>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技术要求</w:t>
            </w:r>
          </w:p>
        </w:tc>
        <w:tc>
          <w:tcPr>
            <w:tcW w:w="675" w:type="dxa"/>
            <w:shd w:val="clear" w:color="auto" w:fill="auto"/>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单位</w:t>
            </w:r>
          </w:p>
        </w:tc>
        <w:tc>
          <w:tcPr>
            <w:tcW w:w="600" w:type="dxa"/>
            <w:shd w:val="clear" w:color="auto" w:fill="auto"/>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46" w:type="dxa"/>
            <w:shd w:val="clear" w:color="auto" w:fill="auto"/>
            <w:noWrap/>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1</w:t>
            </w:r>
          </w:p>
        </w:tc>
        <w:tc>
          <w:tcPr>
            <w:tcW w:w="927" w:type="dxa"/>
            <w:shd w:val="clear" w:color="auto" w:fill="auto"/>
            <w:noWrap/>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 w:hAnsi="仿宋" w:eastAsia="仿宋" w:cs="宋体"/>
                <w:color w:val="000000"/>
                <w:kern w:val="0"/>
                <w:sz w:val="22"/>
                <w:szCs w:val="32"/>
                <w:highlight w:val="none"/>
                <w:lang w:val="en-US" w:eastAsia="zh-CN" w:bidi="ar-SA"/>
              </w:rPr>
              <w:t>阿里NEXTDATA存储硬件</w:t>
            </w:r>
          </w:p>
        </w:tc>
        <w:tc>
          <w:tcPr>
            <w:tcW w:w="7050" w:type="dxa"/>
            <w:shd w:val="clear" w:color="000000" w:fill="FFFFFF"/>
          </w:tcPr>
          <w:p>
            <w:pPr>
              <w:pStyle w:val="27"/>
              <w:keepNext w:val="0"/>
              <w:keepLines w:val="0"/>
              <w:widowControl/>
              <w:numPr>
                <w:ilvl w:val="0"/>
                <w:numId w:val="0"/>
              </w:numPr>
              <w:suppressLineNumbers w:val="0"/>
              <w:ind w:right="0" w:rightChars="0"/>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2颗高性能64位处理器，128GB Cache，2个管理网络接口，内部网络：2个10Gb数据接口，外部网络：2个10Gb数据接口，容灾网络：2个10Gb数据接口，存储容量（ 7.2krpm 8TB HDD×12），高速元数据/缓存容量（1.92TB  SSD×2），600GB SAS系统硬盘*2，1+1冗余电源。</w:t>
            </w:r>
          </w:p>
        </w:tc>
        <w:tc>
          <w:tcPr>
            <w:tcW w:w="675" w:type="dxa"/>
            <w:shd w:val="clear" w:color="auto" w:fill="auto"/>
            <w:noWrap/>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套</w:t>
            </w:r>
          </w:p>
        </w:tc>
        <w:tc>
          <w:tcPr>
            <w:tcW w:w="600" w:type="dxa"/>
            <w:shd w:val="clear" w:color="auto" w:fill="auto"/>
            <w:noWrap/>
            <w:vAlign w:val="center"/>
          </w:tcPr>
          <w:p>
            <w:pPr>
              <w:widowControl/>
              <w:jc w:val="center"/>
              <w:rPr>
                <w:rFonts w:hint="default"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1</w:t>
            </w:r>
          </w:p>
        </w:tc>
      </w:tr>
    </w:tbl>
    <w:p>
      <w:pPr>
        <w:pStyle w:val="17"/>
        <w:snapToGrid w:val="0"/>
        <w:spacing w:line="360" w:lineRule="auto"/>
        <w:ind w:left="0" w:leftChars="0" w:firstLine="0" w:firstLineChars="0"/>
        <w:rPr>
          <w:rFonts w:hint="eastAsia" w:ascii="仿宋_GB2312" w:hAnsi="仿宋_GB2312" w:eastAsia="仿宋_GB2312" w:cs="仿宋_GB2312"/>
        </w:rPr>
      </w:pPr>
    </w:p>
    <w:p>
      <w:pPr>
        <w:pStyle w:val="17"/>
        <w:snapToGrid w:val="0"/>
        <w:spacing w:line="360" w:lineRule="auto"/>
        <w:ind w:firstLine="480" w:firstLineChars="200"/>
        <w:rPr>
          <w:rFonts w:hint="eastAsia" w:ascii="仿宋_GB2312" w:hAnsi="仿宋_GB2312" w:eastAsia="仿宋_GB2312" w:cs="仿宋_GB2312"/>
        </w:rPr>
      </w:pPr>
    </w:p>
    <w:p>
      <w:pPr>
        <w:pStyle w:val="17"/>
        <w:snapToGrid w:val="0"/>
        <w:spacing w:line="360" w:lineRule="auto"/>
        <w:ind w:firstLine="480" w:firstLineChars="200"/>
        <w:rPr>
          <w:rFonts w:hint="eastAsia" w:ascii="仿宋_GB2312" w:hAnsi="仿宋_GB2312" w:eastAsia="仿宋_GB2312" w:cs="仿宋_GB2312"/>
          <w:lang w:eastAsia="zh-CN"/>
        </w:rPr>
      </w:pPr>
      <w:r>
        <w:rPr>
          <w:rFonts w:hint="eastAsia" w:ascii="仿宋_GB2312" w:hAnsi="仿宋_GB2312" w:eastAsia="仿宋_GB2312" w:cs="仿宋_GB2312"/>
        </w:rPr>
        <w:t>2货物数量：</w:t>
      </w:r>
      <w:r>
        <w:rPr>
          <w:rFonts w:hint="eastAsia" w:ascii="仿宋_GB2312" w:hAnsi="仿宋_GB2312" w:eastAsia="仿宋_GB2312" w:cs="仿宋_GB2312"/>
          <w:u w:val="single"/>
          <w:shd w:val="pct10" w:color="auto" w:fill="FFFFFF"/>
          <w:lang w:val="en-US" w:eastAsia="zh-CN"/>
        </w:rPr>
        <w:t>1套</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备注：</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①本表所列采购货物仅为货物的主要构成部分，应配套供货以及招标方所列其它货物（或设备）和服务，请投标方认真阅读“供货范围”。若有异议，不管是多么微小，都应在投标文件“商务偏离”章节中予以详细说明。本技术标书内所有带★的项目为淘汰项，其中一项不能满足将导致淘汰；其他项为普通参数，3项（含3项）以上的普通参数负偏离将导致淘汰。</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②本表“供货方式”指：交钥匙方式——包括制造、运输、定点卸货、安装、调试和验收以及培训等。</w:t>
      </w:r>
    </w:p>
    <w:p>
      <w:pPr>
        <w:jc w:val="center"/>
        <w:outlineLvl w:val="0"/>
        <w:rPr>
          <w:rFonts w:hint="eastAsia" w:ascii="仿宋_GB2312" w:hAnsi="仿宋_GB2312" w:eastAsia="仿宋_GB2312" w:cs="仿宋_GB2312"/>
          <w:b/>
          <w:bCs/>
          <w:sz w:val="24"/>
          <w:szCs w:val="24"/>
        </w:rPr>
      </w:pPr>
      <w:bookmarkStart w:id="51" w:name="_Toc26149"/>
      <w:bookmarkStart w:id="52" w:name="_Toc30429"/>
      <w:bookmarkStart w:id="53" w:name="_Toc761"/>
      <w:bookmarkStart w:id="54" w:name="_Toc7739"/>
      <w:bookmarkStart w:id="55" w:name="_Toc20034"/>
      <w:bookmarkStart w:id="56" w:name="_Toc2018"/>
      <w:bookmarkStart w:id="57" w:name="_Toc24597"/>
      <w:bookmarkStart w:id="58" w:name="_Toc4881"/>
      <w:bookmarkStart w:id="59" w:name="_Toc19015"/>
      <w:bookmarkStart w:id="60" w:name="_Toc2875"/>
      <w:bookmarkStart w:id="61" w:name="_Toc8780"/>
      <w:bookmarkStart w:id="62" w:name="_Toc24992"/>
      <w:bookmarkStart w:id="63" w:name="_Toc7813"/>
      <w:bookmarkStart w:id="64" w:name="_Toc13878"/>
      <w:bookmarkStart w:id="65" w:name="_Toc17465"/>
      <w:bookmarkStart w:id="66" w:name="_Toc10580"/>
      <w:bookmarkStart w:id="67" w:name="_Toc6687"/>
      <w:bookmarkStart w:id="68" w:name="_Toc8565"/>
      <w:bookmarkStart w:id="69" w:name="_Toc30487"/>
      <w:bookmarkStart w:id="70" w:name="_Toc7710"/>
      <w:bookmarkStart w:id="71" w:name="_Toc1621"/>
      <w:bookmarkStart w:id="72" w:name="_Toc22658"/>
      <w:bookmarkStart w:id="73" w:name="_Toc31734"/>
      <w:bookmarkStart w:id="74" w:name="_Toc4488"/>
      <w:bookmarkStart w:id="75" w:name="_Toc133783969"/>
      <w:bookmarkStart w:id="76" w:name="_Toc10441"/>
      <w:bookmarkStart w:id="77" w:name="_Toc15180"/>
      <w:bookmarkStart w:id="78" w:name="_Toc12377"/>
      <w:bookmarkStart w:id="79" w:name="_Toc23603"/>
      <w:bookmarkStart w:id="80" w:name="_Toc29174"/>
      <w:bookmarkStart w:id="81" w:name="_Toc26470"/>
      <w:bookmarkStart w:id="82" w:name="_Toc22689"/>
      <w:bookmarkStart w:id="83" w:name="_Toc28168"/>
      <w:bookmarkStart w:id="84" w:name="_Toc19793"/>
      <w:bookmarkStart w:id="85" w:name="_Toc27638"/>
      <w:bookmarkStart w:id="86" w:name="_Toc16387"/>
      <w:bookmarkStart w:id="87" w:name="_Toc7338"/>
      <w:bookmarkStart w:id="88" w:name="_Toc32616"/>
      <w:bookmarkStart w:id="89" w:name="_Toc4743"/>
      <w:bookmarkStart w:id="90" w:name="_Toc32524"/>
      <w:bookmarkStart w:id="91" w:name="_Toc18120"/>
      <w:bookmarkStart w:id="92" w:name="_Toc498"/>
      <w:bookmarkStart w:id="93" w:name="_Toc11605"/>
      <w:r>
        <w:rPr>
          <w:rFonts w:hint="eastAsia" w:ascii="仿宋_GB2312" w:hAnsi="仿宋_GB2312" w:eastAsia="仿宋_GB2312" w:cs="仿宋_GB2312"/>
          <w:b/>
          <w:bCs/>
          <w:sz w:val="24"/>
          <w:szCs w:val="24"/>
        </w:rPr>
        <w:t>第二章技术要求</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snapToGrid w:val="0"/>
        <w:spacing w:line="360" w:lineRule="auto"/>
        <w:ind w:firstLine="482" w:firstLineChars="200"/>
        <w:outlineLvl w:val="1"/>
        <w:rPr>
          <w:rFonts w:hint="eastAsia" w:ascii="仿宋_GB2312" w:hAnsi="仿宋_GB2312" w:eastAsia="仿宋_GB2312" w:cs="仿宋_GB2312"/>
          <w:b/>
          <w:bCs/>
          <w:sz w:val="24"/>
          <w:szCs w:val="24"/>
        </w:rPr>
      </w:pPr>
      <w:bookmarkStart w:id="94" w:name="_Toc39"/>
      <w:bookmarkStart w:id="95" w:name="_Toc21559"/>
      <w:bookmarkStart w:id="96" w:name="_Toc380"/>
      <w:bookmarkStart w:id="97" w:name="_Toc5430"/>
      <w:bookmarkStart w:id="98" w:name="_Toc477"/>
      <w:bookmarkStart w:id="99" w:name="_Toc26827"/>
      <w:bookmarkStart w:id="100" w:name="_Toc23050"/>
      <w:bookmarkStart w:id="101" w:name="_Toc5450"/>
      <w:bookmarkStart w:id="102" w:name="_Toc7141"/>
      <w:bookmarkStart w:id="103" w:name="_Toc27930"/>
      <w:bookmarkStart w:id="104" w:name="_Toc5804"/>
      <w:bookmarkStart w:id="105" w:name="_Toc27282"/>
      <w:bookmarkStart w:id="106" w:name="_Toc29489"/>
      <w:bookmarkStart w:id="107" w:name="_Toc20402"/>
      <w:bookmarkStart w:id="108" w:name="_Toc11621"/>
      <w:bookmarkStart w:id="109" w:name="_Toc16822"/>
      <w:bookmarkStart w:id="110" w:name="_Toc9134"/>
      <w:bookmarkStart w:id="111" w:name="_Toc25950"/>
      <w:bookmarkStart w:id="112" w:name="_Toc1111"/>
      <w:bookmarkStart w:id="113" w:name="_Toc11056"/>
      <w:bookmarkStart w:id="114" w:name="_Toc15744"/>
      <w:bookmarkStart w:id="115" w:name="_Toc16063"/>
      <w:bookmarkStart w:id="116" w:name="_Toc1968"/>
      <w:bookmarkStart w:id="117" w:name="_Toc15747"/>
      <w:bookmarkStart w:id="118" w:name="_Toc9894"/>
      <w:bookmarkStart w:id="119" w:name="_Toc22422"/>
      <w:bookmarkStart w:id="120" w:name="_Toc5876"/>
      <w:bookmarkStart w:id="121" w:name="_Toc6003"/>
      <w:bookmarkStart w:id="122" w:name="_Toc5110"/>
      <w:bookmarkStart w:id="123" w:name="_Toc4126"/>
      <w:bookmarkStart w:id="124" w:name="_Toc31434"/>
      <w:bookmarkStart w:id="125" w:name="_Toc18792"/>
      <w:bookmarkStart w:id="126" w:name="_Toc23337"/>
      <w:bookmarkStart w:id="127" w:name="_Toc13195"/>
      <w:bookmarkStart w:id="128" w:name="_Toc5714"/>
      <w:bookmarkStart w:id="129" w:name="_Toc2473"/>
      <w:bookmarkStart w:id="130" w:name="_Toc20792"/>
      <w:bookmarkStart w:id="131" w:name="_Toc15995"/>
      <w:bookmarkStart w:id="132" w:name="_Toc28751"/>
      <w:bookmarkStart w:id="133" w:name="_Toc31246"/>
      <w:bookmarkStart w:id="134" w:name="_Toc29354"/>
      <w:r>
        <w:rPr>
          <w:rFonts w:hint="eastAsia" w:ascii="仿宋_GB2312" w:hAnsi="仿宋_GB2312" w:eastAsia="仿宋_GB2312" w:cs="仿宋_GB2312"/>
          <w:b/>
          <w:bCs/>
          <w:sz w:val="24"/>
          <w:szCs w:val="24"/>
        </w:rPr>
        <w:t>1基本要求</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1.1 投标方所供的货物，必须符合中国最新版的法律、法规和相关标准、规范的要求，符合项目所在地政府有关特殊要求。</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1.2 投标方所供货物涉及的、招标方有权使用的专利权技术以及知识产权保护的其它技术等，应保证招标方不因此受到任何侵权指控以及实际损失。</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1.3 投标方应保证所供货物的先进性、可靠性、经济性和实用性，并为全新货物（或设备）,并具有该货物所有功能的永久使用权。</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1.4 投标方应满足招标方提出的各项技术要求，必要时应当免费提供技术承诺或担保。</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1.5 投标方应保证所供货物必须符合当前国家或地方最新安全、环保、职业健康最新法律、法规及《机械制造企业安全生产标准化》各项要求 。确保货物在使用管理过程中满足《职业健康安全管理体系》、《环境管理体系》等方面的国家标准、规范及地方规章要求</w:t>
      </w:r>
      <w:r>
        <w:rPr>
          <w:rFonts w:hint="eastAsia" w:ascii="仿宋_GB2312" w:hAnsi="仿宋_GB2312" w:eastAsia="仿宋_GB2312" w:cs="仿宋_GB2312"/>
          <w:color w:val="0000FF"/>
        </w:rPr>
        <w:t>。</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1.6 投标方应保证所供货物为中国公布的非淘汰货物，并为中国指定或规定的主管部门认可的环保型和节能型货物。招标的中标货物不接受试验品（提供证据），还应是原产地的货物。</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1.7 投标方应保证所供货物的完整性和成套性，能保证货物的正常运行、使用。</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1.8投标方应对招标方采购的货物所涉及的技术、产能等信息负有保密义务，特殊项目应当无条件签署保密协议。</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★1.9投标方所供设备应按“</w:t>
      </w:r>
      <w:r>
        <w:rPr>
          <w:rFonts w:hint="eastAsia" w:ascii="仿宋_GB2312" w:hAnsi="仿宋_GB2312" w:eastAsia="仿宋_GB2312" w:cs="仿宋_GB2312"/>
          <w:highlight w:val="yellow"/>
        </w:rPr>
        <w:t>交钥匙工程</w:t>
      </w:r>
      <w:r>
        <w:rPr>
          <w:rFonts w:hint="eastAsia" w:ascii="仿宋_GB2312" w:hAnsi="仿宋_GB2312" w:eastAsia="仿宋_GB2312" w:cs="仿宋_GB2312"/>
        </w:rPr>
        <w:t>”要求。</w:t>
      </w:r>
    </w:p>
    <w:p>
      <w:pPr>
        <w:snapToGrid w:val="0"/>
        <w:spacing w:line="360" w:lineRule="auto"/>
        <w:ind w:firstLine="482" w:firstLineChars="200"/>
        <w:outlineLvl w:val="1"/>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2</w:t>
      </w:r>
      <w:r>
        <w:rPr>
          <w:rFonts w:hint="eastAsia" w:ascii="仿宋_GB2312" w:hAnsi="仿宋_GB2312" w:eastAsia="仿宋_GB2312" w:cs="仿宋_GB2312"/>
          <w:b/>
          <w:bCs/>
          <w:sz w:val="24"/>
          <w:szCs w:val="24"/>
        </w:rPr>
        <w:t>特别提示</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lang w:val="en-US" w:eastAsia="zh-CN"/>
        </w:rPr>
        <w:t>2.1</w:t>
      </w:r>
      <w:r>
        <w:rPr>
          <w:rFonts w:hint="eastAsia" w:ascii="仿宋_GB2312" w:hAnsi="仿宋_GB2312" w:eastAsia="仿宋_GB2312" w:cs="仿宋_GB2312"/>
        </w:rPr>
        <w:t>本章技术要求，仅对功能、设计、结构、性能、安装和试验检验等方面，提出了最低和一般性的技术要求，并未对一切技术细节作出规定。</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2.</w:t>
      </w:r>
      <w:r>
        <w:rPr>
          <w:rFonts w:hint="eastAsia" w:ascii="仿宋_GB2312" w:hAnsi="仿宋_GB2312" w:eastAsia="仿宋_GB2312" w:cs="仿宋_GB2312"/>
          <w:lang w:val="en-US" w:eastAsia="zh-CN"/>
        </w:rPr>
        <w:t>2</w:t>
      </w:r>
      <w:r>
        <w:rPr>
          <w:rFonts w:hint="eastAsia" w:ascii="仿宋_GB2312" w:hAnsi="仿宋_GB2312" w:eastAsia="仿宋_GB2312" w:cs="仿宋_GB2312"/>
        </w:rPr>
        <w:t>本技术要求所使用的标准、规范等，如与投标人所执行的标准、规范不一致时，应按高于本技术要求所列的标准、规范执行。</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lang w:val="en-US" w:eastAsia="zh-CN"/>
        </w:rPr>
        <w:t>2.3</w:t>
      </w:r>
      <w:r>
        <w:rPr>
          <w:rFonts w:hint="eastAsia" w:ascii="仿宋_GB2312" w:hAnsi="仿宋_GB2312" w:eastAsia="仿宋_GB2312" w:cs="仿宋_GB2312"/>
        </w:rPr>
        <w:t>投标人认为所供货物必需由招标人配备、解决或提供的其它要求，如设备基础隔振和减振设施、软化水、洁净气源等，均应在投标文件“技术偏离”中予以充分说明。</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lang w:val="en-US" w:eastAsia="zh-CN"/>
        </w:rPr>
        <w:t>2.4</w:t>
      </w:r>
      <w:r>
        <w:rPr>
          <w:rFonts w:hint="eastAsia" w:ascii="仿宋_GB2312" w:hAnsi="仿宋_GB2312" w:eastAsia="仿宋_GB2312" w:cs="仿宋_GB2312"/>
        </w:rPr>
        <w:t>投标人应根据招投标货物具体要求，提出对厂房、设备基础（或安装平台）、公用设施、消防、环保等超出招标文件、投标文件、答疑文件、技术交流文件、技术协议书和合同等规定的、有特殊需要的解释、说明和要求。</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lang w:val="en-US" w:eastAsia="zh-CN"/>
        </w:rPr>
        <w:t>2.5</w:t>
      </w:r>
      <w:r>
        <w:rPr>
          <w:rFonts w:hint="eastAsia" w:ascii="仿宋_GB2312" w:hAnsi="仿宋_GB2312" w:eastAsia="仿宋_GB2312" w:cs="仿宋_GB2312"/>
        </w:rPr>
        <w:t>无论是否有技术偏离，投标人均应在投标文件“技术偏离”中明确作出有无说明。若有异议，不管是多么微小，投标人必须予以明确和详细的说明或澄清。</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lang w:val="en-US" w:eastAsia="zh-CN"/>
        </w:rPr>
        <w:t>2.6</w:t>
      </w:r>
      <w:r>
        <w:rPr>
          <w:rFonts w:hint="eastAsia" w:ascii="仿宋_GB2312" w:hAnsi="仿宋_GB2312" w:eastAsia="仿宋_GB2312" w:cs="仿宋_GB2312"/>
        </w:rPr>
        <w:t>为避免投标人优势在招标评审时漏项，质保期超出本技术标书要求的，应当在投标文件“技术偏离”中特别注明。</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lang w:val="en-US" w:eastAsia="zh-CN"/>
        </w:rPr>
        <w:t>2.7</w:t>
      </w:r>
      <w:r>
        <w:rPr>
          <w:rFonts w:hint="eastAsia" w:ascii="仿宋_GB2312" w:hAnsi="仿宋_GB2312" w:eastAsia="仿宋_GB2312" w:cs="仿宋_GB2312"/>
        </w:rPr>
        <w:t>本技术标书内所有带★的项目为淘汰项，其中一项不能满足将导致淘汰；其他项为普通参数，3项（含3项）以上的普通参数负偏离将导致淘汰。</w:t>
      </w:r>
    </w:p>
    <w:p>
      <w:pPr>
        <w:snapToGrid w:val="0"/>
        <w:spacing w:line="360" w:lineRule="auto"/>
        <w:ind w:firstLine="241" w:firstLineChars="100"/>
        <w:outlineLvl w:val="1"/>
        <w:rPr>
          <w:rFonts w:hint="eastAsia" w:ascii="仿宋_GB2312" w:hAnsi="仿宋_GB2312" w:eastAsia="仿宋_GB2312" w:cs="仿宋_GB2312"/>
          <w:b/>
          <w:bCs/>
          <w:sz w:val="24"/>
          <w:szCs w:val="24"/>
        </w:rPr>
      </w:pPr>
      <w:bookmarkStart w:id="135" w:name="_Toc7189"/>
      <w:r>
        <w:rPr>
          <w:rFonts w:hint="eastAsia" w:ascii="仿宋_GB2312" w:hAnsi="仿宋_GB2312" w:eastAsia="仿宋_GB2312" w:cs="仿宋_GB2312"/>
          <w:b/>
          <w:bCs/>
          <w:sz w:val="24"/>
          <w:szCs w:val="24"/>
          <w:lang w:val="en-US" w:eastAsia="zh-CN"/>
        </w:rPr>
        <w:t>3</w:t>
      </w:r>
      <w:r>
        <w:rPr>
          <w:rFonts w:hint="eastAsia" w:ascii="仿宋_GB2312" w:hAnsi="仿宋_GB2312" w:eastAsia="仿宋_GB2312" w:cs="仿宋_GB2312"/>
          <w:b/>
          <w:bCs/>
          <w:sz w:val="24"/>
          <w:szCs w:val="24"/>
        </w:rPr>
        <w:t>具体技术要求</w:t>
      </w:r>
      <w:bookmarkEnd w:id="135"/>
    </w:p>
    <w:p>
      <w:pPr>
        <w:keepNext w:val="0"/>
        <w:keepLines w:val="0"/>
        <w:pageBreakBefore w:val="0"/>
        <w:widowControl w:val="0"/>
        <w:kinsoku/>
        <w:wordWrap/>
        <w:overflowPunct/>
        <w:topLinePunct w:val="0"/>
        <w:autoSpaceDE/>
        <w:autoSpaceDN/>
        <w:bidi w:val="0"/>
        <w:adjustRightInd/>
        <w:snapToGrid/>
        <w:spacing w:line="360" w:lineRule="auto"/>
        <w:ind w:left="479" w:leftChars="228"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项目包括以下内容：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适应于</w:t>
      </w:r>
      <w:r>
        <w:rPr>
          <w:rFonts w:hint="eastAsia" w:ascii="仿宋_GB2312" w:hAnsi="仿宋_GB2312" w:eastAsia="仿宋_GB2312" w:cs="仿宋_GB2312"/>
          <w:bCs/>
          <w:sz w:val="24"/>
          <w:szCs w:val="24"/>
          <w:highlight w:val="yellow"/>
          <w:lang w:val="en-US" w:eastAsia="zh-CN"/>
        </w:rPr>
        <w:t>列间精密空调2台及相关辅材配件</w:t>
      </w:r>
      <w:r>
        <w:rPr>
          <w:rFonts w:hint="eastAsia" w:ascii="仿宋_GB2312" w:hAnsi="仿宋_GB2312" w:eastAsia="仿宋_GB2312" w:cs="仿宋_GB2312"/>
          <w:bCs/>
          <w:color w:val="000000"/>
          <w:sz w:val="24"/>
          <w:szCs w:val="24"/>
        </w:rPr>
        <w:t>适用性要求。</w:t>
      </w:r>
    </w:p>
    <w:p>
      <w:pPr>
        <w:spacing w:line="480" w:lineRule="exact"/>
        <w:ind w:firstLine="480" w:firstLineChars="200"/>
        <w:rPr>
          <w:rFonts w:hint="eastAsia" w:ascii="仿宋_GB2312" w:hAnsi="仿宋_GB2312" w:eastAsia="仿宋_GB2312" w:cs="仿宋_GB2312"/>
          <w:bCs/>
          <w:sz w:val="24"/>
          <w:szCs w:val="24"/>
          <w:highlight w:val="yellow"/>
        </w:rPr>
      </w:pPr>
      <w:r>
        <w:rPr>
          <w:rFonts w:hint="eastAsia" w:ascii="仿宋_GB2312" w:hAnsi="仿宋_GB2312" w:eastAsia="仿宋_GB2312" w:cs="仿宋_GB2312"/>
          <w:bCs/>
          <w:sz w:val="24"/>
          <w:szCs w:val="24"/>
          <w:highlight w:val="yellow"/>
          <w:lang w:val="en-US" w:eastAsia="zh-CN"/>
        </w:rPr>
        <w:t>3</w:t>
      </w:r>
      <w:r>
        <w:rPr>
          <w:rFonts w:hint="eastAsia" w:ascii="仿宋_GB2312" w:hAnsi="仿宋_GB2312" w:eastAsia="仿宋_GB2312" w:cs="仿宋_GB2312"/>
          <w:bCs/>
          <w:sz w:val="24"/>
          <w:szCs w:val="24"/>
          <w:highlight w:val="yellow"/>
        </w:rPr>
        <w:t>.1功能用途：</w:t>
      </w:r>
    </w:p>
    <w:p>
      <w:pPr>
        <w:spacing w:line="480" w:lineRule="exact"/>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3</w:t>
      </w:r>
      <w:r>
        <w:rPr>
          <w:rFonts w:hint="eastAsia" w:ascii="仿宋_GB2312" w:hAnsi="仿宋_GB2312" w:eastAsia="仿宋_GB2312" w:cs="仿宋_GB2312"/>
          <w:bCs/>
          <w:sz w:val="24"/>
          <w:szCs w:val="24"/>
        </w:rPr>
        <w:t>.2设备参数要求：</w:t>
      </w:r>
    </w:p>
    <w:tbl>
      <w:tblPr>
        <w:tblStyle w:val="31"/>
        <w:tblpPr w:leftFromText="180" w:rightFromText="180" w:vertAnchor="text" w:horzAnchor="page" w:tblpX="1071" w:tblpY="766"/>
        <w:tblOverlap w:val="never"/>
        <w:tblW w:w="9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068"/>
        <w:gridCol w:w="6852"/>
        <w:gridCol w:w="675"/>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dxa"/>
            <w:shd w:val="clear" w:color="auto" w:fill="auto"/>
            <w:vAlign w:val="center"/>
          </w:tcPr>
          <w:p>
            <w:pPr>
              <w:widowControl/>
              <w:jc w:val="center"/>
              <w:rPr>
                <w:rFonts w:hint="eastAsia" w:ascii="仿宋_GB2312" w:hAnsi="仿宋_GB2312" w:eastAsia="仿宋_GB2312" w:cs="仿宋_GB2312"/>
                <w:kern w:val="2"/>
                <w:sz w:val="21"/>
                <w:szCs w:val="22"/>
                <w:lang w:val="en-US" w:eastAsia="zh-CN" w:bidi="ar-SA"/>
              </w:rPr>
            </w:pPr>
            <w:bookmarkStart w:id="136" w:name="_Toc30892"/>
            <w:bookmarkStart w:id="137" w:name="_Toc19081"/>
            <w:bookmarkStart w:id="138" w:name="_Toc6352"/>
            <w:bookmarkStart w:id="139" w:name="_Toc8892"/>
            <w:bookmarkStart w:id="140" w:name="_Toc30238"/>
            <w:bookmarkStart w:id="141" w:name="_Toc14583"/>
            <w:bookmarkStart w:id="142" w:name="_Toc19022"/>
            <w:bookmarkStart w:id="143" w:name="_Toc19805"/>
            <w:bookmarkStart w:id="144" w:name="_Toc16352"/>
            <w:bookmarkStart w:id="145" w:name="_Toc29006"/>
            <w:bookmarkStart w:id="146" w:name="_Toc22710"/>
            <w:bookmarkStart w:id="147" w:name="_Toc11390"/>
            <w:bookmarkStart w:id="148" w:name="_Toc20329"/>
            <w:bookmarkStart w:id="149" w:name="_Toc17909"/>
            <w:bookmarkStart w:id="150" w:name="_Toc1171"/>
            <w:bookmarkStart w:id="151" w:name="_Toc13526"/>
            <w:bookmarkStart w:id="152" w:name="_Toc26551"/>
            <w:bookmarkStart w:id="153" w:name="_Toc1909"/>
            <w:bookmarkStart w:id="154" w:name="_Toc16316"/>
            <w:bookmarkStart w:id="155" w:name="_Toc21086"/>
            <w:bookmarkStart w:id="156" w:name="_Toc20994"/>
            <w:bookmarkStart w:id="157" w:name="_Toc1962"/>
            <w:bookmarkStart w:id="158" w:name="_Toc7258"/>
            <w:bookmarkStart w:id="159" w:name="_Toc22662"/>
            <w:bookmarkStart w:id="160" w:name="_Toc11725"/>
            <w:bookmarkStart w:id="161" w:name="_Toc10828"/>
            <w:bookmarkStart w:id="162" w:name="_Toc133783970"/>
            <w:bookmarkStart w:id="163" w:name="_Toc19812"/>
            <w:bookmarkStart w:id="164" w:name="_Toc27327"/>
            <w:bookmarkStart w:id="165" w:name="_Toc28398"/>
            <w:bookmarkStart w:id="166" w:name="_Toc26601"/>
            <w:bookmarkStart w:id="167" w:name="_Toc20841"/>
            <w:bookmarkStart w:id="168" w:name="_Toc22516"/>
            <w:bookmarkStart w:id="169" w:name="_Toc24173"/>
            <w:bookmarkStart w:id="170" w:name="_Toc31816"/>
            <w:bookmarkStart w:id="171" w:name="_Toc3808"/>
            <w:bookmarkStart w:id="172" w:name="_Toc22347"/>
            <w:bookmarkStart w:id="173" w:name="_Toc32382"/>
            <w:bookmarkStart w:id="174" w:name="_Toc22156"/>
            <w:bookmarkStart w:id="175" w:name="_Toc28745"/>
            <w:bookmarkStart w:id="176" w:name="_Toc16317"/>
            <w:bookmarkStart w:id="177" w:name="_Toc4641"/>
            <w:bookmarkStart w:id="178" w:name="_Toc20260"/>
            <w:r>
              <w:rPr>
                <w:rFonts w:hint="eastAsia" w:ascii="仿宋_GB2312" w:hAnsi="仿宋_GB2312" w:eastAsia="仿宋_GB2312" w:cs="仿宋_GB2312"/>
                <w:kern w:val="2"/>
                <w:sz w:val="21"/>
                <w:szCs w:val="22"/>
                <w:lang w:val="en-US" w:eastAsia="zh-CN" w:bidi="ar-SA"/>
              </w:rPr>
              <w:t>序号</w:t>
            </w:r>
          </w:p>
        </w:tc>
        <w:tc>
          <w:tcPr>
            <w:tcW w:w="1068" w:type="dxa"/>
            <w:shd w:val="clear" w:color="auto" w:fill="auto"/>
            <w:noWrap/>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名称</w:t>
            </w:r>
          </w:p>
        </w:tc>
        <w:tc>
          <w:tcPr>
            <w:tcW w:w="6852" w:type="dxa"/>
            <w:shd w:val="clear" w:color="auto" w:fill="auto"/>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技术要求</w:t>
            </w:r>
          </w:p>
        </w:tc>
        <w:tc>
          <w:tcPr>
            <w:tcW w:w="675" w:type="dxa"/>
            <w:shd w:val="clear" w:color="auto" w:fill="auto"/>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单位</w:t>
            </w:r>
          </w:p>
        </w:tc>
        <w:tc>
          <w:tcPr>
            <w:tcW w:w="600" w:type="dxa"/>
            <w:shd w:val="clear" w:color="auto" w:fill="auto"/>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03" w:type="dxa"/>
            <w:shd w:val="clear" w:color="auto" w:fill="auto"/>
            <w:noWrap/>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1</w:t>
            </w:r>
          </w:p>
        </w:tc>
        <w:tc>
          <w:tcPr>
            <w:tcW w:w="1068" w:type="dxa"/>
            <w:shd w:val="clear" w:color="auto" w:fill="auto"/>
            <w:noWrap/>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 w:hAnsi="仿宋" w:eastAsia="仿宋" w:cs="宋体"/>
                <w:color w:val="000000"/>
                <w:kern w:val="0"/>
                <w:sz w:val="22"/>
                <w:szCs w:val="32"/>
                <w:highlight w:val="none"/>
                <w:lang w:val="en-US" w:eastAsia="zh-CN" w:bidi="ar-SA"/>
              </w:rPr>
              <w:t>阿里NEXTDATA存储硬件</w:t>
            </w:r>
          </w:p>
        </w:tc>
        <w:tc>
          <w:tcPr>
            <w:tcW w:w="6852" w:type="dxa"/>
            <w:shd w:val="clear" w:color="000000" w:fill="FFFFFF"/>
            <w:vAlign w:val="top"/>
          </w:tcPr>
          <w:p>
            <w:pPr>
              <w:pStyle w:val="27"/>
              <w:keepNext w:val="0"/>
              <w:keepLines w:val="0"/>
              <w:widowControl/>
              <w:numPr>
                <w:ilvl w:val="0"/>
                <w:numId w:val="0"/>
              </w:numPr>
              <w:suppressLineNumbers w:val="0"/>
              <w:ind w:left="0" w:leftChars="0" w:right="0" w:rightChars="0" w:firstLine="0" w:firstLineChars="0"/>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2颗高性能64位处理器，128GB Cache，2个管理网络接口，内部网络：2个10Gb数据接口，外部网络：2个10Gb数据接口，容灾网络：2个10Gb数据接口，存储容量（ 7.2krpm 8TB HDD×12），高速元数据/缓存容量（1.92TB  SSD×2），600GB SAS系统硬盘*2，1+1冗余电源。</w:t>
            </w:r>
          </w:p>
        </w:tc>
        <w:tc>
          <w:tcPr>
            <w:tcW w:w="675" w:type="dxa"/>
            <w:shd w:val="clear" w:color="auto" w:fill="auto"/>
            <w:noWrap/>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套</w:t>
            </w:r>
          </w:p>
        </w:tc>
        <w:tc>
          <w:tcPr>
            <w:tcW w:w="600" w:type="dxa"/>
            <w:shd w:val="clear" w:color="auto" w:fill="auto"/>
            <w:noWrap/>
            <w:vAlign w:val="center"/>
          </w:tcPr>
          <w:p>
            <w:pPr>
              <w:widowControl/>
              <w:jc w:val="center"/>
              <w:rPr>
                <w:rFonts w:hint="default"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1</w:t>
            </w:r>
          </w:p>
        </w:tc>
      </w:tr>
    </w:tbl>
    <w:p>
      <w:pPr>
        <w:adjustRightInd w:val="0"/>
        <w:snapToGrid w:val="0"/>
        <w:spacing w:before="163" w:beforeLines="50" w:after="163" w:afterLines="50" w:line="360" w:lineRule="auto"/>
        <w:jc w:val="center"/>
        <w:outlineLvl w:val="0"/>
        <w:rPr>
          <w:rFonts w:hint="eastAsia" w:ascii="仿宋_GB2312" w:hAnsi="仿宋_GB2312" w:eastAsia="仿宋_GB2312" w:cs="仿宋_GB2312"/>
          <w:b/>
          <w:bCs/>
        </w:rPr>
      </w:pPr>
    </w:p>
    <w:p>
      <w:pPr>
        <w:pStyle w:val="4"/>
        <w:snapToGrid w:val="0"/>
        <w:spacing w:before="0" w:after="0" w:line="360" w:lineRule="auto"/>
        <w:ind w:left="6" w:firstLine="474"/>
        <w:jc w:val="center"/>
        <w:rPr>
          <w:rFonts w:hint="eastAsia" w:ascii="仿宋_GB2312" w:hAnsi="仿宋_GB2312" w:eastAsia="仿宋_GB2312" w:cs="仿宋_GB2312"/>
          <w:kern w:val="2"/>
          <w:sz w:val="24"/>
          <w:szCs w:val="24"/>
        </w:rPr>
      </w:pPr>
    </w:p>
    <w:p>
      <w:pPr>
        <w:pStyle w:val="4"/>
        <w:snapToGrid w:val="0"/>
        <w:spacing w:before="0" w:after="0" w:line="360" w:lineRule="auto"/>
        <w:ind w:left="6" w:firstLine="474"/>
        <w:jc w:val="center"/>
        <w:rPr>
          <w:rFonts w:hint="eastAsia" w:ascii="仿宋_GB2312" w:hAnsi="仿宋_GB2312" w:eastAsia="仿宋_GB2312" w:cs="仿宋_GB2312"/>
          <w:b/>
          <w:bCs/>
          <w:sz w:val="24"/>
          <w:szCs w:val="24"/>
        </w:rPr>
      </w:pPr>
      <w:r>
        <w:rPr>
          <w:rFonts w:hint="eastAsia" w:ascii="仿宋_GB2312" w:hAnsi="仿宋_GB2312" w:eastAsia="仿宋_GB2312" w:cs="仿宋_GB2312"/>
          <w:kern w:val="2"/>
          <w:sz w:val="24"/>
          <w:szCs w:val="24"/>
        </w:rPr>
        <w:t>第三章供货范围及供货方式</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pPr>
        <w:pStyle w:val="4"/>
        <w:snapToGrid w:val="0"/>
        <w:spacing w:before="0" w:after="0" w:line="360" w:lineRule="auto"/>
        <w:ind w:left="6" w:firstLine="474"/>
        <w:jc w:val="center"/>
        <w:rPr>
          <w:rFonts w:hint="eastAsia" w:ascii="仿宋_GB2312" w:hAnsi="仿宋_GB2312" w:eastAsia="仿宋_GB2312" w:cs="仿宋_GB2312"/>
          <w:kern w:val="2"/>
          <w:sz w:val="24"/>
          <w:szCs w:val="24"/>
        </w:rPr>
      </w:pPr>
      <w:bookmarkStart w:id="179" w:name="_Toc19908"/>
      <w:bookmarkStart w:id="180" w:name="_Toc6864"/>
      <w:bookmarkStart w:id="181" w:name="_Toc2127"/>
      <w:bookmarkStart w:id="182" w:name="_Toc20301"/>
      <w:bookmarkStart w:id="183" w:name="_Toc3358"/>
      <w:bookmarkStart w:id="184" w:name="_Toc10323"/>
      <w:bookmarkStart w:id="185" w:name="_Toc20802"/>
      <w:bookmarkStart w:id="186" w:name="_Toc8238"/>
      <w:bookmarkStart w:id="187" w:name="_Toc19111"/>
      <w:bookmarkStart w:id="188" w:name="_Toc9994"/>
      <w:bookmarkStart w:id="189" w:name="_Toc20066"/>
      <w:bookmarkStart w:id="190" w:name="_Toc14383"/>
      <w:bookmarkStart w:id="191" w:name="_Toc32750"/>
      <w:bookmarkStart w:id="192" w:name="_Toc6219"/>
      <w:bookmarkStart w:id="193" w:name="_Toc28344"/>
      <w:bookmarkStart w:id="194" w:name="_Toc13578"/>
      <w:bookmarkStart w:id="195" w:name="_Toc16027"/>
      <w:bookmarkStart w:id="196" w:name="_Toc9571"/>
      <w:bookmarkStart w:id="197" w:name="_Toc133783971"/>
      <w:bookmarkStart w:id="198" w:name="_Toc18238"/>
      <w:bookmarkStart w:id="199" w:name="_Toc5032"/>
      <w:bookmarkStart w:id="200" w:name="_Toc25354"/>
      <w:bookmarkStart w:id="201" w:name="_Toc32286"/>
      <w:bookmarkStart w:id="202" w:name="_Toc32741"/>
      <w:bookmarkStart w:id="203" w:name="_Toc20721"/>
      <w:bookmarkStart w:id="204" w:name="_Toc31722"/>
      <w:bookmarkStart w:id="205" w:name="_Toc27831"/>
      <w:bookmarkStart w:id="206" w:name="_Toc19155"/>
      <w:bookmarkStart w:id="207" w:name="_Toc32542"/>
      <w:bookmarkStart w:id="208" w:name="_Toc11227"/>
      <w:bookmarkStart w:id="209" w:name="_Toc4896"/>
      <w:bookmarkStart w:id="210" w:name="_Toc3639"/>
      <w:bookmarkStart w:id="211" w:name="_Toc680"/>
      <w:bookmarkStart w:id="212" w:name="_Toc17404"/>
      <w:bookmarkStart w:id="213" w:name="_Toc969"/>
      <w:bookmarkStart w:id="214" w:name="_Toc5052"/>
      <w:bookmarkStart w:id="215" w:name="_Toc29751"/>
      <w:bookmarkStart w:id="216" w:name="_Toc5131"/>
      <w:bookmarkStart w:id="217" w:name="_Toc32716"/>
      <w:bookmarkStart w:id="218" w:name="_Toc4032"/>
      <w:bookmarkStart w:id="219" w:name="_Toc12581"/>
      <w:bookmarkStart w:id="220" w:name="_Toc27567"/>
      <w:bookmarkStart w:id="221" w:name="_Toc19860"/>
      <w:bookmarkStart w:id="222" w:name="_Toc11979"/>
      <w:bookmarkStart w:id="223" w:name="_Toc8963"/>
      <w:bookmarkStart w:id="224" w:name="_Toc9580"/>
      <w:bookmarkStart w:id="225" w:name="_Toc2288"/>
      <w:r>
        <w:rPr>
          <w:rFonts w:hint="eastAsia" w:ascii="仿宋_GB2312" w:hAnsi="仿宋_GB2312" w:eastAsia="仿宋_GB2312" w:cs="仿宋_GB2312"/>
          <w:kern w:val="2"/>
          <w:sz w:val="24"/>
          <w:szCs w:val="24"/>
        </w:rPr>
        <w:t>第一节供货范围</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pPr>
        <w:snapToGrid w:val="0"/>
        <w:spacing w:line="360" w:lineRule="auto"/>
        <w:ind w:left="480"/>
        <w:outlineLvl w:val="2"/>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1供货范围</w:t>
      </w:r>
    </w:p>
    <w:tbl>
      <w:tblPr>
        <w:tblStyle w:val="31"/>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5375"/>
        <w:gridCol w:w="950"/>
        <w:gridCol w:w="1156"/>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序号</w:t>
            </w:r>
          </w:p>
        </w:tc>
        <w:tc>
          <w:tcPr>
            <w:tcW w:w="5375" w:type="dxa"/>
            <w:vAlign w:val="center"/>
          </w:tcPr>
          <w:p>
            <w:pPr>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名称</w:t>
            </w:r>
          </w:p>
        </w:tc>
        <w:tc>
          <w:tcPr>
            <w:tcW w:w="950" w:type="dxa"/>
            <w:vAlign w:val="center"/>
          </w:tcPr>
          <w:p>
            <w:pPr>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单位</w:t>
            </w:r>
          </w:p>
        </w:tc>
        <w:tc>
          <w:tcPr>
            <w:tcW w:w="1156" w:type="dxa"/>
            <w:vAlign w:val="center"/>
          </w:tcPr>
          <w:p>
            <w:pPr>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数量</w:t>
            </w:r>
          </w:p>
        </w:tc>
        <w:tc>
          <w:tcPr>
            <w:tcW w:w="827" w:type="dxa"/>
            <w:vAlign w:val="center"/>
          </w:tcPr>
          <w:p>
            <w:pPr>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vAlign w:val="center"/>
          </w:tcPr>
          <w:p>
            <w:pPr>
              <w:pStyle w:val="112"/>
              <w:spacing w:before="60" w:after="6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5375" w:type="dxa"/>
            <w:vAlign w:val="center"/>
          </w:tcPr>
          <w:p>
            <w:pPr>
              <w:pStyle w:val="112"/>
              <w:spacing w:before="60" w:after="60"/>
              <w:jc w:val="left"/>
              <w:rPr>
                <w:rFonts w:hint="eastAsia" w:ascii="仿宋_GB2312" w:hAnsi="仿宋_GB2312" w:eastAsia="仿宋_GB2312" w:cs="仿宋_GB2312"/>
                <w:sz w:val="21"/>
                <w:szCs w:val="21"/>
                <w:lang w:val="en-US" w:eastAsia="zh-CN"/>
              </w:rPr>
            </w:pPr>
            <w:r>
              <w:rPr>
                <w:rFonts w:hint="eastAsia" w:ascii="仿宋" w:hAnsi="仿宋" w:eastAsia="仿宋" w:cs="宋体"/>
                <w:color w:val="000000"/>
                <w:kern w:val="0"/>
                <w:sz w:val="22"/>
                <w:szCs w:val="32"/>
                <w:highlight w:val="none"/>
                <w:lang w:val="en-US" w:eastAsia="zh-CN" w:bidi="ar-SA"/>
              </w:rPr>
              <w:t>阿里NEXTDATA存储硬件</w:t>
            </w:r>
          </w:p>
        </w:tc>
        <w:tc>
          <w:tcPr>
            <w:tcW w:w="950" w:type="dxa"/>
            <w:vAlign w:val="center"/>
          </w:tcPr>
          <w:p>
            <w:pPr>
              <w:spacing w:line="360" w:lineRule="auto"/>
              <w:jc w:val="center"/>
              <w:textAlignment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套</w:t>
            </w:r>
          </w:p>
        </w:tc>
        <w:tc>
          <w:tcPr>
            <w:tcW w:w="1156" w:type="dxa"/>
            <w:vAlign w:val="center"/>
          </w:tcPr>
          <w:p>
            <w:pPr>
              <w:spacing w:line="360" w:lineRule="auto"/>
              <w:jc w:val="center"/>
              <w:textAlignment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827" w:type="dxa"/>
            <w:vAlign w:val="center"/>
          </w:tcPr>
          <w:p>
            <w:pPr>
              <w:spacing w:line="360" w:lineRule="auto"/>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pStyle w:val="112"/>
              <w:spacing w:before="60" w:after="6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5375" w:type="dxa"/>
            <w:vAlign w:val="center"/>
          </w:tcPr>
          <w:p>
            <w:pPr>
              <w:pStyle w:val="112"/>
              <w:spacing w:before="60" w:after="60"/>
              <w:jc w:val="left"/>
              <w:rPr>
                <w:rFonts w:hint="eastAsia" w:ascii="仿宋_GB2312" w:hAnsi="仿宋_GB2312" w:eastAsia="仿宋_GB2312" w:cs="仿宋_GB2312"/>
                <w:sz w:val="21"/>
                <w:szCs w:val="21"/>
              </w:rPr>
            </w:pPr>
            <w:r>
              <w:rPr>
                <w:rFonts w:hint="eastAsia" w:ascii="仿宋_GB2312" w:hAnsi="仿宋_GB2312" w:eastAsia="仿宋_GB2312" w:cs="仿宋_GB2312"/>
                <w:kern w:val="2"/>
                <w:sz w:val="21"/>
                <w:szCs w:val="22"/>
                <w:lang w:val="en-US" w:eastAsia="zh-CN" w:bidi="ar-SA"/>
              </w:rPr>
              <w:t>辅材配件及安装</w:t>
            </w:r>
          </w:p>
        </w:tc>
        <w:tc>
          <w:tcPr>
            <w:tcW w:w="950" w:type="dxa"/>
            <w:vAlign w:val="center"/>
          </w:tcPr>
          <w:p>
            <w:pPr>
              <w:spacing w:line="360" w:lineRule="auto"/>
              <w:jc w:val="center"/>
              <w:textAlignment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宗</w:t>
            </w:r>
          </w:p>
        </w:tc>
        <w:tc>
          <w:tcPr>
            <w:tcW w:w="1156" w:type="dxa"/>
            <w:vAlign w:val="center"/>
          </w:tcPr>
          <w:p>
            <w:pPr>
              <w:spacing w:line="360" w:lineRule="auto"/>
              <w:jc w:val="center"/>
              <w:textAlignment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827" w:type="dxa"/>
            <w:vAlign w:val="center"/>
          </w:tcPr>
          <w:p>
            <w:pPr>
              <w:spacing w:line="360" w:lineRule="auto"/>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pStyle w:val="112"/>
              <w:spacing w:before="60" w:after="6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3</w:t>
            </w:r>
          </w:p>
        </w:tc>
        <w:tc>
          <w:tcPr>
            <w:tcW w:w="5375" w:type="dxa"/>
            <w:vAlign w:val="center"/>
          </w:tcPr>
          <w:p>
            <w:pPr>
              <w:pStyle w:val="112"/>
              <w:spacing w:before="60" w:after="6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设备说明书</w:t>
            </w:r>
          </w:p>
        </w:tc>
        <w:tc>
          <w:tcPr>
            <w:tcW w:w="950"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套</w:t>
            </w:r>
          </w:p>
        </w:tc>
        <w:tc>
          <w:tcPr>
            <w:tcW w:w="1156"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w:t>
            </w:r>
          </w:p>
        </w:tc>
        <w:tc>
          <w:tcPr>
            <w:tcW w:w="827" w:type="dxa"/>
            <w:vAlign w:val="center"/>
          </w:tcPr>
          <w:p>
            <w:pPr>
              <w:spacing w:line="360" w:lineRule="auto"/>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59" w:type="dxa"/>
            <w:vAlign w:val="center"/>
          </w:tcPr>
          <w:p>
            <w:pPr>
              <w:pStyle w:val="112"/>
              <w:spacing w:before="60" w:after="60"/>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5375" w:type="dxa"/>
            <w:vAlign w:val="center"/>
          </w:tcPr>
          <w:p>
            <w:pPr>
              <w:pStyle w:val="112"/>
              <w:spacing w:before="60" w:after="60"/>
              <w:jc w:val="left"/>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Cs/>
                <w:sz w:val="21"/>
                <w:szCs w:val="21"/>
              </w:rPr>
              <w:t>合格证</w:t>
            </w:r>
          </w:p>
        </w:tc>
        <w:tc>
          <w:tcPr>
            <w:tcW w:w="950"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套</w:t>
            </w:r>
          </w:p>
        </w:tc>
        <w:tc>
          <w:tcPr>
            <w:tcW w:w="1156"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w:t>
            </w:r>
          </w:p>
        </w:tc>
        <w:tc>
          <w:tcPr>
            <w:tcW w:w="827" w:type="dxa"/>
            <w:vAlign w:val="center"/>
          </w:tcPr>
          <w:p>
            <w:pPr>
              <w:spacing w:line="360" w:lineRule="auto"/>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pStyle w:val="112"/>
              <w:spacing w:before="60" w:after="60"/>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5375" w:type="dxa"/>
            <w:vAlign w:val="center"/>
          </w:tcPr>
          <w:p>
            <w:pPr>
              <w:pStyle w:val="112"/>
              <w:spacing w:before="60" w:after="6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操作维护手册</w:t>
            </w:r>
          </w:p>
        </w:tc>
        <w:tc>
          <w:tcPr>
            <w:tcW w:w="950"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套</w:t>
            </w:r>
          </w:p>
        </w:tc>
        <w:tc>
          <w:tcPr>
            <w:tcW w:w="1156"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w:t>
            </w:r>
          </w:p>
        </w:tc>
        <w:tc>
          <w:tcPr>
            <w:tcW w:w="827" w:type="dxa"/>
            <w:vAlign w:val="center"/>
          </w:tcPr>
          <w:p>
            <w:pPr>
              <w:spacing w:line="360" w:lineRule="auto"/>
              <w:jc w:val="center"/>
              <w:textAlignment w:val="center"/>
              <w:rPr>
                <w:rFonts w:hint="eastAsia" w:ascii="仿宋_GB2312" w:hAnsi="仿宋_GB2312" w:eastAsia="仿宋_GB2312" w:cs="仿宋_GB2312"/>
                <w:sz w:val="21"/>
                <w:szCs w:val="21"/>
              </w:rPr>
            </w:pPr>
          </w:p>
        </w:tc>
      </w:tr>
    </w:tbl>
    <w:p>
      <w:pPr>
        <w:rPr>
          <w:rFonts w:hint="eastAsia" w:ascii="仿宋_GB2312" w:hAnsi="仿宋_GB2312" w:eastAsia="仿宋_GB2312" w:cs="仿宋_GB2312"/>
        </w:rPr>
      </w:pPr>
    </w:p>
    <w:p>
      <w:pPr>
        <w:snapToGrid w:val="0"/>
        <w:spacing w:line="360" w:lineRule="auto"/>
        <w:ind w:left="480"/>
        <w:outlineLvl w:val="2"/>
        <w:rPr>
          <w:rFonts w:hint="eastAsia" w:ascii="仿宋_GB2312" w:hAnsi="仿宋_GB2312" w:eastAsia="仿宋_GB2312" w:cs="仿宋_GB2312"/>
          <w:b/>
          <w:bCs/>
          <w:sz w:val="24"/>
          <w:szCs w:val="24"/>
        </w:rPr>
      </w:pPr>
      <w:bookmarkStart w:id="226" w:name="_Toc6916"/>
      <w:bookmarkStart w:id="227" w:name="_Toc20059"/>
      <w:bookmarkStart w:id="228" w:name="_Toc8330"/>
      <w:bookmarkStart w:id="229" w:name="_Toc25570"/>
      <w:bookmarkStart w:id="230" w:name="_Toc10211"/>
      <w:bookmarkStart w:id="231" w:name="_Toc11531"/>
      <w:bookmarkStart w:id="232" w:name="_Toc19187"/>
      <w:bookmarkStart w:id="233" w:name="_Toc30004"/>
      <w:bookmarkStart w:id="234" w:name="_Toc29389"/>
      <w:bookmarkStart w:id="235" w:name="_Toc10027"/>
      <w:bookmarkStart w:id="236" w:name="_Toc18018"/>
      <w:bookmarkStart w:id="237" w:name="_Toc24079"/>
      <w:bookmarkStart w:id="238" w:name="_Toc3726"/>
      <w:bookmarkStart w:id="239" w:name="_Toc31723"/>
      <w:bookmarkStart w:id="240" w:name="_Toc5521"/>
      <w:bookmarkStart w:id="241" w:name="_Toc30087"/>
      <w:bookmarkStart w:id="242" w:name="_Toc434"/>
      <w:bookmarkStart w:id="243" w:name="_Toc73112406"/>
      <w:bookmarkStart w:id="244" w:name="_Toc31074"/>
      <w:bookmarkStart w:id="245" w:name="_Toc2744"/>
      <w:bookmarkStart w:id="246" w:name="_Toc31685"/>
      <w:r>
        <w:rPr>
          <w:rFonts w:hint="eastAsia" w:ascii="仿宋_GB2312" w:hAnsi="仿宋_GB2312" w:eastAsia="仿宋_GB2312" w:cs="仿宋_GB2312"/>
          <w:b/>
          <w:bCs/>
          <w:sz w:val="24"/>
          <w:szCs w:val="24"/>
          <w:lang w:val="en-US" w:eastAsia="zh-CN"/>
        </w:rPr>
        <w:t>2</w:t>
      </w:r>
      <w:r>
        <w:rPr>
          <w:rFonts w:hint="eastAsia" w:ascii="仿宋_GB2312" w:hAnsi="仿宋_GB2312" w:eastAsia="仿宋_GB2312" w:cs="仿宋_GB2312"/>
          <w:b/>
          <w:bCs/>
          <w:sz w:val="24"/>
          <w:szCs w:val="24"/>
        </w:rPr>
        <w:t>备品备件、易损件和专用耗材供货范围</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pStyle w:val="17"/>
        <w:snapToGrid w:val="0"/>
        <w:spacing w:line="360" w:lineRule="auto"/>
        <w:ind w:left="6" w:firstLine="474" w:firstLineChars="0"/>
        <w:rPr>
          <w:rFonts w:hint="eastAsia" w:ascii="仿宋_GB2312" w:hAnsi="仿宋_GB2312" w:eastAsia="仿宋_GB2312" w:cs="仿宋_GB2312"/>
        </w:rPr>
      </w:pPr>
      <w:r>
        <w:rPr>
          <w:rFonts w:hint="eastAsia" w:ascii="仿宋_GB2312" w:hAnsi="仿宋_GB2312" w:eastAsia="仿宋_GB2312" w:cs="仿宋_GB2312"/>
          <w:lang w:val="en-US" w:eastAsia="zh-CN"/>
        </w:rPr>
        <w:t>2</w:t>
      </w:r>
      <w:r>
        <w:rPr>
          <w:rFonts w:hint="eastAsia" w:ascii="仿宋_GB2312" w:hAnsi="仿宋_GB2312" w:eastAsia="仿宋_GB2312" w:cs="仿宋_GB2312"/>
        </w:rPr>
        <w:t>.1招标方招标文件所指备品备件、易损件是招标方为保证货物质保期之后正常运行</w:t>
      </w:r>
      <w:r>
        <w:rPr>
          <w:rFonts w:hint="eastAsia" w:ascii="仿宋_GB2312" w:hAnsi="仿宋_GB2312" w:eastAsia="仿宋_GB2312" w:cs="仿宋_GB2312"/>
          <w:highlight w:val="yellow"/>
        </w:rPr>
        <w:t>一年</w:t>
      </w:r>
      <w:r>
        <w:rPr>
          <w:rFonts w:hint="eastAsia" w:ascii="仿宋_GB2312" w:hAnsi="仿宋_GB2312" w:eastAsia="仿宋_GB2312" w:cs="仿宋_GB2312"/>
        </w:rPr>
        <w:t>所自备自用的备品备件、易损件。</w:t>
      </w:r>
    </w:p>
    <w:p>
      <w:pPr>
        <w:pStyle w:val="17"/>
        <w:snapToGrid w:val="0"/>
        <w:spacing w:line="360" w:lineRule="auto"/>
        <w:ind w:left="6" w:firstLine="474" w:firstLineChars="0"/>
        <w:rPr>
          <w:rFonts w:hint="eastAsia" w:ascii="仿宋_GB2312" w:hAnsi="仿宋_GB2312" w:eastAsia="仿宋_GB2312" w:cs="仿宋_GB2312"/>
        </w:rPr>
      </w:pPr>
      <w:r>
        <w:rPr>
          <w:rFonts w:hint="eastAsia" w:ascii="仿宋_GB2312" w:hAnsi="仿宋_GB2312" w:eastAsia="仿宋_GB2312" w:cs="仿宋_GB2312"/>
          <w:lang w:val="en-US" w:eastAsia="zh-CN"/>
        </w:rPr>
        <w:t>2</w:t>
      </w:r>
      <w:r>
        <w:rPr>
          <w:rFonts w:hint="eastAsia" w:ascii="仿宋_GB2312" w:hAnsi="仿宋_GB2312" w:eastAsia="仿宋_GB2312" w:cs="仿宋_GB2312"/>
        </w:rPr>
        <w:t>.2投标方按照招标文件要求提供、或投标方认为招标方应当储备的备品备件、易损件，投标方应当在投标报价部分分别说明所列备品备件、易损件的使用时间。</w:t>
      </w:r>
    </w:p>
    <w:p>
      <w:pPr>
        <w:pStyle w:val="17"/>
        <w:snapToGrid w:val="0"/>
        <w:spacing w:line="360" w:lineRule="auto"/>
        <w:ind w:left="6" w:firstLine="474" w:firstLineChars="0"/>
        <w:rPr>
          <w:rFonts w:hint="eastAsia" w:ascii="仿宋_GB2312" w:hAnsi="仿宋_GB2312" w:eastAsia="仿宋_GB2312" w:cs="仿宋_GB2312"/>
        </w:rPr>
      </w:pPr>
      <w:r>
        <w:rPr>
          <w:rFonts w:hint="eastAsia" w:ascii="仿宋_GB2312" w:hAnsi="仿宋_GB2312" w:eastAsia="仿宋_GB2312" w:cs="仿宋_GB2312"/>
          <w:lang w:val="en-US" w:eastAsia="zh-CN"/>
        </w:rPr>
        <w:t>2</w:t>
      </w:r>
      <w:r>
        <w:rPr>
          <w:rFonts w:hint="eastAsia" w:ascii="仿宋_GB2312" w:hAnsi="仿宋_GB2312" w:eastAsia="仿宋_GB2312" w:cs="仿宋_GB2312"/>
        </w:rPr>
        <w:t>.3投标文件中，应当有备品备件、易损件的详细清单（内容包括名称、型号、规格、单位、数量、生产厂家、单价、总价等）。</w:t>
      </w:r>
    </w:p>
    <w:p>
      <w:pPr>
        <w:pStyle w:val="17"/>
        <w:snapToGrid w:val="0"/>
        <w:spacing w:line="360" w:lineRule="auto"/>
        <w:ind w:left="6" w:firstLine="474" w:firstLineChars="0"/>
        <w:rPr>
          <w:rFonts w:hint="eastAsia" w:ascii="仿宋_GB2312" w:hAnsi="仿宋_GB2312" w:eastAsia="仿宋_GB2312" w:cs="仿宋_GB2312"/>
        </w:rPr>
      </w:pPr>
      <w:r>
        <w:rPr>
          <w:rFonts w:hint="eastAsia" w:ascii="仿宋_GB2312" w:hAnsi="仿宋_GB2312" w:eastAsia="仿宋_GB2312" w:cs="仿宋_GB2312"/>
          <w:lang w:val="en-US" w:eastAsia="zh-CN"/>
        </w:rPr>
        <w:t>2</w:t>
      </w:r>
      <w:r>
        <w:rPr>
          <w:rFonts w:hint="eastAsia" w:ascii="仿宋_GB2312" w:hAnsi="仿宋_GB2312" w:eastAsia="仿宋_GB2312" w:cs="仿宋_GB2312"/>
        </w:rPr>
        <w:t>.</w:t>
      </w:r>
      <w:r>
        <w:rPr>
          <w:rFonts w:hint="eastAsia" w:ascii="仿宋_GB2312" w:hAnsi="仿宋_GB2312" w:eastAsia="仿宋_GB2312" w:cs="仿宋_GB2312"/>
          <w:lang w:val="en-US" w:eastAsia="zh-CN"/>
        </w:rPr>
        <w:t>4</w:t>
      </w:r>
      <w:r>
        <w:rPr>
          <w:rFonts w:hint="eastAsia" w:ascii="仿宋_GB2312" w:hAnsi="仿宋_GB2312" w:eastAsia="仿宋_GB2312" w:cs="仿宋_GB2312"/>
        </w:rPr>
        <w:t>备品备件、易损件的费用应分类单列，并计入投标总报价之内。</w:t>
      </w:r>
    </w:p>
    <w:p>
      <w:pPr>
        <w:adjustRightInd w:val="0"/>
        <w:snapToGrid w:val="0"/>
        <w:spacing w:before="163" w:beforeLines="50" w:after="163" w:afterLines="50" w:line="360" w:lineRule="auto"/>
        <w:jc w:val="center"/>
        <w:outlineLvl w:val="1"/>
        <w:rPr>
          <w:rFonts w:hint="eastAsia" w:ascii="仿宋_GB2312" w:hAnsi="仿宋_GB2312" w:eastAsia="仿宋_GB2312" w:cs="仿宋_GB2312"/>
          <w:b/>
          <w:bCs/>
          <w:sz w:val="24"/>
          <w:szCs w:val="24"/>
        </w:rPr>
      </w:pPr>
      <w:bookmarkStart w:id="247" w:name="_Toc21360"/>
      <w:bookmarkStart w:id="248" w:name="_Toc23025"/>
      <w:bookmarkStart w:id="249" w:name="_Toc81"/>
      <w:bookmarkStart w:id="250" w:name="_Toc11837"/>
      <w:bookmarkStart w:id="251" w:name="_Toc30635"/>
      <w:bookmarkStart w:id="252" w:name="_Toc27960"/>
      <w:bookmarkStart w:id="253" w:name="_Toc24898"/>
      <w:bookmarkStart w:id="254" w:name="_Toc1998"/>
      <w:bookmarkStart w:id="255" w:name="_Toc3580"/>
      <w:bookmarkStart w:id="256" w:name="_Toc22358"/>
      <w:bookmarkStart w:id="257" w:name="_Toc4183"/>
      <w:bookmarkStart w:id="258" w:name="_Toc3548"/>
      <w:bookmarkStart w:id="259" w:name="_Toc17572"/>
      <w:bookmarkStart w:id="260" w:name="_Toc6313"/>
      <w:bookmarkStart w:id="261" w:name="_Toc4268"/>
      <w:bookmarkStart w:id="262" w:name="_Toc133783972"/>
      <w:bookmarkStart w:id="263" w:name="_Toc25983"/>
      <w:bookmarkStart w:id="264" w:name="_Toc15620"/>
      <w:bookmarkStart w:id="265" w:name="_Toc12288"/>
      <w:bookmarkStart w:id="266" w:name="_Toc15671"/>
      <w:bookmarkStart w:id="267" w:name="_Toc23856"/>
      <w:bookmarkStart w:id="268" w:name="_Toc16163"/>
      <w:bookmarkStart w:id="269" w:name="_Toc29792"/>
      <w:bookmarkStart w:id="270" w:name="_Toc13201"/>
      <w:bookmarkStart w:id="271" w:name="_Toc16689"/>
      <w:bookmarkStart w:id="272" w:name="_Toc29107"/>
      <w:bookmarkStart w:id="273" w:name="_Toc11851"/>
      <w:bookmarkStart w:id="274" w:name="_Toc18839"/>
      <w:bookmarkStart w:id="275" w:name="_Toc4381"/>
      <w:bookmarkStart w:id="276" w:name="_Toc8309"/>
      <w:bookmarkStart w:id="277" w:name="_Toc20754"/>
      <w:bookmarkStart w:id="278" w:name="_Toc5634"/>
      <w:bookmarkStart w:id="279" w:name="_Toc603"/>
      <w:bookmarkStart w:id="280" w:name="_Toc18492"/>
      <w:bookmarkStart w:id="281" w:name="_Toc17613"/>
      <w:bookmarkStart w:id="282" w:name="_Toc18118"/>
      <w:bookmarkStart w:id="283" w:name="_Toc4601"/>
      <w:bookmarkStart w:id="284" w:name="_Toc27636"/>
      <w:bookmarkStart w:id="285" w:name="_Toc19194"/>
      <w:bookmarkStart w:id="286" w:name="_Toc1897"/>
      <w:bookmarkStart w:id="287" w:name="_Toc17660"/>
      <w:bookmarkStart w:id="288" w:name="_Toc10692"/>
      <w:bookmarkStart w:id="289" w:name="_Toc4676"/>
      <w:r>
        <w:rPr>
          <w:rFonts w:hint="eastAsia" w:ascii="仿宋_GB2312" w:hAnsi="仿宋_GB2312" w:eastAsia="仿宋_GB2312" w:cs="仿宋_GB2312"/>
          <w:b/>
          <w:bCs/>
          <w:sz w:val="24"/>
          <w:szCs w:val="24"/>
        </w:rPr>
        <w:t>第二节供货方式</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pPr>
        <w:snapToGrid w:val="0"/>
        <w:spacing w:line="360" w:lineRule="auto"/>
        <w:ind w:left="480"/>
        <w:outlineLvl w:val="2"/>
        <w:rPr>
          <w:rFonts w:hint="eastAsia" w:ascii="仿宋_GB2312" w:hAnsi="仿宋_GB2312" w:eastAsia="仿宋_GB2312" w:cs="仿宋_GB2312"/>
          <w:b/>
          <w:bCs/>
          <w:sz w:val="24"/>
          <w:szCs w:val="24"/>
        </w:rPr>
      </w:pPr>
      <w:bookmarkStart w:id="290" w:name="_Toc3032"/>
      <w:bookmarkStart w:id="291" w:name="_Toc28222"/>
      <w:bookmarkStart w:id="292" w:name="_Toc19237"/>
      <w:bookmarkStart w:id="293" w:name="_Toc1116"/>
      <w:bookmarkStart w:id="294" w:name="_Toc4791"/>
      <w:bookmarkStart w:id="295" w:name="_Toc20263"/>
      <w:bookmarkStart w:id="296" w:name="_Toc11533"/>
      <w:bookmarkStart w:id="297" w:name="_Toc73112409"/>
      <w:bookmarkStart w:id="298" w:name="_Toc4344"/>
      <w:bookmarkStart w:id="299" w:name="_Toc14135"/>
      <w:bookmarkStart w:id="300" w:name="_Toc18282"/>
      <w:bookmarkStart w:id="301" w:name="_Toc28360"/>
      <w:bookmarkStart w:id="302" w:name="_Toc10286"/>
      <w:bookmarkStart w:id="303" w:name="_Toc28759"/>
      <w:bookmarkStart w:id="304" w:name="_Toc1474"/>
      <w:bookmarkStart w:id="305" w:name="_Toc28962"/>
      <w:bookmarkStart w:id="306" w:name="_Toc32491"/>
      <w:bookmarkStart w:id="307" w:name="_Toc27005"/>
      <w:bookmarkStart w:id="308" w:name="_Toc24179"/>
      <w:bookmarkStart w:id="309" w:name="_Toc22679"/>
      <w:bookmarkStart w:id="310" w:name="_Toc28534"/>
      <w:r>
        <w:rPr>
          <w:rFonts w:hint="eastAsia" w:ascii="仿宋_GB2312" w:hAnsi="仿宋_GB2312" w:eastAsia="仿宋_GB2312" w:cs="仿宋_GB2312"/>
          <w:b/>
          <w:bCs/>
          <w:sz w:val="24"/>
          <w:szCs w:val="24"/>
        </w:rPr>
        <w:t>1供货地点</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pPr>
        <w:pStyle w:val="17"/>
        <w:snapToGrid w:val="0"/>
        <w:spacing w:line="360" w:lineRule="auto"/>
        <w:ind w:firstLine="480" w:firstLineChars="200"/>
        <w:rPr>
          <w:rFonts w:hint="eastAsia" w:ascii="仿宋_GB2312" w:hAnsi="仿宋_GB2312" w:eastAsia="仿宋_GB2312" w:cs="仿宋_GB2312"/>
          <w:highlight w:val="yellow"/>
        </w:rPr>
      </w:pPr>
      <w:r>
        <w:rPr>
          <w:rFonts w:hint="eastAsia" w:ascii="仿宋_GB2312" w:hAnsi="仿宋_GB2312" w:eastAsia="仿宋_GB2312" w:cs="仿宋_GB2312"/>
          <w:highlight w:val="yellow"/>
          <w:lang w:val="en-US" w:eastAsia="zh-CN"/>
        </w:rPr>
        <w:t>集团数据中心2层</w:t>
      </w:r>
      <w:r>
        <w:rPr>
          <w:rFonts w:hint="eastAsia" w:ascii="仿宋_GB2312" w:hAnsi="仿宋_GB2312" w:eastAsia="仿宋_GB2312" w:cs="仿宋_GB2312"/>
          <w:highlight w:val="yellow"/>
        </w:rPr>
        <w:t>。</w:t>
      </w:r>
    </w:p>
    <w:p>
      <w:pPr>
        <w:snapToGrid w:val="0"/>
        <w:spacing w:line="360" w:lineRule="auto"/>
        <w:ind w:left="480"/>
        <w:outlineLvl w:val="2"/>
        <w:rPr>
          <w:rFonts w:hint="eastAsia" w:ascii="仿宋_GB2312" w:hAnsi="仿宋_GB2312" w:eastAsia="仿宋_GB2312" w:cs="仿宋_GB2312"/>
          <w:b/>
          <w:bCs/>
          <w:sz w:val="24"/>
          <w:szCs w:val="24"/>
        </w:rPr>
      </w:pPr>
      <w:bookmarkStart w:id="311" w:name="_Toc8043"/>
      <w:bookmarkStart w:id="312" w:name="_Toc11086"/>
      <w:bookmarkStart w:id="313" w:name="_Toc26178"/>
      <w:bookmarkStart w:id="314" w:name="_Toc22977"/>
      <w:bookmarkStart w:id="315" w:name="_Toc5862"/>
      <w:bookmarkStart w:id="316" w:name="_Toc21521"/>
      <w:bookmarkStart w:id="317" w:name="_Toc6963"/>
      <w:bookmarkStart w:id="318" w:name="_Toc30858"/>
      <w:bookmarkStart w:id="319" w:name="_Toc26611"/>
      <w:bookmarkStart w:id="320" w:name="_Toc73112410"/>
      <w:bookmarkStart w:id="321" w:name="_Toc20257"/>
      <w:bookmarkStart w:id="322" w:name="_Toc6707"/>
      <w:bookmarkStart w:id="323" w:name="_Toc22044"/>
      <w:bookmarkStart w:id="324" w:name="_Toc9856"/>
      <w:bookmarkStart w:id="325" w:name="_Toc4215"/>
      <w:bookmarkStart w:id="326" w:name="_Toc531"/>
      <w:bookmarkStart w:id="327" w:name="_Toc31657"/>
      <w:bookmarkStart w:id="328" w:name="_Toc11152"/>
      <w:bookmarkStart w:id="329" w:name="_Toc2280"/>
      <w:bookmarkStart w:id="330" w:name="_Toc27724"/>
      <w:bookmarkStart w:id="331" w:name="_Toc27558"/>
      <w:r>
        <w:rPr>
          <w:rFonts w:hint="eastAsia" w:ascii="仿宋_GB2312" w:hAnsi="仿宋_GB2312" w:eastAsia="仿宋_GB2312" w:cs="仿宋_GB2312"/>
          <w:b/>
          <w:bCs/>
          <w:sz w:val="24"/>
          <w:szCs w:val="24"/>
        </w:rPr>
        <w:t>2供货时间</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pPr>
        <w:snapToGrid w:val="0"/>
        <w:spacing w:line="360" w:lineRule="auto"/>
        <w:ind w:firstLine="960" w:firstLineChars="400"/>
        <w:jc w:val="left"/>
        <w:rPr>
          <w:rFonts w:hint="eastAsia" w:ascii="仿宋_GB2312" w:hAnsi="仿宋_GB2312" w:eastAsia="仿宋_GB2312" w:cs="仿宋_GB2312"/>
          <w:strike/>
          <w:sz w:val="24"/>
          <w:szCs w:val="24"/>
          <w:highlight w:val="yellow"/>
        </w:rPr>
      </w:pPr>
      <w:r>
        <w:rPr>
          <w:rFonts w:hint="eastAsia" w:ascii="仿宋_GB2312" w:hAnsi="仿宋_GB2312" w:eastAsia="仿宋_GB2312" w:cs="仿宋_GB2312"/>
          <w:sz w:val="24"/>
          <w:szCs w:val="24"/>
          <w:highlight w:val="yellow"/>
        </w:rPr>
        <w:t>2.1</w:t>
      </w:r>
      <w:r>
        <w:rPr>
          <w:rFonts w:hint="eastAsia" w:ascii="仿宋_GB2312" w:hAnsi="仿宋_GB2312" w:eastAsia="仿宋_GB2312" w:cs="仿宋_GB2312"/>
          <w:sz w:val="24"/>
          <w:szCs w:val="24"/>
          <w:highlight w:val="yellow"/>
          <w:lang w:val="en-US" w:eastAsia="zh-CN"/>
        </w:rPr>
        <w:t>自合同签字生效之日起</w:t>
      </w:r>
      <w:r>
        <w:rPr>
          <w:rFonts w:hint="eastAsia" w:ascii="仿宋_GB2312" w:hAnsi="仿宋_GB2312" w:eastAsia="仿宋_GB2312" w:cs="仿宋_GB2312"/>
          <w:sz w:val="24"/>
          <w:szCs w:val="24"/>
          <w:highlight w:val="yellow"/>
        </w:rPr>
        <w:t>，</w:t>
      </w:r>
      <w:r>
        <w:rPr>
          <w:rFonts w:hint="eastAsia" w:ascii="仿宋_GB2312" w:hAnsi="仿宋_GB2312" w:eastAsia="仿宋_GB2312" w:cs="仿宋_GB2312"/>
          <w:sz w:val="24"/>
          <w:szCs w:val="24"/>
          <w:highlight w:val="yellow"/>
          <w:u w:val="single"/>
          <w:shd w:val="pct10" w:color="auto" w:fill="FFFFFF"/>
        </w:rPr>
        <w:t>3</w:t>
      </w:r>
      <w:r>
        <w:rPr>
          <w:rFonts w:hint="eastAsia" w:ascii="仿宋_GB2312" w:hAnsi="仿宋_GB2312" w:eastAsia="仿宋_GB2312" w:cs="仿宋_GB2312"/>
          <w:sz w:val="24"/>
          <w:szCs w:val="24"/>
          <w:highlight w:val="yellow"/>
          <w:u w:val="single"/>
          <w:shd w:val="pct10" w:color="auto" w:fill="FFFFFF"/>
          <w:lang w:val="en-US" w:eastAsia="zh-CN"/>
        </w:rPr>
        <w:t>0</w:t>
      </w:r>
      <w:r>
        <w:rPr>
          <w:rFonts w:hint="eastAsia" w:ascii="仿宋_GB2312" w:hAnsi="仿宋_GB2312" w:eastAsia="仿宋_GB2312" w:cs="仿宋_GB2312"/>
          <w:sz w:val="24"/>
          <w:szCs w:val="24"/>
          <w:highlight w:val="yellow"/>
        </w:rPr>
        <w:t>日历日之内交货至供货地点。</w:t>
      </w:r>
    </w:p>
    <w:p>
      <w:pPr>
        <w:snapToGrid w:val="0"/>
        <w:spacing w:line="360" w:lineRule="auto"/>
        <w:ind w:firstLine="960" w:firstLineChars="400"/>
        <w:jc w:val="left"/>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2.2连续</w:t>
      </w:r>
      <w:r>
        <w:rPr>
          <w:rFonts w:hint="eastAsia" w:ascii="仿宋_GB2312" w:hAnsi="仿宋_GB2312" w:eastAsia="仿宋_GB2312" w:cs="仿宋_GB2312"/>
          <w:sz w:val="24"/>
          <w:szCs w:val="24"/>
          <w:highlight w:val="yellow"/>
          <w:u w:val="single"/>
          <w:lang w:val="en-US" w:eastAsia="zh-CN"/>
        </w:rPr>
        <w:t>30</w:t>
      </w:r>
      <w:r>
        <w:rPr>
          <w:rFonts w:hint="eastAsia" w:ascii="仿宋_GB2312" w:hAnsi="仿宋_GB2312" w:eastAsia="仿宋_GB2312" w:cs="仿宋_GB2312"/>
          <w:sz w:val="24"/>
          <w:szCs w:val="24"/>
          <w:highlight w:val="yellow"/>
        </w:rPr>
        <w:t>个日历日之内安装调试完毕；</w:t>
      </w:r>
    </w:p>
    <w:p>
      <w:pPr>
        <w:snapToGrid w:val="0"/>
        <w:spacing w:line="360" w:lineRule="auto"/>
        <w:ind w:firstLine="960" w:firstLineChars="400"/>
        <w:jc w:val="left"/>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2.4必要时，投标方应当提供详细的工期计划。</w:t>
      </w:r>
    </w:p>
    <w:p>
      <w:pPr>
        <w:snapToGrid w:val="0"/>
        <w:spacing w:line="360" w:lineRule="auto"/>
        <w:ind w:left="480"/>
        <w:outlineLvl w:val="2"/>
        <w:rPr>
          <w:rFonts w:hint="eastAsia" w:ascii="仿宋_GB2312" w:hAnsi="仿宋_GB2312" w:eastAsia="仿宋_GB2312" w:cs="仿宋_GB2312"/>
          <w:b/>
          <w:bCs/>
          <w:sz w:val="24"/>
          <w:szCs w:val="24"/>
        </w:rPr>
      </w:pPr>
      <w:bookmarkStart w:id="332" w:name="_Toc24587"/>
      <w:bookmarkStart w:id="333" w:name="_Toc16960"/>
      <w:bookmarkStart w:id="334" w:name="_Toc23122"/>
      <w:bookmarkStart w:id="335" w:name="_Toc5288"/>
      <w:bookmarkStart w:id="336" w:name="_Toc18153"/>
      <w:bookmarkStart w:id="337" w:name="_Toc4612"/>
      <w:bookmarkStart w:id="338" w:name="_Toc29786"/>
      <w:bookmarkStart w:id="339" w:name="_Toc18845"/>
      <w:bookmarkStart w:id="340" w:name="_Toc30983"/>
      <w:bookmarkStart w:id="341" w:name="_Toc4431"/>
      <w:bookmarkStart w:id="342" w:name="_Toc17489"/>
      <w:bookmarkStart w:id="343" w:name="_Toc8419"/>
      <w:bookmarkStart w:id="344" w:name="_Toc8193"/>
      <w:bookmarkStart w:id="345" w:name="_Toc22617"/>
      <w:bookmarkStart w:id="346" w:name="_Toc22968"/>
      <w:bookmarkStart w:id="347" w:name="_Toc17351"/>
      <w:bookmarkStart w:id="348" w:name="_Toc73112411"/>
      <w:bookmarkStart w:id="349" w:name="_Toc9507"/>
      <w:bookmarkStart w:id="350" w:name="_Toc11749"/>
      <w:bookmarkStart w:id="351" w:name="_Toc22394"/>
      <w:bookmarkStart w:id="352" w:name="_Toc31485"/>
      <w:r>
        <w:rPr>
          <w:rFonts w:hint="eastAsia" w:ascii="仿宋_GB2312" w:hAnsi="仿宋_GB2312" w:eastAsia="仿宋_GB2312" w:cs="仿宋_GB2312"/>
          <w:b/>
          <w:bCs/>
          <w:sz w:val="24"/>
          <w:szCs w:val="24"/>
        </w:rPr>
        <w:t>3质保期</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pPr>
        <w:snapToGrid w:val="0"/>
        <w:spacing w:line="360" w:lineRule="auto"/>
        <w:ind w:left="479" w:leftChars="228" w:firstLine="480"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3.1投标方所提供货物涉及的全部供货范围内的设备、材料、零配件和工器具等，除合同特别约定外，其质保期均自终验收签字生效之日起</w:t>
      </w:r>
      <w:r>
        <w:rPr>
          <w:rFonts w:hint="eastAsia" w:ascii="仿宋_GB2312" w:hAnsi="仿宋_GB2312" w:eastAsia="仿宋_GB2312" w:cs="仿宋_GB2312"/>
          <w:sz w:val="24"/>
          <w:szCs w:val="24"/>
          <w:highlight w:val="yellow"/>
          <w:u w:val="single"/>
          <w:lang w:val="en-US" w:eastAsia="zh-CN"/>
        </w:rPr>
        <w:t xml:space="preserve">36 </w:t>
      </w:r>
      <w:r>
        <w:rPr>
          <w:rFonts w:hint="eastAsia" w:ascii="仿宋_GB2312" w:hAnsi="仿宋_GB2312" w:eastAsia="仿宋_GB2312" w:cs="仿宋_GB2312"/>
          <w:sz w:val="24"/>
          <w:szCs w:val="24"/>
          <w:highlight w:val="yellow"/>
        </w:rPr>
        <w:t>个月。</w:t>
      </w:r>
    </w:p>
    <w:p>
      <w:pPr>
        <w:snapToGrid w:val="0"/>
        <w:spacing w:line="360" w:lineRule="auto"/>
        <w:ind w:left="479" w:leftChars="228" w:firstLine="480" w:firstLineChars="200"/>
        <w:jc w:val="left"/>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3.2质保期之内，如果货物出现关键设备、总成、零部件或者多处一般设备、总成、零部件的更换或维修行为，则质保期自更换或维修行为结束、货物能够正常运行使用之日起重新计算。</w:t>
      </w:r>
    </w:p>
    <w:p>
      <w:pPr>
        <w:snapToGrid w:val="0"/>
        <w:spacing w:line="360" w:lineRule="auto"/>
        <w:ind w:left="480"/>
        <w:outlineLvl w:val="2"/>
        <w:rPr>
          <w:rFonts w:hint="eastAsia" w:ascii="仿宋_GB2312" w:hAnsi="仿宋_GB2312" w:eastAsia="仿宋_GB2312" w:cs="仿宋_GB2312"/>
          <w:b/>
          <w:bCs/>
          <w:sz w:val="24"/>
          <w:szCs w:val="24"/>
        </w:rPr>
      </w:pPr>
      <w:bookmarkStart w:id="353" w:name="_Toc29090"/>
      <w:bookmarkStart w:id="354" w:name="_Toc20400"/>
      <w:bookmarkStart w:id="355" w:name="_Toc21555"/>
      <w:bookmarkStart w:id="356" w:name="_Toc27729"/>
      <w:bookmarkStart w:id="357" w:name="_Toc28907"/>
      <w:bookmarkStart w:id="358" w:name="_Toc19011"/>
      <w:bookmarkStart w:id="359" w:name="_Toc27377"/>
      <w:bookmarkStart w:id="360" w:name="_Toc21924"/>
      <w:bookmarkStart w:id="361" w:name="_Toc26040"/>
      <w:bookmarkStart w:id="362" w:name="_Toc73112412"/>
      <w:bookmarkStart w:id="363" w:name="_Toc5126"/>
      <w:bookmarkStart w:id="364" w:name="_Toc22951"/>
      <w:bookmarkStart w:id="365" w:name="_Toc12791"/>
      <w:bookmarkStart w:id="366" w:name="_Toc14622"/>
      <w:bookmarkStart w:id="367" w:name="_Toc17320"/>
      <w:bookmarkStart w:id="368" w:name="_Toc16381"/>
      <w:bookmarkStart w:id="369" w:name="_Toc426"/>
      <w:bookmarkStart w:id="370" w:name="_Toc27080"/>
      <w:bookmarkStart w:id="371" w:name="_Toc20248"/>
      <w:bookmarkStart w:id="372" w:name="_Toc16664"/>
      <w:r>
        <w:rPr>
          <w:rFonts w:hint="eastAsia" w:ascii="仿宋_GB2312" w:hAnsi="仿宋_GB2312" w:eastAsia="仿宋_GB2312" w:cs="仿宋_GB2312"/>
          <w:b/>
          <w:bCs/>
          <w:sz w:val="24"/>
          <w:szCs w:val="24"/>
        </w:rPr>
        <w:t>4包装</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4.1投标方所提供货物（或设备）的包装，应遵照国家标准和有关包装、包皮的技术条件，或按照最好的商业惯例进行包装。</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4.2包装应能满足所需要采取的运输方式应能防止雨淋、受潮、生锈、腐蚀、受振、受磁以及机械和化学因素等引起的损坏。</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 xml:space="preserve">4.3投标方所提供货物（或设备）的包装，应能防止其一般性被窃或受外力破坏。 </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4.4投标方应对包装件做必要的加固和固定等防护措施，以防止运输可能造成的损坏。</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4.5每个包装件应有装箱单，并至少标明名称、型号规格、数量、净重和毛重、投标方（或供货商）名称和制造日期等相关内容。</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4.6每个包装箱应有明显标志，并具有中文书写的合同号、装运标志、发货和到货地点名称、发货人和收货人名称、货物名称和项目号、箱号和外型尺寸等内容。</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4.7投标方还应按照不同的装运要求在包装箱上标明“小心轻放”、“箭头向上”、“防潮”、“防磁”、“不准平放”等标志，以及其它适用的国标通用标志。</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4.8包装箱应连续编号，不应出现重复编号。</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4.9在不受到外界破坏情况下，包装应保证自交货日起一年内货物（或设备）完好无损。</w:t>
      </w:r>
    </w:p>
    <w:p>
      <w:pPr>
        <w:snapToGrid w:val="0"/>
        <w:spacing w:line="360" w:lineRule="auto"/>
        <w:ind w:left="480"/>
        <w:outlineLvl w:val="2"/>
        <w:rPr>
          <w:rFonts w:hint="eastAsia" w:ascii="仿宋_GB2312" w:hAnsi="仿宋_GB2312" w:eastAsia="仿宋_GB2312" w:cs="仿宋_GB2312"/>
          <w:b/>
          <w:bCs/>
          <w:sz w:val="24"/>
          <w:szCs w:val="24"/>
        </w:rPr>
      </w:pPr>
      <w:bookmarkStart w:id="373" w:name="_Toc7889"/>
      <w:bookmarkStart w:id="374" w:name="_Toc1857"/>
      <w:bookmarkStart w:id="375" w:name="_Toc21308"/>
      <w:bookmarkStart w:id="376" w:name="_Toc17990"/>
      <w:bookmarkStart w:id="377" w:name="_Toc8"/>
      <w:bookmarkStart w:id="378" w:name="_Toc22949"/>
      <w:bookmarkStart w:id="379" w:name="_Toc26302"/>
      <w:bookmarkStart w:id="380" w:name="_Toc22992"/>
      <w:bookmarkStart w:id="381" w:name="_Toc22792"/>
      <w:bookmarkStart w:id="382" w:name="_Toc73112413"/>
      <w:bookmarkStart w:id="383" w:name="_Toc25305"/>
      <w:bookmarkStart w:id="384" w:name="_Toc20536"/>
      <w:bookmarkStart w:id="385" w:name="_Toc21886"/>
      <w:bookmarkStart w:id="386" w:name="_Toc32266"/>
      <w:bookmarkStart w:id="387" w:name="_Toc24996"/>
      <w:bookmarkStart w:id="388" w:name="_Toc5373"/>
      <w:bookmarkStart w:id="389" w:name="_Toc17881"/>
      <w:bookmarkStart w:id="390" w:name="_Toc4346"/>
      <w:bookmarkStart w:id="391" w:name="_Toc23221"/>
      <w:bookmarkStart w:id="392" w:name="_Toc7046"/>
      <w:bookmarkStart w:id="393" w:name="_Toc31538"/>
      <w:r>
        <w:rPr>
          <w:rFonts w:hint="eastAsia" w:ascii="仿宋_GB2312" w:hAnsi="仿宋_GB2312" w:eastAsia="仿宋_GB2312" w:cs="仿宋_GB2312"/>
          <w:b/>
          <w:bCs/>
          <w:sz w:val="24"/>
          <w:szCs w:val="24"/>
        </w:rPr>
        <w:t>5运输</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5.1投标方应负责将货物（或设备）运到目的地，并必须做到货物（或设备）在任何运输过程中不受损坏和遗失</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5.2同批货物（或设备）应统一包装、编号运输。</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5.3一般情况下，经由铁路、公路运输的包装件尺寸和重量不应超过国家所规定的尺寸限制。特殊情况应予以说明。</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5.4在每批货物（或设备）发出后，投标方应立即通知招标方；通知中应指明：合同号、货运单号、件数、重量和货物（或设备）发出日期等相关内容。</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5.5货物（或设备）运抵招标方现场后，投标方应负责货物（或设备）的卸货、搬运、保管等事宜；或按照合同约定。</w:t>
      </w:r>
      <w:bookmarkStart w:id="394" w:name="_Toc133783973"/>
    </w:p>
    <w:p>
      <w:pPr>
        <w:adjustRightInd w:val="0"/>
        <w:snapToGrid w:val="0"/>
        <w:spacing w:before="163" w:beforeLines="50" w:after="163" w:afterLines="50" w:line="360" w:lineRule="auto"/>
        <w:jc w:val="center"/>
        <w:outlineLvl w:val="0"/>
        <w:rPr>
          <w:rFonts w:hint="eastAsia" w:ascii="仿宋_GB2312" w:hAnsi="仿宋_GB2312" w:eastAsia="仿宋_GB2312" w:cs="仿宋_GB2312"/>
          <w:b/>
          <w:bCs/>
        </w:rPr>
      </w:pPr>
      <w:bookmarkStart w:id="395" w:name="_Toc12021"/>
      <w:bookmarkStart w:id="396" w:name="_Toc27085"/>
      <w:bookmarkStart w:id="397" w:name="_Toc32280"/>
      <w:bookmarkStart w:id="398" w:name="_Toc10676"/>
      <w:bookmarkStart w:id="399" w:name="_Toc14171"/>
      <w:bookmarkStart w:id="400" w:name="_Toc7672"/>
      <w:bookmarkStart w:id="401" w:name="_Toc15153"/>
      <w:bookmarkStart w:id="402" w:name="_Toc7501"/>
      <w:bookmarkStart w:id="403" w:name="_Toc11027"/>
      <w:bookmarkStart w:id="404" w:name="_Toc25780"/>
      <w:bookmarkStart w:id="405" w:name="_Toc22680"/>
      <w:bookmarkStart w:id="406" w:name="_Toc19133"/>
      <w:bookmarkStart w:id="407" w:name="_Toc23255"/>
      <w:bookmarkStart w:id="408" w:name="_Toc3739"/>
      <w:bookmarkStart w:id="409" w:name="_Toc14862"/>
      <w:bookmarkStart w:id="410" w:name="_Toc26671"/>
      <w:bookmarkStart w:id="411" w:name="_Toc13927"/>
      <w:bookmarkStart w:id="412" w:name="_Toc25292"/>
      <w:bookmarkStart w:id="413" w:name="_Toc23663"/>
      <w:bookmarkStart w:id="414" w:name="_Toc27169"/>
      <w:bookmarkStart w:id="415" w:name="_Toc12478"/>
      <w:bookmarkStart w:id="416" w:name="_Toc31301"/>
      <w:bookmarkStart w:id="417" w:name="_Toc1740"/>
      <w:bookmarkStart w:id="418" w:name="_Toc19986"/>
      <w:bookmarkStart w:id="419" w:name="_Toc24397"/>
      <w:bookmarkStart w:id="420" w:name="_Toc28211"/>
      <w:bookmarkStart w:id="421" w:name="_Toc14023"/>
      <w:bookmarkStart w:id="422" w:name="_Toc14229"/>
      <w:bookmarkStart w:id="423" w:name="_Toc18423"/>
      <w:bookmarkStart w:id="424" w:name="_Toc24978"/>
      <w:bookmarkStart w:id="425" w:name="_Toc10894"/>
      <w:bookmarkStart w:id="426" w:name="_Toc9059"/>
      <w:bookmarkStart w:id="427" w:name="_Toc8515"/>
      <w:bookmarkStart w:id="428" w:name="_Toc16036"/>
      <w:bookmarkStart w:id="429" w:name="_Toc2668"/>
      <w:bookmarkStart w:id="430" w:name="_Toc25044"/>
      <w:bookmarkStart w:id="431" w:name="_Toc29063"/>
      <w:bookmarkStart w:id="432" w:name="_Toc26651"/>
      <w:bookmarkStart w:id="433" w:name="_Toc10275"/>
      <w:bookmarkStart w:id="434" w:name="_Toc24415"/>
      <w:bookmarkStart w:id="435" w:name="_Toc14414"/>
      <w:bookmarkStart w:id="436" w:name="_Toc14916"/>
      <w:bookmarkStart w:id="437" w:name="_Toc28164"/>
      <w:r>
        <w:rPr>
          <w:rFonts w:hint="eastAsia" w:ascii="仿宋_GB2312" w:hAnsi="仿宋_GB2312" w:eastAsia="仿宋_GB2312" w:cs="仿宋_GB2312"/>
          <w:b/>
          <w:bCs/>
          <w:sz w:val="24"/>
          <w:szCs w:val="24"/>
        </w:rPr>
        <w:t>第四章售中售后服务</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pPr>
        <w:snapToGrid w:val="0"/>
        <w:spacing w:line="360" w:lineRule="auto"/>
        <w:ind w:left="480"/>
        <w:outlineLvl w:val="1"/>
        <w:rPr>
          <w:rFonts w:hint="eastAsia" w:ascii="仿宋_GB2312" w:hAnsi="仿宋_GB2312" w:eastAsia="仿宋_GB2312" w:cs="仿宋_GB2312"/>
          <w:b/>
          <w:bCs/>
          <w:sz w:val="24"/>
          <w:szCs w:val="24"/>
          <w:highlight w:val="yellow"/>
        </w:rPr>
      </w:pPr>
      <w:bookmarkStart w:id="438" w:name="_Toc27811"/>
      <w:bookmarkStart w:id="439" w:name="_Toc10787"/>
      <w:bookmarkStart w:id="440" w:name="_Toc28487"/>
      <w:bookmarkStart w:id="441" w:name="_Toc8465"/>
      <w:bookmarkStart w:id="442" w:name="_Toc20514"/>
      <w:bookmarkStart w:id="443" w:name="_Toc17645"/>
      <w:bookmarkStart w:id="444" w:name="_Toc9919"/>
      <w:bookmarkStart w:id="445" w:name="_Toc18522"/>
      <w:bookmarkStart w:id="446" w:name="_Toc344"/>
      <w:bookmarkStart w:id="447" w:name="_Toc20772"/>
      <w:bookmarkStart w:id="448" w:name="_Toc23493"/>
      <w:bookmarkStart w:id="449" w:name="_Toc3697"/>
      <w:bookmarkStart w:id="450" w:name="_Toc19576"/>
      <w:bookmarkStart w:id="451" w:name="_Toc17832"/>
      <w:bookmarkStart w:id="452" w:name="_Toc23892"/>
      <w:bookmarkStart w:id="453" w:name="_Toc24654"/>
      <w:bookmarkStart w:id="454" w:name="_Toc25505"/>
      <w:bookmarkStart w:id="455" w:name="_Toc8910"/>
      <w:bookmarkStart w:id="456" w:name="_Toc3722"/>
      <w:bookmarkStart w:id="457" w:name="_Toc23541"/>
      <w:bookmarkStart w:id="458" w:name="_Toc13786"/>
      <w:bookmarkStart w:id="459" w:name="_Toc25979"/>
      <w:bookmarkStart w:id="460" w:name="_Toc19735"/>
      <w:bookmarkStart w:id="461" w:name="_Toc29262"/>
      <w:bookmarkStart w:id="462" w:name="_Toc2661"/>
      <w:bookmarkStart w:id="463" w:name="_Toc9079"/>
      <w:bookmarkStart w:id="464" w:name="_Toc4180"/>
      <w:bookmarkStart w:id="465" w:name="_Toc16066"/>
      <w:bookmarkStart w:id="466" w:name="_Toc4952"/>
      <w:bookmarkStart w:id="467" w:name="_Toc29321"/>
      <w:bookmarkStart w:id="468" w:name="_Toc12793"/>
      <w:bookmarkStart w:id="469" w:name="_Toc2564"/>
      <w:bookmarkStart w:id="470" w:name="_Toc24344"/>
      <w:bookmarkStart w:id="471" w:name="_Toc14199"/>
      <w:bookmarkStart w:id="472" w:name="_Toc7036"/>
      <w:bookmarkStart w:id="473" w:name="_Toc788"/>
      <w:bookmarkStart w:id="474" w:name="_Toc217"/>
      <w:bookmarkStart w:id="475" w:name="_Toc7723"/>
      <w:bookmarkStart w:id="476" w:name="_Toc13551"/>
      <w:bookmarkStart w:id="477" w:name="_Toc4682"/>
      <w:bookmarkStart w:id="478" w:name="_Toc10791"/>
      <w:bookmarkStart w:id="479" w:name="_Toc414"/>
      <w:r>
        <w:rPr>
          <w:rFonts w:hint="eastAsia" w:ascii="仿宋_GB2312" w:hAnsi="仿宋_GB2312" w:eastAsia="仿宋_GB2312" w:cs="仿宋_GB2312"/>
          <w:b/>
          <w:bCs/>
          <w:sz w:val="24"/>
          <w:szCs w:val="24"/>
          <w:highlight w:val="yellow"/>
        </w:rPr>
        <w:t>1技术及培训服务</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1.1投标方应负责对招标方</w:t>
      </w:r>
      <w:r>
        <w:rPr>
          <w:rFonts w:hint="eastAsia" w:ascii="仿宋_GB2312" w:hAnsi="仿宋_GB2312" w:eastAsia="仿宋_GB2312" w:cs="仿宋_GB2312"/>
          <w:u w:val="single"/>
          <w:lang w:val="en-US" w:eastAsia="zh-CN"/>
        </w:rPr>
        <w:t>1</w:t>
      </w:r>
      <w:r>
        <w:rPr>
          <w:rFonts w:hint="eastAsia" w:ascii="仿宋_GB2312" w:hAnsi="仿宋_GB2312" w:eastAsia="仿宋_GB2312" w:cs="仿宋_GB2312"/>
        </w:rPr>
        <w:t>名工程技术人员、维修人员和操作人员提供不少于</w:t>
      </w:r>
      <w:r>
        <w:rPr>
          <w:rFonts w:hint="eastAsia" w:ascii="仿宋_GB2312" w:hAnsi="仿宋_GB2312" w:eastAsia="仿宋_GB2312" w:cs="仿宋_GB2312"/>
          <w:lang w:val="en-US" w:eastAsia="zh-CN"/>
        </w:rPr>
        <w:t>3</w:t>
      </w:r>
      <w:r>
        <w:rPr>
          <w:rFonts w:hint="eastAsia" w:ascii="仿宋_GB2312" w:hAnsi="仿宋_GB2312" w:eastAsia="仿宋_GB2312" w:cs="仿宋_GB2312"/>
        </w:rPr>
        <w:t xml:space="preserve">个日历日的免费的、生产制造现场的理论、技术和操作、维修、安全等方面的指导和培训。 </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1.2投标方应负责在招标方货物使用现场，进行</w:t>
      </w:r>
      <w:r>
        <w:rPr>
          <w:rFonts w:hint="eastAsia" w:ascii="仿宋_GB2312" w:hAnsi="仿宋_GB2312" w:eastAsia="仿宋_GB2312" w:cs="仿宋_GB2312"/>
          <w:shd w:val="pct10" w:color="auto" w:fill="FFFFFF"/>
        </w:rPr>
        <w:t>2～3</w:t>
      </w:r>
      <w:r>
        <w:rPr>
          <w:rFonts w:hint="eastAsia" w:ascii="仿宋_GB2312" w:hAnsi="仿宋_GB2312" w:eastAsia="仿宋_GB2312" w:cs="仿宋_GB2312"/>
        </w:rPr>
        <w:t>次免费的技术指导和培训，并接受招标方有关人员的技术咨询。</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1.3投标方应免费提供全套培训资料。所有设备均需要配备产品说明书，包括设备的内部结构、组成及保养、维护、调试等相关内容，便于生产人员及维修人员查阅。</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1.4投标方应按要求，免费积极协助和提供招标方以及招标方所委托的工程设计单位有关人员所需要的、与货物有关的设计资料、技术咨询等。</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1.5若投标方提供的货物涉及到外购外协货物、而且该货物的技术质量等较为关键、功能实现或操作较为困难，凡招标方提出需求的，投标方应能得到配套厂家的技术支持，并免费为招标方提供技术服务及培训。</w:t>
      </w:r>
    </w:p>
    <w:p>
      <w:pPr>
        <w:snapToGrid w:val="0"/>
        <w:spacing w:line="360" w:lineRule="auto"/>
        <w:ind w:left="480"/>
        <w:outlineLvl w:val="1"/>
        <w:rPr>
          <w:rFonts w:hint="eastAsia" w:ascii="仿宋_GB2312" w:hAnsi="仿宋_GB2312" w:eastAsia="仿宋_GB2312" w:cs="仿宋_GB2312"/>
          <w:b/>
          <w:bCs/>
          <w:sz w:val="24"/>
          <w:szCs w:val="24"/>
        </w:rPr>
      </w:pPr>
      <w:bookmarkStart w:id="480" w:name="_Toc16867"/>
      <w:bookmarkStart w:id="481" w:name="_Toc6394"/>
      <w:bookmarkStart w:id="482" w:name="_Toc29981"/>
      <w:bookmarkStart w:id="483" w:name="_Toc19866"/>
      <w:bookmarkStart w:id="484" w:name="_Toc15460"/>
      <w:bookmarkStart w:id="485" w:name="_Toc31039"/>
      <w:bookmarkStart w:id="486" w:name="_Toc13864"/>
      <w:bookmarkStart w:id="487" w:name="_Toc25721"/>
      <w:bookmarkStart w:id="488" w:name="_Toc3892"/>
      <w:bookmarkStart w:id="489" w:name="_Toc17516"/>
      <w:bookmarkStart w:id="490" w:name="_Toc22693"/>
      <w:bookmarkStart w:id="491" w:name="_Toc11516"/>
      <w:bookmarkStart w:id="492" w:name="_Toc19800"/>
      <w:bookmarkStart w:id="493" w:name="_Toc17865"/>
      <w:bookmarkStart w:id="494" w:name="_Toc16493"/>
      <w:bookmarkStart w:id="495" w:name="_Toc32690"/>
      <w:bookmarkStart w:id="496" w:name="_Toc13235"/>
      <w:bookmarkStart w:id="497" w:name="_Toc22880"/>
      <w:bookmarkStart w:id="498" w:name="_Toc16207"/>
      <w:bookmarkStart w:id="499" w:name="_Toc1176"/>
      <w:bookmarkStart w:id="500" w:name="_Toc21693"/>
      <w:bookmarkStart w:id="501" w:name="_Toc25347"/>
      <w:bookmarkStart w:id="502" w:name="_Toc16259"/>
      <w:bookmarkStart w:id="503" w:name="_Toc14504"/>
      <w:bookmarkStart w:id="504" w:name="_Toc2300"/>
      <w:bookmarkStart w:id="505" w:name="_Toc1420"/>
      <w:bookmarkStart w:id="506" w:name="_Toc9824"/>
      <w:bookmarkStart w:id="507" w:name="_Toc11060"/>
      <w:bookmarkStart w:id="508" w:name="_Toc5703"/>
      <w:bookmarkStart w:id="509" w:name="_Toc17849"/>
      <w:bookmarkStart w:id="510" w:name="_Toc3976"/>
      <w:bookmarkStart w:id="511" w:name="_Toc30271"/>
      <w:bookmarkStart w:id="512" w:name="_Toc3907"/>
      <w:bookmarkStart w:id="513" w:name="_Toc22719"/>
      <w:bookmarkStart w:id="514" w:name="_Toc26880"/>
      <w:bookmarkStart w:id="515" w:name="_Toc10782"/>
      <w:bookmarkStart w:id="516" w:name="_Toc3042"/>
      <w:bookmarkStart w:id="517" w:name="_Toc29413"/>
      <w:bookmarkStart w:id="518" w:name="_Toc15028"/>
      <w:bookmarkStart w:id="519" w:name="_Toc26430"/>
      <w:bookmarkStart w:id="520" w:name="_Toc13970"/>
      <w:r>
        <w:rPr>
          <w:rFonts w:hint="eastAsia" w:ascii="仿宋_GB2312" w:hAnsi="仿宋_GB2312" w:eastAsia="仿宋_GB2312" w:cs="仿宋_GB2312"/>
          <w:b/>
          <w:bCs/>
          <w:sz w:val="24"/>
          <w:szCs w:val="24"/>
        </w:rPr>
        <w:t>2安装调试服务</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2.1根据货物的要求，调试阶段招标方将予以积极配合，协助投标方达到货物的各项技术指标和性能要求。</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2.2安装调试与验收期间，若投标方提供的货物涉及到外购外协货物、而且该货物的技术质量等较为关键、功能实现或操作较为困难时，凡招标方提出需求的，投标方应能得到配套厂家的技术支持，并免费为招标方提供安装使用现场的指导与协调。</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2.3投标方提供收费的或免费的、指导安装调试或负责安装调试，至少应在投标文件的报价章节中，予以明确说明。</w:t>
      </w:r>
    </w:p>
    <w:p>
      <w:pPr>
        <w:snapToGrid w:val="0"/>
        <w:spacing w:line="360" w:lineRule="auto"/>
        <w:ind w:firstLine="482" w:firstLineChars="200"/>
        <w:outlineLvl w:val="1"/>
        <w:rPr>
          <w:rFonts w:hint="eastAsia" w:ascii="仿宋_GB2312" w:hAnsi="仿宋_GB2312" w:eastAsia="仿宋_GB2312" w:cs="仿宋_GB2312"/>
          <w:b/>
          <w:bCs/>
          <w:sz w:val="24"/>
          <w:szCs w:val="24"/>
        </w:rPr>
      </w:pPr>
      <w:bookmarkStart w:id="521" w:name="_Toc17427"/>
      <w:bookmarkStart w:id="522" w:name="_Toc17284"/>
      <w:bookmarkStart w:id="523" w:name="_Toc13443"/>
      <w:bookmarkStart w:id="524" w:name="_Toc11229"/>
      <w:bookmarkStart w:id="525" w:name="_Toc19674"/>
      <w:bookmarkStart w:id="526" w:name="_Toc18269"/>
      <w:bookmarkStart w:id="527" w:name="_Toc628"/>
      <w:bookmarkStart w:id="528" w:name="_Toc16435"/>
      <w:bookmarkStart w:id="529" w:name="_Toc10635"/>
      <w:bookmarkStart w:id="530" w:name="_Toc16916"/>
      <w:bookmarkStart w:id="531" w:name="_Toc13921"/>
      <w:bookmarkStart w:id="532" w:name="_Toc9269"/>
      <w:bookmarkStart w:id="533" w:name="_Toc9329"/>
      <w:bookmarkStart w:id="534" w:name="_Toc19810"/>
      <w:bookmarkStart w:id="535" w:name="_Toc29126"/>
      <w:bookmarkStart w:id="536" w:name="_Toc30193"/>
      <w:bookmarkStart w:id="537" w:name="_Toc4751"/>
      <w:bookmarkStart w:id="538" w:name="_Toc2510"/>
      <w:bookmarkStart w:id="539" w:name="_Toc8632"/>
      <w:bookmarkStart w:id="540" w:name="_Toc2097"/>
      <w:bookmarkStart w:id="541" w:name="_Toc2657"/>
      <w:bookmarkStart w:id="542" w:name="_Toc16373"/>
      <w:bookmarkStart w:id="543" w:name="_Toc16706"/>
      <w:bookmarkStart w:id="544" w:name="_Toc25079"/>
      <w:bookmarkStart w:id="545" w:name="_Toc22871"/>
      <w:bookmarkStart w:id="546" w:name="_Toc16337"/>
      <w:bookmarkStart w:id="547" w:name="_Toc32488"/>
      <w:bookmarkStart w:id="548" w:name="_Toc12739"/>
      <w:bookmarkStart w:id="549" w:name="_Toc32442"/>
      <w:bookmarkStart w:id="550" w:name="_Toc30398"/>
      <w:bookmarkStart w:id="551" w:name="_Toc29245"/>
      <w:bookmarkStart w:id="552" w:name="_Toc1585"/>
      <w:bookmarkStart w:id="553" w:name="_Toc9878"/>
      <w:bookmarkStart w:id="554" w:name="_Toc8975"/>
      <w:bookmarkStart w:id="555" w:name="_Toc29125"/>
      <w:bookmarkStart w:id="556" w:name="_Toc218"/>
      <w:bookmarkStart w:id="557" w:name="_Toc24615"/>
      <w:bookmarkStart w:id="558" w:name="_Toc7783"/>
      <w:bookmarkStart w:id="559" w:name="_Toc4076"/>
      <w:bookmarkStart w:id="560" w:name="_Toc7956"/>
      <w:bookmarkStart w:id="561" w:name="_Toc1565"/>
      <w:bookmarkStart w:id="562" w:name="_Toc3170"/>
      <w:r>
        <w:rPr>
          <w:rFonts w:hint="eastAsia" w:ascii="仿宋_GB2312" w:hAnsi="仿宋_GB2312" w:eastAsia="仿宋_GB2312" w:cs="仿宋_GB2312"/>
          <w:b/>
          <w:bCs/>
          <w:sz w:val="24"/>
          <w:szCs w:val="24"/>
        </w:rPr>
        <w:t>3验收服务</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pPr>
        <w:adjustRightInd w:val="0"/>
        <w:snapToGrid w:val="0"/>
        <w:spacing w:line="360" w:lineRule="auto"/>
        <w:ind w:left="479" w:leftChars="228"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3.1投标方在招标方现场进行的货物的预验收和终验收配合或指导，应当是免费的。</w:t>
      </w:r>
    </w:p>
    <w:p>
      <w:pPr>
        <w:adjustRightInd w:val="0"/>
        <w:snapToGrid w:val="0"/>
        <w:spacing w:line="360" w:lineRule="auto"/>
        <w:ind w:left="420" w:leftChars="20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货物验收时，若投标方提供的货物涉及到外购外协货物、而且该货物的技术质量等较为关键、功能实现或操作较为困难时，凡招标方提出需求的，投标方应能得到配套厂家的技术支持，并免费为招标方提供使用现场验收的配合或指导。</w:t>
      </w:r>
    </w:p>
    <w:p>
      <w:pPr>
        <w:snapToGrid w:val="0"/>
        <w:spacing w:line="360" w:lineRule="auto"/>
        <w:ind w:left="420" w:leftChars="20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3.3合格验收时，投标方提供资质合格证书，招标方根据实际情况进行相关复检，复检合格视为合格。</w:t>
      </w:r>
    </w:p>
    <w:p>
      <w:pPr>
        <w:snapToGrid w:val="0"/>
        <w:spacing w:line="360" w:lineRule="auto"/>
        <w:ind w:left="480"/>
        <w:outlineLvl w:val="1"/>
        <w:rPr>
          <w:rFonts w:hint="eastAsia" w:ascii="仿宋_GB2312" w:hAnsi="仿宋_GB2312" w:eastAsia="仿宋_GB2312" w:cs="仿宋_GB2312"/>
          <w:b/>
          <w:bCs/>
          <w:sz w:val="24"/>
          <w:szCs w:val="24"/>
        </w:rPr>
      </w:pPr>
      <w:bookmarkStart w:id="563" w:name="_Toc22965"/>
      <w:bookmarkStart w:id="564" w:name="_Toc30412"/>
      <w:bookmarkStart w:id="565" w:name="_Toc18968"/>
      <w:bookmarkStart w:id="566" w:name="_Toc27224"/>
      <w:bookmarkStart w:id="567" w:name="_Toc8078"/>
      <w:bookmarkStart w:id="568" w:name="_Toc9592"/>
      <w:bookmarkStart w:id="569" w:name="_Toc7782"/>
      <w:bookmarkStart w:id="570" w:name="_Toc19397"/>
      <w:bookmarkStart w:id="571" w:name="_Toc26773"/>
      <w:bookmarkStart w:id="572" w:name="_Toc19441"/>
      <w:bookmarkStart w:id="573" w:name="_Toc29633"/>
      <w:bookmarkStart w:id="574" w:name="_Toc10808"/>
      <w:bookmarkStart w:id="575" w:name="_Toc20426"/>
      <w:bookmarkStart w:id="576" w:name="_Toc6232"/>
      <w:bookmarkStart w:id="577" w:name="_Toc542"/>
      <w:bookmarkStart w:id="578" w:name="_Toc7478"/>
      <w:bookmarkStart w:id="579" w:name="_Toc20538"/>
      <w:bookmarkStart w:id="580" w:name="_Toc20916"/>
      <w:bookmarkStart w:id="581" w:name="_Toc18836"/>
      <w:bookmarkStart w:id="582" w:name="_Toc2093"/>
      <w:bookmarkStart w:id="583" w:name="_Toc20717"/>
      <w:bookmarkStart w:id="584" w:name="_Toc1311"/>
      <w:bookmarkStart w:id="585" w:name="_Toc21987"/>
      <w:bookmarkStart w:id="586" w:name="_Toc17056"/>
      <w:bookmarkStart w:id="587" w:name="_Toc17895"/>
      <w:bookmarkStart w:id="588" w:name="_Toc20081"/>
      <w:bookmarkStart w:id="589" w:name="_Toc1199"/>
      <w:bookmarkStart w:id="590" w:name="_Toc32079"/>
      <w:bookmarkStart w:id="591" w:name="_Toc29300"/>
      <w:bookmarkStart w:id="592" w:name="_Toc29778"/>
      <w:bookmarkStart w:id="593" w:name="_Toc11699"/>
      <w:bookmarkStart w:id="594" w:name="_Toc22392"/>
      <w:bookmarkStart w:id="595" w:name="_Toc6099"/>
      <w:bookmarkStart w:id="596" w:name="_Toc11213"/>
      <w:bookmarkStart w:id="597" w:name="_Toc3798"/>
      <w:bookmarkStart w:id="598" w:name="_Toc26554"/>
      <w:bookmarkStart w:id="599" w:name="_Toc1454"/>
      <w:bookmarkStart w:id="600" w:name="_Toc28635"/>
      <w:bookmarkStart w:id="601" w:name="_Toc32682"/>
      <w:bookmarkStart w:id="602" w:name="_Toc10014"/>
      <w:bookmarkStart w:id="603" w:name="_Toc14739"/>
      <w:bookmarkStart w:id="604" w:name="_Toc4417"/>
      <w:r>
        <w:rPr>
          <w:rFonts w:hint="eastAsia" w:ascii="仿宋_GB2312" w:hAnsi="仿宋_GB2312" w:eastAsia="仿宋_GB2312" w:cs="仿宋_GB2312"/>
          <w:b/>
          <w:bCs/>
          <w:sz w:val="24"/>
          <w:szCs w:val="24"/>
        </w:rPr>
        <w:t>4售后服务</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4.1所有的售后服务均由投标方受理。如果发生问题并且收到报告，投标方应当在2小时内予以答复。</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4.2如发现所提供的货物存在问题，需要投标方解决或配合解决时：在质保期之内，应在接到通知后</w:t>
      </w:r>
      <w:r>
        <w:rPr>
          <w:rFonts w:hint="eastAsia" w:ascii="仿宋_GB2312" w:hAnsi="仿宋_GB2312" w:eastAsia="仿宋_GB2312" w:cs="仿宋_GB2312"/>
          <w:lang w:val="en-US" w:eastAsia="zh-CN"/>
        </w:rPr>
        <w:t xml:space="preserve">  2</w:t>
      </w:r>
      <w:r>
        <w:rPr>
          <w:rFonts w:hint="eastAsia" w:ascii="仿宋_GB2312" w:hAnsi="仿宋_GB2312" w:eastAsia="仿宋_GB2312" w:cs="仿宋_GB2312"/>
        </w:rPr>
        <w:t>小时内派有关人员到达现场；在质保期之外，应在接到通知后</w:t>
      </w:r>
      <w:r>
        <w:rPr>
          <w:rFonts w:hint="eastAsia" w:ascii="仿宋_GB2312" w:hAnsi="仿宋_GB2312" w:eastAsia="仿宋_GB2312" w:cs="仿宋_GB2312"/>
          <w:lang w:val="en-US" w:eastAsia="zh-CN"/>
        </w:rPr>
        <w:t xml:space="preserve"> 4</w:t>
      </w:r>
      <w:r>
        <w:rPr>
          <w:rFonts w:hint="eastAsia" w:ascii="仿宋_GB2312" w:hAnsi="仿宋_GB2312" w:eastAsia="仿宋_GB2312" w:cs="仿宋_GB2312"/>
        </w:rPr>
        <w:t xml:space="preserve"> 小时内派有关人员到达现场。</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4.3投标方派往招标方使用现场的人员，应具有较高的业务素质；现场解决问题时，不得无故拖延或推迟，应为招标方提供最佳的服务。</w:t>
      </w:r>
    </w:p>
    <w:p>
      <w:pPr>
        <w:snapToGrid w:val="0"/>
        <w:spacing w:line="360" w:lineRule="auto"/>
        <w:ind w:left="480"/>
        <w:outlineLvl w:val="1"/>
        <w:rPr>
          <w:rFonts w:hint="eastAsia" w:ascii="仿宋_GB2312" w:hAnsi="仿宋_GB2312" w:eastAsia="仿宋_GB2312" w:cs="仿宋_GB2312"/>
          <w:b/>
          <w:bCs/>
          <w:sz w:val="24"/>
          <w:szCs w:val="24"/>
        </w:rPr>
      </w:pPr>
      <w:bookmarkStart w:id="605" w:name="_Toc3819"/>
      <w:bookmarkStart w:id="606" w:name="_Toc19301"/>
      <w:bookmarkStart w:id="607" w:name="_Toc21895"/>
      <w:bookmarkStart w:id="608" w:name="_Toc6984"/>
      <w:bookmarkStart w:id="609" w:name="_Toc28927"/>
      <w:bookmarkStart w:id="610" w:name="_Toc4928"/>
      <w:bookmarkStart w:id="611" w:name="_Toc32366"/>
      <w:bookmarkStart w:id="612" w:name="_Toc25994"/>
      <w:bookmarkStart w:id="613" w:name="_Toc30887"/>
      <w:bookmarkStart w:id="614" w:name="_Toc17891"/>
      <w:bookmarkStart w:id="615" w:name="_Toc9982"/>
      <w:bookmarkStart w:id="616" w:name="_Toc27505"/>
      <w:bookmarkStart w:id="617" w:name="_Toc18148"/>
      <w:bookmarkStart w:id="618" w:name="_Toc20936"/>
      <w:bookmarkStart w:id="619" w:name="_Toc12294"/>
      <w:bookmarkStart w:id="620" w:name="_Toc10752"/>
      <w:bookmarkStart w:id="621" w:name="_Toc26287"/>
      <w:bookmarkStart w:id="622" w:name="_Toc6354"/>
      <w:bookmarkStart w:id="623" w:name="_Toc7130"/>
      <w:bookmarkStart w:id="624" w:name="_Toc16849"/>
      <w:bookmarkStart w:id="625" w:name="_Toc25693"/>
      <w:bookmarkStart w:id="626" w:name="_Toc26976"/>
      <w:bookmarkStart w:id="627" w:name="_Toc22732"/>
      <w:bookmarkStart w:id="628" w:name="_Toc30999"/>
      <w:bookmarkStart w:id="629" w:name="_Toc9688"/>
      <w:bookmarkStart w:id="630" w:name="_Toc32502"/>
      <w:bookmarkStart w:id="631" w:name="_Toc4793"/>
      <w:bookmarkStart w:id="632" w:name="_Toc6730"/>
      <w:bookmarkStart w:id="633" w:name="_Toc25242"/>
      <w:bookmarkStart w:id="634" w:name="_Toc22593"/>
      <w:bookmarkStart w:id="635" w:name="_Toc26623"/>
      <w:bookmarkStart w:id="636" w:name="_Toc27733"/>
      <w:bookmarkStart w:id="637" w:name="_Toc913"/>
      <w:bookmarkStart w:id="638" w:name="_Toc13974"/>
      <w:bookmarkStart w:id="639" w:name="_Toc14349"/>
      <w:bookmarkStart w:id="640" w:name="_Toc31498"/>
      <w:bookmarkStart w:id="641" w:name="_Toc1573"/>
      <w:bookmarkStart w:id="642" w:name="_Toc1118"/>
      <w:bookmarkStart w:id="643" w:name="_Toc6107"/>
      <w:bookmarkStart w:id="644" w:name="_Toc27285"/>
      <w:bookmarkStart w:id="645" w:name="_Toc20327"/>
      <w:bookmarkStart w:id="646" w:name="_Toc115"/>
      <w:r>
        <w:rPr>
          <w:rFonts w:hint="eastAsia" w:ascii="仿宋_GB2312" w:hAnsi="仿宋_GB2312" w:eastAsia="仿宋_GB2312" w:cs="仿宋_GB2312"/>
          <w:b/>
          <w:bCs/>
          <w:sz w:val="24"/>
          <w:szCs w:val="24"/>
        </w:rPr>
        <w:t>5其它服务</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5.1若投标方所提供货物有需要进口的，投标方一般应自行、自费办理；必要时，招标方和投标方共同办理。</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5.2除招标文件、投标文件、答疑文件、技术协议、合同等约定之外，投标方应免费负责必要的或强制性的货物的检验、试验、化验等直接费用。</w:t>
      </w:r>
      <w:bookmarkStart w:id="647" w:name="_Toc133783974"/>
    </w:p>
    <w:p>
      <w:pPr>
        <w:pStyle w:val="17"/>
        <w:snapToGrid w:val="0"/>
        <w:spacing w:line="360" w:lineRule="auto"/>
        <w:ind w:firstLine="480" w:firstLineChars="200"/>
        <w:rPr>
          <w:rFonts w:hint="eastAsia" w:ascii="仿宋_GB2312" w:hAnsi="仿宋_GB2312" w:eastAsia="仿宋_GB2312" w:cs="仿宋_GB2312"/>
          <w:lang w:val="en-GB"/>
        </w:rPr>
      </w:pPr>
      <w:bookmarkStart w:id="648" w:name="_Toc499550430"/>
      <w:r>
        <w:rPr>
          <w:rFonts w:hint="eastAsia" w:ascii="仿宋_GB2312" w:hAnsi="仿宋_GB2312" w:eastAsia="仿宋_GB2312" w:cs="仿宋_GB2312"/>
          <w:lang w:val="en-US" w:eastAsia="zh-CN"/>
        </w:rPr>
        <w:t>5</w:t>
      </w:r>
      <w:r>
        <w:rPr>
          <w:rFonts w:hint="eastAsia" w:ascii="仿宋_GB2312" w:hAnsi="仿宋_GB2312" w:eastAsia="仿宋_GB2312" w:cs="仿宋_GB2312"/>
          <w:lang w:val="en-GB"/>
        </w:rPr>
        <w:t>.</w:t>
      </w:r>
      <w:r>
        <w:rPr>
          <w:rFonts w:hint="eastAsia" w:ascii="仿宋_GB2312" w:hAnsi="仿宋_GB2312" w:eastAsia="仿宋_GB2312" w:cs="仿宋_GB2312"/>
          <w:lang w:val="en-US" w:eastAsia="zh-CN"/>
        </w:rPr>
        <w:t>3</w:t>
      </w:r>
      <w:r>
        <w:rPr>
          <w:rFonts w:hint="eastAsia" w:ascii="仿宋_GB2312" w:hAnsi="仿宋_GB2312" w:eastAsia="仿宋_GB2312" w:cs="仿宋_GB2312"/>
          <w:lang w:val="en-GB"/>
        </w:rPr>
        <w:t xml:space="preserve"> 保障服务目标</w:t>
      </w:r>
      <w:bookmarkEnd w:id="648"/>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lang w:val="en-GB"/>
        </w:rPr>
        <w:t>（1）</w:t>
      </w:r>
      <w:r>
        <w:rPr>
          <w:rFonts w:hint="eastAsia" w:ascii="仿宋_GB2312" w:hAnsi="仿宋_GB2312" w:eastAsia="仿宋_GB2312" w:cs="仿宋_GB2312"/>
        </w:rPr>
        <w:t>乙方保证其提供的合同设备是经生产厂家正式授权销售且经合法销售渠道获得的产品，是全新的、未使用的、未经改装的、包装完好的、原厂正品，采用最佳材料和一流工艺的，并在各个方面符合本合同规定的质量、规格和性能要求。乙方保证其合同设备经过正确安装、合理操作和维护保养，在合同设备寿命期内运转良好。</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（2）乙方承诺其提供的设备不存在任何产品缺陷，否则因乙方提供的设备存在产品缺陷而给甲方造成的一切后果和损失由乙方承担。</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3）乙方承诺因其提供的设备存在瑕疵或产品缺陷而导致第三方向甲方主张权利或提起诉讼的，乙方应积极配合甲方进行解决或应诉，因此而发生的一切费用（包括但不限于诉讼费、仲裁费、律师费、交通费、通讯费、住宿费、餐饮费、调查取证费等）由乙方承担。</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4）设备所安装的操作系统及软件均为正版，已获知识产权所有权人或合法使用权人的正式授权，且对该系统软件拥有合法的知识产权或具有合法的来源，在有关知识产权中不存在任何侵犯第三方的权益，否则由乙方承担一切责任。</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（5）合同约定的设备在质量保证期届满前，如有质量问题，乙方应在收到甲方或设备使用单位通知后</w:t>
      </w:r>
      <w:r>
        <w:rPr>
          <w:rFonts w:hint="eastAsia" w:ascii="仿宋_GB2312" w:hAnsi="仿宋_GB2312" w:eastAsia="仿宋_GB2312" w:cs="仿宋_GB2312"/>
          <w:lang w:val="en-US" w:eastAsia="zh-CN"/>
        </w:rPr>
        <w:t>2</w:t>
      </w:r>
      <w:r>
        <w:rPr>
          <w:rFonts w:hint="eastAsia" w:ascii="仿宋_GB2312" w:hAnsi="仿宋_GB2312" w:eastAsia="仿宋_GB2312" w:cs="仿宋_GB2312"/>
        </w:rPr>
        <w:t>小时内做出回复，如需到现场解决问题，乙方应派工作人员在</w:t>
      </w:r>
      <w:r>
        <w:rPr>
          <w:rFonts w:hint="eastAsia" w:ascii="仿宋_GB2312" w:hAnsi="仿宋_GB2312" w:eastAsia="仿宋_GB2312" w:cs="仿宋_GB2312"/>
          <w:lang w:val="en-US" w:eastAsia="zh-CN"/>
        </w:rPr>
        <w:t>4</w:t>
      </w:r>
      <w:r>
        <w:rPr>
          <w:rFonts w:hint="eastAsia" w:ascii="仿宋_GB2312" w:hAnsi="仿宋_GB2312" w:eastAsia="仿宋_GB2312" w:cs="仿宋_GB2312"/>
        </w:rPr>
        <w:t>小时内到达设备使用现场，1个工作日内排除故障，并按甲方要求的时间免费修复、更换相关部件，将设备修复完成。</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（6）乙方负责在甲方指定的地点免费为甲方培训操作及维修人员，培训内容包括：基本原理、操作使用和维修保养等。</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（7）质量保证期满后，乙方保证向甲方提供及时的、质优的、价格优惠的技术服务和备品备件供应。</w:t>
      </w:r>
    </w:p>
    <w:p>
      <w:pPr>
        <w:pStyle w:val="17"/>
        <w:snapToGrid w:val="0"/>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（8）质量保证期满后，如出现质量问题，乙方也应及时修复和更换，且只收取成本费，费用由甲方承担，乙方对设备质量问题所负的责任直到设备使用寿命周期结束。</w:t>
      </w:r>
    </w:p>
    <w:p>
      <w:pPr>
        <w:adjustRightInd w:val="0"/>
        <w:snapToGrid w:val="0"/>
        <w:spacing w:before="163" w:beforeLines="50" w:after="163" w:afterLines="50" w:line="360" w:lineRule="auto"/>
        <w:jc w:val="center"/>
        <w:outlineLvl w:val="0"/>
        <w:rPr>
          <w:rFonts w:hint="eastAsia" w:ascii="仿宋_GB2312" w:hAnsi="仿宋_GB2312" w:eastAsia="仿宋_GB2312" w:cs="仿宋_GB2312"/>
          <w:b/>
          <w:bCs/>
          <w:lang w:val="en-US" w:eastAsia="zh-CN"/>
        </w:rPr>
      </w:pPr>
      <w:bookmarkStart w:id="649" w:name="_Toc25825"/>
      <w:bookmarkStart w:id="650" w:name="_Toc6228"/>
      <w:bookmarkStart w:id="651" w:name="_Toc13250"/>
      <w:bookmarkStart w:id="652" w:name="_Toc29269"/>
      <w:bookmarkStart w:id="653" w:name="_Toc8076"/>
      <w:bookmarkStart w:id="654" w:name="_Toc9482"/>
      <w:bookmarkStart w:id="655" w:name="_Toc19942"/>
      <w:bookmarkStart w:id="656" w:name="_Toc27484"/>
      <w:bookmarkStart w:id="657" w:name="_Toc25057"/>
      <w:bookmarkStart w:id="658" w:name="_Toc10492"/>
      <w:bookmarkStart w:id="659" w:name="_Toc32483"/>
      <w:bookmarkStart w:id="660" w:name="_Toc29777"/>
      <w:bookmarkStart w:id="661" w:name="_Toc30293"/>
      <w:bookmarkStart w:id="662" w:name="_Toc16355"/>
      <w:bookmarkStart w:id="663" w:name="_Toc19208"/>
      <w:bookmarkStart w:id="664" w:name="_Toc5996"/>
      <w:bookmarkStart w:id="665" w:name="_Toc12013"/>
      <w:bookmarkStart w:id="666" w:name="_Toc21122"/>
      <w:bookmarkStart w:id="667" w:name="_Toc4011"/>
      <w:bookmarkStart w:id="668" w:name="_Toc22725"/>
      <w:bookmarkStart w:id="669" w:name="_Toc32409"/>
      <w:bookmarkStart w:id="670" w:name="_Toc10438"/>
      <w:bookmarkStart w:id="671" w:name="_Toc14411"/>
      <w:bookmarkStart w:id="672" w:name="_Toc11150"/>
      <w:bookmarkStart w:id="673" w:name="_Toc9121"/>
      <w:bookmarkStart w:id="674" w:name="_Toc12454"/>
      <w:bookmarkStart w:id="675" w:name="_Toc9498"/>
      <w:bookmarkStart w:id="676" w:name="_Toc8547"/>
      <w:bookmarkStart w:id="677" w:name="_Toc24752"/>
      <w:bookmarkStart w:id="678" w:name="_Toc16312"/>
      <w:bookmarkStart w:id="679" w:name="_Toc29817"/>
      <w:bookmarkStart w:id="680" w:name="_Toc26489"/>
      <w:bookmarkStart w:id="681" w:name="_Toc18030"/>
      <w:bookmarkStart w:id="682" w:name="_Toc2800"/>
      <w:bookmarkStart w:id="683" w:name="_Toc15356"/>
      <w:bookmarkStart w:id="684" w:name="_Toc2140"/>
      <w:bookmarkStart w:id="685" w:name="_Toc19017"/>
      <w:bookmarkStart w:id="686" w:name="_Toc5013"/>
      <w:bookmarkStart w:id="687" w:name="_Toc10873"/>
      <w:bookmarkStart w:id="688" w:name="_Toc7461"/>
      <w:bookmarkStart w:id="689" w:name="_Toc13895"/>
      <w:bookmarkStart w:id="690" w:name="_Toc18621"/>
      <w:bookmarkStart w:id="691" w:name="_Toc23730"/>
      <w:r>
        <w:rPr>
          <w:rFonts w:hint="eastAsia" w:ascii="仿宋_GB2312" w:hAnsi="仿宋_GB2312" w:eastAsia="仿宋_GB2312" w:cs="仿宋_GB2312"/>
          <w:b/>
          <w:bCs/>
          <w:sz w:val="24"/>
          <w:szCs w:val="24"/>
        </w:rPr>
        <w:t>第五章预验收和终验收</w:t>
      </w:r>
      <w:bookmarkEnd w:id="647"/>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Pr>
          <w:rFonts w:hint="eastAsia" w:ascii="仿宋_GB2312" w:hAnsi="仿宋_GB2312" w:eastAsia="仿宋_GB2312" w:cs="仿宋_GB2312"/>
          <w:b/>
          <w:bCs/>
          <w:sz w:val="24"/>
          <w:szCs w:val="24"/>
          <w:highlight w:val="yellow"/>
          <w:lang w:eastAsia="zh-CN"/>
        </w:rPr>
        <w:t>（</w:t>
      </w:r>
      <w:r>
        <w:rPr>
          <w:rFonts w:hint="eastAsia" w:ascii="仿宋_GB2312" w:hAnsi="仿宋_GB2312" w:eastAsia="仿宋_GB2312" w:cs="仿宋_GB2312"/>
          <w:b/>
          <w:bCs/>
          <w:sz w:val="24"/>
          <w:szCs w:val="24"/>
          <w:highlight w:val="yellow"/>
          <w:lang w:val="en-US" w:eastAsia="zh-CN"/>
        </w:rPr>
        <w:t>本项目无预验收）</w:t>
      </w:r>
    </w:p>
    <w:p>
      <w:pPr>
        <w:snapToGrid w:val="0"/>
        <w:spacing w:line="360" w:lineRule="auto"/>
        <w:ind w:left="480"/>
        <w:outlineLvl w:val="1"/>
        <w:rPr>
          <w:rFonts w:hint="eastAsia" w:ascii="仿宋_GB2312" w:hAnsi="仿宋_GB2312" w:eastAsia="仿宋_GB2312" w:cs="仿宋_GB2312"/>
          <w:b/>
          <w:bCs/>
          <w:sz w:val="24"/>
          <w:szCs w:val="24"/>
        </w:rPr>
      </w:pPr>
      <w:bookmarkStart w:id="692" w:name="_Toc31478"/>
      <w:bookmarkStart w:id="693" w:name="_Toc14965"/>
      <w:bookmarkStart w:id="694" w:name="_Toc29964"/>
      <w:bookmarkStart w:id="695" w:name="_Toc11331"/>
      <w:bookmarkStart w:id="696" w:name="_Toc10033"/>
      <w:bookmarkStart w:id="697" w:name="_Toc27448"/>
      <w:bookmarkStart w:id="698" w:name="_Toc29608"/>
      <w:bookmarkStart w:id="699" w:name="_Toc9902"/>
      <w:bookmarkStart w:id="700" w:name="_Toc14541"/>
      <w:bookmarkStart w:id="701" w:name="_Toc7184"/>
      <w:bookmarkStart w:id="702" w:name="_Toc22981"/>
      <w:bookmarkStart w:id="703" w:name="_Toc23191"/>
      <w:bookmarkStart w:id="704" w:name="_Toc28073"/>
      <w:bookmarkStart w:id="705" w:name="_Toc28506"/>
      <w:bookmarkStart w:id="706" w:name="_Toc242"/>
      <w:bookmarkStart w:id="707" w:name="_Toc5401"/>
      <w:bookmarkStart w:id="708" w:name="_Toc21206"/>
      <w:bookmarkStart w:id="709" w:name="_Toc7463"/>
      <w:bookmarkStart w:id="710" w:name="_Toc12676"/>
      <w:bookmarkStart w:id="711" w:name="_Toc21557"/>
      <w:bookmarkStart w:id="712" w:name="_Toc6924"/>
      <w:bookmarkStart w:id="713" w:name="_Toc23231"/>
      <w:bookmarkStart w:id="714" w:name="_Toc24517"/>
      <w:bookmarkStart w:id="715" w:name="_Toc17620"/>
      <w:bookmarkStart w:id="716" w:name="_Toc3676"/>
      <w:bookmarkStart w:id="717" w:name="_Toc27225"/>
      <w:bookmarkStart w:id="718" w:name="_Toc27951"/>
      <w:bookmarkStart w:id="719" w:name="_Toc12239"/>
      <w:bookmarkStart w:id="720" w:name="_Toc22207"/>
      <w:bookmarkStart w:id="721" w:name="_Toc24809"/>
      <w:bookmarkStart w:id="722" w:name="_Toc13718"/>
      <w:bookmarkStart w:id="723" w:name="_Toc29287"/>
      <w:bookmarkStart w:id="724" w:name="_Toc6378"/>
      <w:bookmarkStart w:id="725" w:name="_Toc15025"/>
      <w:bookmarkStart w:id="726" w:name="_Toc25574"/>
      <w:bookmarkStart w:id="727" w:name="_Toc22140"/>
      <w:bookmarkStart w:id="728" w:name="_Toc2326"/>
      <w:bookmarkStart w:id="729" w:name="_Toc1286"/>
      <w:bookmarkStart w:id="730" w:name="_Toc4070"/>
      <w:bookmarkStart w:id="731" w:name="_Toc7191"/>
      <w:bookmarkStart w:id="732" w:name="_Toc20512"/>
      <w:bookmarkStart w:id="733" w:name="_Toc29611"/>
      <w:r>
        <w:rPr>
          <w:rFonts w:hint="eastAsia" w:ascii="仿宋_GB2312" w:hAnsi="仿宋_GB2312" w:eastAsia="仿宋_GB2312" w:cs="仿宋_GB2312"/>
          <w:b/>
          <w:bCs/>
          <w:sz w:val="24"/>
          <w:szCs w:val="24"/>
        </w:rPr>
        <w:t>1验收的一般约定</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pPr>
        <w:adjustRightInd w:val="0"/>
        <w:snapToGrid w:val="0"/>
        <w:spacing w:line="360" w:lineRule="auto"/>
        <w:ind w:firstLine="960" w:firstLineChars="4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1.1验收标准一般以技术协议书和合同规定验收。</w:t>
      </w:r>
    </w:p>
    <w:p>
      <w:pPr>
        <w:adjustRightInd w:val="0"/>
        <w:snapToGrid w:val="0"/>
        <w:spacing w:line="360" w:lineRule="auto"/>
        <w:ind w:left="479" w:leftChars="228"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1.2如果验收过程中，发现招标文件、投标文件、答疑文件、技术交流文件等与技术协议书、合同存在差异，原则上以涉及条款中对买方最有利条款为验收依据。</w:t>
      </w:r>
    </w:p>
    <w:p>
      <w:pPr>
        <w:snapToGrid w:val="0"/>
        <w:spacing w:line="360" w:lineRule="auto"/>
        <w:ind w:left="482"/>
        <w:outlineLvl w:val="1"/>
        <w:rPr>
          <w:rFonts w:hint="eastAsia" w:ascii="仿宋_GB2312" w:hAnsi="仿宋_GB2312" w:eastAsia="仿宋_GB2312" w:cs="仿宋_GB2312"/>
          <w:b/>
          <w:bCs/>
          <w:sz w:val="24"/>
          <w:szCs w:val="24"/>
        </w:rPr>
      </w:pPr>
      <w:bookmarkStart w:id="734" w:name="_Toc19505"/>
      <w:bookmarkStart w:id="735" w:name="_Toc8093"/>
      <w:bookmarkStart w:id="736" w:name="_Toc2310"/>
      <w:bookmarkStart w:id="737" w:name="_Toc10568"/>
      <w:bookmarkStart w:id="738" w:name="_Toc8742"/>
      <w:bookmarkStart w:id="739" w:name="_Toc7863"/>
      <w:bookmarkStart w:id="740" w:name="_Toc513"/>
      <w:bookmarkStart w:id="741" w:name="_Toc6471"/>
      <w:bookmarkStart w:id="742" w:name="_Toc9729"/>
      <w:bookmarkStart w:id="743" w:name="_Toc23133"/>
      <w:bookmarkStart w:id="744" w:name="_Toc22558"/>
      <w:bookmarkStart w:id="745" w:name="_Toc28873"/>
      <w:bookmarkStart w:id="746" w:name="_Toc25951"/>
      <w:bookmarkStart w:id="747" w:name="_Toc27467"/>
      <w:bookmarkStart w:id="748" w:name="_Toc31116"/>
      <w:bookmarkStart w:id="749" w:name="_Toc11248"/>
      <w:bookmarkStart w:id="750" w:name="_Toc15379"/>
      <w:bookmarkStart w:id="751" w:name="_Toc7457"/>
      <w:bookmarkStart w:id="752" w:name="_Toc8338"/>
      <w:bookmarkStart w:id="753" w:name="_Toc22158"/>
      <w:bookmarkStart w:id="754" w:name="_Toc21722"/>
      <w:bookmarkStart w:id="755" w:name="_Toc29669"/>
      <w:bookmarkStart w:id="756" w:name="_Toc32581"/>
      <w:bookmarkStart w:id="757" w:name="_Toc6206"/>
      <w:bookmarkStart w:id="758" w:name="_Toc10200"/>
      <w:bookmarkStart w:id="759" w:name="_Toc16943"/>
      <w:bookmarkStart w:id="760" w:name="_Toc18517"/>
      <w:bookmarkStart w:id="761" w:name="_Toc11335"/>
      <w:bookmarkStart w:id="762" w:name="_Toc28925"/>
      <w:bookmarkStart w:id="763" w:name="_Toc20876"/>
      <w:bookmarkStart w:id="764" w:name="_Toc1155"/>
      <w:bookmarkStart w:id="765" w:name="_Toc17335"/>
      <w:bookmarkStart w:id="766" w:name="_Toc27120"/>
      <w:bookmarkStart w:id="767" w:name="_Toc30274"/>
      <w:bookmarkStart w:id="768" w:name="_Toc21568"/>
      <w:bookmarkStart w:id="769" w:name="_Toc23919"/>
      <w:bookmarkStart w:id="770" w:name="_Toc17720"/>
      <w:bookmarkStart w:id="771" w:name="_Toc21414"/>
      <w:bookmarkStart w:id="772" w:name="_Toc8916"/>
      <w:bookmarkStart w:id="773" w:name="_Toc1187"/>
      <w:bookmarkStart w:id="774" w:name="_Toc13173"/>
      <w:bookmarkStart w:id="775" w:name="_Toc13736"/>
      <w:r>
        <w:rPr>
          <w:rFonts w:hint="eastAsia" w:ascii="仿宋_GB2312" w:hAnsi="仿宋_GB2312" w:eastAsia="仿宋_GB2312" w:cs="仿宋_GB2312"/>
          <w:b/>
          <w:bCs/>
          <w:sz w:val="24"/>
          <w:szCs w:val="24"/>
        </w:rPr>
        <w:t>2检验</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pPr>
        <w:adjustRightInd w:val="0"/>
        <w:snapToGrid w:val="0"/>
        <w:spacing w:line="360" w:lineRule="auto"/>
        <w:ind w:firstLine="960" w:firstLineChars="4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2.1国产货物的检验由卖买双方按照合同要求或在制造现场进行。</w:t>
      </w:r>
    </w:p>
    <w:p>
      <w:pPr>
        <w:adjustRightInd w:val="0"/>
        <w:snapToGrid w:val="0"/>
        <w:spacing w:line="360" w:lineRule="auto"/>
        <w:ind w:firstLine="960" w:firstLineChars="4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2.2进口货物的检验按照下述要求进行：</w:t>
      </w:r>
    </w:p>
    <w:p>
      <w:pPr>
        <w:adjustRightInd w:val="0"/>
        <w:snapToGrid w:val="0"/>
        <w:spacing w:line="360" w:lineRule="auto"/>
        <w:ind w:left="479" w:leftChars="228"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2.1.1进口货物发货前，卖方应对货物的质量、型号、规格、性能和数量/重量作精密、全面的检验，并出具证明书，证明所供货物符合合同规定。</w:t>
      </w:r>
    </w:p>
    <w:p>
      <w:pPr>
        <w:adjustRightInd w:val="0"/>
        <w:snapToGrid w:val="0"/>
        <w:spacing w:line="360" w:lineRule="auto"/>
        <w:ind w:left="479" w:leftChars="228"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2.1.2卖方应依据合同规定的要求，提供买卖双方达成一致的货物的验收标准和装箱单，作为买方检验的依据。</w:t>
      </w:r>
    </w:p>
    <w:p>
      <w:pPr>
        <w:adjustRightInd w:val="0"/>
        <w:snapToGrid w:val="0"/>
        <w:spacing w:line="360" w:lineRule="auto"/>
        <w:ind w:left="479" w:leftChars="228"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2.1.3进口货物到达目的地后，买方有权申请中国商品检验检疫局进行检验，如发现货物的品质及规格与合同或发票不符，除买方的责任外，买方有权在货物到达卸货目的地后</w:t>
      </w:r>
      <w:r>
        <w:rPr>
          <w:rFonts w:hint="eastAsia" w:ascii="仿宋_GB2312" w:hAnsi="仿宋_GB2312" w:eastAsia="仿宋_GB2312" w:cs="仿宋_GB2312"/>
          <w:sz w:val="24"/>
          <w:szCs w:val="24"/>
          <w:shd w:val="pct10" w:color="auto" w:fill="FFFFFF"/>
        </w:rPr>
        <w:t>180</w:t>
      </w:r>
      <w:r>
        <w:rPr>
          <w:rFonts w:hint="eastAsia" w:ascii="仿宋_GB2312" w:hAnsi="仿宋_GB2312" w:eastAsia="仿宋_GB2312" w:cs="仿宋_GB2312"/>
          <w:sz w:val="24"/>
          <w:szCs w:val="24"/>
        </w:rPr>
        <w:t>个日历日内，根据中国商品检验检疫局出具的证明书向卖方提出索赔，因索赔所发生的一切费用(包括检验检疫费等)均由卖方承担。</w:t>
      </w:r>
    </w:p>
    <w:p>
      <w:pPr>
        <w:snapToGrid w:val="0"/>
        <w:spacing w:line="360" w:lineRule="auto"/>
        <w:ind w:left="482"/>
        <w:outlineLvl w:val="1"/>
        <w:rPr>
          <w:rFonts w:hint="eastAsia" w:ascii="仿宋_GB2312" w:hAnsi="仿宋_GB2312" w:eastAsia="仿宋_GB2312" w:cs="仿宋_GB2312"/>
          <w:b/>
          <w:bCs/>
          <w:sz w:val="24"/>
          <w:szCs w:val="24"/>
        </w:rPr>
      </w:pPr>
      <w:bookmarkStart w:id="776" w:name="_Toc16878"/>
      <w:bookmarkStart w:id="777" w:name="_Toc32111"/>
      <w:bookmarkStart w:id="778" w:name="_Toc22379"/>
      <w:bookmarkStart w:id="779" w:name="_Toc14904"/>
      <w:bookmarkStart w:id="780" w:name="_Toc23250"/>
      <w:bookmarkStart w:id="781" w:name="_Toc1041"/>
      <w:bookmarkStart w:id="782" w:name="_Toc23252"/>
      <w:bookmarkStart w:id="783" w:name="_Toc27538"/>
      <w:bookmarkStart w:id="784" w:name="_Toc16665"/>
      <w:bookmarkStart w:id="785" w:name="_Toc21757"/>
      <w:bookmarkStart w:id="786" w:name="_Toc228"/>
      <w:bookmarkStart w:id="787" w:name="_Toc25654"/>
      <w:bookmarkStart w:id="788" w:name="_Toc14587"/>
      <w:bookmarkStart w:id="789" w:name="_Toc14844"/>
      <w:bookmarkStart w:id="790" w:name="_Toc8477"/>
      <w:bookmarkStart w:id="791" w:name="_Toc21487"/>
      <w:bookmarkStart w:id="792" w:name="_Toc8664"/>
      <w:bookmarkStart w:id="793" w:name="_Toc28225"/>
      <w:bookmarkStart w:id="794" w:name="_Toc5653"/>
      <w:bookmarkStart w:id="795" w:name="_Toc11846"/>
      <w:bookmarkStart w:id="796" w:name="_Toc5604"/>
      <w:bookmarkStart w:id="797" w:name="_Toc29497"/>
      <w:bookmarkStart w:id="798" w:name="_Toc14993"/>
      <w:bookmarkStart w:id="799" w:name="_Toc8214"/>
      <w:bookmarkStart w:id="800" w:name="_Toc17499"/>
      <w:bookmarkStart w:id="801" w:name="_Toc8128"/>
      <w:bookmarkStart w:id="802" w:name="_Toc18036"/>
      <w:bookmarkStart w:id="803" w:name="_Toc27594"/>
      <w:bookmarkStart w:id="804" w:name="_Toc99"/>
      <w:bookmarkStart w:id="805" w:name="_Toc30797"/>
      <w:bookmarkStart w:id="806" w:name="_Toc6506"/>
      <w:bookmarkStart w:id="807" w:name="_Toc18595"/>
      <w:bookmarkStart w:id="808" w:name="_Toc19311"/>
      <w:bookmarkStart w:id="809" w:name="_Toc27310"/>
      <w:bookmarkStart w:id="810" w:name="_Toc11780"/>
      <w:bookmarkStart w:id="811" w:name="_Toc31780"/>
      <w:bookmarkStart w:id="812" w:name="_Toc15488"/>
      <w:bookmarkStart w:id="813" w:name="_Toc10879"/>
      <w:bookmarkStart w:id="814" w:name="_Toc27145"/>
      <w:bookmarkStart w:id="815" w:name="_Toc1969"/>
      <w:bookmarkStart w:id="816" w:name="_Toc27629"/>
      <w:bookmarkStart w:id="817" w:name="_Toc1461"/>
      <w:r>
        <w:rPr>
          <w:rFonts w:hint="eastAsia" w:ascii="仿宋_GB2312" w:hAnsi="仿宋_GB2312" w:eastAsia="仿宋_GB2312" w:cs="仿宋_GB2312"/>
          <w:b/>
          <w:bCs/>
          <w:sz w:val="24"/>
          <w:szCs w:val="24"/>
        </w:rPr>
        <w:t>3验收条件</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pPr>
        <w:adjustRightInd w:val="0"/>
        <w:snapToGrid w:val="0"/>
        <w:spacing w:line="360" w:lineRule="auto"/>
        <w:ind w:left="479" w:leftChars="228"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left="479" w:leftChars="228"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仿宋_GB2312" w:hAnsi="仿宋_GB2312" w:eastAsia="仿宋_GB2312" w:cs="仿宋_GB2312"/>
          <w:sz w:val="24"/>
          <w:szCs w:val="24"/>
        </w:rPr>
      </w:pPr>
      <w:bookmarkStart w:id="818" w:name="_Toc4741"/>
      <w:bookmarkStart w:id="819" w:name="_Toc9015"/>
      <w:bookmarkStart w:id="820" w:name="_Toc10052"/>
      <w:bookmarkStart w:id="821" w:name="_Toc30563"/>
      <w:bookmarkStart w:id="822" w:name="_Toc362"/>
      <w:bookmarkStart w:id="823" w:name="_Toc27856"/>
      <w:bookmarkStart w:id="824" w:name="_Toc11412"/>
      <w:bookmarkStart w:id="825" w:name="_Toc7303"/>
      <w:bookmarkStart w:id="826" w:name="_Toc17709"/>
      <w:bookmarkStart w:id="827" w:name="_Toc31328"/>
      <w:bookmarkStart w:id="828" w:name="_Toc3034"/>
      <w:bookmarkStart w:id="829" w:name="_Toc6977"/>
      <w:bookmarkStart w:id="830" w:name="_Toc31639"/>
      <w:bookmarkStart w:id="831" w:name="_Toc5952"/>
      <w:bookmarkStart w:id="832" w:name="_Toc11902"/>
      <w:bookmarkStart w:id="833" w:name="_Toc5473"/>
      <w:bookmarkStart w:id="834" w:name="_Toc23170"/>
      <w:bookmarkStart w:id="835" w:name="_Toc4157"/>
      <w:bookmarkStart w:id="836" w:name="_Toc24377"/>
      <w:bookmarkStart w:id="837" w:name="_Toc19344"/>
      <w:bookmarkStart w:id="838" w:name="_Toc18903"/>
      <w:bookmarkStart w:id="839" w:name="_Toc18487"/>
      <w:bookmarkStart w:id="840" w:name="_Toc20504"/>
      <w:bookmarkStart w:id="841" w:name="_Toc771"/>
      <w:bookmarkStart w:id="842" w:name="_Toc16974"/>
      <w:bookmarkStart w:id="843" w:name="_Toc10586"/>
      <w:bookmarkStart w:id="844" w:name="_Toc18963"/>
      <w:bookmarkStart w:id="845" w:name="_Toc20087"/>
      <w:bookmarkStart w:id="846" w:name="_Toc16622"/>
      <w:bookmarkStart w:id="847" w:name="_Toc25547"/>
      <w:bookmarkStart w:id="848" w:name="_Toc23548"/>
      <w:bookmarkStart w:id="849" w:name="_Toc32498"/>
      <w:bookmarkStart w:id="850" w:name="_Toc27848"/>
      <w:bookmarkStart w:id="851" w:name="_Toc6731"/>
      <w:bookmarkStart w:id="852" w:name="_Toc21811"/>
      <w:bookmarkStart w:id="853" w:name="_Toc24814"/>
      <w:bookmarkStart w:id="854" w:name="_Toc11234"/>
      <w:bookmarkStart w:id="855" w:name="_Toc22247"/>
      <w:bookmarkStart w:id="856" w:name="_Toc24921"/>
      <w:bookmarkStart w:id="857" w:name="_Toc10389"/>
      <w:bookmarkStart w:id="858" w:name="_Toc1849"/>
      <w:r>
        <w:rPr>
          <w:rFonts w:hint="eastAsia" w:ascii="仿宋_GB2312" w:hAnsi="仿宋_GB2312" w:eastAsia="仿宋_GB2312" w:cs="仿宋_GB2312"/>
          <w:sz w:val="24"/>
          <w:szCs w:val="24"/>
        </w:rPr>
        <w:t>3.1预验收一般条件</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3.1.1卖方已经按照“供货范围”要求提供了预验收资料，并且资料齐全、完整和有效。</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3.1.2货物应运行稳定、可靠、安全，无非正常变形，非正常振动，无异常声音。</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3.1.3货物应完整且所有的零部件应该安装安全、牢固，外观无损伤。</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3.1.4货物标牌完整、清晰、明确。</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3.1.5货物的安全要求符合中国最新的相关法律、法规、标准和规范以及合同要求。</w:t>
      </w:r>
    </w:p>
    <w:p>
      <w:pPr>
        <w:adjustRightInd w:val="0"/>
        <w:snapToGrid w:val="0"/>
        <w:spacing w:line="360" w:lineRule="auto"/>
        <w:ind w:firstLine="480" w:firstLineChars="200"/>
        <w:rPr>
          <w:rFonts w:hint="eastAsia" w:ascii="仿宋_GB2312" w:hAnsi="仿宋_GB2312" w:eastAsia="仿宋_GB2312" w:cs="仿宋_GB2312"/>
          <w:sz w:val="24"/>
          <w:szCs w:val="24"/>
        </w:rPr>
      </w:pPr>
      <w:bookmarkStart w:id="859" w:name="_Toc1293"/>
      <w:bookmarkStart w:id="860" w:name="_Toc12987"/>
      <w:bookmarkStart w:id="861" w:name="_Toc17491"/>
      <w:bookmarkStart w:id="862" w:name="_Toc18823"/>
      <w:bookmarkStart w:id="863" w:name="_Toc6062"/>
      <w:bookmarkStart w:id="864" w:name="_Toc4108"/>
      <w:bookmarkStart w:id="865" w:name="_Toc2134"/>
      <w:bookmarkStart w:id="866" w:name="_Toc21629"/>
      <w:bookmarkStart w:id="867" w:name="_Toc29661"/>
      <w:bookmarkStart w:id="868" w:name="_Toc3329"/>
      <w:bookmarkStart w:id="869" w:name="_Toc21953"/>
      <w:bookmarkStart w:id="870" w:name="_Toc4643"/>
      <w:bookmarkStart w:id="871" w:name="_Toc22891"/>
      <w:bookmarkStart w:id="872" w:name="_Toc17924"/>
      <w:bookmarkStart w:id="873" w:name="_Toc8320"/>
      <w:bookmarkStart w:id="874" w:name="_Toc24950"/>
      <w:bookmarkStart w:id="875" w:name="_Toc8938"/>
      <w:bookmarkStart w:id="876" w:name="_Toc5422"/>
      <w:bookmarkStart w:id="877" w:name="_Toc20374"/>
      <w:bookmarkStart w:id="878" w:name="_Toc931"/>
      <w:bookmarkStart w:id="879" w:name="_Toc26496"/>
      <w:bookmarkStart w:id="880" w:name="_Toc16821"/>
      <w:bookmarkStart w:id="881" w:name="_Toc29327"/>
      <w:bookmarkStart w:id="882" w:name="_Toc19887"/>
      <w:bookmarkStart w:id="883" w:name="_Toc27491"/>
      <w:bookmarkStart w:id="884" w:name="_Toc24874"/>
      <w:bookmarkStart w:id="885" w:name="_Toc7060"/>
      <w:bookmarkStart w:id="886" w:name="_Toc8879"/>
      <w:bookmarkStart w:id="887" w:name="_Toc19728"/>
      <w:bookmarkStart w:id="888" w:name="_Toc28390"/>
      <w:bookmarkStart w:id="889" w:name="_Toc12439"/>
      <w:bookmarkStart w:id="890" w:name="_Toc11537"/>
      <w:bookmarkStart w:id="891" w:name="_Toc15751"/>
      <w:bookmarkStart w:id="892" w:name="_Toc21671"/>
      <w:bookmarkStart w:id="893" w:name="_Toc23596"/>
      <w:bookmarkStart w:id="894" w:name="_Toc2362"/>
      <w:bookmarkStart w:id="895" w:name="_Toc17523"/>
      <w:bookmarkStart w:id="896" w:name="_Toc30498"/>
      <w:bookmarkStart w:id="897" w:name="_Toc4066"/>
      <w:bookmarkStart w:id="898" w:name="_Toc14552"/>
      <w:bookmarkStart w:id="899" w:name="_Toc9105"/>
      <w:r>
        <w:rPr>
          <w:rFonts w:hint="eastAsia" w:ascii="仿宋_GB2312" w:hAnsi="仿宋_GB2312" w:eastAsia="仿宋_GB2312" w:cs="仿宋_GB2312"/>
          <w:sz w:val="24"/>
          <w:szCs w:val="24"/>
        </w:rPr>
        <w:t>3.2终验收一般条件</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3.2.1经过预验收而且没有出现新的质量问题，或者满足预验收条款。</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3.2.2货物安装调试完毕，并至少经过了验收要求的试运行。</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3.2.3试运行期间或之后无维修、调整等行为（特殊情况除外）。</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3.2.4货物质量、技术性能等，达到签定的技术协议书和合同规定的终验收标准。</w:t>
      </w:r>
    </w:p>
    <w:p>
      <w:pPr>
        <w:snapToGrid w:val="0"/>
        <w:spacing w:line="360" w:lineRule="auto"/>
        <w:ind w:left="482"/>
        <w:outlineLvl w:val="1"/>
        <w:rPr>
          <w:rFonts w:hint="eastAsia" w:ascii="仿宋_GB2312" w:hAnsi="仿宋_GB2312" w:eastAsia="仿宋_GB2312" w:cs="仿宋_GB2312"/>
          <w:b/>
          <w:bCs/>
          <w:sz w:val="24"/>
          <w:szCs w:val="24"/>
        </w:rPr>
      </w:pPr>
      <w:bookmarkStart w:id="900" w:name="_Toc1469"/>
      <w:bookmarkStart w:id="901" w:name="_Toc12859"/>
      <w:bookmarkStart w:id="902" w:name="_Toc21291"/>
      <w:bookmarkStart w:id="903" w:name="_Toc1961"/>
      <w:bookmarkStart w:id="904" w:name="_Toc1761"/>
      <w:bookmarkStart w:id="905" w:name="_Toc9027"/>
      <w:bookmarkStart w:id="906" w:name="_Toc1804"/>
      <w:bookmarkStart w:id="907" w:name="_Toc20983"/>
      <w:bookmarkStart w:id="908" w:name="_Toc7243"/>
      <w:bookmarkStart w:id="909" w:name="_Toc17223"/>
      <w:bookmarkStart w:id="910" w:name="_Toc6573"/>
      <w:bookmarkStart w:id="911" w:name="_Toc26083"/>
      <w:bookmarkStart w:id="912" w:name="_Toc32661"/>
      <w:bookmarkStart w:id="913" w:name="_Toc10673"/>
      <w:bookmarkStart w:id="914" w:name="_Toc17549"/>
      <w:bookmarkStart w:id="915" w:name="_Toc11114"/>
      <w:bookmarkStart w:id="916" w:name="_Toc22500"/>
      <w:bookmarkStart w:id="917" w:name="_Toc193"/>
      <w:bookmarkStart w:id="918" w:name="_Toc21504"/>
      <w:bookmarkStart w:id="919" w:name="_Toc1885"/>
      <w:bookmarkStart w:id="920" w:name="_Toc25411"/>
      <w:r>
        <w:rPr>
          <w:rFonts w:hint="eastAsia" w:ascii="仿宋_GB2312" w:hAnsi="仿宋_GB2312" w:eastAsia="仿宋_GB2312" w:cs="仿宋_GB2312"/>
          <w:b/>
          <w:bCs/>
          <w:sz w:val="24"/>
          <w:szCs w:val="24"/>
        </w:rPr>
        <w:t>4终验收基本要求</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pPr>
        <w:adjustRightInd w:val="0"/>
        <w:snapToGrid w:val="0"/>
        <w:spacing w:line="360" w:lineRule="auto"/>
        <w:ind w:firstLine="480"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4.1负荷运行时，货物应连续运行</w:t>
      </w:r>
      <w:r>
        <w:rPr>
          <w:rFonts w:hint="eastAsia" w:ascii="仿宋_GB2312" w:hAnsi="仿宋_GB2312" w:eastAsia="仿宋_GB2312" w:cs="仿宋_GB2312"/>
          <w:sz w:val="24"/>
          <w:szCs w:val="24"/>
          <w:highlight w:val="yellow"/>
          <w:u w:val="single"/>
        </w:rPr>
        <w:t xml:space="preserve"> </w:t>
      </w:r>
      <w:r>
        <w:rPr>
          <w:rFonts w:hint="eastAsia" w:ascii="仿宋_GB2312" w:hAnsi="仿宋_GB2312" w:eastAsia="仿宋_GB2312" w:cs="仿宋_GB2312"/>
          <w:sz w:val="24"/>
          <w:szCs w:val="24"/>
          <w:highlight w:val="yellow"/>
          <w:u w:val="single"/>
          <w:lang w:val="en-US" w:eastAsia="zh-CN"/>
        </w:rPr>
        <w:t>30</w:t>
      </w:r>
      <w:r>
        <w:rPr>
          <w:rFonts w:hint="eastAsia" w:ascii="仿宋_GB2312" w:hAnsi="仿宋_GB2312" w:eastAsia="仿宋_GB2312" w:cs="仿宋_GB2312"/>
          <w:sz w:val="24"/>
          <w:szCs w:val="24"/>
          <w:highlight w:val="yellow"/>
          <w:u w:val="single"/>
          <w:shd w:val="pct10" w:color="auto" w:fill="FFFFFF"/>
        </w:rPr>
        <w:t xml:space="preserve"> </w:t>
      </w:r>
      <w:r>
        <w:rPr>
          <w:rFonts w:hint="eastAsia" w:ascii="仿宋_GB2312" w:hAnsi="仿宋_GB2312" w:eastAsia="仿宋_GB2312" w:cs="仿宋_GB2312"/>
          <w:sz w:val="24"/>
          <w:szCs w:val="24"/>
          <w:highlight w:val="yellow"/>
        </w:rPr>
        <w:t>天，每天连续</w:t>
      </w:r>
      <w:r>
        <w:rPr>
          <w:rFonts w:hint="eastAsia" w:ascii="仿宋_GB2312" w:hAnsi="仿宋_GB2312" w:eastAsia="仿宋_GB2312" w:cs="仿宋_GB2312"/>
          <w:sz w:val="24"/>
          <w:szCs w:val="24"/>
          <w:highlight w:val="yellow"/>
          <w:u w:val="single"/>
        </w:rPr>
        <w:t xml:space="preserve"> </w:t>
      </w:r>
      <w:r>
        <w:rPr>
          <w:rFonts w:hint="eastAsia" w:ascii="仿宋_GB2312" w:hAnsi="仿宋_GB2312" w:eastAsia="仿宋_GB2312" w:cs="仿宋_GB2312"/>
          <w:sz w:val="24"/>
          <w:szCs w:val="24"/>
          <w:highlight w:val="yellow"/>
          <w:u w:val="single"/>
          <w:shd w:val="pct10" w:color="auto" w:fill="FFFFFF"/>
          <w:lang w:val="en-US" w:eastAsia="zh-CN"/>
        </w:rPr>
        <w:t>24</w:t>
      </w:r>
      <w:r>
        <w:rPr>
          <w:rFonts w:hint="eastAsia" w:ascii="仿宋_GB2312" w:hAnsi="仿宋_GB2312" w:eastAsia="仿宋_GB2312" w:cs="仿宋_GB2312"/>
          <w:sz w:val="24"/>
          <w:szCs w:val="24"/>
          <w:highlight w:val="yellow"/>
        </w:rPr>
        <w:t>小时，除用户方面因素外，必须达到以下要求：</w:t>
      </w:r>
    </w:p>
    <w:p>
      <w:pPr>
        <w:adjustRightInd w:val="0"/>
        <w:snapToGrid w:val="0"/>
        <w:spacing w:line="360" w:lineRule="auto"/>
        <w:ind w:firstLine="480"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4.2.1在整个验收过程中没有维修、更换零部件或元件行为；</w:t>
      </w:r>
    </w:p>
    <w:p>
      <w:pPr>
        <w:adjustRightInd w:val="0"/>
        <w:snapToGrid w:val="0"/>
        <w:spacing w:line="360" w:lineRule="auto"/>
        <w:ind w:firstLine="480"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4.2.2所有出现的调整，每次调整时间均不超过</w:t>
      </w:r>
      <w:r>
        <w:rPr>
          <w:rFonts w:hint="eastAsia" w:ascii="仿宋_GB2312" w:hAnsi="仿宋_GB2312" w:eastAsia="仿宋_GB2312" w:cs="仿宋_GB2312"/>
          <w:sz w:val="24"/>
          <w:szCs w:val="24"/>
          <w:highlight w:val="yellow"/>
          <w:u w:val="single"/>
          <w:shd w:val="pct10" w:color="auto" w:fill="FFFFFF"/>
        </w:rPr>
        <w:t>60</w:t>
      </w:r>
      <w:r>
        <w:rPr>
          <w:rFonts w:hint="eastAsia" w:ascii="仿宋_GB2312" w:hAnsi="仿宋_GB2312" w:eastAsia="仿宋_GB2312" w:cs="仿宋_GB2312"/>
          <w:sz w:val="24"/>
          <w:szCs w:val="24"/>
          <w:highlight w:val="yellow"/>
        </w:rPr>
        <w:t>分钟；</w:t>
      </w:r>
    </w:p>
    <w:p>
      <w:pPr>
        <w:adjustRightInd w:val="0"/>
        <w:snapToGrid w:val="0"/>
        <w:spacing w:line="360" w:lineRule="auto"/>
        <w:ind w:firstLine="480"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4.2.3所有调整时间的总和不超过总运行时间的</w:t>
      </w:r>
      <w:r>
        <w:rPr>
          <w:rFonts w:hint="eastAsia" w:ascii="仿宋_GB2312" w:hAnsi="仿宋_GB2312" w:eastAsia="仿宋_GB2312" w:cs="仿宋_GB2312"/>
          <w:sz w:val="24"/>
          <w:szCs w:val="24"/>
          <w:highlight w:val="yellow"/>
          <w:u w:val="single"/>
          <w:shd w:val="pct10" w:color="auto" w:fill="FFFFFF"/>
        </w:rPr>
        <w:t>10</w:t>
      </w:r>
      <w:r>
        <w:rPr>
          <w:rFonts w:hint="eastAsia" w:ascii="仿宋_GB2312" w:hAnsi="仿宋_GB2312" w:eastAsia="仿宋_GB2312" w:cs="仿宋_GB2312"/>
          <w:sz w:val="24"/>
          <w:szCs w:val="24"/>
          <w:highlight w:val="yellow"/>
        </w:rPr>
        <w:t>%；</w:t>
      </w:r>
    </w:p>
    <w:p>
      <w:pPr>
        <w:adjustRightInd w:val="0"/>
        <w:snapToGrid w:val="0"/>
        <w:spacing w:line="360" w:lineRule="auto"/>
        <w:ind w:firstLine="480"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4.2.4累计运行实际性能（或生产率）达到合同规定；</w:t>
      </w:r>
    </w:p>
    <w:p>
      <w:pPr>
        <w:adjustRightInd w:val="0"/>
        <w:snapToGrid w:val="0"/>
        <w:spacing w:line="360" w:lineRule="auto"/>
        <w:ind w:firstLine="480"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4.2.5终验收原则上要求一次完成。若一次验收不成功，最多允许两次；</w:t>
      </w:r>
    </w:p>
    <w:p>
      <w:pPr>
        <w:adjustRightInd w:val="0"/>
        <w:snapToGrid w:val="0"/>
        <w:spacing w:line="360" w:lineRule="auto"/>
        <w:ind w:left="479" w:leftChars="228"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4.2.6终验收通过后签署终验收报告（终验收报告以买方提供的签署完毕并盖章的《新增设备安装竣工验收转资单》为准），并移交、核对全部供货范围内物品。</w:t>
      </w:r>
      <w:bookmarkStart w:id="921" w:name="_Toc133783975"/>
    </w:p>
    <w:p>
      <w:pPr>
        <w:snapToGrid w:val="0"/>
        <w:spacing w:line="360" w:lineRule="auto"/>
        <w:ind w:left="482"/>
        <w:outlineLvl w:val="1"/>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5</w:t>
      </w:r>
      <w:r>
        <w:rPr>
          <w:rFonts w:hint="eastAsia" w:ascii="仿宋_GB2312" w:hAnsi="仿宋_GB2312" w:eastAsia="仿宋_GB2312" w:cs="仿宋_GB2312"/>
          <w:b/>
          <w:bCs/>
          <w:sz w:val="24"/>
          <w:szCs w:val="24"/>
        </w:rPr>
        <w:t>验收资料</w:t>
      </w:r>
    </w:p>
    <w:p>
      <w:pPr>
        <w:adjustRightInd w:val="0"/>
        <w:snapToGrid w:val="0"/>
        <w:spacing w:line="360" w:lineRule="auto"/>
        <w:ind w:left="479" w:leftChars="228"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订本合同后，乙方应按甲方要求免费提供给甲方包括但不限于：设备总装图、安装尺寸图、设备基础图、操作手册、使用说明、维修指南、服务手册等甲方所需要的、与执行本合同有关的各类资料。如上述资料未按甲方要求交付的，甲方有权拒绝对合同设备验收（包括预验收和最终验收），并且乙方应赔偿因此给甲方造成的一切损失。</w:t>
      </w:r>
    </w:p>
    <w:p>
      <w:pPr>
        <w:adjustRightInd w:val="0"/>
        <w:snapToGrid w:val="0"/>
        <w:spacing w:before="163" w:beforeLines="50" w:after="163" w:afterLines="50" w:line="360" w:lineRule="auto"/>
        <w:jc w:val="center"/>
        <w:outlineLvl w:val="0"/>
        <w:rPr>
          <w:rFonts w:hint="eastAsia" w:ascii="仿宋_GB2312" w:hAnsi="仿宋_GB2312" w:eastAsia="仿宋_GB2312" w:cs="仿宋_GB2312"/>
          <w:b/>
          <w:bCs/>
        </w:rPr>
      </w:pPr>
      <w:bookmarkStart w:id="922" w:name="_Toc27525"/>
      <w:bookmarkStart w:id="923" w:name="_Toc26248"/>
      <w:bookmarkStart w:id="924" w:name="_Toc28594"/>
      <w:bookmarkStart w:id="925" w:name="_Toc15914"/>
      <w:bookmarkStart w:id="926" w:name="_Toc10830"/>
      <w:bookmarkStart w:id="927" w:name="_Toc28136"/>
      <w:bookmarkStart w:id="928" w:name="_Toc24925"/>
      <w:bookmarkStart w:id="929" w:name="_Toc14133"/>
      <w:bookmarkStart w:id="930" w:name="_Toc1705"/>
      <w:bookmarkStart w:id="931" w:name="_Toc17110"/>
      <w:bookmarkStart w:id="932" w:name="_Toc15351"/>
      <w:bookmarkStart w:id="933" w:name="_Toc20836"/>
      <w:bookmarkStart w:id="934" w:name="_Toc8435"/>
      <w:bookmarkStart w:id="935" w:name="_Toc22179"/>
      <w:bookmarkStart w:id="936" w:name="_Toc30125"/>
      <w:bookmarkStart w:id="937" w:name="_Toc1683"/>
      <w:bookmarkStart w:id="938" w:name="_Toc25348"/>
      <w:bookmarkStart w:id="939" w:name="_Toc1195"/>
      <w:bookmarkStart w:id="940" w:name="_Toc23616"/>
      <w:bookmarkStart w:id="941" w:name="_Toc4953"/>
      <w:bookmarkStart w:id="942" w:name="_Toc1228"/>
      <w:bookmarkStart w:id="943" w:name="_Toc23397"/>
      <w:bookmarkStart w:id="944" w:name="_Toc18146"/>
      <w:bookmarkStart w:id="945" w:name="_Toc2957"/>
      <w:bookmarkStart w:id="946" w:name="_Toc29322"/>
      <w:bookmarkStart w:id="947" w:name="_Toc23268"/>
      <w:bookmarkStart w:id="948" w:name="_Toc27346"/>
      <w:bookmarkStart w:id="949" w:name="_Toc12636"/>
      <w:bookmarkStart w:id="950" w:name="_Toc6807"/>
      <w:bookmarkStart w:id="951" w:name="_Toc14217"/>
      <w:bookmarkStart w:id="952" w:name="_Toc8015"/>
      <w:bookmarkStart w:id="953" w:name="_Toc32074"/>
      <w:bookmarkStart w:id="954" w:name="_Toc2249"/>
      <w:bookmarkStart w:id="955" w:name="_Toc2612"/>
      <w:bookmarkStart w:id="956" w:name="_Toc19911"/>
      <w:bookmarkStart w:id="957" w:name="_Toc18510"/>
      <w:bookmarkStart w:id="958" w:name="_Toc7458"/>
      <w:bookmarkStart w:id="959" w:name="_Toc1673"/>
      <w:bookmarkStart w:id="960" w:name="_Toc663"/>
      <w:bookmarkStart w:id="961" w:name="_Toc22488"/>
      <w:bookmarkStart w:id="962" w:name="_Toc30187"/>
      <w:bookmarkStart w:id="963" w:name="_Toc30219"/>
      <w:bookmarkStart w:id="964" w:name="_Toc25401"/>
      <w:r>
        <w:rPr>
          <w:rFonts w:hint="eastAsia" w:ascii="仿宋_GB2312" w:hAnsi="仿宋_GB2312" w:eastAsia="仿宋_GB2312" w:cs="仿宋_GB2312"/>
          <w:b/>
          <w:bCs/>
          <w:sz w:val="24"/>
          <w:szCs w:val="24"/>
        </w:rPr>
        <w:t>第六章投标技术文件一般要求</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1投标方应认真阅读招标文件和本技术标书，并按要求编写投标技术文件。</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2投标技术文件至少应对投标货物的“技术偏离”、“商务偏离”作出有无说明；若有，应予以详细填写和说明。</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3投标技术文件至少应对投标货物的功能用途、技术性能、质量标准、技术参数等作出详细说明。</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4投标技术文件至少应根据投标货物的关键设备、总成、零部件或系统作出优越性说明。</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5投标技术文件至少应根据投标货物的配置，按照备品备件、易损件和专用耗材明细表要求以及投标货物主要配置一览表要求（见下表），认真全面填写。</w:t>
      </w:r>
    </w:p>
    <w:p>
      <w:pPr>
        <w:adjustRightInd w:val="0"/>
        <w:snapToGrid w:val="0"/>
        <w:spacing w:line="360" w:lineRule="auto"/>
        <w:ind w:firstLine="3360" w:firstLineChars="14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投标货物主要配置一览表</w:t>
      </w:r>
    </w:p>
    <w:tbl>
      <w:tblPr>
        <w:tblStyle w:val="31"/>
        <w:tblpPr w:leftFromText="180" w:rightFromText="180" w:vertAnchor="text" w:horzAnchor="page" w:tblpX="681" w:tblpY="229"/>
        <w:tblOverlap w:val="never"/>
        <w:tblW w:w="101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7413"/>
        <w:gridCol w:w="510"/>
        <w:gridCol w:w="582"/>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1" w:type="dxa"/>
            <w:shd w:val="clear" w:color="auto" w:fill="auto"/>
            <w:noWrap/>
            <w:vAlign w:val="center"/>
          </w:tcPr>
          <w:p>
            <w:pPr>
              <w:adjustRightInd w:val="0"/>
              <w:snapToGrid w:val="0"/>
              <w:spacing w:line="360" w:lineRule="auto"/>
              <w:jc w:val="left"/>
              <w:rPr>
                <w:rFonts w:hint="eastAsia" w:ascii="仿宋_GB2312" w:hAnsi="仿宋_GB2312" w:eastAsia="仿宋_GB2312" w:cs="仿宋_GB2312"/>
              </w:rPr>
            </w:pPr>
            <w:r>
              <w:rPr>
                <w:rFonts w:hint="eastAsia" w:ascii="仿宋_GB2312" w:hAnsi="仿宋_GB2312" w:eastAsia="仿宋_GB2312" w:cs="仿宋_GB2312"/>
              </w:rPr>
              <w:t>名称</w:t>
            </w:r>
          </w:p>
        </w:tc>
        <w:tc>
          <w:tcPr>
            <w:tcW w:w="7413" w:type="dxa"/>
            <w:shd w:val="clear" w:color="auto" w:fill="auto"/>
            <w:vAlign w:val="center"/>
          </w:tcPr>
          <w:p>
            <w:pPr>
              <w:adjustRightInd w:val="0"/>
              <w:snapToGrid w:val="0"/>
              <w:spacing w:line="360" w:lineRule="auto"/>
              <w:jc w:val="left"/>
              <w:rPr>
                <w:rFonts w:hint="eastAsia" w:ascii="仿宋_GB2312" w:hAnsi="仿宋_GB2312" w:eastAsia="仿宋_GB2312" w:cs="仿宋_GB2312"/>
              </w:rPr>
            </w:pPr>
            <w:r>
              <w:rPr>
                <w:rFonts w:hint="eastAsia" w:ascii="仿宋_GB2312" w:hAnsi="仿宋_GB2312" w:eastAsia="仿宋_GB2312" w:cs="仿宋_GB2312"/>
              </w:rPr>
              <w:t>技术要求</w:t>
            </w:r>
          </w:p>
        </w:tc>
        <w:tc>
          <w:tcPr>
            <w:tcW w:w="510" w:type="dxa"/>
            <w:shd w:val="clear" w:color="auto" w:fill="auto"/>
            <w:vAlign w:val="center"/>
          </w:tcPr>
          <w:p>
            <w:pPr>
              <w:adjustRightInd w:val="0"/>
              <w:snapToGrid w:val="0"/>
              <w:spacing w:line="360" w:lineRule="auto"/>
              <w:jc w:val="left"/>
              <w:rPr>
                <w:rFonts w:hint="eastAsia" w:ascii="仿宋_GB2312" w:hAnsi="仿宋_GB2312" w:eastAsia="仿宋_GB2312" w:cs="仿宋_GB2312"/>
              </w:rPr>
            </w:pPr>
            <w:r>
              <w:rPr>
                <w:rFonts w:hint="eastAsia" w:ascii="仿宋_GB2312" w:hAnsi="仿宋_GB2312" w:eastAsia="仿宋_GB2312" w:cs="仿宋_GB2312"/>
              </w:rPr>
              <w:t>单位</w:t>
            </w:r>
          </w:p>
        </w:tc>
        <w:tc>
          <w:tcPr>
            <w:tcW w:w="582" w:type="dxa"/>
            <w:shd w:val="clear" w:color="auto" w:fill="auto"/>
            <w:vAlign w:val="center"/>
          </w:tcPr>
          <w:p>
            <w:pPr>
              <w:adjustRightInd w:val="0"/>
              <w:snapToGrid w:val="0"/>
              <w:spacing w:line="360" w:lineRule="auto"/>
              <w:jc w:val="left"/>
              <w:rPr>
                <w:rFonts w:hint="eastAsia" w:ascii="仿宋_GB2312" w:hAnsi="仿宋_GB2312" w:eastAsia="仿宋_GB2312" w:cs="仿宋_GB2312"/>
              </w:rPr>
            </w:pPr>
            <w:r>
              <w:rPr>
                <w:rFonts w:hint="eastAsia" w:ascii="仿宋_GB2312" w:hAnsi="仿宋_GB2312" w:eastAsia="仿宋_GB2312" w:cs="仿宋_GB2312"/>
              </w:rPr>
              <w:t>数量</w:t>
            </w:r>
          </w:p>
        </w:tc>
        <w:tc>
          <w:tcPr>
            <w:tcW w:w="685" w:type="dxa"/>
            <w:shd w:val="clear" w:color="auto" w:fill="auto"/>
            <w:vAlign w:val="center"/>
          </w:tcPr>
          <w:p>
            <w:pPr>
              <w:adjustRightInd w:val="0"/>
              <w:snapToGrid w:val="0"/>
              <w:spacing w:line="360" w:lineRule="auto"/>
              <w:jc w:val="left"/>
              <w:rPr>
                <w:rFonts w:hint="default" w:ascii="仿宋_GB2312" w:hAnsi="仿宋_GB2312" w:eastAsia="仿宋_GB2312" w:cs="仿宋_GB2312"/>
                <w:lang w:val="en-US" w:eastAsia="zh-CN"/>
              </w:rPr>
            </w:pPr>
            <w:r>
              <w:rPr>
                <w:rFonts w:hint="eastAsia" w:ascii="仿宋_GB2312" w:hAnsi="仿宋_GB2312" w:eastAsia="仿宋_GB2312" w:cs="仿宋_GB2312"/>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71" w:type="dxa"/>
            <w:shd w:val="clear" w:color="auto" w:fill="auto"/>
            <w:noWrap/>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 w:hAnsi="仿宋" w:eastAsia="仿宋" w:cs="宋体"/>
                <w:color w:val="000000"/>
                <w:kern w:val="0"/>
                <w:sz w:val="22"/>
                <w:szCs w:val="32"/>
                <w:highlight w:val="none"/>
                <w:lang w:val="en-US" w:eastAsia="zh-CN" w:bidi="ar-SA"/>
              </w:rPr>
              <w:t>阿里NEXTDATA存储硬件</w:t>
            </w:r>
          </w:p>
        </w:tc>
        <w:tc>
          <w:tcPr>
            <w:tcW w:w="7413" w:type="dxa"/>
            <w:shd w:val="clear" w:color="000000" w:fill="FFFFFF"/>
            <w:vAlign w:val="top"/>
          </w:tcPr>
          <w:p>
            <w:pPr>
              <w:pStyle w:val="27"/>
              <w:keepNext w:val="0"/>
              <w:keepLines w:val="0"/>
              <w:widowControl/>
              <w:numPr>
                <w:ilvl w:val="0"/>
                <w:numId w:val="0"/>
              </w:numPr>
              <w:suppressLineNumbers w:val="0"/>
              <w:ind w:left="0" w:leftChars="0" w:right="0" w:rightChars="0" w:firstLine="0" w:firstLineChars="0"/>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2颗高性能64位处理器，128GB Cache，2个管理网络接口，内部网络：2个10Gb数据接口，外部网络：2个10Gb数据接口，容灾网络：2个10Gb数据接口，存储容量（ 7.2krpm 8TB HDD×12），高速元数据/缓存容量（1.92TB  SSD×2），600GB SAS系统硬盘*2，1+1冗余电源。</w:t>
            </w:r>
          </w:p>
        </w:tc>
        <w:tc>
          <w:tcPr>
            <w:tcW w:w="510" w:type="dxa"/>
            <w:shd w:val="clear" w:color="auto" w:fill="auto"/>
            <w:noWrap/>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套</w:t>
            </w:r>
          </w:p>
        </w:tc>
        <w:tc>
          <w:tcPr>
            <w:tcW w:w="582" w:type="dxa"/>
            <w:shd w:val="clear" w:color="auto" w:fill="auto"/>
            <w:noWrap/>
            <w:vAlign w:val="center"/>
          </w:tcPr>
          <w:p>
            <w:pPr>
              <w:widowControl/>
              <w:jc w:val="center"/>
              <w:rPr>
                <w:rFonts w:hint="default"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1</w:t>
            </w:r>
          </w:p>
        </w:tc>
        <w:tc>
          <w:tcPr>
            <w:tcW w:w="685" w:type="dxa"/>
            <w:shd w:val="clear" w:color="auto" w:fill="auto"/>
            <w:noWrap/>
            <w:vAlign w:val="center"/>
          </w:tcPr>
          <w:p>
            <w:pPr>
              <w:adjustRightInd w:val="0"/>
              <w:snapToGrid w:val="0"/>
              <w:spacing w:line="360" w:lineRule="auto"/>
              <w:ind w:firstLine="420" w:firstLineChars="200"/>
              <w:jc w:val="left"/>
              <w:rPr>
                <w:rFonts w:hint="eastAsia" w:ascii="仿宋_GB2312" w:hAnsi="仿宋_GB2312" w:eastAsia="仿宋_GB2312" w:cs="仿宋_GB2312"/>
                <w:lang w:val="en-US" w:eastAsia="zh-CN"/>
              </w:rPr>
            </w:pPr>
          </w:p>
        </w:tc>
      </w:tr>
    </w:tbl>
    <w:p>
      <w:pPr>
        <w:pStyle w:val="12"/>
        <w:rPr>
          <w:rFonts w:hint="eastAsia"/>
        </w:rPr>
      </w:pPr>
    </w:p>
    <w:p>
      <w:pPr>
        <w:adjustRightInd w:val="0"/>
        <w:snapToGrid w:val="0"/>
        <w:spacing w:line="360" w:lineRule="auto"/>
        <w:ind w:firstLine="420" w:firstLineChars="200"/>
        <w:rPr>
          <w:rFonts w:hint="eastAsia" w:ascii="仿宋_GB2312" w:hAnsi="仿宋_GB2312" w:eastAsia="仿宋_GB2312" w:cs="仿宋_GB2312"/>
        </w:rPr>
      </w:pPr>
      <w:r>
        <w:rPr>
          <w:rFonts w:hint="eastAsia" w:ascii="仿宋_GB2312" w:hAnsi="仿宋_GB2312" w:eastAsia="仿宋_GB2312" w:cs="仿宋_GB2312"/>
        </w:rPr>
        <w:t>备注：本表作为投标方编制投标技术文件的一般格式。表中应当尽可能将配置列全、列细，这将有助于投标方胜出。</w:t>
      </w:r>
    </w:p>
    <w:p>
      <w:pPr>
        <w:pStyle w:val="2"/>
        <w:rPr>
          <w:rFonts w:hint="eastAsia" w:ascii="仿宋_GB2312" w:hAnsi="仿宋_GB2312" w:eastAsia="仿宋_GB2312" w:cs="仿宋_GB2312"/>
        </w:rPr>
      </w:pPr>
    </w:p>
    <w:tbl>
      <w:tblPr>
        <w:tblStyle w:val="31"/>
        <w:tblpPr w:leftFromText="180" w:rightFromText="180" w:vertAnchor="text" w:horzAnchor="page" w:tblpX="1431" w:tblpY="154"/>
        <w:tblOverlap w:val="never"/>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_GB2312" w:hAnsi="仿宋_GB2312" w:eastAsia="仿宋_GB2312" w:cs="仿宋_GB2312"/>
              </w:rPr>
            </w:pPr>
            <w:r>
              <w:rPr>
                <w:rFonts w:hint="eastAsia" w:ascii="仿宋_GB2312" w:hAnsi="仿宋_GB2312" w:eastAsia="仿宋_GB2312" w:cs="仿宋_GB2312"/>
              </w:rPr>
              <w:t>序号</w:t>
            </w:r>
          </w:p>
        </w:tc>
        <w:tc>
          <w:tcPr>
            <w:tcW w:w="1924" w:type="dxa"/>
          </w:tcPr>
          <w:p>
            <w:pPr>
              <w:adjustRightInd w:val="0"/>
              <w:snapToGrid w:val="0"/>
              <w:spacing w:line="360" w:lineRule="exact"/>
              <w:jc w:val="center"/>
              <w:rPr>
                <w:rFonts w:hint="eastAsia" w:ascii="仿宋_GB2312" w:hAnsi="仿宋_GB2312" w:eastAsia="仿宋_GB2312" w:cs="仿宋_GB2312"/>
              </w:rPr>
            </w:pPr>
            <w:r>
              <w:rPr>
                <w:rFonts w:hint="eastAsia" w:ascii="仿宋_GB2312" w:hAnsi="仿宋_GB2312" w:eastAsia="仿宋_GB2312" w:cs="仿宋_GB2312"/>
              </w:rPr>
              <w:t>名称</w:t>
            </w:r>
          </w:p>
        </w:tc>
        <w:tc>
          <w:tcPr>
            <w:tcW w:w="1236" w:type="dxa"/>
          </w:tcPr>
          <w:p>
            <w:pPr>
              <w:adjustRightInd w:val="0"/>
              <w:snapToGrid w:val="0"/>
              <w:spacing w:line="360" w:lineRule="exact"/>
              <w:jc w:val="center"/>
              <w:rPr>
                <w:rFonts w:hint="eastAsia" w:ascii="仿宋_GB2312" w:hAnsi="仿宋_GB2312" w:eastAsia="仿宋_GB2312" w:cs="仿宋_GB2312"/>
              </w:rPr>
            </w:pPr>
            <w:r>
              <w:rPr>
                <w:rFonts w:hint="eastAsia" w:ascii="仿宋_GB2312" w:hAnsi="仿宋_GB2312" w:eastAsia="仿宋_GB2312" w:cs="仿宋_GB2312"/>
              </w:rPr>
              <w:t>型号规格</w:t>
            </w:r>
          </w:p>
        </w:tc>
        <w:tc>
          <w:tcPr>
            <w:tcW w:w="720" w:type="dxa"/>
          </w:tcPr>
          <w:p>
            <w:pPr>
              <w:adjustRightInd w:val="0"/>
              <w:snapToGrid w:val="0"/>
              <w:spacing w:line="360" w:lineRule="exact"/>
              <w:jc w:val="center"/>
              <w:rPr>
                <w:rFonts w:hint="eastAsia" w:ascii="仿宋_GB2312" w:hAnsi="仿宋_GB2312" w:eastAsia="仿宋_GB2312" w:cs="仿宋_GB2312"/>
              </w:rPr>
            </w:pPr>
            <w:r>
              <w:rPr>
                <w:rFonts w:hint="eastAsia" w:ascii="仿宋_GB2312" w:hAnsi="仿宋_GB2312" w:eastAsia="仿宋_GB2312" w:cs="仿宋_GB2312"/>
              </w:rPr>
              <w:t>单位</w:t>
            </w:r>
          </w:p>
        </w:tc>
        <w:tc>
          <w:tcPr>
            <w:tcW w:w="720" w:type="dxa"/>
          </w:tcPr>
          <w:p>
            <w:pPr>
              <w:adjustRightInd w:val="0"/>
              <w:snapToGrid w:val="0"/>
              <w:spacing w:line="360" w:lineRule="exact"/>
              <w:jc w:val="center"/>
              <w:rPr>
                <w:rFonts w:hint="eastAsia" w:ascii="仿宋_GB2312" w:hAnsi="仿宋_GB2312" w:eastAsia="仿宋_GB2312" w:cs="仿宋_GB2312"/>
              </w:rPr>
            </w:pPr>
            <w:r>
              <w:rPr>
                <w:rFonts w:hint="eastAsia" w:ascii="仿宋_GB2312" w:hAnsi="仿宋_GB2312" w:eastAsia="仿宋_GB2312" w:cs="仿宋_GB2312"/>
              </w:rPr>
              <w:t>数量</w:t>
            </w:r>
          </w:p>
        </w:tc>
        <w:tc>
          <w:tcPr>
            <w:tcW w:w="720" w:type="dxa"/>
          </w:tcPr>
          <w:p>
            <w:pPr>
              <w:adjustRightInd w:val="0"/>
              <w:snapToGrid w:val="0"/>
              <w:spacing w:line="360" w:lineRule="exact"/>
              <w:jc w:val="center"/>
              <w:rPr>
                <w:rFonts w:hint="eastAsia" w:ascii="仿宋_GB2312" w:hAnsi="仿宋_GB2312" w:eastAsia="仿宋_GB2312" w:cs="仿宋_GB2312"/>
              </w:rPr>
            </w:pPr>
            <w:r>
              <w:rPr>
                <w:rFonts w:hint="eastAsia" w:ascii="仿宋_GB2312" w:hAnsi="仿宋_GB2312" w:eastAsia="仿宋_GB2312" w:cs="仿宋_GB2312"/>
              </w:rPr>
              <w:t>单价</w:t>
            </w:r>
          </w:p>
        </w:tc>
        <w:tc>
          <w:tcPr>
            <w:tcW w:w="720" w:type="dxa"/>
          </w:tcPr>
          <w:p>
            <w:pPr>
              <w:adjustRightInd w:val="0"/>
              <w:snapToGrid w:val="0"/>
              <w:spacing w:line="360" w:lineRule="exact"/>
              <w:jc w:val="center"/>
              <w:rPr>
                <w:rFonts w:hint="eastAsia" w:ascii="仿宋_GB2312" w:hAnsi="仿宋_GB2312" w:eastAsia="仿宋_GB2312" w:cs="仿宋_GB2312"/>
              </w:rPr>
            </w:pPr>
            <w:r>
              <w:rPr>
                <w:rFonts w:hint="eastAsia" w:ascii="仿宋_GB2312" w:hAnsi="仿宋_GB2312" w:eastAsia="仿宋_GB2312" w:cs="仿宋_GB2312"/>
              </w:rPr>
              <w:t>总价</w:t>
            </w:r>
          </w:p>
        </w:tc>
        <w:tc>
          <w:tcPr>
            <w:tcW w:w="2235" w:type="dxa"/>
          </w:tcPr>
          <w:p>
            <w:pPr>
              <w:adjustRightInd w:val="0"/>
              <w:snapToGrid w:val="0"/>
              <w:spacing w:line="360" w:lineRule="exact"/>
              <w:jc w:val="center"/>
              <w:rPr>
                <w:rFonts w:hint="eastAsia" w:ascii="仿宋_GB2312" w:hAnsi="仿宋_GB2312" w:eastAsia="仿宋_GB2312" w:cs="仿宋_GB2312"/>
              </w:rPr>
            </w:pPr>
            <w:r>
              <w:rPr>
                <w:rFonts w:hint="eastAsia" w:ascii="仿宋_GB2312" w:hAnsi="仿宋_GB2312" w:eastAsia="仿宋_GB2312" w:cs="仿宋_GB2312"/>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w:t>
            </w:r>
          </w:p>
        </w:tc>
        <w:tc>
          <w:tcPr>
            <w:tcW w:w="1924" w:type="dxa"/>
          </w:tcPr>
          <w:p>
            <w:pPr>
              <w:adjustRightInd w:val="0"/>
              <w:snapToGrid w:val="0"/>
              <w:spacing w:line="360" w:lineRule="exact"/>
              <w:rPr>
                <w:rFonts w:hint="eastAsia" w:ascii="仿宋_GB2312" w:hAnsi="仿宋_GB2312" w:eastAsia="仿宋_GB2312" w:cs="仿宋_GB2312"/>
              </w:rPr>
            </w:pPr>
          </w:p>
        </w:tc>
        <w:tc>
          <w:tcPr>
            <w:tcW w:w="1236" w:type="dxa"/>
          </w:tcPr>
          <w:p>
            <w:pPr>
              <w:adjustRightInd w:val="0"/>
              <w:snapToGrid w:val="0"/>
              <w:spacing w:line="360" w:lineRule="exact"/>
              <w:rPr>
                <w:rFonts w:hint="eastAsia" w:ascii="仿宋_GB2312" w:hAnsi="仿宋_GB2312" w:eastAsia="仿宋_GB2312" w:cs="仿宋_GB2312"/>
                <w:lang w:val="en-US" w:eastAsia="zh-CN"/>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2235" w:type="dxa"/>
          </w:tcPr>
          <w:p>
            <w:pPr>
              <w:adjustRightInd w:val="0"/>
              <w:snapToGrid w:val="0"/>
              <w:spacing w:line="360" w:lineRule="exact"/>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w:t>
            </w:r>
          </w:p>
        </w:tc>
        <w:tc>
          <w:tcPr>
            <w:tcW w:w="1924" w:type="dxa"/>
          </w:tcPr>
          <w:p>
            <w:pPr>
              <w:adjustRightInd w:val="0"/>
              <w:snapToGrid w:val="0"/>
              <w:spacing w:line="360" w:lineRule="exact"/>
              <w:rPr>
                <w:rFonts w:hint="eastAsia" w:ascii="仿宋_GB2312" w:hAnsi="仿宋_GB2312" w:eastAsia="仿宋_GB2312" w:cs="仿宋_GB2312"/>
              </w:rPr>
            </w:pPr>
          </w:p>
        </w:tc>
        <w:tc>
          <w:tcPr>
            <w:tcW w:w="1236" w:type="dxa"/>
          </w:tcPr>
          <w:p>
            <w:pPr>
              <w:adjustRightInd w:val="0"/>
              <w:snapToGrid w:val="0"/>
              <w:spacing w:line="360" w:lineRule="exact"/>
              <w:rPr>
                <w:rFonts w:hint="eastAsia" w:ascii="仿宋_GB2312" w:hAnsi="仿宋_GB2312" w:eastAsia="仿宋_GB2312" w:cs="仿宋_GB2312"/>
                <w:lang w:val="en-US" w:eastAsia="zh-CN"/>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2235" w:type="dxa"/>
          </w:tcPr>
          <w:p>
            <w:pPr>
              <w:adjustRightInd w:val="0"/>
              <w:snapToGrid w:val="0"/>
              <w:spacing w:line="360" w:lineRule="exact"/>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w:t>
            </w:r>
          </w:p>
        </w:tc>
        <w:tc>
          <w:tcPr>
            <w:tcW w:w="1924" w:type="dxa"/>
          </w:tcPr>
          <w:p>
            <w:pPr>
              <w:adjustRightInd w:val="0"/>
              <w:snapToGrid w:val="0"/>
              <w:spacing w:line="360" w:lineRule="exact"/>
              <w:rPr>
                <w:rFonts w:hint="eastAsia" w:ascii="仿宋_GB2312" w:hAnsi="仿宋_GB2312" w:eastAsia="仿宋_GB2312" w:cs="仿宋_GB2312"/>
              </w:rPr>
            </w:pPr>
          </w:p>
        </w:tc>
        <w:tc>
          <w:tcPr>
            <w:tcW w:w="1236" w:type="dxa"/>
          </w:tcPr>
          <w:p>
            <w:pPr>
              <w:adjustRightInd w:val="0"/>
              <w:snapToGrid w:val="0"/>
              <w:spacing w:line="360" w:lineRule="exact"/>
              <w:rPr>
                <w:rFonts w:hint="eastAsia" w:ascii="仿宋_GB2312" w:hAnsi="仿宋_GB2312" w:eastAsia="仿宋_GB2312" w:cs="仿宋_GB2312"/>
                <w:lang w:val="en-US" w:eastAsia="zh-CN"/>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2235" w:type="dxa"/>
          </w:tcPr>
          <w:p>
            <w:pPr>
              <w:adjustRightInd w:val="0"/>
              <w:snapToGrid w:val="0"/>
              <w:spacing w:line="360" w:lineRule="exact"/>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w:t>
            </w:r>
          </w:p>
        </w:tc>
        <w:tc>
          <w:tcPr>
            <w:tcW w:w="1924" w:type="dxa"/>
          </w:tcPr>
          <w:p>
            <w:pPr>
              <w:adjustRightInd w:val="0"/>
              <w:snapToGrid w:val="0"/>
              <w:spacing w:line="360" w:lineRule="exact"/>
              <w:rPr>
                <w:rFonts w:hint="eastAsia" w:ascii="仿宋_GB2312" w:hAnsi="仿宋_GB2312" w:eastAsia="仿宋_GB2312" w:cs="仿宋_GB2312"/>
              </w:rPr>
            </w:pPr>
          </w:p>
        </w:tc>
        <w:tc>
          <w:tcPr>
            <w:tcW w:w="1236" w:type="dxa"/>
          </w:tcPr>
          <w:p>
            <w:pPr>
              <w:adjustRightInd w:val="0"/>
              <w:snapToGrid w:val="0"/>
              <w:spacing w:line="360" w:lineRule="exact"/>
              <w:rPr>
                <w:rFonts w:hint="eastAsia" w:ascii="仿宋_GB2312" w:hAnsi="仿宋_GB2312" w:eastAsia="仿宋_GB2312" w:cs="仿宋_GB2312"/>
                <w:lang w:val="en-US" w:eastAsia="zh-CN"/>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2235" w:type="dxa"/>
          </w:tcPr>
          <w:p>
            <w:pPr>
              <w:adjustRightInd w:val="0"/>
              <w:snapToGrid w:val="0"/>
              <w:spacing w:line="360" w:lineRule="exact"/>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w:t>
            </w:r>
          </w:p>
        </w:tc>
        <w:tc>
          <w:tcPr>
            <w:tcW w:w="1924" w:type="dxa"/>
          </w:tcPr>
          <w:p>
            <w:pPr>
              <w:adjustRightInd w:val="0"/>
              <w:snapToGrid w:val="0"/>
              <w:spacing w:line="360" w:lineRule="exact"/>
              <w:rPr>
                <w:rFonts w:hint="eastAsia" w:ascii="仿宋_GB2312" w:hAnsi="仿宋_GB2312" w:eastAsia="仿宋_GB2312" w:cs="仿宋_GB2312"/>
              </w:rPr>
            </w:pPr>
          </w:p>
        </w:tc>
        <w:tc>
          <w:tcPr>
            <w:tcW w:w="1236" w:type="dxa"/>
          </w:tcPr>
          <w:p>
            <w:pPr>
              <w:adjustRightInd w:val="0"/>
              <w:snapToGrid w:val="0"/>
              <w:spacing w:line="360" w:lineRule="exact"/>
              <w:rPr>
                <w:rFonts w:hint="eastAsia" w:ascii="仿宋_GB2312" w:hAnsi="仿宋_GB2312" w:eastAsia="仿宋_GB2312" w:cs="仿宋_GB2312"/>
                <w:lang w:val="en-US" w:eastAsia="zh-CN"/>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2235" w:type="dxa"/>
          </w:tcPr>
          <w:p>
            <w:pPr>
              <w:adjustRightInd w:val="0"/>
              <w:snapToGrid w:val="0"/>
              <w:spacing w:line="360" w:lineRule="exact"/>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_GB2312" w:hAnsi="仿宋_GB2312" w:eastAsia="仿宋_GB2312" w:cs="仿宋_GB2312"/>
              </w:rPr>
            </w:pPr>
          </w:p>
        </w:tc>
        <w:tc>
          <w:tcPr>
            <w:tcW w:w="1924" w:type="dxa"/>
          </w:tcPr>
          <w:p>
            <w:pPr>
              <w:adjustRightInd w:val="0"/>
              <w:snapToGrid w:val="0"/>
              <w:spacing w:line="360" w:lineRule="exact"/>
              <w:rPr>
                <w:rFonts w:hint="eastAsia" w:ascii="仿宋_GB2312" w:hAnsi="仿宋_GB2312" w:eastAsia="仿宋_GB2312" w:cs="仿宋_GB2312"/>
              </w:rPr>
            </w:pPr>
          </w:p>
        </w:tc>
        <w:tc>
          <w:tcPr>
            <w:tcW w:w="1236" w:type="dxa"/>
          </w:tcPr>
          <w:p>
            <w:pPr>
              <w:adjustRightInd w:val="0"/>
              <w:snapToGrid w:val="0"/>
              <w:spacing w:line="360" w:lineRule="exact"/>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720" w:type="dxa"/>
          </w:tcPr>
          <w:p>
            <w:pPr>
              <w:adjustRightInd w:val="0"/>
              <w:snapToGrid w:val="0"/>
              <w:spacing w:line="360" w:lineRule="exact"/>
              <w:jc w:val="center"/>
              <w:rPr>
                <w:rFonts w:hint="eastAsia" w:ascii="仿宋_GB2312" w:hAnsi="仿宋_GB2312" w:eastAsia="仿宋_GB2312" w:cs="仿宋_GB2312"/>
              </w:rPr>
            </w:pPr>
          </w:p>
        </w:tc>
        <w:tc>
          <w:tcPr>
            <w:tcW w:w="2235" w:type="dxa"/>
          </w:tcPr>
          <w:p>
            <w:pPr>
              <w:adjustRightInd w:val="0"/>
              <w:snapToGrid w:val="0"/>
              <w:spacing w:line="360" w:lineRule="exact"/>
              <w:rPr>
                <w:rFonts w:hint="eastAsia" w:ascii="仿宋_GB2312" w:hAnsi="仿宋_GB2312" w:eastAsia="仿宋_GB2312" w:cs="仿宋_GB2312"/>
              </w:rPr>
            </w:pPr>
          </w:p>
        </w:tc>
      </w:tr>
    </w:tbl>
    <w:p>
      <w:pPr>
        <w:adjustRightInd w:val="0"/>
        <w:snapToGrid w:val="0"/>
        <w:spacing w:line="360" w:lineRule="auto"/>
        <w:rPr>
          <w:rFonts w:hint="eastAsia" w:ascii="仿宋_GB2312" w:hAnsi="仿宋_GB2312" w:eastAsia="仿宋_GB2312" w:cs="仿宋_GB2312"/>
        </w:rPr>
      </w:pP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6投标技术文件至少应对招标文件和本技术标书所提出的要求，将投标方认为难以满足的条款明或澄清。</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8供货范围内的物品或服务，应当尽可能详细且分类填入配置表，其费用应当计入投标总报价之内。如果出现不一致的报价，将有可能导致废标。</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9除招标文件明确的验收标准或内容之外，投标方应当在投标文件中提供预验收（必要时）和终验收的标准以及规程，在合同签定之前，经投标方和招标方双方洽谈确认并签署，以作为验收标准执行。</w:t>
      </w:r>
    </w:p>
    <w:p>
      <w:pPr>
        <w:adjustRightInd w:val="0"/>
        <w:snapToGrid w:val="0"/>
        <w:spacing w:before="163" w:beforeLines="50" w:after="163" w:afterLines="50" w:line="360" w:lineRule="auto"/>
        <w:jc w:val="center"/>
        <w:outlineLvl w:val="0"/>
        <w:rPr>
          <w:rFonts w:hint="eastAsia" w:ascii="仿宋_GB2312" w:hAnsi="仿宋_GB2312" w:eastAsia="仿宋_GB2312" w:cs="仿宋_GB2312"/>
          <w:b/>
          <w:bCs/>
          <w:sz w:val="24"/>
          <w:szCs w:val="24"/>
        </w:rPr>
      </w:pPr>
      <w:bookmarkStart w:id="965" w:name="_Toc29655"/>
      <w:bookmarkStart w:id="966" w:name="_Toc19444"/>
      <w:bookmarkStart w:id="967" w:name="_Toc31830"/>
      <w:bookmarkStart w:id="968" w:name="_Toc919"/>
      <w:bookmarkStart w:id="969" w:name="_Toc32403"/>
      <w:bookmarkStart w:id="970" w:name="_Toc13350"/>
      <w:bookmarkStart w:id="971" w:name="_Toc7541"/>
      <w:bookmarkStart w:id="972" w:name="_Toc17174"/>
      <w:bookmarkStart w:id="973" w:name="_Toc671"/>
      <w:bookmarkStart w:id="974" w:name="_Toc147"/>
      <w:bookmarkStart w:id="975" w:name="_Toc7423"/>
      <w:bookmarkStart w:id="976" w:name="_Toc15645"/>
      <w:bookmarkStart w:id="977" w:name="_Toc3744"/>
      <w:bookmarkStart w:id="978" w:name="_Toc2341"/>
      <w:bookmarkStart w:id="979" w:name="_Toc15684"/>
      <w:bookmarkStart w:id="980" w:name="_Toc19821"/>
      <w:bookmarkStart w:id="981" w:name="_Toc17045"/>
      <w:bookmarkStart w:id="982" w:name="_Toc19119"/>
      <w:bookmarkStart w:id="983" w:name="_Toc25823"/>
      <w:bookmarkStart w:id="984" w:name="_Toc29369"/>
      <w:bookmarkStart w:id="985" w:name="_Toc16301"/>
      <w:bookmarkStart w:id="986" w:name="_Toc22743"/>
      <w:bookmarkStart w:id="987" w:name="_Toc10484"/>
      <w:bookmarkStart w:id="988" w:name="_Toc2177"/>
      <w:bookmarkStart w:id="989" w:name="_Toc17463"/>
      <w:bookmarkStart w:id="990" w:name="_Toc4563"/>
      <w:bookmarkStart w:id="991" w:name="_Toc13666"/>
      <w:bookmarkStart w:id="992" w:name="_Toc5153"/>
      <w:bookmarkStart w:id="993" w:name="_Toc10081"/>
      <w:bookmarkStart w:id="994" w:name="_Toc11155"/>
      <w:bookmarkStart w:id="995" w:name="_Toc9954"/>
      <w:bookmarkStart w:id="996" w:name="_Toc24401"/>
      <w:bookmarkStart w:id="997" w:name="_Toc24651"/>
      <w:bookmarkStart w:id="998" w:name="_Toc26481"/>
      <w:bookmarkStart w:id="999" w:name="_Toc23538"/>
      <w:bookmarkStart w:id="1000" w:name="_Toc11416"/>
      <w:bookmarkStart w:id="1001" w:name="_Toc26559"/>
      <w:bookmarkStart w:id="1002" w:name="_Toc1126"/>
      <w:bookmarkStart w:id="1003" w:name="_Toc3256"/>
      <w:bookmarkStart w:id="1004" w:name="_Toc2783"/>
      <w:bookmarkStart w:id="1005" w:name="_Toc73112426"/>
      <w:bookmarkStart w:id="1006" w:name="_Toc5380"/>
      <w:bookmarkStart w:id="1007" w:name="_Toc623"/>
      <w:bookmarkStart w:id="1008" w:name="_Toc2151"/>
      <w:r>
        <w:rPr>
          <w:rFonts w:hint="eastAsia" w:ascii="仿宋_GB2312" w:hAnsi="仿宋_GB2312" w:eastAsia="仿宋_GB2312" w:cs="仿宋_GB2312"/>
          <w:b/>
          <w:bCs/>
          <w:sz w:val="24"/>
          <w:szCs w:val="24"/>
        </w:rPr>
        <w:t>第七章其它要求</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pPr>
        <w:snapToGrid w:val="0"/>
        <w:spacing w:line="360" w:lineRule="auto"/>
        <w:ind w:left="480"/>
        <w:outlineLvl w:val="1"/>
        <w:rPr>
          <w:rFonts w:hint="eastAsia" w:ascii="仿宋_GB2312" w:hAnsi="仿宋_GB2312" w:eastAsia="仿宋_GB2312" w:cs="仿宋_GB2312"/>
          <w:b/>
          <w:bCs/>
          <w:sz w:val="24"/>
          <w:szCs w:val="24"/>
        </w:rPr>
      </w:pPr>
      <w:bookmarkStart w:id="1009" w:name="_Toc15541"/>
      <w:bookmarkStart w:id="1010" w:name="_Toc24669"/>
      <w:bookmarkStart w:id="1011" w:name="_Toc17727"/>
      <w:bookmarkStart w:id="1012" w:name="_Toc14684"/>
      <w:bookmarkStart w:id="1013" w:name="_Toc29679"/>
      <w:bookmarkStart w:id="1014" w:name="_Toc21465"/>
      <w:bookmarkStart w:id="1015" w:name="_Toc11058"/>
      <w:bookmarkStart w:id="1016" w:name="_Toc12406"/>
      <w:bookmarkStart w:id="1017" w:name="_Toc17357"/>
      <w:bookmarkStart w:id="1018" w:name="_Toc17702"/>
      <w:bookmarkStart w:id="1019" w:name="_Toc32544"/>
      <w:bookmarkStart w:id="1020" w:name="_Toc17435"/>
      <w:bookmarkStart w:id="1021" w:name="_Toc22010"/>
      <w:bookmarkStart w:id="1022" w:name="_Toc4997"/>
      <w:bookmarkStart w:id="1023" w:name="_Toc18469"/>
      <w:bookmarkStart w:id="1024" w:name="_Toc5514"/>
      <w:bookmarkStart w:id="1025" w:name="_Toc26831"/>
      <w:bookmarkStart w:id="1026" w:name="_Toc32470"/>
      <w:bookmarkStart w:id="1027" w:name="_Toc27273"/>
      <w:bookmarkStart w:id="1028" w:name="_Toc11901"/>
      <w:bookmarkStart w:id="1029" w:name="_Toc14484"/>
      <w:bookmarkStart w:id="1030" w:name="_Toc32525"/>
      <w:bookmarkStart w:id="1031" w:name="_Toc25903"/>
      <w:bookmarkStart w:id="1032" w:name="_Toc12542"/>
      <w:bookmarkStart w:id="1033" w:name="_Toc29015"/>
      <w:bookmarkStart w:id="1034" w:name="_Toc24680"/>
      <w:bookmarkStart w:id="1035" w:name="_Toc15205"/>
      <w:bookmarkStart w:id="1036" w:name="_Toc24782"/>
      <w:bookmarkStart w:id="1037" w:name="_Toc32012"/>
      <w:bookmarkStart w:id="1038" w:name="_Toc28364"/>
      <w:bookmarkStart w:id="1039" w:name="_Toc30535"/>
      <w:bookmarkStart w:id="1040" w:name="_Toc16829"/>
      <w:bookmarkStart w:id="1041" w:name="_Toc16614"/>
      <w:bookmarkStart w:id="1042" w:name="_Toc20262"/>
      <w:bookmarkStart w:id="1043" w:name="_Toc15256"/>
      <w:bookmarkStart w:id="1044" w:name="_Toc73112427"/>
      <w:bookmarkStart w:id="1045" w:name="_Toc31105"/>
      <w:bookmarkStart w:id="1046" w:name="_Toc27020"/>
      <w:bookmarkStart w:id="1047" w:name="_Toc2497"/>
      <w:bookmarkStart w:id="1048" w:name="_Toc24181"/>
      <w:bookmarkStart w:id="1049" w:name="_Toc13820"/>
      <w:bookmarkStart w:id="1050" w:name="_Toc22430"/>
      <w:bookmarkStart w:id="1051" w:name="_Toc16802"/>
      <w:r>
        <w:rPr>
          <w:rFonts w:hint="eastAsia" w:ascii="仿宋_GB2312" w:hAnsi="仿宋_GB2312" w:eastAsia="仿宋_GB2312" w:cs="仿宋_GB2312"/>
          <w:b/>
          <w:bCs/>
          <w:sz w:val="24"/>
          <w:szCs w:val="24"/>
        </w:rPr>
        <w:t>1特殊要求</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pPr>
        <w:pStyle w:val="17"/>
        <w:snapToGrid w:val="0"/>
        <w:spacing w:line="360" w:lineRule="auto"/>
        <w:ind w:left="0" w:leftChars="0" w:firstLine="480" w:firstLineChars="200"/>
        <w:rPr>
          <w:rFonts w:hint="eastAsia" w:ascii="仿宋_GB2312" w:hAnsi="仿宋_GB2312" w:eastAsia="仿宋_GB2312" w:cs="仿宋_GB2312"/>
        </w:rPr>
      </w:pPr>
      <w:r>
        <w:rPr>
          <w:rFonts w:hint="eastAsia" w:ascii="仿宋_GB2312" w:hAnsi="仿宋_GB2312" w:eastAsia="仿宋_GB2312" w:cs="仿宋_GB2312"/>
        </w:rPr>
        <w:t>为保证本技术标书所列采购货物的质量以及先进性、可靠性、经济性和实用性，</w:t>
      </w:r>
      <w:r>
        <w:rPr>
          <w:rFonts w:hint="eastAsia" w:ascii="仿宋_GB2312" w:hAnsi="仿宋_GB2312" w:eastAsia="仿宋_GB2312" w:cs="仿宋_GB2312"/>
          <w:lang w:val="en-US" w:eastAsia="zh-CN"/>
        </w:rPr>
        <w:t>要</w:t>
      </w:r>
      <w:r>
        <w:rPr>
          <w:rFonts w:hint="eastAsia" w:ascii="仿宋_GB2312" w:hAnsi="仿宋_GB2312" w:eastAsia="仿宋_GB2312" w:cs="仿宋_GB2312"/>
        </w:rPr>
        <w:t>求投标方在投标文件中，至少应具备以下资格证明文件或资料：</w:t>
      </w:r>
    </w:p>
    <w:p>
      <w:pPr>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1.1国产设备应附有采购货物（或设备）涉及的由“中国质量认证中心”颁发的《中国国家强制性产品认证证书》（CCC证书）</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具备中国合格评定国家认可委员会颁发的实验室认可证书（投标人需提供证书复印件并加盖生产厂家公章）。</w:t>
      </w:r>
    </w:p>
    <w:p>
      <w:pPr>
        <w:snapToGrid w:val="0"/>
        <w:spacing w:line="360" w:lineRule="auto"/>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1.2应附有中国相关国家部委颁发的有效期之内所必需的《生产许可证》</w:t>
      </w:r>
      <w:r>
        <w:rPr>
          <w:rFonts w:hint="eastAsia" w:ascii="仿宋_GB2312" w:hAnsi="仿宋_GB2312" w:eastAsia="仿宋_GB2312" w:cs="仿宋_GB2312"/>
          <w:sz w:val="24"/>
          <w:szCs w:val="24"/>
          <w:lang w:eastAsia="zh-CN"/>
        </w:rPr>
        <w:t>。</w:t>
      </w:r>
    </w:p>
    <w:p>
      <w:pPr>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pPr>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应附有必要的采购货物（或设备）的相关检验、试验报告</w:t>
      </w:r>
      <w:r>
        <w:rPr>
          <w:rFonts w:hint="eastAsia" w:ascii="仿宋_GB2312" w:hAnsi="仿宋_GB2312" w:eastAsia="仿宋_GB2312" w:cs="仿宋_GB2312"/>
          <w:sz w:val="24"/>
          <w:szCs w:val="24"/>
          <w:lang w:eastAsia="zh-CN"/>
        </w:rPr>
        <w:t>。</w:t>
      </w:r>
    </w:p>
    <w:p>
      <w:pPr>
        <w:snapToGrid w:val="0"/>
        <w:spacing w:line="360" w:lineRule="auto"/>
        <w:ind w:left="480"/>
        <w:outlineLvl w:val="1"/>
        <w:rPr>
          <w:rFonts w:hint="eastAsia" w:ascii="仿宋_GB2312" w:hAnsi="仿宋_GB2312" w:eastAsia="仿宋_GB2312" w:cs="仿宋_GB2312"/>
          <w:b/>
          <w:bCs/>
          <w:sz w:val="24"/>
          <w:szCs w:val="24"/>
        </w:rPr>
      </w:pPr>
      <w:bookmarkStart w:id="1052" w:name="_Toc5504"/>
      <w:bookmarkStart w:id="1053" w:name="_Toc14052"/>
      <w:bookmarkStart w:id="1054" w:name="_Toc335"/>
      <w:bookmarkStart w:id="1055" w:name="_Toc29954"/>
      <w:bookmarkStart w:id="1056" w:name="_Toc27164"/>
      <w:bookmarkStart w:id="1057" w:name="_Toc4243"/>
      <w:bookmarkStart w:id="1058" w:name="_Toc4278"/>
      <w:bookmarkStart w:id="1059" w:name="_Toc28267"/>
      <w:bookmarkStart w:id="1060" w:name="_Toc20370"/>
      <w:bookmarkStart w:id="1061" w:name="_Toc26724"/>
      <w:bookmarkStart w:id="1062" w:name="_Toc29233"/>
      <w:bookmarkStart w:id="1063" w:name="_Toc22893"/>
      <w:bookmarkStart w:id="1064" w:name="_Toc18370"/>
      <w:bookmarkStart w:id="1065" w:name="_Toc13528"/>
      <w:bookmarkStart w:id="1066" w:name="_Toc11707"/>
      <w:bookmarkStart w:id="1067" w:name="_Toc11255"/>
      <w:bookmarkStart w:id="1068" w:name="_Toc20830"/>
      <w:bookmarkStart w:id="1069" w:name="_Toc73112429"/>
      <w:bookmarkStart w:id="1070" w:name="_Toc3821"/>
      <w:bookmarkStart w:id="1071" w:name="_Toc19315"/>
      <w:bookmarkStart w:id="1072" w:name="_Toc18745"/>
      <w:bookmarkStart w:id="1073" w:name="_Toc24176"/>
      <w:bookmarkStart w:id="1074" w:name="_Toc25028"/>
      <w:bookmarkStart w:id="1075" w:name="_Toc28380"/>
      <w:bookmarkStart w:id="1076" w:name="_Toc22763"/>
      <w:bookmarkStart w:id="1077" w:name="_Toc28559"/>
      <w:bookmarkStart w:id="1078" w:name="_Toc31389"/>
      <w:bookmarkStart w:id="1079" w:name="_Toc21942"/>
      <w:bookmarkStart w:id="1080" w:name="_Toc3323"/>
      <w:bookmarkStart w:id="1081" w:name="_Toc28700"/>
      <w:bookmarkStart w:id="1082" w:name="_Toc26626"/>
      <w:bookmarkStart w:id="1083" w:name="_Toc26307"/>
      <w:bookmarkStart w:id="1084" w:name="_Toc3658"/>
      <w:bookmarkStart w:id="1085" w:name="_Toc14956"/>
      <w:bookmarkStart w:id="1086" w:name="_Toc16457"/>
      <w:bookmarkStart w:id="1087" w:name="_Toc13497"/>
      <w:bookmarkStart w:id="1088" w:name="_Toc1823"/>
      <w:bookmarkStart w:id="1089" w:name="_Toc18674"/>
      <w:bookmarkStart w:id="1090" w:name="_Toc24482"/>
      <w:bookmarkStart w:id="1091" w:name="_Toc28718"/>
      <w:bookmarkStart w:id="1092" w:name="_Toc25498"/>
      <w:bookmarkStart w:id="1093" w:name="_Toc27894"/>
      <w:bookmarkStart w:id="1094" w:name="_Toc8864"/>
      <w:r>
        <w:rPr>
          <w:rFonts w:hint="eastAsia" w:ascii="仿宋_GB2312" w:hAnsi="仿宋_GB2312" w:eastAsia="仿宋_GB2312" w:cs="仿宋_GB2312"/>
          <w:b/>
          <w:bCs/>
          <w:sz w:val="24"/>
          <w:szCs w:val="24"/>
        </w:rPr>
        <w:t>2说明</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pPr>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2.1投标方可以根据自身的技术、经验等优势以及对招标文件和本技术标书的理解，写明对招标方所采购货物的优化方案或建议意见。投标方的这些努力，招标方表示感谢，并将有助于投标方优先胜出。</w:t>
      </w:r>
    </w:p>
    <w:p>
      <w:pPr>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2.2即使有建议意见或建议方案，仍应依据招标文件和本技术标书要求，编写符合要求的投标文件。建议方案或建议意见，应以单独篇章或文件，予以说明。</w:t>
      </w:r>
    </w:p>
    <w:p>
      <w:pPr>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2.3请投标方仔细阅读“采购货物概况”章节内说明，针对允许分投分中的货物，招标方有权利选择其中优秀设备或服务，作为投标方合同供货范围中的指定选用设备或服务（替代投标方分投而未中标部分）。</w:t>
      </w:r>
    </w:p>
    <w:p>
      <w:pPr>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2.4招标文件、投标文件、答疑文件、技术交流文件、技术协议书等，在招标过程全部为有效文件，如有差异，以对招标方或买方最有利的条款为准。</w:t>
      </w:r>
    </w:p>
    <w:p>
      <w:pPr>
        <w:snapToGrid w:val="0"/>
        <w:spacing w:line="360" w:lineRule="auto"/>
        <w:ind w:firstLine="480" w:firstLineChars="200"/>
      </w:pPr>
      <w:r>
        <w:rPr>
          <w:rFonts w:hint="eastAsia" w:ascii="仿宋_GB2312" w:hAnsi="仿宋_GB2312" w:eastAsia="仿宋_GB2312" w:cs="仿宋_GB2312"/>
          <w:sz w:val="24"/>
          <w:szCs w:val="24"/>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pPr>
        <w:pStyle w:val="72"/>
        <w:rPr>
          <w:rFonts w:hint="eastAsia"/>
        </w:rPr>
      </w:pPr>
      <w:bookmarkStart w:id="1095" w:name="_Toc20595"/>
      <w:bookmarkStart w:id="1096" w:name="_Toc47976609"/>
    </w:p>
    <w:p>
      <w:pPr>
        <w:pStyle w:val="72"/>
        <w:ind w:left="0" w:leftChars="0" w:firstLine="0" w:firstLineChars="0"/>
        <w:jc w:val="both"/>
        <w:outlineLvl w:val="0"/>
        <w:rPr>
          <w:rFonts w:hint="default" w:eastAsia="黑体"/>
          <w:lang w:val="en-US" w:eastAsia="zh-CN"/>
        </w:rPr>
      </w:pPr>
      <w:r>
        <w:rPr>
          <w:rFonts w:hint="eastAsia"/>
          <w:lang w:val="en-US" w:eastAsia="zh-CN"/>
        </w:rPr>
        <w:t>第八章、投标文件附件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
        <w:rPr>
          <w:rFonts w:ascii="Times New Roman" w:hAnsi="Times New Roman" w:eastAsia="宋体" w:cs="Times New Roman"/>
          <w:b/>
          <w:bCs/>
          <w:color w:val="000000"/>
          <w:sz w:val="24"/>
          <w:szCs w:val="24"/>
        </w:rPr>
        <w:sectPr>
          <w:footerReference r:id="rId11" w:type="first"/>
          <w:headerReference r:id="rId9" w:type="default"/>
          <w:footerReference r:id="rId1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097" w:name="_Toc353881012"/>
      <w:bookmarkStart w:id="1098" w:name="_Toc212369550"/>
      <w:bookmarkStart w:id="1099" w:name="_Toc639004"/>
      <w:bookmarkStart w:id="1100"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097"/>
      <w:bookmarkEnd w:id="1098"/>
      <w:bookmarkEnd w:id="1099"/>
      <w:bookmarkEnd w:id="1100"/>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color w:val="000000"/>
          <w:sz w:val="24"/>
          <w:szCs w:val="24"/>
          <w:u w:val="single"/>
        </w:rPr>
        <w:t xml:space="preserve">            </w:t>
      </w:r>
      <w:r>
        <w:rPr>
          <w:rFonts w:hint="eastAsia" w:ascii="宋体" w:hAnsi="宋体" w:eastAsia="宋体" w:cs="宋体"/>
          <w:b/>
          <w:bCs/>
          <w:sz w:val="24"/>
          <w:szCs w:val="24"/>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1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13"/>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1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13"/>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1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13"/>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1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13"/>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1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13"/>
              <w:spacing w:before="114"/>
              <w:ind w:left="720"/>
              <w:rPr>
                <w:rFonts w:hint="eastAsia"/>
              </w:rPr>
            </w:pPr>
            <w:r>
              <w:t xml:space="preserve">品牌区分 </w:t>
            </w:r>
          </w:p>
        </w:tc>
        <w:tc>
          <w:tcPr>
            <w:tcW w:w="7500" w:type="dxa"/>
            <w:gridSpan w:val="6"/>
          </w:tcPr>
          <w:p>
            <w:pPr>
              <w:pStyle w:val="11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13"/>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13"/>
              <w:spacing w:before="15"/>
              <w:ind w:left="279"/>
              <w:rPr>
                <w:rFonts w:hint="eastAsia"/>
              </w:rPr>
            </w:pPr>
            <w:r>
              <w:rPr>
                <w:spacing w:val="-2"/>
              </w:rPr>
              <w:t>质量</w:t>
            </w:r>
            <w:r>
              <w:t xml:space="preserve"> </w:t>
            </w:r>
          </w:p>
          <w:p>
            <w:pPr>
              <w:pStyle w:val="113"/>
              <w:spacing w:before="30" w:line="277" w:lineRule="exact"/>
              <w:ind w:left="279"/>
              <w:rPr>
                <w:rFonts w:hint="eastAsia"/>
              </w:rPr>
            </w:pPr>
            <w:r>
              <w:rPr>
                <w:rFonts w:hint="eastAsia"/>
              </w:rPr>
              <w:t>体系</w:t>
            </w:r>
          </w:p>
        </w:tc>
        <w:tc>
          <w:tcPr>
            <w:tcW w:w="2820" w:type="dxa"/>
            <w:gridSpan w:val="2"/>
          </w:tcPr>
          <w:p>
            <w:pPr>
              <w:pStyle w:val="113"/>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13"/>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pStyle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r>
        <w:rPr>
          <w:rFonts w:hint="eastAsia" w:ascii="宋体" w:hAnsi="宋体" w:eastAsia="宋体" w:cs="Times New Roman"/>
          <w:b/>
          <w:color w:val="000000"/>
          <w:sz w:val="24"/>
          <w:szCs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14"/>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pPr>
              <w:spacing w:before="98" w:line="185" w:lineRule="auto"/>
              <w:ind w:left="51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pPr>
              <w:spacing w:before="100" w:line="182" w:lineRule="auto"/>
              <w:ind w:left="798"/>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pPr>
              <w:spacing w:before="100" w:line="182" w:lineRule="auto"/>
              <w:ind w:left="1007"/>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pPr>
              <w:spacing w:before="99" w:line="183"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pPr>
              <w:spacing w:line="221" w:lineRule="auto"/>
              <w:ind w:left="0" w:leftChars="0" w:firstLine="0" w:firstLineChars="0"/>
              <w:jc w:val="both"/>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608"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trPr>
        <w:tc>
          <w:tcPr>
            <w:tcW w:w="742" w:type="dxa"/>
            <w:vAlign w:val="center"/>
          </w:tcPr>
          <w:p>
            <w:pPr>
              <w:spacing w:line="360" w:lineRule="auto"/>
              <w:jc w:val="center"/>
              <w:rPr>
                <w:rFonts w:hint="eastAsia" w:ascii="仿宋" w:hAnsi="仿宋" w:eastAsia="仿宋" w:cs="仿宋"/>
                <w:b/>
                <w:bCs/>
                <w:sz w:val="21"/>
                <w:szCs w:val="21"/>
                <w:lang w:val="en-US" w:eastAsia="zh-CN"/>
              </w:rPr>
            </w:pPr>
          </w:p>
        </w:tc>
        <w:tc>
          <w:tcPr>
            <w:tcW w:w="2471" w:type="dxa"/>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 w:hAnsi="仿宋" w:eastAsia="仿宋" w:cs="宋体"/>
                <w:color w:val="000000"/>
                <w:kern w:val="0"/>
                <w:sz w:val="22"/>
                <w:szCs w:val="32"/>
                <w:highlight w:val="none"/>
                <w:lang w:val="en-US" w:eastAsia="zh-CN" w:bidi="ar-SA"/>
              </w:rPr>
              <w:t>阿里NEXTDATA存储硬件</w:t>
            </w:r>
          </w:p>
        </w:tc>
        <w:tc>
          <w:tcPr>
            <w:tcW w:w="2472" w:type="dxa"/>
            <w:vAlign w:val="top"/>
          </w:tcPr>
          <w:p>
            <w:pPr>
              <w:pStyle w:val="27"/>
              <w:keepNext w:val="0"/>
              <w:keepLines w:val="0"/>
              <w:widowControl/>
              <w:numPr>
                <w:ilvl w:val="0"/>
                <w:numId w:val="0"/>
              </w:numPr>
              <w:suppressLineNumbers w:val="0"/>
              <w:ind w:left="0" w:leftChars="0" w:right="0" w:rightChars="0" w:firstLine="0" w:firstLineChars="0"/>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2颗高性能64位处理器，128GB Cache，2个管理网络接口，内部网络：2个10Gb数据接口，外部网络：2个10Gb数据接口，容灾网络：2个10Gb数据接口，存储容量（ 7.2krpm 8TB HDD×12），高速元数据/缓存容量（1.92TB  SSD×2），600GB SAS系统硬盘*2，1+1冗余电源。</w:t>
            </w:r>
          </w:p>
        </w:tc>
        <w:tc>
          <w:tcPr>
            <w:tcW w:w="1474" w:type="dxa"/>
            <w:vAlign w:val="center"/>
          </w:tcPr>
          <w:p>
            <w:pPr>
              <w:keepNext w:val="0"/>
              <w:keepLines w:val="0"/>
              <w:widowControl/>
              <w:suppressLineNumbers w:val="0"/>
              <w:ind w:firstLine="420" w:firstLineChars="200"/>
              <w:jc w:val="righ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1</w:t>
            </w:r>
          </w:p>
        </w:tc>
        <w:tc>
          <w:tcPr>
            <w:tcW w:w="2014" w:type="dxa"/>
            <w:vAlign w:val="center"/>
          </w:tcPr>
          <w:p>
            <w:pPr>
              <w:jc w:val="center"/>
              <w:textAlignment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套</w:t>
            </w: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pStyle w:val="112"/>
              <w:spacing w:before="60" w:after="6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2"/>
                <w:lang w:val="en-US" w:eastAsia="zh-CN" w:bidi="ar-SA"/>
              </w:rPr>
              <w:t>辅材配件及安装</w:t>
            </w:r>
          </w:p>
        </w:tc>
        <w:tc>
          <w:tcPr>
            <w:tcW w:w="2472"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p>
        </w:tc>
        <w:tc>
          <w:tcPr>
            <w:tcW w:w="1474"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w:t>
            </w:r>
          </w:p>
        </w:tc>
        <w:tc>
          <w:tcPr>
            <w:tcW w:w="2014"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宗</w:t>
            </w: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pStyle w:val="112"/>
              <w:spacing w:before="60" w:after="6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设备说明书</w:t>
            </w:r>
          </w:p>
        </w:tc>
        <w:tc>
          <w:tcPr>
            <w:tcW w:w="2472"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p>
        </w:tc>
        <w:tc>
          <w:tcPr>
            <w:tcW w:w="1474"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w:t>
            </w:r>
          </w:p>
        </w:tc>
        <w:tc>
          <w:tcPr>
            <w:tcW w:w="2014"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套</w:t>
            </w: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pStyle w:val="112"/>
              <w:spacing w:before="60" w:after="60"/>
              <w:jc w:val="left"/>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Cs/>
                <w:sz w:val="21"/>
                <w:szCs w:val="21"/>
              </w:rPr>
              <w:t>合格证</w:t>
            </w:r>
          </w:p>
        </w:tc>
        <w:tc>
          <w:tcPr>
            <w:tcW w:w="2472"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p>
        </w:tc>
        <w:tc>
          <w:tcPr>
            <w:tcW w:w="1474"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w:t>
            </w:r>
          </w:p>
        </w:tc>
        <w:tc>
          <w:tcPr>
            <w:tcW w:w="2014"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套</w:t>
            </w: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pStyle w:val="112"/>
              <w:spacing w:before="60" w:after="6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操作维护手册</w:t>
            </w:r>
          </w:p>
        </w:tc>
        <w:tc>
          <w:tcPr>
            <w:tcW w:w="2472"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p>
        </w:tc>
        <w:tc>
          <w:tcPr>
            <w:tcW w:w="1474"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w:t>
            </w:r>
          </w:p>
        </w:tc>
        <w:tc>
          <w:tcPr>
            <w:tcW w:w="2014"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套</w:t>
            </w: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b/>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firstLine="420" w:firstLineChars="20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lang w:val="en-US" w:eastAsia="zh-CN"/>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474"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仿宋" w:hAnsi="仿宋" w:eastAsia="仿宋" w:cs="仿宋"/>
                <w:sz w:val="21"/>
                <w:szCs w:val="21"/>
              </w:rPr>
            </w:pPr>
          </w:p>
        </w:tc>
        <w:tc>
          <w:tcPr>
            <w:tcW w:w="2471" w:type="dxa"/>
            <w:vAlign w:val="center"/>
          </w:tcPr>
          <w:p>
            <w:pPr>
              <w:widowControl/>
              <w:jc w:val="center"/>
              <w:textAlignment w:val="center"/>
              <w:rPr>
                <w:rFonts w:hint="eastAsia" w:ascii="仿宋" w:hAnsi="仿宋" w:eastAsia="仿宋" w:cs="仿宋"/>
                <w:sz w:val="21"/>
                <w:szCs w:val="21"/>
              </w:rPr>
            </w:pPr>
          </w:p>
        </w:tc>
        <w:tc>
          <w:tcPr>
            <w:tcW w:w="2472" w:type="dxa"/>
          </w:tcPr>
          <w:p>
            <w:pPr>
              <w:jc w:val="center"/>
              <w:rPr>
                <w:rFonts w:hint="eastAsia" w:ascii="仿宋" w:hAnsi="仿宋" w:eastAsia="仿宋" w:cs="仿宋"/>
                <w:sz w:val="21"/>
                <w:szCs w:val="21"/>
              </w:rPr>
            </w:pPr>
          </w:p>
        </w:tc>
        <w:tc>
          <w:tcPr>
            <w:tcW w:w="1474" w:type="dxa"/>
            <w:vAlign w:val="center"/>
          </w:tcPr>
          <w:p>
            <w:pPr>
              <w:jc w:val="center"/>
              <w:textAlignment w:val="center"/>
              <w:rPr>
                <w:rFonts w:hint="eastAsia" w:ascii="仿宋" w:hAnsi="仿宋" w:eastAsia="仿宋" w:cs="仿宋"/>
                <w:sz w:val="21"/>
                <w:szCs w:val="21"/>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仿宋" w:hAnsi="仿宋" w:eastAsia="仿宋" w:cs="仿宋"/>
                <w:sz w:val="21"/>
                <w:szCs w:val="21"/>
              </w:rPr>
            </w:pPr>
          </w:p>
        </w:tc>
        <w:tc>
          <w:tcPr>
            <w:tcW w:w="2471" w:type="dxa"/>
            <w:vAlign w:val="center"/>
          </w:tcPr>
          <w:p>
            <w:pPr>
              <w:widowControl/>
              <w:jc w:val="left"/>
              <w:textAlignment w:val="center"/>
              <w:rPr>
                <w:rFonts w:hint="eastAsia" w:ascii="仿宋" w:hAnsi="仿宋" w:eastAsia="仿宋" w:cs="仿宋"/>
                <w:sz w:val="21"/>
                <w:szCs w:val="21"/>
              </w:rPr>
            </w:pPr>
          </w:p>
        </w:tc>
        <w:tc>
          <w:tcPr>
            <w:tcW w:w="2472" w:type="dxa"/>
          </w:tcPr>
          <w:p>
            <w:pPr>
              <w:jc w:val="center"/>
              <w:rPr>
                <w:rFonts w:hint="eastAsia" w:ascii="仿宋" w:hAnsi="仿宋" w:eastAsia="仿宋" w:cs="仿宋"/>
                <w:sz w:val="21"/>
                <w:szCs w:val="21"/>
              </w:rPr>
            </w:pPr>
          </w:p>
        </w:tc>
        <w:tc>
          <w:tcPr>
            <w:tcW w:w="1474" w:type="dxa"/>
            <w:vAlign w:val="center"/>
          </w:tcPr>
          <w:p>
            <w:pPr>
              <w:jc w:val="center"/>
              <w:textAlignment w:val="center"/>
              <w:rPr>
                <w:rFonts w:hint="eastAsia" w:ascii="仿宋" w:hAnsi="仿宋" w:eastAsia="仿宋" w:cs="仿宋"/>
                <w:sz w:val="21"/>
                <w:szCs w:val="21"/>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p>
        </w:tc>
        <w:tc>
          <w:tcPr>
            <w:tcW w:w="2472" w:type="dxa"/>
            <w:vAlign w:val="center"/>
          </w:tcPr>
          <w:p>
            <w:pPr>
              <w:keepNext w:val="0"/>
              <w:keepLines w:val="0"/>
              <w:widowControl/>
              <w:numPr>
                <w:ilvl w:val="0"/>
                <w:numId w:val="27"/>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tc>
        <w:tc>
          <w:tcPr>
            <w:tcW w:w="1474" w:type="dxa"/>
            <w:vAlign w:val="center"/>
          </w:tcPr>
          <w:p>
            <w:pPr>
              <w:jc w:val="center"/>
              <w:textAlignment w:val="center"/>
              <w:rPr>
                <w:rFonts w:hint="eastAsia" w:ascii="仿宋" w:hAnsi="仿宋" w:eastAsia="仿宋" w:cs="仿宋"/>
                <w:sz w:val="21"/>
                <w:szCs w:val="21"/>
                <w:lang w:val="en-US" w:eastAsia="zh-CN"/>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p>
        </w:tc>
        <w:tc>
          <w:tcPr>
            <w:tcW w:w="2472" w:type="dxa"/>
          </w:tcPr>
          <w:p>
            <w:pPr>
              <w:jc w:val="center"/>
              <w:rPr>
                <w:rFonts w:hint="eastAsia" w:ascii="仿宋" w:hAnsi="仿宋" w:eastAsia="仿宋" w:cs="仿宋"/>
                <w:sz w:val="21"/>
                <w:szCs w:val="21"/>
              </w:rPr>
            </w:pPr>
          </w:p>
        </w:tc>
        <w:tc>
          <w:tcPr>
            <w:tcW w:w="1474" w:type="dxa"/>
            <w:vAlign w:val="center"/>
          </w:tcPr>
          <w:p>
            <w:pPr>
              <w:jc w:val="center"/>
              <w:textAlignment w:val="center"/>
              <w:rPr>
                <w:rFonts w:hint="eastAsia" w:ascii="仿宋" w:hAnsi="仿宋" w:eastAsia="仿宋" w:cs="仿宋"/>
                <w:sz w:val="21"/>
                <w:szCs w:val="21"/>
                <w:lang w:val="en-US" w:eastAsia="zh-CN"/>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2472" w:type="dxa"/>
            <w:vAlign w:val="center"/>
          </w:tcPr>
          <w:p>
            <w:pPr>
              <w:keepNext w:val="0"/>
              <w:keepLines w:val="0"/>
              <w:widowControl/>
              <w:numPr>
                <w:ilvl w:val="0"/>
                <w:numId w:val="28"/>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tc>
        <w:tc>
          <w:tcPr>
            <w:tcW w:w="1474" w:type="dxa"/>
            <w:vAlign w:val="center"/>
          </w:tcPr>
          <w:p>
            <w:pPr>
              <w:jc w:val="center"/>
              <w:textAlignment w:val="center"/>
              <w:rPr>
                <w:rFonts w:hint="eastAsia" w:ascii="仿宋" w:hAnsi="仿宋" w:eastAsia="仿宋" w:cs="仿宋"/>
                <w:sz w:val="21"/>
                <w:szCs w:val="21"/>
                <w:lang w:val="en-US" w:eastAsia="zh-CN"/>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rPr>
            </w:pPr>
          </w:p>
        </w:tc>
        <w:tc>
          <w:tcPr>
            <w:tcW w:w="2471" w:type="dxa"/>
            <w:vAlign w:val="center"/>
          </w:tcPr>
          <w:p>
            <w:pPr>
              <w:widowControl/>
              <w:spacing w:line="0" w:lineRule="atLeast"/>
              <w:jc w:val="left"/>
              <w:textAlignment w:val="center"/>
              <w:rPr>
                <w:rFonts w:hint="eastAsia" w:ascii="仿宋" w:hAnsi="仿宋" w:eastAsia="仿宋" w:cs="仿宋"/>
                <w:sz w:val="21"/>
                <w:szCs w:val="21"/>
              </w:rPr>
            </w:pPr>
          </w:p>
        </w:tc>
        <w:tc>
          <w:tcPr>
            <w:tcW w:w="2472" w:type="dxa"/>
          </w:tcPr>
          <w:p>
            <w:pPr>
              <w:jc w:val="center"/>
              <w:rPr>
                <w:rFonts w:hint="eastAsia" w:ascii="仿宋" w:hAnsi="仿宋" w:eastAsia="仿宋" w:cs="仿宋"/>
                <w:sz w:val="21"/>
                <w:szCs w:val="21"/>
              </w:rPr>
            </w:pPr>
          </w:p>
        </w:tc>
        <w:tc>
          <w:tcPr>
            <w:tcW w:w="1474" w:type="dxa"/>
            <w:vAlign w:val="center"/>
          </w:tcPr>
          <w:p>
            <w:pPr>
              <w:jc w:val="center"/>
              <w:textAlignment w:val="center"/>
              <w:rPr>
                <w:rFonts w:hint="eastAsia" w:ascii="仿宋" w:hAnsi="仿宋" w:eastAsia="仿宋" w:cs="仿宋"/>
                <w:sz w:val="21"/>
                <w:szCs w:val="21"/>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rPr>
            </w:pPr>
          </w:p>
        </w:tc>
        <w:tc>
          <w:tcPr>
            <w:tcW w:w="2471" w:type="dxa"/>
            <w:vAlign w:val="center"/>
          </w:tcPr>
          <w:p>
            <w:pPr>
              <w:spacing w:before="0" w:after="0" w:line="360" w:lineRule="auto"/>
              <w:ind w:left="0" w:leftChars="0" w:firstLine="0" w:firstLineChars="0"/>
              <w:rPr>
                <w:rFonts w:hint="eastAsia" w:ascii="仿宋" w:hAnsi="仿宋" w:eastAsia="仿宋" w:cs="仿宋"/>
                <w:b/>
                <w:color w:val="000000" w:themeColor="text1"/>
                <w:kern w:val="2"/>
                <w:sz w:val="21"/>
                <w:szCs w:val="21"/>
                <w:lang w:val="en-US" w:eastAsia="zh-CN" w:bidi="ar-SA"/>
                <w14:textFill>
                  <w14:solidFill>
                    <w14:schemeClr w14:val="tx1"/>
                  </w14:solidFill>
                </w14:textFill>
              </w:rPr>
            </w:pPr>
          </w:p>
        </w:tc>
        <w:tc>
          <w:tcPr>
            <w:tcW w:w="2472" w:type="dxa"/>
            <w:vAlign w:val="center"/>
          </w:tcPr>
          <w:p>
            <w:pPr>
              <w:spacing w:before="0" w:after="0" w:line="360" w:lineRule="auto"/>
              <w:ind w:left="0" w:leftChars="0" w:firstLine="0" w:firstLineChars="0"/>
              <w:rPr>
                <w:rFonts w:hint="eastAsia" w:ascii="仿宋" w:hAnsi="仿宋" w:eastAsia="仿宋" w:cs="仿宋"/>
                <w:b/>
                <w:color w:val="000000" w:themeColor="text1"/>
                <w:kern w:val="2"/>
                <w:sz w:val="21"/>
                <w:szCs w:val="21"/>
                <w:lang w:val="en-US" w:eastAsia="zh-CN" w:bidi="ar-SA"/>
                <w14:textFill>
                  <w14:solidFill>
                    <w14:schemeClr w14:val="tx1"/>
                  </w14:solidFill>
                </w14:textFill>
              </w:rPr>
            </w:pPr>
          </w:p>
        </w:tc>
        <w:tc>
          <w:tcPr>
            <w:tcW w:w="1474" w:type="dxa"/>
            <w:vAlign w:val="center"/>
          </w:tcPr>
          <w:p>
            <w:pPr>
              <w:spacing w:before="0" w:after="0" w:line="360" w:lineRule="auto"/>
              <w:ind w:left="0" w:leftChars="0" w:firstLine="0" w:firstLineChars="0"/>
              <w:rPr>
                <w:rFonts w:hint="eastAsia" w:ascii="仿宋" w:hAnsi="仿宋" w:eastAsia="仿宋" w:cs="仿宋"/>
                <w:b/>
                <w:color w:val="000000" w:themeColor="text1"/>
                <w:kern w:val="2"/>
                <w:sz w:val="21"/>
                <w:szCs w:val="21"/>
                <w:lang w:val="en-US" w:eastAsia="zh-CN" w:bidi="ar-SA"/>
                <w14:textFill>
                  <w14:solidFill>
                    <w14:schemeClr w14:val="tx1"/>
                  </w14:solidFill>
                </w14:textFill>
              </w:rPr>
            </w:pPr>
          </w:p>
        </w:tc>
        <w:tc>
          <w:tcPr>
            <w:tcW w:w="2014" w:type="dxa"/>
            <w:vAlign w:val="center"/>
          </w:tcPr>
          <w:p>
            <w:pPr>
              <w:spacing w:before="0" w:after="0" w:line="360" w:lineRule="auto"/>
              <w:ind w:left="0" w:leftChars="0" w:firstLine="0" w:firstLineChars="0"/>
              <w:rPr>
                <w:rFonts w:hint="eastAsia" w:eastAsia="宋体" w:asciiTheme="minorAscii" w:hAnsiTheme="minorAscii" w:cstheme="minorBidi"/>
                <w:b/>
                <w:color w:val="000000" w:themeColor="text1"/>
                <w:kern w:val="2"/>
                <w:sz w:val="24"/>
                <w:szCs w:val="24"/>
                <w:lang w:val="en-US" w:eastAsia="zh-CN" w:bidi="ar-SA"/>
                <w14:textFill>
                  <w14:solidFill>
                    <w14:schemeClr w14:val="tx1"/>
                  </w14:solidFill>
                </w14:textFill>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1474"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2014"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1474"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2014"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仿宋" w:hAnsi="仿宋" w:eastAsia="仿宋" w:cs="仿宋"/>
                <w:sz w:val="21"/>
                <w:szCs w:val="21"/>
              </w:rPr>
            </w:pPr>
          </w:p>
        </w:tc>
        <w:tc>
          <w:tcPr>
            <w:tcW w:w="2471"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2472"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1474"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2014"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b/>
                <w:bCs/>
                <w:sz w:val="24"/>
                <w:szCs w:val="24"/>
              </w:rPr>
            </w:pPr>
          </w:p>
        </w:tc>
        <w:tc>
          <w:tcPr>
            <w:tcW w:w="2471" w:type="dxa"/>
            <w:vAlign w:val="center"/>
          </w:tcPr>
          <w:p>
            <w:pPr>
              <w:widowControl/>
              <w:jc w:val="center"/>
              <w:textAlignment w:val="center"/>
              <w:rPr>
                <w:rFonts w:hint="eastAsia" w:ascii="宋体" w:hAnsi="宋体" w:eastAsia="宋体" w:cs="宋体"/>
                <w:b/>
                <w:bCs/>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b/>
                <w:sz w:val="24"/>
                <w:szCs w:val="24"/>
              </w:rPr>
            </w:pPr>
          </w:p>
        </w:tc>
        <w:tc>
          <w:tcPr>
            <w:tcW w:w="2471" w:type="dxa"/>
            <w:vAlign w:val="center"/>
          </w:tcPr>
          <w:p>
            <w:pPr>
              <w:widowControl/>
              <w:jc w:val="center"/>
              <w:textAlignment w:val="center"/>
              <w:rPr>
                <w:rFonts w:hint="eastAsia" w:ascii="宋体" w:hAnsi="宋体" w:eastAsia="宋体" w:cs="宋体"/>
                <w:b/>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105" w:lineRule="exact"/>
        <w:rPr>
          <w:rFonts w:hint="eastAsia"/>
        </w:rPr>
      </w:pPr>
    </w:p>
    <w:p>
      <w:pPr>
        <w:rPr>
          <w:rFonts w:hint="eastAsia" w:eastAsia="宋体"/>
        </w:rPr>
        <w:sectPr>
          <w:footerReference r:id="rId18"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rPr>
        <w:t>本项目全生命周期内备品备件、易损件和专用耗材明细表</w:t>
      </w:r>
    </w:p>
    <w:p>
      <w:pPr>
        <w:adjustRightInd w:val="0"/>
        <w:snapToGrid w:val="0"/>
        <w:spacing w:line="360" w:lineRule="auto"/>
        <w:rPr>
          <w:rFonts w:hint="eastAsia" w:ascii="宋体" w:hAnsi="宋体" w:eastAsia="宋体" w:cs="宋体"/>
          <w:b/>
          <w:bCs/>
          <w:sz w:val="24"/>
          <w:szCs w:val="24"/>
          <w:highlight w:val="yellow"/>
        </w:rPr>
      </w:pPr>
    </w:p>
    <w:p>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1"/>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品牌</w:t>
            </w:r>
          </w:p>
        </w:tc>
        <w:tc>
          <w:tcPr>
            <w:tcW w:w="138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84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市场价</w:t>
            </w:r>
          </w:p>
        </w:tc>
        <w:tc>
          <w:tcPr>
            <w:tcW w:w="164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重汽折扣价</w:t>
            </w:r>
          </w:p>
        </w:tc>
        <w:tc>
          <w:tcPr>
            <w:tcW w:w="197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bl>
    <w:p>
      <w:pPr>
        <w:spacing w:before="78" w:line="219" w:lineRule="auto"/>
        <w:ind w:left="431"/>
        <w:rPr>
          <w:rFonts w:hint="eastAsia" w:ascii="宋体" w:hAnsi="宋体" w:eastAsia="宋体" w:cs="宋体"/>
          <w:spacing w:val="-6"/>
          <w:szCs w:val="21"/>
        </w:rPr>
      </w:pPr>
    </w:p>
    <w:p>
      <w:pPr>
        <w:spacing w:line="240" w:lineRule="atLeast"/>
        <w:rPr>
          <w:rFonts w:hint="eastAsia" w:ascii="宋体" w:hAnsi="宋体" w:eastAsia="宋体" w:cs="宋体"/>
          <w:kern w:val="0"/>
          <w:sz w:val="24"/>
          <w:szCs w:val="20"/>
        </w:rPr>
      </w:pPr>
      <w:r>
        <w:rPr>
          <w:rFonts w:hint="eastAsia" w:ascii="宋体" w:hAnsi="宋体" w:eastAsia="宋体" w:cs="宋体"/>
          <w:kern w:val="0"/>
          <w:sz w:val="24"/>
          <w:szCs w:val="20"/>
        </w:rPr>
        <w:t>注：必须提供本项目生命周期内所涉及到所有备品备件、易损件和专用耗材明细表，以便于质保期外，招标人能够根据清单快速找到同规格产品。</w:t>
      </w:r>
    </w:p>
    <w:p>
      <w:pPr>
        <w:spacing w:line="660" w:lineRule="exact"/>
        <w:rPr>
          <w:rFonts w:hint="eastAsia" w:ascii="宋体" w:hAnsi="宋体"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jc w:val="center"/>
              <w:rPr>
                <w:rFonts w:hint="eastAsia" w:ascii="宋体" w:hAnsi="宋体" w:eastAsia="宋体" w:cs="宋体"/>
                <w:spacing w:val="-1"/>
                <w:sz w:val="24"/>
                <w:szCs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12"/>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12"/>
              <w:spacing w:beforeLines="0" w:afterLines="0" w:line="240" w:lineRule="auto"/>
              <w:jc w:val="center"/>
              <w:rPr>
                <w:rFonts w:hint="eastAsia" w:ascii="宋体" w:hAnsi="宋体" w:eastAsia="宋体" w:cs="宋体"/>
                <w:bCs/>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12"/>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12"/>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12"/>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23</w:t>
            </w:r>
            <w:r>
              <w:rPr>
                <w:rFonts w:ascii="宋体" w:hAnsi="宋体" w:eastAsia="宋体" w:cs="宋体"/>
                <w:sz w:val="24"/>
                <w:szCs w:val="24"/>
                <w:highlight w:val="yellow"/>
              </w:rPr>
              <w:t>年</w:t>
            </w:r>
            <w:r>
              <w:rPr>
                <w:rFonts w:hint="eastAsia" w:ascii="宋体" w:hAnsi="宋体" w:eastAsia="宋体" w:cs="宋体"/>
                <w:sz w:val="24"/>
                <w:szCs w:val="24"/>
                <w:highlight w:val="yellow"/>
              </w:rPr>
              <w:t>8</w:t>
            </w:r>
            <w:r>
              <w:rPr>
                <w:rFonts w:ascii="宋体" w:hAnsi="宋体" w:eastAsia="宋体" w:cs="宋体"/>
                <w:sz w:val="24"/>
                <w:szCs w:val="24"/>
                <w:highlight w:val="yellow"/>
              </w:rPr>
              <w:t>月1日至今所有业绩合同总额汇总（必填</w:t>
            </w:r>
            <w:r>
              <w:rPr>
                <w:rFonts w:hint="eastAsia" w:ascii="宋体" w:hAnsi="宋体" w:eastAsia="宋体" w:cs="宋体"/>
                <w:sz w:val="24"/>
                <w:szCs w:val="24"/>
                <w:highlight w:val="yellow"/>
              </w:rPr>
              <w:t>）</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提供2023年8月1日以来同类产品的制造销售业绩（用户名单、联系方式）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b/>
          <w:color w:val="000000"/>
          <w:sz w:val="24"/>
          <w:szCs w:val="24"/>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14"/>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069" w:type="dxa"/>
          </w:tcPr>
          <w:p>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总价[5×8]（不含税）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2" w:firstLineChars="200"/>
              <w:jc w:val="center"/>
              <w:rPr>
                <w:rFonts w:hint="eastAsia" w:ascii="仿宋" w:hAnsi="仿宋" w:eastAsia="仿宋" w:cs="仿宋"/>
                <w:b/>
                <w:bCs/>
                <w:kern w:val="2"/>
                <w:sz w:val="21"/>
                <w:szCs w:val="21"/>
                <w:lang w:val="en-US" w:eastAsia="zh-CN" w:bidi="ar-SA"/>
              </w:rPr>
            </w:pPr>
          </w:p>
        </w:tc>
        <w:tc>
          <w:tcPr>
            <w:tcW w:w="2238" w:type="dxa"/>
            <w:vAlign w:val="center"/>
          </w:tcPr>
          <w:p>
            <w:pPr>
              <w:widowControl/>
              <w:jc w:val="center"/>
              <w:rPr>
                <w:rFonts w:hint="eastAsia" w:ascii="仿宋_GB2312" w:hAnsi="仿宋_GB2312" w:eastAsia="仿宋_GB2312" w:cs="仿宋_GB2312"/>
                <w:kern w:val="2"/>
                <w:sz w:val="21"/>
                <w:szCs w:val="22"/>
                <w:lang w:val="en-US" w:eastAsia="zh-CN" w:bidi="ar-SA"/>
              </w:rPr>
            </w:pPr>
            <w:r>
              <w:rPr>
                <w:rFonts w:hint="eastAsia" w:ascii="仿宋" w:hAnsi="仿宋" w:eastAsia="仿宋" w:cs="宋体"/>
                <w:color w:val="000000"/>
                <w:kern w:val="0"/>
                <w:sz w:val="22"/>
                <w:szCs w:val="32"/>
                <w:highlight w:val="none"/>
                <w:lang w:val="en-US" w:eastAsia="zh-CN" w:bidi="ar-SA"/>
              </w:rPr>
              <w:t>阿里NEXTDATA存储硬件</w:t>
            </w:r>
          </w:p>
        </w:tc>
        <w:tc>
          <w:tcPr>
            <w:tcW w:w="2239" w:type="dxa"/>
            <w:vAlign w:val="top"/>
          </w:tcPr>
          <w:p>
            <w:pPr>
              <w:pStyle w:val="27"/>
              <w:keepNext w:val="0"/>
              <w:keepLines w:val="0"/>
              <w:widowControl/>
              <w:numPr>
                <w:ilvl w:val="0"/>
                <w:numId w:val="0"/>
              </w:numPr>
              <w:suppressLineNumbers w:val="0"/>
              <w:ind w:left="0" w:leftChars="0" w:right="0" w:rightChars="0" w:firstLine="0" w:firstLineChars="0"/>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kern w:val="2"/>
                <w:sz w:val="21"/>
                <w:szCs w:val="22"/>
                <w:lang w:val="en-US" w:eastAsia="zh-CN" w:bidi="ar-SA"/>
              </w:rPr>
              <w:t>2颗高性能64位处理器，128GB Cache，2个管理网络接口，内部网络：2个10Gb数据接口，外部网络：2个10Gb数据接口，容灾网络：2个10Gb数据接口，存储容量（ 7.2krpm 8TB HDD×12），高速元数据/缓存容量（1.92TB  SSD×2），600GB SAS系统硬盘*2，1+1冗余电源。</w:t>
            </w:r>
          </w:p>
        </w:tc>
        <w:tc>
          <w:tcPr>
            <w:tcW w:w="1120" w:type="dxa"/>
            <w:vAlign w:val="center"/>
          </w:tcPr>
          <w:p>
            <w:pPr>
              <w:keepNext w:val="0"/>
              <w:keepLines w:val="0"/>
              <w:widowControl/>
              <w:suppressLineNumbers w:val="0"/>
              <w:ind w:firstLine="420" w:firstLineChars="200"/>
              <w:jc w:val="righ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1</w:t>
            </w:r>
          </w:p>
        </w:tc>
        <w:tc>
          <w:tcPr>
            <w:tcW w:w="1120" w:type="dxa"/>
            <w:vAlign w:val="center"/>
          </w:tcPr>
          <w:p>
            <w:pPr>
              <w:jc w:val="center"/>
              <w:textAlignment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套</w:t>
            </w: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pStyle w:val="112"/>
              <w:spacing w:before="60" w:after="6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2"/>
                <w:lang w:val="en-US" w:eastAsia="zh-CN" w:bidi="ar-SA"/>
              </w:rPr>
              <w:t>辅材配件及安装</w:t>
            </w:r>
          </w:p>
        </w:tc>
        <w:tc>
          <w:tcPr>
            <w:tcW w:w="2239"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p>
        </w:tc>
        <w:tc>
          <w:tcPr>
            <w:tcW w:w="1120"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w:t>
            </w:r>
          </w:p>
        </w:tc>
        <w:tc>
          <w:tcPr>
            <w:tcW w:w="1120"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宗</w:t>
            </w: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pStyle w:val="112"/>
              <w:spacing w:before="60" w:after="6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设备说明书</w:t>
            </w:r>
          </w:p>
        </w:tc>
        <w:tc>
          <w:tcPr>
            <w:tcW w:w="2239"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p>
        </w:tc>
        <w:tc>
          <w:tcPr>
            <w:tcW w:w="1120"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w:t>
            </w:r>
          </w:p>
        </w:tc>
        <w:tc>
          <w:tcPr>
            <w:tcW w:w="1120"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套</w:t>
            </w: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pStyle w:val="112"/>
              <w:spacing w:before="60" w:after="60"/>
              <w:jc w:val="left"/>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Cs/>
                <w:sz w:val="21"/>
                <w:szCs w:val="21"/>
              </w:rPr>
              <w:t>合格证</w:t>
            </w:r>
          </w:p>
        </w:tc>
        <w:tc>
          <w:tcPr>
            <w:tcW w:w="2239"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p>
        </w:tc>
        <w:tc>
          <w:tcPr>
            <w:tcW w:w="1120"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w:t>
            </w:r>
          </w:p>
        </w:tc>
        <w:tc>
          <w:tcPr>
            <w:tcW w:w="1120"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套</w:t>
            </w: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pStyle w:val="112"/>
              <w:spacing w:before="60" w:after="6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操作维护手册</w:t>
            </w:r>
          </w:p>
        </w:tc>
        <w:tc>
          <w:tcPr>
            <w:tcW w:w="2239"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p>
        </w:tc>
        <w:tc>
          <w:tcPr>
            <w:tcW w:w="1120"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w:t>
            </w:r>
          </w:p>
        </w:tc>
        <w:tc>
          <w:tcPr>
            <w:tcW w:w="1120" w:type="dxa"/>
            <w:vAlign w:val="center"/>
          </w:tcPr>
          <w:p>
            <w:pPr>
              <w:spacing w:line="360" w:lineRule="auto"/>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套</w:t>
            </w: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2" w:firstLineChars="200"/>
              <w:jc w:val="center"/>
              <w:rPr>
                <w:rFonts w:hint="eastAsia" w:ascii="仿宋" w:hAnsi="仿宋" w:eastAsia="仿宋" w:cs="仿宋"/>
                <w:b/>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firstLine="420" w:firstLineChars="20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ind w:firstLine="420" w:firstLineChars="200"/>
              <w:jc w:val="center"/>
              <w:textAlignment w:val="center"/>
              <w:rPr>
                <w:rFonts w:hint="eastAsia" w:ascii="仿宋" w:hAnsi="仿宋" w:eastAsia="仿宋" w:cs="仿宋"/>
                <w:kern w:val="2"/>
                <w:sz w:val="21"/>
                <w:szCs w:val="21"/>
                <w:lang w:val="en-US" w:eastAsia="zh-CN" w:bidi="ar-SA"/>
              </w:rPr>
            </w:pPr>
          </w:p>
        </w:tc>
        <w:tc>
          <w:tcPr>
            <w:tcW w:w="2238" w:type="dxa"/>
            <w:vAlign w:val="center"/>
          </w:tcPr>
          <w:p>
            <w:pPr>
              <w:widowControl/>
              <w:ind w:firstLine="420" w:firstLineChars="200"/>
              <w:jc w:val="center"/>
              <w:textAlignment w:val="center"/>
              <w:rPr>
                <w:rFonts w:hint="eastAsia" w:ascii="仿宋" w:hAnsi="仿宋" w:eastAsia="仿宋" w:cs="仿宋"/>
                <w:kern w:val="2"/>
                <w:sz w:val="21"/>
                <w:szCs w:val="21"/>
                <w:lang w:val="en-US" w:eastAsia="zh-CN" w:bidi="ar-SA"/>
              </w:rPr>
            </w:pPr>
          </w:p>
        </w:tc>
        <w:tc>
          <w:tcPr>
            <w:tcW w:w="2239" w:type="dxa"/>
            <w:vAlign w:val="top"/>
          </w:tcPr>
          <w:p>
            <w:pPr>
              <w:ind w:firstLine="420" w:firstLineChars="200"/>
              <w:jc w:val="center"/>
              <w:rPr>
                <w:rFonts w:hint="eastAsia" w:ascii="仿宋" w:hAnsi="仿宋" w:eastAsia="仿宋" w:cs="仿宋"/>
                <w:kern w:val="2"/>
                <w:sz w:val="21"/>
                <w:szCs w:val="21"/>
                <w:lang w:val="en-US" w:eastAsia="zh-CN" w:bidi="ar-SA"/>
              </w:rPr>
            </w:pPr>
          </w:p>
        </w:tc>
        <w:tc>
          <w:tcPr>
            <w:tcW w:w="1120" w:type="dxa"/>
            <w:vAlign w:val="center"/>
          </w:tcPr>
          <w:p>
            <w:pPr>
              <w:ind w:firstLine="420" w:firstLineChars="200"/>
              <w:jc w:val="center"/>
              <w:textAlignment w:val="center"/>
              <w:rPr>
                <w:rFonts w:hint="eastAsia" w:ascii="仿宋" w:hAnsi="仿宋" w:eastAsia="仿宋" w:cs="仿宋"/>
                <w:kern w:val="2"/>
                <w:sz w:val="21"/>
                <w:szCs w:val="21"/>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ind w:firstLine="420" w:firstLineChars="200"/>
              <w:jc w:val="center"/>
              <w:textAlignment w:val="center"/>
              <w:rPr>
                <w:rFonts w:hint="eastAsia" w:ascii="仿宋" w:hAnsi="仿宋" w:eastAsia="仿宋" w:cs="仿宋"/>
                <w:kern w:val="2"/>
                <w:sz w:val="21"/>
                <w:szCs w:val="21"/>
                <w:lang w:val="en-US" w:eastAsia="zh-CN" w:bidi="ar-SA"/>
              </w:rPr>
            </w:pPr>
          </w:p>
        </w:tc>
        <w:tc>
          <w:tcPr>
            <w:tcW w:w="2238" w:type="dxa"/>
            <w:vAlign w:val="center"/>
          </w:tcPr>
          <w:p>
            <w:pPr>
              <w:widowControl/>
              <w:ind w:firstLine="420" w:firstLineChars="200"/>
              <w:jc w:val="left"/>
              <w:textAlignment w:val="center"/>
              <w:rPr>
                <w:rFonts w:hint="eastAsia" w:ascii="仿宋" w:hAnsi="仿宋" w:eastAsia="仿宋" w:cs="仿宋"/>
                <w:kern w:val="2"/>
                <w:sz w:val="21"/>
                <w:szCs w:val="21"/>
                <w:lang w:val="en-US" w:eastAsia="zh-CN" w:bidi="ar-SA"/>
              </w:rPr>
            </w:pPr>
          </w:p>
        </w:tc>
        <w:tc>
          <w:tcPr>
            <w:tcW w:w="2239" w:type="dxa"/>
            <w:vAlign w:val="top"/>
          </w:tcPr>
          <w:p>
            <w:pPr>
              <w:ind w:firstLine="420" w:firstLineChars="200"/>
              <w:jc w:val="center"/>
              <w:rPr>
                <w:rFonts w:hint="eastAsia" w:ascii="仿宋" w:hAnsi="仿宋" w:eastAsia="仿宋" w:cs="仿宋"/>
                <w:kern w:val="2"/>
                <w:sz w:val="21"/>
                <w:szCs w:val="21"/>
                <w:lang w:val="en-US" w:eastAsia="zh-CN" w:bidi="ar-SA"/>
              </w:rPr>
            </w:pPr>
          </w:p>
        </w:tc>
        <w:tc>
          <w:tcPr>
            <w:tcW w:w="1120" w:type="dxa"/>
            <w:vAlign w:val="center"/>
          </w:tcPr>
          <w:p>
            <w:pPr>
              <w:ind w:firstLine="420" w:firstLineChars="200"/>
              <w:jc w:val="center"/>
              <w:textAlignment w:val="center"/>
              <w:rPr>
                <w:rFonts w:hint="eastAsia" w:ascii="仿宋" w:hAnsi="仿宋" w:eastAsia="仿宋" w:cs="仿宋"/>
                <w:kern w:val="2"/>
                <w:sz w:val="21"/>
                <w:szCs w:val="21"/>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p>
        </w:tc>
        <w:tc>
          <w:tcPr>
            <w:tcW w:w="2239" w:type="dxa"/>
            <w:vAlign w:val="center"/>
          </w:tcPr>
          <w:p>
            <w:pPr>
              <w:keepNext w:val="0"/>
              <w:keepLines w:val="0"/>
              <w:widowControl/>
              <w:numPr>
                <w:ilvl w:val="0"/>
                <w:numId w:val="27"/>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tc>
        <w:tc>
          <w:tcPr>
            <w:tcW w:w="1120" w:type="dxa"/>
            <w:vAlign w:val="center"/>
          </w:tcPr>
          <w:p>
            <w:pPr>
              <w:ind w:firstLine="420" w:firstLineChars="200"/>
              <w:jc w:val="center"/>
              <w:textAlignment w:val="center"/>
              <w:rPr>
                <w:rFonts w:hint="eastAsia" w:ascii="仿宋" w:hAnsi="仿宋" w:eastAsia="仿宋" w:cs="仿宋"/>
                <w:kern w:val="2"/>
                <w:sz w:val="21"/>
                <w:szCs w:val="21"/>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p>
        </w:tc>
        <w:tc>
          <w:tcPr>
            <w:tcW w:w="2239" w:type="dxa"/>
            <w:vAlign w:val="top"/>
          </w:tcPr>
          <w:p>
            <w:pPr>
              <w:ind w:firstLine="420" w:firstLineChars="200"/>
              <w:jc w:val="center"/>
              <w:rPr>
                <w:rFonts w:hint="eastAsia" w:ascii="仿宋" w:hAnsi="仿宋" w:eastAsia="仿宋" w:cs="仿宋"/>
                <w:kern w:val="2"/>
                <w:sz w:val="21"/>
                <w:szCs w:val="21"/>
                <w:lang w:val="en-US" w:eastAsia="zh-CN" w:bidi="ar-SA"/>
              </w:rPr>
            </w:pPr>
          </w:p>
        </w:tc>
        <w:tc>
          <w:tcPr>
            <w:tcW w:w="1120" w:type="dxa"/>
            <w:vAlign w:val="center"/>
          </w:tcPr>
          <w:p>
            <w:pPr>
              <w:ind w:firstLine="420" w:firstLineChars="200"/>
              <w:jc w:val="center"/>
              <w:textAlignment w:val="center"/>
              <w:rPr>
                <w:rFonts w:hint="eastAsia" w:ascii="仿宋" w:hAnsi="仿宋" w:eastAsia="仿宋" w:cs="仿宋"/>
                <w:kern w:val="2"/>
                <w:sz w:val="21"/>
                <w:szCs w:val="21"/>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ind w:firstLine="420" w:firstLineChars="200"/>
              <w:jc w:val="right"/>
              <w:textAlignment w:val="center"/>
              <w:rPr>
                <w:rFonts w:hint="eastAsia" w:ascii="仿宋" w:hAnsi="仿宋" w:eastAsia="仿宋" w:cs="仿宋"/>
                <w:i w:val="0"/>
                <w:iCs w:val="0"/>
                <w:color w:val="000000"/>
                <w:kern w:val="2"/>
                <w:sz w:val="21"/>
                <w:szCs w:val="21"/>
                <w:u w:val="none"/>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2239" w:type="dxa"/>
            <w:vAlign w:val="center"/>
          </w:tcPr>
          <w:p>
            <w:pPr>
              <w:keepNext w:val="0"/>
              <w:keepLines w:val="0"/>
              <w:widowControl/>
              <w:numPr>
                <w:ilvl w:val="0"/>
                <w:numId w:val="28"/>
              </w:numPr>
              <w:suppressLineNumbers w:val="0"/>
              <w:ind w:left="0" w:leftChars="0" w:firstLine="0" w:firstLineChars="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tc>
        <w:tc>
          <w:tcPr>
            <w:tcW w:w="1120" w:type="dxa"/>
            <w:vAlign w:val="center"/>
          </w:tcPr>
          <w:p>
            <w:pPr>
              <w:ind w:firstLine="420" w:firstLineChars="200"/>
              <w:jc w:val="center"/>
              <w:textAlignment w:val="center"/>
              <w:rPr>
                <w:rFonts w:hint="eastAsia" w:ascii="仿宋" w:hAnsi="仿宋" w:eastAsia="仿宋" w:cs="仿宋"/>
                <w:kern w:val="2"/>
                <w:sz w:val="21"/>
                <w:szCs w:val="21"/>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widowControl/>
              <w:spacing w:line="0" w:lineRule="atLeast"/>
              <w:ind w:firstLine="420" w:firstLineChars="200"/>
              <w:jc w:val="left"/>
              <w:textAlignment w:val="center"/>
              <w:rPr>
                <w:rFonts w:hint="eastAsia" w:ascii="仿宋" w:hAnsi="仿宋" w:eastAsia="仿宋" w:cs="仿宋"/>
                <w:kern w:val="2"/>
                <w:sz w:val="21"/>
                <w:szCs w:val="21"/>
                <w:lang w:val="en-US" w:eastAsia="zh-CN" w:bidi="ar-SA"/>
              </w:rPr>
            </w:pPr>
          </w:p>
        </w:tc>
        <w:tc>
          <w:tcPr>
            <w:tcW w:w="2239" w:type="dxa"/>
            <w:vAlign w:val="top"/>
          </w:tcPr>
          <w:p>
            <w:pPr>
              <w:ind w:firstLine="420" w:firstLineChars="200"/>
              <w:jc w:val="center"/>
              <w:rPr>
                <w:rFonts w:hint="eastAsia" w:ascii="仿宋" w:hAnsi="仿宋" w:eastAsia="仿宋" w:cs="仿宋"/>
                <w:kern w:val="2"/>
                <w:sz w:val="21"/>
                <w:szCs w:val="21"/>
                <w:lang w:val="en-US" w:eastAsia="zh-CN" w:bidi="ar-SA"/>
              </w:rPr>
            </w:pPr>
          </w:p>
        </w:tc>
        <w:tc>
          <w:tcPr>
            <w:tcW w:w="1120" w:type="dxa"/>
            <w:vAlign w:val="center"/>
          </w:tcPr>
          <w:p>
            <w:pPr>
              <w:ind w:firstLine="420" w:firstLineChars="200"/>
              <w:jc w:val="center"/>
              <w:textAlignment w:val="center"/>
              <w:rPr>
                <w:rFonts w:hint="eastAsia" w:ascii="仿宋" w:hAnsi="仿宋" w:eastAsia="仿宋" w:cs="仿宋"/>
                <w:kern w:val="2"/>
                <w:sz w:val="21"/>
                <w:szCs w:val="21"/>
                <w:lang w:val="en-US" w:eastAsia="zh-CN" w:bidi="ar-SA"/>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ind w:firstLine="420" w:firstLineChars="200"/>
              <w:jc w:val="center"/>
              <w:rPr>
                <w:rFonts w:hint="eastAsia" w:ascii="仿宋" w:hAnsi="仿宋" w:eastAsia="仿宋" w:cs="仿宋"/>
                <w:kern w:val="2"/>
                <w:sz w:val="21"/>
                <w:szCs w:val="21"/>
                <w:lang w:val="en-US" w:eastAsia="zh-CN" w:bidi="ar-SA"/>
              </w:rPr>
            </w:pPr>
          </w:p>
        </w:tc>
        <w:tc>
          <w:tcPr>
            <w:tcW w:w="2238" w:type="dxa"/>
            <w:vAlign w:val="center"/>
          </w:tcPr>
          <w:p>
            <w:pPr>
              <w:spacing w:before="0" w:after="0" w:line="360" w:lineRule="auto"/>
              <w:ind w:left="0" w:leftChars="0" w:firstLine="0" w:firstLineChars="0"/>
              <w:rPr>
                <w:rFonts w:hint="eastAsia" w:ascii="仿宋" w:hAnsi="仿宋" w:eastAsia="仿宋" w:cs="仿宋"/>
                <w:b/>
                <w:color w:val="000000" w:themeColor="text1"/>
                <w:kern w:val="2"/>
                <w:sz w:val="21"/>
                <w:szCs w:val="21"/>
                <w:lang w:val="en-US" w:eastAsia="zh-CN" w:bidi="ar-SA"/>
                <w14:textFill>
                  <w14:solidFill>
                    <w14:schemeClr w14:val="tx1"/>
                  </w14:solidFill>
                </w14:textFill>
              </w:rPr>
            </w:pPr>
          </w:p>
        </w:tc>
        <w:tc>
          <w:tcPr>
            <w:tcW w:w="2239" w:type="dxa"/>
            <w:vAlign w:val="center"/>
          </w:tcPr>
          <w:p>
            <w:pPr>
              <w:spacing w:before="0" w:after="0" w:line="360" w:lineRule="auto"/>
              <w:ind w:left="0" w:leftChars="0" w:firstLine="0" w:firstLineChars="0"/>
              <w:rPr>
                <w:rFonts w:hint="eastAsia" w:ascii="仿宋" w:hAnsi="仿宋" w:eastAsia="仿宋" w:cs="仿宋"/>
                <w:b/>
                <w:color w:val="000000" w:themeColor="text1"/>
                <w:kern w:val="2"/>
                <w:sz w:val="21"/>
                <w:szCs w:val="21"/>
                <w:lang w:val="en-US" w:eastAsia="zh-CN" w:bidi="ar-SA"/>
                <w14:textFill>
                  <w14:solidFill>
                    <w14:schemeClr w14:val="tx1"/>
                  </w14:solidFill>
                </w14:textFill>
              </w:rPr>
            </w:pPr>
          </w:p>
        </w:tc>
        <w:tc>
          <w:tcPr>
            <w:tcW w:w="1120" w:type="dxa"/>
            <w:vAlign w:val="center"/>
          </w:tcPr>
          <w:p>
            <w:pPr>
              <w:spacing w:before="0" w:after="0" w:line="360" w:lineRule="auto"/>
              <w:ind w:left="0" w:leftChars="0" w:firstLine="0" w:firstLineChars="0"/>
              <w:rPr>
                <w:rFonts w:hint="eastAsia" w:ascii="仿宋" w:hAnsi="仿宋" w:eastAsia="仿宋" w:cs="仿宋"/>
                <w:b/>
                <w:color w:val="000000" w:themeColor="text1"/>
                <w:kern w:val="2"/>
                <w:sz w:val="21"/>
                <w:szCs w:val="21"/>
                <w:lang w:val="en-US" w:eastAsia="zh-CN" w:bidi="ar-SA"/>
                <w14:textFill>
                  <w14:solidFill>
                    <w14:schemeClr w14:val="tx1"/>
                  </w14:solidFill>
                </w14:textFill>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ind w:firstLine="420" w:firstLineChars="200"/>
              <w:jc w:val="center"/>
              <w:rPr>
                <w:rFonts w:hint="default"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1120"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ind w:firstLine="420" w:firstLineChars="200"/>
              <w:jc w:val="center"/>
              <w:rPr>
                <w:rFonts w:hint="default"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1120"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ind w:firstLine="420" w:firstLineChars="200"/>
              <w:jc w:val="center"/>
              <w:rPr>
                <w:rFonts w:hint="default" w:ascii="仿宋" w:hAnsi="仿宋" w:eastAsia="仿宋" w:cs="仿宋"/>
                <w:kern w:val="2"/>
                <w:sz w:val="21"/>
                <w:szCs w:val="21"/>
                <w:lang w:val="en-US" w:eastAsia="zh-CN" w:bidi="ar-SA"/>
              </w:rPr>
            </w:pPr>
          </w:p>
        </w:tc>
        <w:tc>
          <w:tcPr>
            <w:tcW w:w="2238"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2239"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1120" w:type="dxa"/>
            <w:vAlign w:val="center"/>
          </w:tcPr>
          <w:p>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top"/>
          </w:tcPr>
          <w:p>
            <w:pPr>
              <w:spacing w:line="360" w:lineRule="auto"/>
              <w:jc w:val="center"/>
              <w:rPr>
                <w:rFonts w:hint="eastAsia" w:ascii="宋体" w:hAnsi="宋体" w:eastAsia="宋体" w:cs="宋体"/>
                <w:sz w:val="24"/>
                <w:szCs w:val="24"/>
              </w:rPr>
            </w:pPr>
          </w:p>
        </w:tc>
        <w:tc>
          <w:tcPr>
            <w:tcW w:w="2238" w:type="dxa"/>
            <w:vAlign w:val="top"/>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top"/>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top"/>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top"/>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top"/>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top"/>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top"/>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b/>
                <w:bCs/>
                <w:sz w:val="24"/>
                <w:szCs w:val="24"/>
              </w:rPr>
            </w:pPr>
          </w:p>
        </w:tc>
        <w:tc>
          <w:tcPr>
            <w:tcW w:w="2238" w:type="dxa"/>
            <w:vAlign w:val="center"/>
          </w:tcPr>
          <w:p>
            <w:pPr>
              <w:widowControl/>
              <w:spacing w:line="0" w:lineRule="atLeast"/>
              <w:jc w:val="left"/>
              <w:textAlignment w:val="center"/>
              <w:rPr>
                <w:rFonts w:hint="eastAsia" w:ascii="宋体" w:hAnsi="宋体" w:eastAsia="宋体" w:cs="宋体"/>
                <w:b/>
                <w:bCs/>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widowControl/>
              <w:jc w:val="center"/>
              <w:textAlignment w:val="center"/>
              <w:rPr>
                <w:rFonts w:hint="eastAsia" w:ascii="宋体" w:hAnsi="宋体" w:eastAsia="宋体" w:cs="宋体"/>
                <w:sz w:val="24"/>
                <w:szCs w:val="24"/>
              </w:rPr>
            </w:pP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widowControl/>
              <w:jc w:val="center"/>
              <w:textAlignment w:val="center"/>
              <w:rPr>
                <w:rFonts w:hint="eastAsia" w:ascii="宋体" w:hAnsi="宋体" w:eastAsia="宋体" w:cs="宋体"/>
                <w:sz w:val="24"/>
                <w:szCs w:val="24"/>
              </w:rPr>
            </w:pP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238" w:type="dxa"/>
            <w:vAlign w:val="center"/>
          </w:tcPr>
          <w:p>
            <w:pPr>
              <w:widowControl/>
              <w:jc w:val="left"/>
              <w:textAlignment w:val="center"/>
              <w:rPr>
                <w:rFonts w:hint="eastAsia" w:ascii="宋体" w:hAnsi="宋体" w:eastAsia="宋体" w:cs="宋体"/>
                <w:sz w:val="24"/>
                <w:szCs w:val="24"/>
              </w:rPr>
            </w:pPr>
            <w:r>
              <w:rPr>
                <w:rFonts w:ascii="宋体" w:hAnsi="宋体" w:eastAsia="宋体" w:cs="宋体"/>
                <w:sz w:val="24"/>
                <w:szCs w:val="24"/>
              </w:rPr>
              <w:t>如有其他，可根据技术方案特点自行添加</w:t>
            </w: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rPr>
          <w:rFonts w:hint="eastAsia"/>
        </w:rPr>
      </w:pPr>
    </w:p>
    <w:p>
      <w:pPr>
        <w:rPr>
          <w:rFonts w:hint="eastAsia"/>
        </w:rPr>
        <w:sectPr>
          <w:footerReference r:id="rId21"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14"/>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2"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14"/>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z w:val="24"/>
                <w:szCs w:val="24"/>
              </w:rPr>
              <w:t>加工、组装</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2</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pacing w:val="-1"/>
                <w:szCs w:val="21"/>
                <w:highlight w:val="yellow"/>
              </w:rPr>
              <w:t>现场安装调试、验收</w:t>
            </w:r>
          </w:p>
        </w:tc>
        <w:tc>
          <w:tcPr>
            <w:tcW w:w="1126" w:type="dxa"/>
          </w:tcPr>
          <w:p>
            <w:pPr>
              <w:spacing w:before="266" w:line="221" w:lineRule="auto"/>
              <w:jc w:val="center"/>
              <w:rPr>
                <w:rFonts w:hint="eastAsia" w:ascii="宋体" w:hAnsi="宋体" w:eastAsia="宋体" w:cs="宋体"/>
                <w:spacing w:val="-2"/>
                <w:szCs w:val="21"/>
              </w:rPr>
            </w:pPr>
            <w:r>
              <w:rPr>
                <w:rFonts w:hint="eastAsia" w:ascii="宋体" w:hAnsi="宋体" w:eastAsia="宋体" w:cs="宋体"/>
                <w:spacing w:val="-1"/>
                <w:szCs w:val="21"/>
              </w:rPr>
              <w:t>套</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pacing w:val="-2"/>
                <w:szCs w:val="21"/>
                <w:highlight w:val="yellow"/>
              </w:rPr>
              <w:t>技术培训材料</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tcPr>
          <w:p>
            <w:pPr>
              <w:spacing w:before="266" w:line="221" w:lineRule="auto"/>
              <w:jc w:val="center"/>
              <w:rPr>
                <w:rFonts w:hint="eastAsia" w:ascii="宋体" w:hAnsi="宋体" w:eastAsia="宋体" w:cs="宋体"/>
                <w:sz w:val="24"/>
                <w:szCs w:val="24"/>
              </w:rPr>
            </w:pPr>
            <w:r>
              <w:rPr>
                <w:rFonts w:hint="eastAsia" w:ascii="宋体" w:hAnsi="宋体" w:eastAsia="宋体" w:cs="宋体"/>
                <w:sz w:val="24"/>
                <w:szCs w:val="24"/>
              </w:rPr>
              <w:t>管理费用</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5</w:t>
            </w:r>
          </w:p>
        </w:tc>
        <w:tc>
          <w:tcPr>
            <w:tcW w:w="3625" w:type="dxa"/>
          </w:tcPr>
          <w:p>
            <w:pPr>
              <w:spacing w:before="266" w:line="221" w:lineRule="auto"/>
              <w:jc w:val="center"/>
              <w:rPr>
                <w:rFonts w:hint="eastAsia" w:ascii="宋体" w:hAnsi="宋体" w:eastAsia="宋体" w:cs="宋体"/>
                <w:sz w:val="24"/>
                <w:szCs w:val="24"/>
              </w:rPr>
            </w:pPr>
            <w:r>
              <w:rPr>
                <w:rFonts w:hint="eastAsia" w:ascii="宋体" w:hAnsi="宋体" w:eastAsia="宋体" w:cs="宋体"/>
                <w:sz w:val="24"/>
                <w:szCs w:val="24"/>
              </w:rPr>
              <w:t>利润、税费、杂费</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6</w:t>
            </w:r>
          </w:p>
        </w:tc>
        <w:tc>
          <w:tcPr>
            <w:tcW w:w="3625" w:type="dxa"/>
          </w:tcPr>
          <w:p>
            <w:pPr>
              <w:spacing w:before="266" w:line="221" w:lineRule="auto"/>
              <w:jc w:val="center"/>
              <w:rPr>
                <w:rFonts w:hint="eastAsia" w:ascii="宋体" w:hAnsi="宋体" w:eastAsia="宋体" w:cs="宋体"/>
                <w:spacing w:val="-2"/>
                <w:szCs w:val="21"/>
                <w:highlight w:val="yellow"/>
              </w:rPr>
            </w:pPr>
            <w:r>
              <w:rPr>
                <w:rFonts w:hint="eastAsia" w:ascii="宋体" w:hAnsi="宋体" w:eastAsia="宋体" w:cs="宋体"/>
                <w:sz w:val="24"/>
                <w:szCs w:val="24"/>
              </w:rPr>
              <w:t>设备图纸及说明书</w:t>
            </w:r>
          </w:p>
        </w:tc>
        <w:tc>
          <w:tcPr>
            <w:tcW w:w="1126" w:type="dxa"/>
          </w:tcPr>
          <w:p>
            <w:pPr>
              <w:spacing w:before="266" w:line="221" w:lineRule="auto"/>
              <w:jc w:val="center"/>
              <w:rPr>
                <w:rFonts w:hint="eastAsia" w:ascii="宋体" w:hAnsi="宋体" w:eastAsia="宋体" w:cs="宋体"/>
                <w:spacing w:val="-1"/>
                <w:szCs w:val="21"/>
              </w:rPr>
            </w:pPr>
            <w:r>
              <w:rPr>
                <w:rFonts w:hint="eastAsia" w:ascii="宋体" w:hAnsi="宋体" w:eastAsia="宋体" w:cs="宋体"/>
                <w:spacing w:val="-1"/>
                <w:szCs w:val="21"/>
              </w:rPr>
              <w:t>套</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3"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14"/>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tcPr>
          <w:p>
            <w:pPr>
              <w:spacing w:before="101" w:line="185" w:lineRule="auto"/>
              <w:ind w:left="371"/>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2239" w:type="dxa"/>
          </w:tcPr>
          <w:p>
            <w:pPr>
              <w:spacing w:before="103" w:line="182" w:lineRule="auto"/>
              <w:ind w:left="107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498" w:type="dxa"/>
          </w:tcPr>
          <w:p>
            <w:pPr>
              <w:spacing w:before="102" w:line="183" w:lineRule="auto"/>
              <w:ind w:left="58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1861" w:type="dxa"/>
          </w:tcPr>
          <w:p>
            <w:pPr>
              <w:spacing w:before="103" w:line="182" w:lineRule="auto"/>
              <w:ind w:left="1010"/>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120" w:type="dxa"/>
          </w:tcPr>
          <w:p>
            <w:pPr>
              <w:spacing w:before="102" w:line="183" w:lineRule="auto"/>
              <w:ind w:left="516"/>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1125" w:type="dxa"/>
          </w:tcPr>
          <w:p>
            <w:pPr>
              <w:spacing w:before="102" w:line="183" w:lineRule="auto"/>
              <w:ind w:left="51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253" w:line="224" w:lineRule="auto"/>
        <w:ind w:left="6488"/>
        <w:rPr>
          <w:rFonts w:hint="eastAsia" w:ascii="宋体" w:hAnsi="宋体" w:eastAsia="宋体" w:cs="宋体"/>
          <w:spacing w:val="9"/>
          <w:sz w:val="24"/>
          <w:szCs w:val="24"/>
          <w14:textOutline w14:w="5791" w14:cap="flat" w14:cmpd="sng" w14:algn="ctr">
            <w14:solidFill>
              <w14:srgbClr w14:val="000000"/>
            </w14:solidFill>
            <w14:prstDash w14:val="solid"/>
            <w14:miter w14:val="0"/>
          </w14:textOutline>
        </w:r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14"/>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1</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9-1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2</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9-2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3</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9-3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4</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9-4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5</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hint="eastAsia" w:ascii="宋体" w:hAnsi="宋体" w:eastAsia="宋体" w:cs="宋体"/>
          <w:spacing w:val="-2"/>
          <w:szCs w:val="21"/>
        </w:rPr>
        <w:sectPr>
          <w:footerReference r:id="rId2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both"/>
              <w:rPr>
                <w:rFonts w:hint="eastAsia" w:ascii="Times New Roman" w:hAnsi="Times New Roman" w:eastAsia="宋体" w:cs="Times New Roman"/>
                <w:b/>
                <w:szCs w:val="20"/>
                <w:lang w:eastAsia="zh-CN"/>
              </w:rPr>
            </w:pPr>
            <w:r>
              <w:rPr>
                <w:rFonts w:ascii="宋体" w:hAnsi="宋体" w:eastAsia="宋体" w:cs="Times New Roman"/>
                <w:b/>
                <w:color w:val="000000"/>
                <w:sz w:val="24"/>
                <w:szCs w:val="24"/>
                <w:u w:val="single"/>
              </w:rPr>
              <w:t xml:space="preserve">       </w:t>
            </w:r>
            <w:r>
              <w:rPr>
                <w:rFonts w:hint="eastAsia" w:ascii="宋体" w:hAnsi="宋体" w:eastAsia="宋体" w:cs="宋体"/>
                <w:b/>
                <w:bCs/>
                <w:sz w:val="24"/>
                <w:szCs w:val="24"/>
                <w:u w:val="single"/>
                <w:lang w:val="en-US" w:eastAsia="zh-CN"/>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pacing w:val="-5"/>
          <w:sz w:val="24"/>
          <w:szCs w:val="24"/>
          <w:lang w:val="en-US" w:eastAsia="zh-CN"/>
        </w:rPr>
        <w:t xml:space="preserve"> </w:t>
      </w:r>
      <w:r>
        <w:rPr>
          <w:rFonts w:ascii="宋体" w:hAnsi="宋体" w:eastAsia="宋体" w:cs="Times New Roman"/>
          <w:b/>
          <w:color w:val="000000"/>
          <w:sz w:val="24"/>
          <w:szCs w:val="24"/>
          <w:u w:val="single"/>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1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pStyle w:val="2"/>
        <w:rPr>
          <w:rFonts w:hint="eastAsia" w:hAnsi="宋体" w:eastAsia="宋体" w:cs="宋体"/>
          <w:sz w:val="24"/>
          <w:szCs w:val="24"/>
        </w:rPr>
      </w:pPr>
    </w:p>
    <w:p>
      <w:pPr>
        <w:pStyle w:val="2"/>
        <w:rPr>
          <w:rFonts w:hint="eastAsia" w:hAnsi="宋体" w:eastAsia="宋体" w:cs="宋体"/>
          <w:sz w:val="24"/>
          <w:szCs w:val="24"/>
        </w:rPr>
      </w:pPr>
    </w:p>
    <w:p>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2"/>
        <w:rPr>
          <w:rFonts w:hint="eastAsia" w:hAnsi="宋体" w:eastAsia="宋体" w:cs="宋体"/>
          <w:sz w:val="24"/>
          <w:szCs w:val="24"/>
        </w:rPr>
        <w:sectPr>
          <w:footerReference r:id="rId25"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u w:val="single"/>
              </w:rPr>
            </w:pPr>
            <w:r>
              <w:rPr>
                <w:rFonts w:hint="eastAsia" w:ascii="宋体" w:hAnsi="宋体" w:eastAsia="宋体" w:cs="宋体"/>
                <w:b/>
                <w:szCs w:val="20"/>
              </w:rPr>
              <w:t>项目名称：</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jc w:val="right"/>
        <w:rPr>
          <w:rFonts w:hint="eastAsia"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pPr>
        <w:pStyle w:val="2"/>
        <w:outlineLvl w:val="2"/>
        <w:rPr>
          <w:rFonts w:hint="eastAsia"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4</w:t>
      </w:r>
      <w:r>
        <w:rPr>
          <w:rFonts w:hint="eastAsia"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5"/>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6"/>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7"/>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8"/>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详见手机短信</w:t>
      </w:r>
    </w:p>
    <w:p>
      <w:pPr>
        <w:rPr>
          <w:rFonts w:hint="eastAsia" w:ascii="宋体" w:hAnsi="宋体" w:eastAsia="宋体" w:cs="宋体"/>
          <w:color w:val="000000"/>
        </w:rPr>
      </w:pPr>
    </w:p>
    <w:p>
      <w:pPr>
        <w:rPr>
          <w:rFonts w:hint="eastAsia"/>
        </w:rPr>
      </w:pPr>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9"/>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0"/>
                    <a:stretch>
                      <a:fillRect/>
                    </a:stretch>
                  </pic:blipFill>
                  <pic:spPr>
                    <a:xfrm>
                      <a:off x="0" y="0"/>
                      <a:ext cx="5760085" cy="2820042"/>
                    </a:xfrm>
                    <a:prstGeom prst="rect">
                      <a:avLst/>
                    </a:prstGeom>
                  </pic:spPr>
                </pic:pic>
              </a:graphicData>
            </a:graphic>
          </wp:inline>
        </w:drawing>
      </w:r>
    </w:p>
    <w:p>
      <w:pPr>
        <w:pStyle w:val="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
      </w:pPr>
      <w:r>
        <w:rPr>
          <w:rFonts w:hint="eastAsia" w:hAnsi="宋体" w:eastAsia="宋体" w:cs="宋体"/>
          <w:b/>
          <w:bCs/>
          <w:color w:val="000000"/>
          <w:sz w:val="24"/>
          <w:szCs w:val="28"/>
          <w:highlight w:val="yellow"/>
        </w:rPr>
        <w:t>2.配套能力“供货类别”选“非生产招标→研发试验设备→产品试验检测中心”，业务主管部门为“产品试验检测中心”。</w:t>
      </w:r>
    </w:p>
    <w:p>
      <w:pPr>
        <w:pStyle w:val="2"/>
        <w:sectPr>
          <w:footerReference r:id="rId26" w:type="default"/>
          <w:pgSz w:w="11906" w:h="16838"/>
          <w:pgMar w:top="1588" w:right="1418" w:bottom="1134" w:left="1418" w:header="851" w:footer="992" w:gutter="0"/>
          <w:cols w:space="720" w:num="1"/>
          <w:titlePg/>
          <w:docGrid w:type="lines" w:linePitch="312" w:charSpace="0"/>
        </w:sectPr>
      </w:pPr>
    </w:p>
    <w:p>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Style w:val="38"/>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https://ecaitong.sinotruk.com:8012/</w:t>
      </w:r>
      <w:r>
        <w:rPr>
          <w:rStyle w:val="38"/>
          <w:rFonts w:hint="eastAsia" w:ascii="宋体" w:hAnsi="宋体" w:eastAsia="宋体" w:cs="宋体"/>
          <w:sz w:val="24"/>
          <w:szCs w:val="24"/>
        </w:rPr>
        <w:fldChar w:fldCharType="end"/>
      </w:r>
      <w:r>
        <w:rPr>
          <w:rStyle w:val="38"/>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rPr>
      </w:pPr>
      <w:r>
        <mc:AlternateContent>
          <mc:Choice Requires="wps">
            <w:drawing>
              <wp:anchor distT="0" distB="0" distL="114300" distR="114300" simplePos="0" relativeHeight="25167257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257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1"/>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2"/>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3"/>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
      </w:pPr>
      <w:r>
        <w:rPr>
          <w:rFonts w:hint="eastAsia" w:hAnsi="宋体" w:eastAsia="宋体" w:cs="宋体"/>
          <w:b/>
          <w:bCs/>
          <w:color w:val="000000"/>
          <w:sz w:val="24"/>
          <w:szCs w:val="28"/>
          <w:highlight w:val="yellow"/>
        </w:rPr>
        <w:t>注意：系统内的投标报价单位为“万元”，如开标现场发现填错报价，即直接淘汰。</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4"/>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5"/>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6"/>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7"/>
                    <a:stretch>
                      <a:fillRect/>
                    </a:stretch>
                  </pic:blipFill>
                  <pic:spPr>
                    <a:xfrm>
                      <a:off x="0" y="0"/>
                      <a:ext cx="5760085" cy="1956600"/>
                    </a:xfrm>
                    <a:prstGeom prst="rect">
                      <a:avLst/>
                    </a:prstGeom>
                  </pic:spPr>
                </pic:pic>
              </a:graphicData>
            </a:graphic>
          </wp:inline>
        </w:drawing>
      </w:r>
    </w:p>
    <w:p>
      <w:pPr>
        <w:rPr>
          <w:rFonts w:hint="eastAsia"/>
        </w:rPr>
      </w:pPr>
    </w:p>
    <w:p>
      <w:pPr>
        <w:rPr>
          <w:rFonts w:hint="eastAsia"/>
        </w:rPr>
      </w:pPr>
    </w:p>
    <w:p>
      <w:pPr>
        <w:rPr>
          <w:rFonts w:hint="eastAsia"/>
        </w:rPr>
      </w:pPr>
    </w:p>
    <w:p>
      <w:pPr>
        <w:pStyle w:val="73"/>
        <w:numPr>
          <w:ilvl w:val="0"/>
          <w:numId w:val="0"/>
        </w:numPr>
        <w:ind w:leftChars="0"/>
        <w:outlineLvl w:val="9"/>
        <w:rPr>
          <w:rFonts w:hint="default" w:hAnsi="宋体"/>
          <w:sz w:val="24"/>
          <w:lang w:val="en-US"/>
        </w:rPr>
      </w:pPr>
    </w:p>
    <w:p>
      <w:pPr>
        <w:ind w:left="470" w:right="69" w:rightChars="33" w:hanging="470" w:hangingChars="196"/>
        <w:rPr>
          <w:rFonts w:hint="eastAsia" w:ascii="宋体" w:hAnsi="宋体" w:eastAsia="宋体" w:cs="宋体"/>
          <w:sz w:val="24"/>
          <w:szCs w:val="22"/>
          <w:highlight w:val="none"/>
        </w:rPr>
      </w:pPr>
    </w:p>
    <w:p>
      <w:pPr>
        <w:pStyle w:val="72"/>
        <w:jc w:val="both"/>
        <w:rPr>
          <w:rFonts w:hint="eastAsia"/>
        </w:rPr>
      </w:pPr>
    </w:p>
    <w:p>
      <w:pPr>
        <w:pStyle w:val="72"/>
        <w:rPr>
          <w:rFonts w:hint="eastAsia"/>
        </w:rPr>
      </w:pPr>
    </w:p>
    <w:p>
      <w:pPr>
        <w:pStyle w:val="72"/>
        <w:rPr>
          <w:rFonts w:hint="eastAsia"/>
        </w:rPr>
      </w:pPr>
    </w:p>
    <w:p>
      <w:pPr>
        <w:pStyle w:val="72"/>
        <w:rPr>
          <w:rFonts w:hint="eastAsia"/>
        </w:rPr>
      </w:pPr>
    </w:p>
    <w:p>
      <w:pPr>
        <w:pStyle w:val="72"/>
        <w:rPr>
          <w:rFonts w:hint="eastAsia"/>
        </w:rPr>
      </w:pPr>
    </w:p>
    <w:p>
      <w:pPr>
        <w:pStyle w:val="72"/>
        <w:rPr>
          <w:rFonts w:hint="eastAsia"/>
        </w:rPr>
      </w:pPr>
    </w:p>
    <w:p>
      <w:pPr>
        <w:pStyle w:val="72"/>
        <w:rPr>
          <w:rFonts w:hint="eastAsia"/>
        </w:rPr>
      </w:pPr>
    </w:p>
    <w:p>
      <w:pPr>
        <w:pStyle w:val="72"/>
        <w:rPr>
          <w:rFonts w:hint="eastAsia"/>
        </w:rPr>
      </w:pPr>
    </w:p>
    <w:p>
      <w:pPr>
        <w:pStyle w:val="72"/>
        <w:rPr>
          <w:rFonts w:hint="eastAsia"/>
        </w:rPr>
      </w:pPr>
    </w:p>
    <w:p>
      <w:pPr>
        <w:pStyle w:val="72"/>
        <w:rPr>
          <w:rFonts w:hint="eastAsia"/>
        </w:rPr>
      </w:pPr>
    </w:p>
    <w:p>
      <w:pPr>
        <w:pStyle w:val="72"/>
        <w:rPr>
          <w:rFonts w:hint="eastAsia"/>
        </w:rPr>
      </w:pPr>
    </w:p>
    <w:p>
      <w:pPr>
        <w:pStyle w:val="72"/>
        <w:rPr>
          <w:rFonts w:hint="eastAsia"/>
        </w:rPr>
      </w:pPr>
    </w:p>
    <w:p>
      <w:pPr>
        <w:pStyle w:val="72"/>
        <w:rPr>
          <w:rFonts w:hint="eastAsia"/>
        </w:rPr>
      </w:pPr>
    </w:p>
    <w:p>
      <w:pPr>
        <w:pStyle w:val="72"/>
        <w:rPr>
          <w:rFonts w:hint="eastAsia"/>
        </w:rPr>
      </w:pPr>
    </w:p>
    <w:p>
      <w:pPr>
        <w:pStyle w:val="72"/>
        <w:rPr>
          <w:rFonts w:hint="eastAsia"/>
        </w:rPr>
      </w:pPr>
    </w:p>
    <w:p>
      <w:pPr>
        <w:pStyle w:val="72"/>
        <w:jc w:val="both"/>
        <w:rPr>
          <w:rFonts w:hint="eastAsia"/>
        </w:rPr>
      </w:pPr>
    </w:p>
    <w:p>
      <w:pPr>
        <w:pStyle w:val="72"/>
        <w:jc w:val="both"/>
        <w:rPr>
          <w:rFonts w:hint="eastAsia"/>
        </w:rPr>
      </w:pPr>
    </w:p>
    <w:p>
      <w:pPr>
        <w:pStyle w:val="72"/>
        <w:jc w:val="both"/>
        <w:rPr>
          <w:rFonts w:hint="eastAsia"/>
        </w:rPr>
      </w:pPr>
    </w:p>
    <w:p>
      <w:pPr>
        <w:pStyle w:val="72"/>
        <w:jc w:val="both"/>
        <w:rPr>
          <w:rFonts w:hint="eastAsia"/>
        </w:rPr>
      </w:pPr>
    </w:p>
    <w:p>
      <w:pPr>
        <w:pStyle w:val="72"/>
      </w:pPr>
      <w:r>
        <w:rPr>
          <w:rFonts w:hint="eastAsia"/>
        </w:rPr>
        <w:t>第三部分　合同主要条款</w:t>
      </w:r>
      <w:bookmarkEnd w:id="1095"/>
      <w:bookmarkEnd w:id="1096"/>
    </w:p>
    <w:p>
      <w:pPr>
        <w:spacing w:line="360" w:lineRule="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bCs/>
          <w:sz w:val="24"/>
          <w:szCs w:val="24"/>
          <w:u w:val="single"/>
        </w:rPr>
        <w:t xml:space="preserve">            </w:t>
      </w:r>
      <w:r>
        <w:rPr>
          <w:rFonts w:hint="eastAsia" w:ascii="仿宋_GB2312" w:hAnsi="仿宋_GB2312" w:eastAsia="仿宋_GB2312" w:cs="仿宋_GB2312"/>
          <w:bCs/>
          <w:sz w:val="24"/>
          <w:szCs w:val="24"/>
        </w:rPr>
        <w:t xml:space="preserve">      </w:t>
      </w:r>
    </w:p>
    <w:p>
      <w:pPr>
        <w:spacing w:line="360" w:lineRule="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w:t>
      </w:r>
    </w:p>
    <w:p>
      <w:pPr>
        <w:spacing w:line="360" w:lineRule="auto"/>
        <w:ind w:right="-189" w:rightChars="-90" w:firstLine="120" w:firstLineChars="50"/>
        <w:jc w:val="left"/>
        <w:rPr>
          <w:rFonts w:hint="eastAsia" w:ascii="仿宋_GB2312" w:hAnsi="仿宋_GB2312" w:eastAsia="仿宋_GB2312" w:cs="仿宋_GB2312"/>
          <w:b/>
          <w:bCs/>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bCs/>
          <w:sz w:val="24"/>
          <w:szCs w:val="24"/>
          <w:u w:val="single"/>
        </w:rPr>
        <w:t xml:space="preserve">            </w:t>
      </w:r>
    </w:p>
    <w:p>
      <w:pPr>
        <w:spacing w:line="360" w:lineRule="auto"/>
        <w:ind w:right="-189" w:rightChars="-90"/>
        <w:jc w:val="left"/>
        <w:rPr>
          <w:rFonts w:hint="eastAsia" w:ascii="仿宋_GB2312" w:hAnsi="仿宋_GB2312" w:eastAsia="仿宋_GB2312" w:cs="仿宋_GB2312"/>
          <w:b/>
          <w:bCs/>
          <w:sz w:val="24"/>
          <w:szCs w:val="24"/>
          <w:u w:val="single"/>
        </w:rPr>
      </w:pP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本设备采购合同由甲乙双方于山东省济南市（</w:t>
      </w:r>
      <w:r>
        <w:rPr>
          <w:rFonts w:hint="eastAsia" w:ascii="仿宋_GB2312" w:hAnsi="仿宋_GB2312" w:eastAsia="仿宋_GB2312" w:cs="仿宋_GB2312"/>
          <w:i/>
          <w:iCs/>
          <w:sz w:val="24"/>
          <w:u w:val="single"/>
        </w:rPr>
        <w:t>可根据实际情况调整为甲方/买方所在地</w:t>
      </w:r>
      <w:r>
        <w:rPr>
          <w:rFonts w:hint="eastAsia" w:ascii="仿宋_GB2312" w:hAnsi="仿宋_GB2312" w:eastAsia="仿宋_GB2312" w:cs="仿宋_GB2312"/>
          <w:sz w:val="24"/>
          <w:szCs w:val="24"/>
        </w:rPr>
        <w:t>）签订：</w:t>
      </w:r>
    </w:p>
    <w:p>
      <w:pPr>
        <w:spacing w:line="360" w:lineRule="auto"/>
        <w:ind w:right="-189" w:rightChars="-90"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项目</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240" w:beforeLines="100"/>
        <w:ind w:left="0" w:firstLine="529" w:firstLineChars="189"/>
        <w:jc w:val="both"/>
        <w:outlineLvl w:val="1"/>
        <w:rPr>
          <w:rFonts w:hint="eastAsia" w:ascii="仿宋_GB2312" w:hAnsi="仿宋_GB2312" w:eastAsia="仿宋_GB2312" w:cs="仿宋_GB2312"/>
          <w:b w:val="0"/>
          <w:sz w:val="28"/>
          <w:szCs w:val="28"/>
        </w:rPr>
      </w:pPr>
      <w:bookmarkStart w:id="1101" w:name="_Toc11823"/>
      <w:bookmarkStart w:id="1102" w:name="_Toc17619"/>
      <w:bookmarkStart w:id="1103" w:name="_Toc16330018"/>
      <w:bookmarkStart w:id="1104" w:name="_Toc11930"/>
      <w:r>
        <w:rPr>
          <w:rFonts w:hint="eastAsia" w:ascii="仿宋_GB2312" w:hAnsi="仿宋_GB2312" w:eastAsia="仿宋_GB2312" w:cs="仿宋_GB2312"/>
          <w:b w:val="0"/>
          <w:sz w:val="28"/>
          <w:szCs w:val="28"/>
        </w:rPr>
        <w:t>1 合同设备</w:t>
      </w:r>
      <w:bookmarkEnd w:id="1101"/>
      <w:bookmarkEnd w:id="1102"/>
      <w:bookmarkEnd w:id="1103"/>
      <w:bookmarkEnd w:id="1104"/>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1.1买方向卖方购买的设备信息见附件一：《设备清单明细表》</w:t>
      </w:r>
    </w:p>
    <w:p>
      <w:pPr>
        <w:spacing w:line="360" w:lineRule="auto"/>
        <w:ind w:firstLine="453" w:firstLineChars="189"/>
        <w:rPr>
          <w:rFonts w:hint="eastAsia" w:ascii="仿宋_GB2312" w:hAnsi="仿宋_GB2312" w:eastAsia="仿宋_GB2312" w:cs="仿宋_GB2312"/>
          <w:sz w:val="24"/>
          <w:szCs w:val="24"/>
        </w:rPr>
      </w:pPr>
      <w:bookmarkStart w:id="1105" w:name="_Toc29026"/>
      <w:bookmarkStart w:id="1106" w:name="_Toc22800"/>
      <w:bookmarkStart w:id="1107" w:name="_Toc32510"/>
      <w:r>
        <w:rPr>
          <w:rFonts w:hint="eastAsia" w:ascii="仿宋_GB2312" w:hAnsi="仿宋_GB2312" w:eastAsia="仿宋_GB2312" w:cs="仿宋_GB2312"/>
          <w:sz w:val="24"/>
          <w:szCs w:val="24"/>
        </w:rPr>
        <w:t>1.2技术规格和标准</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1.2.1本合同约定设备的技术规格详见附件二《技术协议书》。</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pPr>
        <w:pStyle w:val="4"/>
        <w:tabs>
          <w:tab w:val="right" w:leader="dot" w:pos="9061"/>
        </w:tabs>
        <w:spacing w:before="240" w:beforeLines="100"/>
        <w:ind w:left="0" w:firstLine="529" w:firstLineChars="189"/>
        <w:jc w:val="both"/>
        <w:rPr>
          <w:rFonts w:hint="eastAsia" w:ascii="仿宋_GB2312" w:hAnsi="仿宋_GB2312" w:eastAsia="仿宋_GB2312" w:cs="仿宋_GB2312"/>
          <w:b w:val="0"/>
          <w:sz w:val="28"/>
          <w:szCs w:val="28"/>
        </w:rPr>
      </w:pPr>
      <w:bookmarkStart w:id="1108" w:name="_Toc16330019"/>
      <w:r>
        <w:rPr>
          <w:rFonts w:hint="eastAsia" w:ascii="仿宋_GB2312" w:hAnsi="仿宋_GB2312" w:eastAsia="仿宋_GB2312" w:cs="仿宋_GB2312"/>
          <w:b w:val="0"/>
          <w:sz w:val="28"/>
          <w:szCs w:val="28"/>
        </w:rPr>
        <w:t>2 包装</w:t>
      </w:r>
      <w:bookmarkEnd w:id="1105"/>
      <w:bookmarkEnd w:id="1106"/>
      <w:bookmarkEnd w:id="1107"/>
      <w:bookmarkEnd w:id="1108"/>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pPr>
        <w:pStyle w:val="4"/>
        <w:tabs>
          <w:tab w:val="right" w:leader="dot" w:pos="9061"/>
        </w:tabs>
        <w:spacing w:before="240" w:beforeLines="100"/>
        <w:ind w:left="0" w:firstLine="529" w:firstLineChars="189"/>
        <w:jc w:val="both"/>
        <w:rPr>
          <w:rFonts w:hint="eastAsia" w:ascii="仿宋_GB2312" w:hAnsi="仿宋_GB2312" w:eastAsia="仿宋_GB2312" w:cs="仿宋_GB2312"/>
          <w:b w:val="0"/>
          <w:sz w:val="28"/>
          <w:szCs w:val="28"/>
        </w:rPr>
      </w:pPr>
      <w:bookmarkStart w:id="1109" w:name="_Toc16330020"/>
      <w:bookmarkStart w:id="1110" w:name="_Toc27144"/>
      <w:bookmarkStart w:id="1111" w:name="_Toc2833"/>
      <w:bookmarkStart w:id="1112" w:name="_Toc27453"/>
      <w:r>
        <w:rPr>
          <w:rFonts w:hint="eastAsia" w:ascii="仿宋_GB2312" w:hAnsi="仿宋_GB2312" w:eastAsia="仿宋_GB2312" w:cs="仿宋_GB2312"/>
          <w:b w:val="0"/>
          <w:sz w:val="28"/>
          <w:szCs w:val="28"/>
        </w:rPr>
        <w:t>3 运输标记</w:t>
      </w:r>
      <w:bookmarkEnd w:id="1109"/>
      <w:bookmarkEnd w:id="1110"/>
      <w:bookmarkEnd w:id="1111"/>
      <w:bookmarkEnd w:id="1112"/>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240" w:beforeLines="100"/>
        <w:ind w:left="0" w:firstLine="529" w:firstLineChars="189"/>
        <w:jc w:val="both"/>
        <w:rPr>
          <w:rFonts w:hint="eastAsia" w:ascii="仿宋_GB2312" w:hAnsi="仿宋_GB2312" w:eastAsia="仿宋_GB2312" w:cs="仿宋_GB2312"/>
          <w:b w:val="0"/>
          <w:sz w:val="28"/>
          <w:szCs w:val="28"/>
        </w:rPr>
      </w:pPr>
      <w:bookmarkStart w:id="1113" w:name="_Toc7431"/>
      <w:bookmarkStart w:id="1114" w:name="_Toc10630"/>
      <w:bookmarkStart w:id="1115" w:name="_Toc16330021"/>
      <w:bookmarkStart w:id="1116" w:name="_Toc16133"/>
      <w:r>
        <w:rPr>
          <w:rFonts w:hint="eastAsia" w:ascii="仿宋_GB2312" w:hAnsi="仿宋_GB2312" w:eastAsia="仿宋_GB2312" w:cs="仿宋_GB2312"/>
          <w:b w:val="0"/>
          <w:sz w:val="28"/>
          <w:szCs w:val="28"/>
        </w:rPr>
        <w:t>4 检验</w:t>
      </w:r>
      <w:bookmarkEnd w:id="1113"/>
      <w:bookmarkEnd w:id="1114"/>
      <w:bookmarkEnd w:id="1115"/>
      <w:bookmarkEnd w:id="1116"/>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pPr>
        <w:pStyle w:val="4"/>
        <w:tabs>
          <w:tab w:val="right" w:leader="dot" w:pos="9061"/>
        </w:tabs>
        <w:spacing w:before="240" w:beforeLines="100"/>
        <w:ind w:left="0" w:firstLine="529" w:firstLineChars="189"/>
        <w:jc w:val="both"/>
        <w:rPr>
          <w:rFonts w:hint="eastAsia" w:ascii="仿宋_GB2312" w:hAnsi="仿宋_GB2312" w:eastAsia="仿宋_GB2312" w:cs="仿宋_GB2312"/>
          <w:b w:val="0"/>
          <w:sz w:val="28"/>
          <w:szCs w:val="28"/>
        </w:rPr>
      </w:pPr>
      <w:bookmarkStart w:id="1117" w:name="_Toc16330022"/>
      <w:bookmarkStart w:id="1118" w:name="_Toc11217"/>
      <w:bookmarkStart w:id="1119" w:name="_Toc24467"/>
      <w:bookmarkStart w:id="1120" w:name="_Toc19850"/>
      <w:r>
        <w:rPr>
          <w:rFonts w:hint="eastAsia" w:ascii="仿宋_GB2312" w:hAnsi="仿宋_GB2312" w:eastAsia="仿宋_GB2312" w:cs="仿宋_GB2312"/>
          <w:b w:val="0"/>
          <w:sz w:val="28"/>
          <w:szCs w:val="28"/>
        </w:rPr>
        <w:t>5 权利担保</w:t>
      </w:r>
      <w:bookmarkEnd w:id="1117"/>
      <w:bookmarkEnd w:id="1118"/>
      <w:bookmarkEnd w:id="1119"/>
      <w:bookmarkEnd w:id="1120"/>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240" w:beforeLines="100"/>
        <w:ind w:left="0" w:firstLine="529" w:firstLineChars="189"/>
        <w:jc w:val="both"/>
        <w:rPr>
          <w:rFonts w:hint="eastAsia" w:ascii="仿宋_GB2312" w:hAnsi="仿宋_GB2312" w:eastAsia="仿宋_GB2312" w:cs="仿宋_GB2312"/>
          <w:b w:val="0"/>
          <w:sz w:val="28"/>
          <w:szCs w:val="28"/>
        </w:rPr>
      </w:pPr>
      <w:bookmarkStart w:id="1121" w:name="_Toc16330023"/>
      <w:bookmarkStart w:id="1122" w:name="_Toc14809"/>
      <w:bookmarkStart w:id="1123" w:name="_Toc11759"/>
      <w:bookmarkStart w:id="1124" w:name="_Toc27500"/>
      <w:r>
        <w:rPr>
          <w:rFonts w:hint="eastAsia" w:ascii="仿宋_GB2312" w:hAnsi="仿宋_GB2312" w:eastAsia="仿宋_GB2312" w:cs="仿宋_GB2312"/>
          <w:b w:val="0"/>
          <w:sz w:val="28"/>
          <w:szCs w:val="28"/>
        </w:rPr>
        <w:t>6 交货</w:t>
      </w:r>
      <w:bookmarkEnd w:id="1121"/>
      <w:bookmarkEnd w:id="1122"/>
      <w:bookmarkEnd w:id="1123"/>
      <w:bookmarkEnd w:id="1124"/>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仿宋_GB2312" w:eastAsia="仿宋_GB2312" w:cs="仿宋_GB2312"/>
          <w:i/>
          <w:iCs/>
          <w:sz w:val="24"/>
          <w:szCs w:val="24"/>
          <w:u w:val="double"/>
        </w:rPr>
      </w:pPr>
      <w:r>
        <w:rPr>
          <w:rFonts w:hint="eastAsia" w:ascii="仿宋_GB2312" w:hAnsi="仿宋_GB2312" w:eastAsia="仿宋_GB2312" w:cs="仿宋_GB2312"/>
          <w:sz w:val="24"/>
          <w:szCs w:val="24"/>
        </w:rPr>
        <w:t>6.4交货方式</w:t>
      </w:r>
      <w:r>
        <w:rPr>
          <w:rFonts w:hint="eastAsia" w:ascii="仿宋_GB2312" w:hAnsi="仿宋_GB2312" w:eastAsia="仿宋_GB2312" w:cs="仿宋_GB2312"/>
          <w:bCs/>
          <w:sz w:val="24"/>
          <w:szCs w:val="24"/>
        </w:rPr>
        <w:t>：</w:t>
      </w:r>
      <w:r>
        <w:rPr>
          <w:rFonts w:hint="eastAsia" w:ascii="仿宋_GB2312" w:hAnsi="仿宋_GB2312" w:eastAsia="仿宋_GB2312" w:cs="仿宋_GB2312"/>
          <w:bCs/>
          <w:sz w:val="24"/>
          <w:szCs w:val="24"/>
          <w:u w:val="single"/>
        </w:rPr>
        <w:t xml:space="preserve">        </w:t>
      </w:r>
      <w:r>
        <w:rPr>
          <w:rFonts w:hint="eastAsia" w:ascii="仿宋_GB2312" w:hAnsi="仿宋_GB2312" w:eastAsia="仿宋_GB2312" w:cs="仿宋_GB2312"/>
          <w:iCs/>
          <w:sz w:val="24"/>
          <w:szCs w:val="24"/>
          <w:u w:val="single"/>
        </w:rPr>
        <w:t>（可选择6.4.1-6.4.3定义的方式或根据实际约定）</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6.5交货地点：</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      </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6.6到货时间：</w:t>
      </w:r>
      <w:r>
        <w:rPr>
          <w:rFonts w:hint="eastAsia" w:ascii="仿宋_GB2312" w:hAnsi="仿宋_GB2312" w:eastAsia="仿宋_GB2312" w:cs="仿宋_GB2312"/>
          <w:sz w:val="24"/>
          <w:szCs w:val="24"/>
          <w:u w:val="single"/>
        </w:rPr>
        <w:t>20  年  月   日前</w:t>
      </w:r>
      <w:r>
        <w:rPr>
          <w:rFonts w:hint="eastAsia" w:ascii="仿宋_GB2312" w:hAnsi="仿宋_GB2312" w:eastAsia="仿宋_GB2312" w:cs="仿宋_GB2312"/>
          <w:sz w:val="24"/>
          <w:szCs w:val="24"/>
        </w:rPr>
        <w:t xml:space="preserve">         </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6.8卖方在交付设备前需通知买方。</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6.9风险的转移：</w:t>
      </w:r>
    </w:p>
    <w:p>
      <w:pPr>
        <w:spacing w:line="360" w:lineRule="auto"/>
        <w:ind w:firstLine="453" w:firstLineChars="189"/>
        <w:rPr>
          <w:rFonts w:hint="eastAsia" w:ascii="仿宋_GB2312" w:hAnsi="仿宋_GB2312" w:eastAsia="仿宋_GB2312" w:cs="仿宋_GB2312"/>
          <w:sz w:val="20"/>
          <w:szCs w:val="20"/>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240" w:beforeLines="100"/>
        <w:ind w:left="0" w:firstLine="529" w:firstLineChars="189"/>
        <w:jc w:val="both"/>
        <w:rPr>
          <w:rFonts w:hint="eastAsia" w:ascii="仿宋_GB2312" w:hAnsi="仿宋_GB2312" w:eastAsia="仿宋_GB2312" w:cs="仿宋_GB2312"/>
          <w:b w:val="0"/>
          <w:sz w:val="28"/>
          <w:szCs w:val="28"/>
        </w:rPr>
      </w:pPr>
      <w:bookmarkStart w:id="1125" w:name="_Toc25510"/>
      <w:bookmarkStart w:id="1126" w:name="_Toc8024"/>
      <w:bookmarkStart w:id="1127" w:name="_Toc16330024"/>
      <w:bookmarkStart w:id="1128" w:name="_Toc2984"/>
      <w:r>
        <w:rPr>
          <w:rFonts w:hint="eastAsia" w:ascii="仿宋_GB2312" w:hAnsi="仿宋_GB2312" w:eastAsia="仿宋_GB2312" w:cs="仿宋_GB2312"/>
          <w:b w:val="0"/>
          <w:sz w:val="28"/>
          <w:szCs w:val="28"/>
        </w:rPr>
        <w:t>7 安装、调试</w:t>
      </w:r>
      <w:bookmarkEnd w:id="1125"/>
      <w:bookmarkEnd w:id="1126"/>
      <w:bookmarkEnd w:id="1127"/>
      <w:bookmarkEnd w:id="1128"/>
    </w:p>
    <w:p>
      <w:pPr>
        <w:pStyle w:val="11"/>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 卖方须在到货后</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日内安装调试完成。</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7.4</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240" w:beforeLines="100"/>
        <w:ind w:left="0" w:firstLine="529" w:firstLineChars="189"/>
        <w:jc w:val="both"/>
        <w:rPr>
          <w:rFonts w:hint="eastAsia" w:ascii="仿宋_GB2312" w:hAnsi="仿宋_GB2312" w:eastAsia="仿宋_GB2312" w:cs="仿宋_GB2312"/>
          <w:b w:val="0"/>
          <w:sz w:val="28"/>
          <w:szCs w:val="28"/>
        </w:rPr>
      </w:pPr>
      <w:bookmarkStart w:id="1129" w:name="_Toc6350"/>
      <w:bookmarkStart w:id="1130" w:name="_Toc14098"/>
      <w:bookmarkStart w:id="1131" w:name="_Toc14260"/>
      <w:bookmarkStart w:id="1132" w:name="_Toc16330025"/>
      <w:r>
        <w:rPr>
          <w:rFonts w:hint="eastAsia" w:ascii="仿宋_GB2312" w:hAnsi="仿宋_GB2312" w:eastAsia="仿宋_GB2312" w:cs="仿宋_GB2312"/>
          <w:b w:val="0"/>
          <w:sz w:val="28"/>
          <w:szCs w:val="28"/>
        </w:rPr>
        <w:t>8 价款与支付</w:t>
      </w:r>
      <w:bookmarkEnd w:id="1129"/>
      <w:bookmarkEnd w:id="1130"/>
      <w:bookmarkEnd w:id="1131"/>
      <w:bookmarkEnd w:id="1132"/>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8.1本合同不含税总价为人民币¥</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元（大写：</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），增值税税率</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%，税额</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元，含税总价</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元人民币（大写：</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8.2合同价款的结算方式：半年期商业汇票（包括银行承兑汇票和商业承兑汇票）（如有其它方式可据实填写）           </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8.3合同价款的支付：（如有不同付款比例，则按照招标文件约定据实填写）</w:t>
      </w:r>
    </w:p>
    <w:p>
      <w:pPr>
        <w:spacing w:line="360" w:lineRule="auto"/>
        <w:ind w:firstLine="453" w:firstLineChars="189"/>
        <w:rPr>
          <w:rFonts w:hint="eastAsia" w:ascii="仿宋_GB2312" w:hAnsi="仿宋_GB2312" w:eastAsia="仿宋_GB2312" w:cs="仿宋_GB2312"/>
          <w:i/>
          <w:sz w:val="24"/>
          <w:szCs w:val="24"/>
        </w:rPr>
      </w:pPr>
      <w:r>
        <w:rPr>
          <w:rFonts w:hint="eastAsia" w:ascii="仿宋_GB2312" w:hAnsi="仿宋_GB2312" w:eastAsia="仿宋_GB2312" w:cs="仿宋_GB2312"/>
          <w:sz w:val="24"/>
          <w:szCs w:val="24"/>
        </w:rPr>
        <w:t>8.3.1合同生效设备全部到齐无质量问题后, 卖方提交金额为合同含税价款</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0 %的收据（正本一份，复印件二份），经买方依照财务制度审核无误后【】日后支付。</w:t>
      </w:r>
      <w:r>
        <w:rPr>
          <w:rFonts w:hint="eastAsia" w:ascii="仿宋_GB2312" w:hAnsi="仿宋_GB2312" w:eastAsia="仿宋_GB2312" w:cs="仿宋_GB2312"/>
          <w:i/>
          <w:sz w:val="24"/>
          <w:szCs w:val="24"/>
        </w:rPr>
        <w:t>【按照实际业务的SAP付款条件填写】</w:t>
      </w:r>
    </w:p>
    <w:p>
      <w:pPr>
        <w:spacing w:line="360" w:lineRule="auto"/>
        <w:ind w:firstLine="453" w:firstLineChars="189"/>
        <w:rPr>
          <w:rFonts w:hint="eastAsia" w:ascii="仿宋_GB2312" w:hAnsi="仿宋_GB2312" w:eastAsia="仿宋_GB2312" w:cs="仿宋_GB2312"/>
          <w:i/>
          <w:sz w:val="24"/>
          <w:szCs w:val="24"/>
        </w:rPr>
      </w:pPr>
      <w:r>
        <w:rPr>
          <w:rFonts w:hint="eastAsia" w:ascii="仿宋_GB2312" w:hAnsi="仿宋_GB2312" w:eastAsia="仿宋_GB2312" w:cs="仿宋_GB2312"/>
          <w:sz w:val="24"/>
          <w:szCs w:val="24"/>
        </w:rPr>
        <w:t>8.3.2设备全部到齐无质量问题，经安装、调试最终验收合格后，卖方提交金额为合同含税价款</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0 %的收据及合同全额增值税专用发票（税率为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%，正本一份，复印件二份）并附带该套合同设备最终验收报告的原件及其复印件两份，经买方依照财务制度审核无误后【】日后支付：</w:t>
      </w:r>
      <w:r>
        <w:rPr>
          <w:rFonts w:hint="eastAsia" w:ascii="仿宋_GB2312" w:hAnsi="仿宋_GB2312" w:eastAsia="仿宋_GB2312" w:cs="仿宋_GB2312"/>
          <w:i/>
          <w:sz w:val="24"/>
          <w:szCs w:val="24"/>
        </w:rPr>
        <w:t>【按照实际业务的SAP付款条件填写】</w:t>
      </w:r>
    </w:p>
    <w:p>
      <w:pPr>
        <w:spacing w:line="360" w:lineRule="auto"/>
        <w:ind w:firstLine="453" w:firstLineChars="189"/>
        <w:rPr>
          <w:rFonts w:hint="eastAsia" w:ascii="仿宋_GB2312" w:hAnsi="仿宋_GB2312" w:eastAsia="仿宋_GB2312" w:cs="仿宋_GB2312"/>
          <w:i/>
          <w:sz w:val="24"/>
          <w:szCs w:val="24"/>
        </w:rPr>
      </w:pPr>
      <w:bookmarkStart w:id="1133" w:name="_Toc14531628"/>
      <w:bookmarkStart w:id="1134" w:name="_Toc14676804"/>
      <w:r>
        <w:rPr>
          <w:rFonts w:hint="eastAsia" w:ascii="仿宋_GB2312" w:hAnsi="仿宋_GB2312" w:eastAsia="仿宋_GB2312" w:cs="仿宋_GB2312"/>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仿宋_GB2312" w:eastAsia="仿宋_GB2312" w:cs="仿宋_GB2312"/>
          <w:i/>
          <w:sz w:val="24"/>
          <w:szCs w:val="24"/>
        </w:rPr>
        <w:t>【按照实际业务的SAP付款条件填写】</w:t>
      </w:r>
      <w:r>
        <w:rPr>
          <w:rFonts w:hint="eastAsia" w:ascii="仿宋_GB2312" w:hAnsi="仿宋_GB2312" w:eastAsia="仿宋_GB2312" w:cs="仿宋_GB2312"/>
          <w:sz w:val="24"/>
          <w:szCs w:val="24"/>
        </w:rPr>
        <w:t>如有质量问题，质量保证金予以相应扣除。</w:t>
      </w:r>
      <w:bookmarkEnd w:id="1133"/>
      <w:bookmarkEnd w:id="1134"/>
    </w:p>
    <w:p>
      <w:pPr>
        <w:pStyle w:val="4"/>
        <w:tabs>
          <w:tab w:val="right" w:leader="dot" w:pos="9061"/>
        </w:tabs>
        <w:spacing w:before="240" w:beforeLines="100"/>
        <w:ind w:left="0" w:firstLine="529" w:firstLineChars="189"/>
        <w:jc w:val="both"/>
        <w:rPr>
          <w:rFonts w:hint="eastAsia" w:ascii="仿宋_GB2312" w:hAnsi="仿宋_GB2312" w:eastAsia="仿宋_GB2312" w:cs="仿宋_GB2312"/>
          <w:b w:val="0"/>
          <w:sz w:val="28"/>
          <w:szCs w:val="28"/>
        </w:rPr>
      </w:pPr>
      <w:bookmarkStart w:id="1135" w:name="_Toc16330026"/>
      <w:bookmarkStart w:id="1136" w:name="_Toc24085"/>
      <w:bookmarkStart w:id="1137" w:name="_Toc6726"/>
      <w:bookmarkStart w:id="1138" w:name="_Toc25708"/>
      <w:r>
        <w:rPr>
          <w:rFonts w:hint="eastAsia" w:ascii="仿宋_GB2312" w:hAnsi="仿宋_GB2312" w:eastAsia="仿宋_GB2312" w:cs="仿宋_GB2312"/>
          <w:b w:val="0"/>
          <w:sz w:val="28"/>
          <w:szCs w:val="28"/>
        </w:rPr>
        <w:t>9 质量保证及售后服务</w:t>
      </w:r>
      <w:bookmarkEnd w:id="1135"/>
      <w:bookmarkEnd w:id="1136"/>
      <w:bookmarkEnd w:id="1137"/>
      <w:bookmarkEnd w:id="1138"/>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9.4本合同约定设备的质量保证期：自最终验收报告签署之日（以签署日期最晚者为准）起</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240" w:beforeLines="100"/>
        <w:ind w:left="0" w:firstLine="529" w:firstLineChars="189"/>
        <w:jc w:val="both"/>
        <w:rPr>
          <w:rFonts w:hint="eastAsia" w:ascii="仿宋_GB2312" w:hAnsi="仿宋_GB2312" w:eastAsia="仿宋_GB2312" w:cs="仿宋_GB2312"/>
          <w:b w:val="0"/>
          <w:sz w:val="28"/>
          <w:szCs w:val="28"/>
        </w:rPr>
      </w:pPr>
      <w:bookmarkStart w:id="1139" w:name="_Toc12927"/>
      <w:bookmarkStart w:id="1140" w:name="_Toc10359"/>
      <w:bookmarkStart w:id="1141" w:name="_Toc15570"/>
      <w:bookmarkStart w:id="1142" w:name="_Toc16330027"/>
      <w:r>
        <w:rPr>
          <w:rFonts w:hint="eastAsia" w:ascii="仿宋_GB2312" w:hAnsi="仿宋_GB2312" w:eastAsia="仿宋_GB2312" w:cs="仿宋_GB2312"/>
          <w:b w:val="0"/>
          <w:sz w:val="28"/>
          <w:szCs w:val="28"/>
        </w:rPr>
        <w:t>10法定责任</w:t>
      </w:r>
      <w:bookmarkEnd w:id="1139"/>
      <w:bookmarkEnd w:id="1140"/>
      <w:bookmarkEnd w:id="1141"/>
      <w:bookmarkEnd w:id="1142"/>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仿宋_GB2312" w:hAnsi="仿宋_GB2312" w:eastAsia="仿宋_GB2312" w:cs="仿宋_GB2312"/>
          <w:sz w:val="20"/>
          <w:szCs w:val="20"/>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240" w:beforeLines="100"/>
        <w:ind w:left="0" w:firstLine="529" w:firstLineChars="189"/>
        <w:jc w:val="both"/>
        <w:rPr>
          <w:rFonts w:hint="eastAsia" w:ascii="仿宋_GB2312" w:hAnsi="仿宋_GB2312" w:eastAsia="仿宋_GB2312" w:cs="仿宋_GB2312"/>
          <w:b w:val="0"/>
          <w:sz w:val="28"/>
          <w:szCs w:val="28"/>
        </w:rPr>
      </w:pPr>
      <w:bookmarkStart w:id="1143" w:name="_Toc9708"/>
      <w:bookmarkStart w:id="1144" w:name="_Toc16330028"/>
      <w:bookmarkStart w:id="1145" w:name="_Toc30381"/>
      <w:bookmarkStart w:id="1146" w:name="_Toc27314"/>
      <w:r>
        <w:rPr>
          <w:rFonts w:hint="eastAsia" w:ascii="仿宋_GB2312" w:hAnsi="仿宋_GB2312" w:eastAsia="仿宋_GB2312" w:cs="仿宋_GB2312"/>
          <w:b w:val="0"/>
          <w:sz w:val="28"/>
          <w:szCs w:val="28"/>
        </w:rPr>
        <w:t>11 违约责任</w:t>
      </w:r>
      <w:bookmarkEnd w:id="1143"/>
      <w:bookmarkEnd w:id="1144"/>
      <w:bookmarkEnd w:id="1145"/>
      <w:bookmarkEnd w:id="1146"/>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w:t>
      </w:r>
      <w:r>
        <w:rPr>
          <w:rFonts w:hint="eastAsia" w:ascii="仿宋_GB2312" w:hAnsi="仿宋_GB2312" w:eastAsia="仿宋_GB2312" w:cs="仿宋_GB2312"/>
          <w:sz w:val="24"/>
          <w:szCs w:val="24"/>
          <w:lang w:val="en-US" w:eastAsia="zh-CN"/>
        </w:rPr>
        <w:t>按LPR的1.95倍进行测算，</w:t>
      </w:r>
      <w:r>
        <w:rPr>
          <w:rFonts w:hint="eastAsia" w:ascii="仿宋_GB2312" w:hAnsi="仿宋_GB2312" w:eastAsia="仿宋_GB2312" w:cs="仿宋_GB2312"/>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11.4如卖方未按7.1条履行义务，卖方应向买方支付违约金，违约金</w:t>
      </w:r>
      <w:r>
        <w:rPr>
          <w:rFonts w:hint="eastAsia" w:ascii="仿宋_GB2312" w:hAnsi="仿宋_GB2312" w:eastAsia="仿宋_GB2312" w:cs="仿宋_GB2312"/>
          <w:sz w:val="24"/>
          <w:szCs w:val="24"/>
          <w:lang w:val="en-US" w:eastAsia="zh-CN"/>
        </w:rPr>
        <w:t>按LPR的1.95倍进行测算，</w:t>
      </w:r>
      <w:r>
        <w:rPr>
          <w:rFonts w:hint="eastAsia" w:ascii="仿宋_GB2312" w:hAnsi="仿宋_GB2312" w:eastAsia="仿宋_GB2312" w:cs="仿宋_GB2312"/>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11.5买方延期付款时（有正当拒付理由者除外），违约金</w:t>
      </w:r>
      <w:r>
        <w:rPr>
          <w:rFonts w:hint="eastAsia" w:ascii="仿宋_GB2312" w:hAnsi="仿宋_GB2312" w:eastAsia="仿宋_GB2312" w:cs="仿宋_GB2312"/>
          <w:sz w:val="24"/>
          <w:szCs w:val="24"/>
          <w:lang w:val="en-US" w:eastAsia="zh-CN"/>
        </w:rPr>
        <w:t>按LPR的1.95倍进行测算，</w:t>
      </w:r>
      <w:r>
        <w:rPr>
          <w:rFonts w:hint="eastAsia" w:ascii="仿宋_GB2312" w:hAnsi="仿宋_GB2312" w:eastAsia="仿宋_GB2312" w:cs="仿宋_GB2312"/>
          <w:sz w:val="24"/>
          <w:szCs w:val="24"/>
        </w:rPr>
        <w:t>但违约金总额不超过延付金额的 50 ‰。</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 ‰的违约金（合同额不足10万元按照2000元/天计取），且不免除维修的责任。违约金在质保金中扣除。</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pPr>
        <w:spacing w:line="360" w:lineRule="auto"/>
        <w:ind w:firstLine="453" w:firstLineChars="189"/>
        <w:rPr>
          <w:rFonts w:hint="eastAsia" w:ascii="仿宋_GB2312" w:hAnsi="仿宋_GB2312" w:eastAsia="仿宋_GB2312" w:cs="仿宋_GB2312"/>
          <w:sz w:val="20"/>
          <w:szCs w:val="20"/>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pPr>
        <w:pStyle w:val="4"/>
        <w:tabs>
          <w:tab w:val="right" w:leader="dot" w:pos="9061"/>
        </w:tabs>
        <w:spacing w:before="240" w:beforeLines="100"/>
        <w:ind w:left="0" w:firstLine="529" w:firstLineChars="189"/>
        <w:jc w:val="both"/>
        <w:rPr>
          <w:rFonts w:hint="eastAsia" w:ascii="仿宋_GB2312" w:hAnsi="仿宋_GB2312" w:eastAsia="仿宋_GB2312" w:cs="仿宋_GB2312"/>
          <w:b w:val="0"/>
          <w:sz w:val="28"/>
          <w:szCs w:val="28"/>
        </w:rPr>
      </w:pPr>
      <w:bookmarkStart w:id="1147" w:name="_Toc31554"/>
      <w:bookmarkStart w:id="1148" w:name="_Toc1827"/>
      <w:bookmarkStart w:id="1149" w:name="_Toc16330029"/>
      <w:bookmarkStart w:id="1150" w:name="_Toc9172"/>
      <w:r>
        <w:rPr>
          <w:rFonts w:hint="eastAsia" w:ascii="仿宋_GB2312" w:hAnsi="仿宋_GB2312" w:eastAsia="仿宋_GB2312" w:cs="仿宋_GB2312"/>
          <w:b w:val="0"/>
          <w:sz w:val="28"/>
          <w:szCs w:val="28"/>
        </w:rPr>
        <w:t>12 合同的终止与解除</w:t>
      </w:r>
      <w:bookmarkEnd w:id="1147"/>
      <w:bookmarkEnd w:id="1148"/>
      <w:bookmarkEnd w:id="1149"/>
      <w:bookmarkEnd w:id="1150"/>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12.3.2按照本合同第11.3条或第11.4条的规定，达到违约金的最高限额；</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12.3.3卖方所提交的设备不符合本合同的规定；</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仿宋_GB2312" w:hAnsi="仿宋_GB2312" w:eastAsia="仿宋_GB2312" w:cs="仿宋_GB2312"/>
          <w:sz w:val="20"/>
          <w:szCs w:val="20"/>
        </w:rPr>
      </w:pPr>
      <w:r>
        <w:rPr>
          <w:rFonts w:hint="eastAsia" w:ascii="仿宋_GB2312" w:hAnsi="仿宋_GB2312" w:eastAsia="仿宋_GB2312" w:cs="仿宋_GB2312"/>
          <w:sz w:val="24"/>
          <w:szCs w:val="24"/>
        </w:rPr>
        <w:t>12.7因为卖方违约导致买方解除合同的，卖方应赔偿买方因此所遭受的一切损失。</w:t>
      </w:r>
    </w:p>
    <w:p>
      <w:pPr>
        <w:pStyle w:val="4"/>
        <w:tabs>
          <w:tab w:val="right" w:leader="dot" w:pos="9061"/>
        </w:tabs>
        <w:spacing w:before="240" w:beforeLines="100"/>
        <w:ind w:left="0" w:firstLine="529" w:firstLineChars="189"/>
        <w:jc w:val="both"/>
        <w:rPr>
          <w:rFonts w:hint="eastAsia" w:ascii="仿宋_GB2312" w:hAnsi="仿宋_GB2312" w:eastAsia="仿宋_GB2312" w:cs="仿宋_GB2312"/>
          <w:b w:val="0"/>
          <w:sz w:val="28"/>
          <w:szCs w:val="28"/>
        </w:rPr>
      </w:pPr>
      <w:bookmarkStart w:id="1151" w:name="_Toc31945"/>
      <w:bookmarkStart w:id="1152" w:name="_Toc13671"/>
      <w:bookmarkStart w:id="1153" w:name="_Toc16330030"/>
      <w:bookmarkStart w:id="1154" w:name="_Toc8620"/>
      <w:r>
        <w:rPr>
          <w:rFonts w:hint="eastAsia" w:ascii="仿宋_GB2312" w:hAnsi="仿宋_GB2312" w:eastAsia="仿宋_GB2312" w:cs="仿宋_GB2312"/>
          <w:b w:val="0"/>
          <w:sz w:val="28"/>
          <w:szCs w:val="28"/>
        </w:rPr>
        <w:t>13 不可抗力</w:t>
      </w:r>
      <w:bookmarkEnd w:id="1151"/>
      <w:bookmarkEnd w:id="1152"/>
      <w:bookmarkEnd w:id="1153"/>
      <w:bookmarkEnd w:id="1154"/>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pPr>
        <w:pStyle w:val="4"/>
        <w:tabs>
          <w:tab w:val="right" w:leader="dot" w:pos="9061"/>
        </w:tabs>
        <w:spacing w:before="240" w:beforeLines="100"/>
        <w:ind w:left="0" w:firstLine="529" w:firstLineChars="189"/>
        <w:jc w:val="both"/>
        <w:rPr>
          <w:rFonts w:hint="eastAsia" w:ascii="仿宋_GB2312" w:hAnsi="仿宋_GB2312" w:eastAsia="仿宋_GB2312" w:cs="仿宋_GB2312"/>
          <w:b w:val="0"/>
          <w:sz w:val="28"/>
          <w:szCs w:val="28"/>
        </w:rPr>
      </w:pPr>
      <w:bookmarkStart w:id="1155" w:name="_Toc16330031"/>
      <w:bookmarkStart w:id="1156" w:name="_Toc30389"/>
      <w:bookmarkStart w:id="1157" w:name="_Toc637"/>
      <w:bookmarkStart w:id="1158" w:name="_Toc31243"/>
      <w:r>
        <w:rPr>
          <w:rFonts w:hint="eastAsia" w:ascii="仿宋_GB2312" w:hAnsi="仿宋_GB2312" w:eastAsia="仿宋_GB2312" w:cs="仿宋_GB2312"/>
          <w:b w:val="0"/>
          <w:sz w:val="28"/>
          <w:szCs w:val="28"/>
        </w:rPr>
        <w:t>14 通讯</w:t>
      </w:r>
      <w:bookmarkEnd w:id="1155"/>
      <w:bookmarkEnd w:id="1156"/>
      <w:bookmarkEnd w:id="1157"/>
      <w:bookmarkEnd w:id="1158"/>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14.2生效</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pPr>
        <w:pStyle w:val="4"/>
        <w:tabs>
          <w:tab w:val="right" w:leader="dot" w:pos="9061"/>
        </w:tabs>
        <w:spacing w:before="240" w:beforeLines="100"/>
        <w:jc w:val="both"/>
        <w:rPr>
          <w:rFonts w:hint="eastAsia" w:ascii="仿宋_GB2312" w:hAnsi="仿宋_GB2312" w:eastAsia="仿宋_GB2312" w:cs="仿宋_GB2312"/>
          <w:b w:val="0"/>
          <w:sz w:val="28"/>
          <w:szCs w:val="28"/>
        </w:rPr>
      </w:pPr>
      <w:bookmarkStart w:id="1159" w:name="_Toc12984"/>
      <w:bookmarkStart w:id="1160" w:name="_Toc9915"/>
      <w:bookmarkStart w:id="1161" w:name="_Toc11290"/>
      <w:bookmarkStart w:id="1162" w:name="_Toc16330032"/>
      <w:r>
        <w:rPr>
          <w:rFonts w:hint="eastAsia" w:ascii="仿宋_GB2312" w:hAnsi="仿宋_GB2312" w:eastAsia="仿宋_GB2312" w:cs="仿宋_GB2312"/>
          <w:b w:val="0"/>
          <w:sz w:val="28"/>
          <w:szCs w:val="28"/>
        </w:rPr>
        <w:t>15 适用法律及争议解决</w:t>
      </w:r>
      <w:bookmarkEnd w:id="1159"/>
      <w:bookmarkEnd w:id="1160"/>
      <w:bookmarkEnd w:id="1161"/>
      <w:bookmarkEnd w:id="1162"/>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240" w:beforeLines="100"/>
        <w:ind w:left="0" w:firstLine="529" w:firstLineChars="189"/>
        <w:jc w:val="both"/>
        <w:rPr>
          <w:rFonts w:hint="eastAsia" w:ascii="仿宋_GB2312" w:hAnsi="仿宋_GB2312" w:eastAsia="仿宋_GB2312" w:cs="仿宋_GB2312"/>
          <w:b w:val="0"/>
          <w:sz w:val="28"/>
          <w:szCs w:val="28"/>
        </w:rPr>
      </w:pPr>
      <w:bookmarkStart w:id="1163" w:name="_Toc23765"/>
      <w:bookmarkStart w:id="1164" w:name="_Toc16330033"/>
      <w:bookmarkStart w:id="1165" w:name="_Toc23906"/>
      <w:bookmarkStart w:id="1166" w:name="_Toc18207"/>
      <w:r>
        <w:rPr>
          <w:rFonts w:hint="eastAsia" w:ascii="仿宋_GB2312" w:hAnsi="仿宋_GB2312" w:eastAsia="仿宋_GB2312" w:cs="仿宋_GB2312"/>
          <w:b w:val="0"/>
          <w:sz w:val="28"/>
          <w:szCs w:val="28"/>
        </w:rPr>
        <w:t>16 附件</w:t>
      </w:r>
      <w:bookmarkEnd w:id="1163"/>
      <w:bookmarkEnd w:id="1164"/>
      <w:bookmarkEnd w:id="1165"/>
      <w:bookmarkEnd w:id="1166"/>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pPr>
        <w:pStyle w:val="4"/>
        <w:tabs>
          <w:tab w:val="right" w:leader="dot" w:pos="9061"/>
        </w:tabs>
        <w:spacing w:before="240" w:beforeLines="100"/>
        <w:ind w:left="0" w:firstLine="529" w:firstLineChars="189"/>
        <w:jc w:val="both"/>
        <w:rPr>
          <w:rFonts w:hint="eastAsia" w:ascii="仿宋_GB2312" w:hAnsi="仿宋_GB2312" w:eastAsia="仿宋_GB2312" w:cs="仿宋_GB2312"/>
          <w:b w:val="0"/>
          <w:sz w:val="28"/>
          <w:szCs w:val="28"/>
        </w:rPr>
      </w:pPr>
      <w:bookmarkStart w:id="1167" w:name="_Toc31331"/>
      <w:bookmarkStart w:id="1168" w:name="_Toc27202"/>
      <w:bookmarkStart w:id="1169" w:name="_Toc17656"/>
      <w:bookmarkStart w:id="1170" w:name="_Toc16330034"/>
      <w:r>
        <w:rPr>
          <w:rFonts w:hint="eastAsia" w:ascii="仿宋_GB2312" w:hAnsi="仿宋_GB2312" w:eastAsia="仿宋_GB2312" w:cs="仿宋_GB2312"/>
          <w:b w:val="0"/>
          <w:sz w:val="28"/>
          <w:szCs w:val="28"/>
        </w:rPr>
        <w:t>17 其他规定</w:t>
      </w:r>
      <w:bookmarkEnd w:id="1167"/>
      <w:bookmarkEnd w:id="1168"/>
      <w:bookmarkEnd w:id="1169"/>
      <w:bookmarkEnd w:id="1170"/>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仿宋_GB2312" w:eastAsia="仿宋_GB2312" w:cs="仿宋_GB2312"/>
          <w:sz w:val="24"/>
          <w:szCs w:val="24"/>
        </w:rPr>
      </w:pPr>
      <w:bookmarkStart w:id="1171" w:name="_Toc17952"/>
      <w:bookmarkStart w:id="1172" w:name="_Toc19077"/>
      <w:bookmarkStart w:id="1173" w:name="_Toc29136"/>
      <w:bookmarkStart w:id="1174"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240" w:beforeLines="100"/>
        <w:ind w:left="0" w:firstLine="529" w:firstLineChars="189"/>
        <w:jc w:val="both"/>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rPr>
        <w:t>18 签署事项</w:t>
      </w:r>
      <w:bookmarkEnd w:id="1171"/>
      <w:bookmarkEnd w:id="1172"/>
      <w:bookmarkEnd w:id="1173"/>
      <w:bookmarkEnd w:id="1174"/>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本合同一式</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份，买方持</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份，卖方持</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份；本合同经双方签署后生效。</w:t>
      </w:r>
    </w:p>
    <w:p>
      <w:pPr>
        <w:spacing w:line="360" w:lineRule="auto"/>
        <w:ind w:firstLine="455" w:firstLineChars="189"/>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hint="eastAsia" w:ascii="仿宋_GB2312" w:hAnsi="仿宋_GB2312" w:eastAsia="仿宋_GB2312" w:cs="仿宋_GB2312"/>
          <w:b/>
          <w:sz w:val="24"/>
          <w:szCs w:val="24"/>
        </w:rPr>
        <w:br w:type="textWrapping"/>
      </w:r>
      <w:r>
        <w:rPr>
          <w:rFonts w:hint="eastAsia" w:ascii="仿宋_GB2312" w:hAnsi="仿宋_GB2312" w:eastAsia="仿宋_GB2312" w:cs="仿宋_GB2312"/>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（以下无正文）</w:t>
      </w:r>
    </w:p>
    <w:p>
      <w:pPr>
        <w:spacing w:line="360" w:lineRule="auto"/>
        <w:ind w:firstLine="420" w:firstLineChars="200"/>
        <w:rPr>
          <w:rFonts w:hint="eastAsia" w:ascii="仿宋_GB2312" w:hAnsi="仿宋_GB2312" w:eastAsia="仿宋_GB2312" w:cs="仿宋_GB2312"/>
          <w:sz w:val="20"/>
          <w:szCs w:val="20"/>
        </w:rPr>
      </w:pPr>
      <w:r>
        <w:rPr>
          <w:rFonts w:hint="eastAsia" w:ascii="仿宋_GB2312" w:hAnsi="仿宋_GB2312" w:eastAsia="仿宋_GB2312" w:cs="仿宋_GB2312"/>
        </w:rPr>
        <w:t xml:space="preserve">    </w:t>
      </w:r>
    </w:p>
    <w:p>
      <w:pPr>
        <w:spacing w:line="360" w:lineRule="auto"/>
        <w:rPr>
          <w:rFonts w:hint="eastAsia" w:ascii="仿宋_GB2312" w:hAnsi="仿宋_GB2312" w:eastAsia="仿宋_GB2312" w:cs="仿宋_GB2312"/>
          <w:snapToGrid w:val="0"/>
          <w:kern w:val="0"/>
          <w:sz w:val="20"/>
          <w:szCs w:val="20"/>
          <w:lang w:eastAsia="zh-Hans"/>
        </w:rPr>
      </w:pPr>
    </w:p>
    <w:p>
      <w:pPr>
        <w:widowControl/>
        <w:adjustRightInd w:val="0"/>
        <w:snapToGrid w:val="0"/>
        <w:spacing w:line="360" w:lineRule="auto"/>
        <w:jc w:val="left"/>
        <w:rPr>
          <w:rFonts w:hint="eastAsia" w:ascii="仿宋_GB2312" w:hAnsi="仿宋_GB2312" w:eastAsia="仿宋_GB2312" w:cs="仿宋_GB2312"/>
          <w:snapToGrid w:val="0"/>
          <w:kern w:val="0"/>
          <w:sz w:val="24"/>
          <w:szCs w:val="24"/>
          <w:lang w:eastAsia="zh-Hans"/>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 xml:space="preserve">：                    </w:t>
      </w:r>
      <w:r>
        <w:rPr>
          <w:rFonts w:hint="eastAsia" w:ascii="仿宋_GB2312" w:hAnsi="仿宋_GB2312" w:eastAsia="仿宋_GB2312" w:cs="仿宋_GB2312"/>
          <w:snapToGrid w:val="0"/>
          <w:kern w:val="0"/>
          <w:sz w:val="24"/>
          <w:szCs w:val="24"/>
        </w:rPr>
        <w:t xml:space="preserve">           </w:t>
      </w:r>
      <w:r>
        <w:rPr>
          <w:rFonts w:hint="eastAsia" w:ascii="仿宋_GB2312" w:hAnsi="仿宋_GB2312" w:eastAsia="仿宋_GB2312" w:cs="仿宋_GB2312"/>
          <w:snapToGrid w:val="0"/>
          <w:kern w:val="0"/>
          <w:sz w:val="24"/>
          <w:szCs w:val="24"/>
          <w:lang w:eastAsia="zh-Hans"/>
        </w:rPr>
        <w:t>乙方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p>
    <w:p>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lang w:eastAsia="zh-Hans"/>
        </w:rPr>
        <w:t xml:space="preserve">法定代表人或代理人（签字）：         </w:t>
      </w:r>
      <w:r>
        <w:rPr>
          <w:rFonts w:hint="eastAsia" w:ascii="仿宋_GB2312" w:hAnsi="仿宋_GB2312" w:eastAsia="仿宋_GB2312" w:cs="仿宋_GB2312"/>
          <w:snapToGrid w:val="0"/>
          <w:kern w:val="0"/>
          <w:sz w:val="24"/>
          <w:szCs w:val="24"/>
          <w:lang w:eastAsia="zh-Hans"/>
        </w:rPr>
        <w:t xml:space="preserve">       </w:t>
      </w:r>
      <w:r>
        <w:rPr>
          <w:rFonts w:hint="eastAsia" w:ascii="仿宋_GB2312" w:hAnsi="仿宋_GB2312" w:eastAsia="仿宋_GB2312" w:cs="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lang w:eastAsia="zh-Hans"/>
        </w:rPr>
        <w:t xml:space="preserve">地  址：                             </w:t>
      </w:r>
      <w:r>
        <w:rPr>
          <w:rFonts w:hint="eastAsia" w:ascii="仿宋_GB2312" w:hAnsi="仿宋_GB2312" w:eastAsia="仿宋_GB2312" w:cs="仿宋_GB2312"/>
          <w:snapToGrid w:val="0"/>
          <w:kern w:val="0"/>
          <w:sz w:val="24"/>
          <w:szCs w:val="24"/>
          <w:lang w:eastAsia="zh-Hans"/>
        </w:rPr>
        <w:t xml:space="preserve">        </w:t>
      </w:r>
      <w:r>
        <w:rPr>
          <w:rFonts w:hint="eastAsia" w:ascii="仿宋_GB2312" w:hAnsi="仿宋_GB2312" w:eastAsia="仿宋_GB2312" w:cs="仿宋_GB2312"/>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仿宋_GB2312" w:eastAsia="仿宋_GB2312" w:cs="仿宋_GB2312"/>
          <w:snapToGrid w:val="0"/>
          <w:kern w:val="0"/>
          <w:sz w:val="24"/>
          <w:szCs w:val="24"/>
          <w:lang w:eastAsia="zh-Hans"/>
        </w:rPr>
      </w:pPr>
      <w:r>
        <w:rPr>
          <w:rFonts w:hint="eastAsia" w:ascii="仿宋_GB2312" w:hAnsi="仿宋_GB2312" w:eastAsia="仿宋_GB2312" w:cs="仿宋_GB2312"/>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仿宋_GB2312" w:eastAsia="仿宋_GB2312" w:cs="仿宋_GB2312"/>
          <w:snapToGrid w:val="0"/>
          <w:kern w:val="0"/>
          <w:sz w:val="24"/>
          <w:szCs w:val="24"/>
          <w:lang w:eastAsia="zh-Hans"/>
        </w:rPr>
      </w:pPr>
      <w:r>
        <w:rPr>
          <w:rFonts w:hint="eastAsia" w:ascii="仿宋_GB2312" w:hAnsi="仿宋_GB2312" w:eastAsia="仿宋_GB2312" w:cs="仿宋_GB2312"/>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lang w:eastAsia="zh-Hans"/>
        </w:rPr>
        <w:t xml:space="preserve">开户银行：                          </w:t>
      </w:r>
      <w:r>
        <w:rPr>
          <w:rFonts w:hint="eastAsia" w:ascii="仿宋_GB2312" w:hAnsi="仿宋_GB2312" w:eastAsia="仿宋_GB2312" w:cs="仿宋_GB2312"/>
          <w:snapToGrid w:val="0"/>
          <w:kern w:val="0"/>
          <w:sz w:val="24"/>
          <w:szCs w:val="24"/>
          <w:lang w:eastAsia="zh-Hans"/>
        </w:rPr>
        <w:t xml:space="preserve">        </w:t>
      </w:r>
      <w:r>
        <w:rPr>
          <w:rFonts w:hint="eastAsia" w:ascii="仿宋_GB2312" w:hAnsi="仿宋_GB2312" w:eastAsia="仿宋_GB2312" w:cs="仿宋_GB2312"/>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仿宋_GB2312" w:eastAsia="仿宋_GB2312" w:cs="仿宋_GB2312"/>
          <w:snapToGrid w:val="0"/>
          <w:kern w:val="0"/>
          <w:sz w:val="24"/>
          <w:szCs w:val="24"/>
        </w:rPr>
      </w:pPr>
      <w:r>
        <w:rPr>
          <w:rFonts w:hint="eastAsia" w:ascii="仿宋_GB2312" w:hAnsi="仿宋_GB2312" w:eastAsia="仿宋_GB2312" w:cs="仿宋_GB2312"/>
          <w:snapToGrid w:val="0"/>
          <w:color w:val="000000"/>
          <w:kern w:val="0"/>
          <w:sz w:val="24"/>
          <w:szCs w:val="24"/>
          <w:lang w:eastAsia="zh-Hans"/>
        </w:rPr>
        <w:t xml:space="preserve">账  号：                            </w:t>
      </w:r>
      <w:r>
        <w:rPr>
          <w:rFonts w:hint="eastAsia" w:ascii="仿宋_GB2312" w:hAnsi="仿宋_GB2312" w:eastAsia="仿宋_GB2312" w:cs="仿宋_GB2312"/>
          <w:snapToGrid w:val="0"/>
          <w:kern w:val="0"/>
          <w:sz w:val="24"/>
          <w:szCs w:val="24"/>
          <w:lang w:eastAsia="zh-Hans"/>
        </w:rPr>
        <w:t xml:space="preserve">        </w:t>
      </w:r>
      <w:r>
        <w:rPr>
          <w:rFonts w:hint="eastAsia" w:ascii="仿宋_GB2312" w:hAnsi="仿宋_GB2312" w:eastAsia="仿宋_GB2312" w:cs="仿宋_GB2312"/>
          <w:snapToGrid w:val="0"/>
          <w:color w:val="000000"/>
          <w:kern w:val="0"/>
          <w:sz w:val="24"/>
          <w:szCs w:val="24"/>
          <w:lang w:eastAsia="zh-Hans"/>
        </w:rPr>
        <w:t xml:space="preserve"> 账 号： </w:t>
      </w: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2"/>
      </w:pPr>
      <w:bookmarkStart w:id="1175" w:name="_Toc47976615"/>
      <w:bookmarkStart w:id="1176" w:name="_Toc5925"/>
      <w:r>
        <w:rPr>
          <w:rFonts w:hint="eastAsia"/>
        </w:rPr>
        <w:t>第四部分　</w:t>
      </w:r>
      <w:bookmarkEnd w:id="1175"/>
      <w:r>
        <w:rPr>
          <w:rFonts w:hint="eastAsia"/>
        </w:rPr>
        <w:t>投标文件附件</w:t>
      </w:r>
      <w:bookmarkEnd w:id="1176"/>
    </w:p>
    <w:p>
      <w:pPr>
        <w:pStyle w:val="72"/>
        <w:jc w:val="left"/>
        <w:rPr>
          <w:rFonts w:hint="eastAsia" w:ascii="宋体" w:hAnsi="宋体" w:eastAsia="宋体" w:cs="宋体"/>
          <w:sz w:val="32"/>
          <w:szCs w:val="32"/>
          <w:highlight w:val="yellow"/>
        </w:rPr>
      </w:pPr>
      <w:bookmarkStart w:id="1177" w:name="_Toc4225"/>
      <w:bookmarkStart w:id="1178" w:name="_Toc47976616"/>
      <w:r>
        <w:rPr>
          <w:rFonts w:hint="eastAsia" w:ascii="宋体" w:hAnsi="宋体" w:eastAsia="宋体" w:cs="宋体"/>
          <w:sz w:val="32"/>
          <w:szCs w:val="32"/>
          <w:highlight w:val="yellow"/>
        </w:rPr>
        <w:t>附件</w:t>
      </w:r>
      <w:bookmarkEnd w:id="1177"/>
      <w:bookmarkEnd w:id="1178"/>
      <w:r>
        <w:rPr>
          <w:rFonts w:hint="eastAsia" w:ascii="宋体" w:hAnsi="宋体" w:eastAsia="宋体" w:cs="宋体"/>
          <w:sz w:val="32"/>
          <w:szCs w:val="32"/>
          <w:highlight w:val="yellow"/>
        </w:rPr>
        <w:t>1</w:t>
      </w:r>
    </w:p>
    <w:p>
      <w:pPr>
        <w:keepNext/>
        <w:keepLines/>
        <w:jc w:val="center"/>
        <w:outlineLvl w:val="2"/>
        <w:rPr>
          <w:rFonts w:hint="eastAsia" w:ascii="宋体" w:hAnsi="宋体" w:cs="宋体"/>
          <w:b/>
          <w:bCs/>
          <w:color w:val="000000"/>
          <w:sz w:val="32"/>
          <w:szCs w:val="32"/>
        </w:rPr>
      </w:pPr>
      <w:r>
        <w:rPr>
          <w:rFonts w:hint="eastAsia" w:ascii="宋体" w:hAnsi="宋体" w:cs="宋体"/>
          <w:b/>
          <w:bCs/>
          <w:color w:val="000000"/>
          <w:sz w:val="32"/>
          <w:szCs w:val="32"/>
        </w:rPr>
        <w:t>投标函</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致：中国重汽集团</w:t>
      </w:r>
      <w:r>
        <w:rPr>
          <w:rFonts w:hint="eastAsia" w:ascii="宋体" w:hAnsi="宋体"/>
          <w:color w:val="000000"/>
          <w:sz w:val="24"/>
          <w:szCs w:val="24"/>
          <w:u w:val="single"/>
        </w:rPr>
        <w:t xml:space="preserve">            </w:t>
      </w:r>
      <w:r>
        <w:rPr>
          <w:rFonts w:hint="eastAsia" w:ascii="宋体" w:hAnsi="宋体"/>
          <w:color w:val="000000"/>
          <w:sz w:val="24"/>
          <w:szCs w:val="24"/>
        </w:rPr>
        <w:t>有限公司：</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提交纸质投标文件：资质证明文件、商务文件和技术文件正本</w:t>
      </w:r>
      <w:r>
        <w:rPr>
          <w:rFonts w:hint="eastAsia" w:ascii="宋体" w:hAnsi="宋体"/>
          <w:color w:val="000000"/>
          <w:sz w:val="24"/>
          <w:szCs w:val="24"/>
          <w:u w:val="single"/>
        </w:rPr>
        <w:t xml:space="preserve">  </w:t>
      </w:r>
      <w:r>
        <w:rPr>
          <w:rFonts w:hint="eastAsia" w:ascii="宋体" w:hAnsi="宋体"/>
          <w:color w:val="000000"/>
          <w:sz w:val="24"/>
          <w:szCs w:val="24"/>
        </w:rPr>
        <w:t>份、副本</w:t>
      </w:r>
      <w:r>
        <w:rPr>
          <w:rFonts w:hint="eastAsia" w:ascii="宋体" w:hAnsi="宋体"/>
          <w:color w:val="000000"/>
          <w:sz w:val="24"/>
          <w:szCs w:val="24"/>
          <w:u w:val="single"/>
        </w:rPr>
        <w:t xml:space="preserve">  </w:t>
      </w:r>
      <w:r>
        <w:rPr>
          <w:rFonts w:hint="eastAsia" w:ascii="宋体" w:hAnsi="宋体"/>
          <w:color w:val="000000"/>
          <w:sz w:val="24"/>
          <w:szCs w:val="24"/>
        </w:rPr>
        <w:t>份；电子版投标文件一份。</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据此函，签字代表宣布同意如下：</w:t>
      </w:r>
    </w:p>
    <w:p>
      <w:pPr>
        <w:spacing w:line="360" w:lineRule="auto"/>
        <w:ind w:firstLine="480" w:firstLineChars="200"/>
        <w:rPr>
          <w:rFonts w:hint="eastAsia"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w:t>
      </w:r>
      <w:r>
        <w:rPr>
          <w:rFonts w:hint="eastAsia" w:ascii="宋体" w:hAnsi="宋体"/>
          <w:bCs/>
          <w:color w:val="000000"/>
          <w:sz w:val="24"/>
          <w:szCs w:val="24"/>
          <w:u w:val="single"/>
        </w:rPr>
        <w:t xml:space="preserve"> </w:t>
      </w:r>
      <w:r>
        <w:rPr>
          <w:rFonts w:hint="eastAsia" w:ascii="宋体" w:hAnsi="宋体"/>
          <w:color w:val="000000"/>
          <w:sz w:val="24"/>
          <w:szCs w:val="24"/>
        </w:rPr>
        <w:t>个日历日。</w:t>
      </w:r>
    </w:p>
    <w:p>
      <w:pPr>
        <w:spacing w:line="360" w:lineRule="auto"/>
        <w:ind w:firstLine="480" w:firstLineChars="200"/>
        <w:rPr>
          <w:rFonts w:hint="eastAsia"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pPr>
        <w:spacing w:line="360" w:lineRule="auto"/>
        <w:ind w:firstLine="480" w:firstLineChars="200"/>
        <w:rPr>
          <w:rFonts w:hint="eastAsia"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pPr>
        <w:rPr>
          <w:rFonts w:ascii="黑体" w:hAnsi="Calibri" w:eastAsia="黑体"/>
          <w:color w:val="000000"/>
          <w:sz w:val="24"/>
          <w:szCs w:val="24"/>
        </w:rPr>
      </w:pPr>
    </w:p>
    <w:p>
      <w:pPr>
        <w:rPr>
          <w:rFonts w:ascii="宋体"/>
          <w:b/>
          <w:color w:val="000000"/>
          <w:szCs w:val="24"/>
        </w:rPr>
      </w:pPr>
    </w:p>
    <w:p>
      <w:pPr>
        <w:pStyle w:val="73"/>
        <w:numPr>
          <w:ilvl w:val="0"/>
          <w:numId w:val="0"/>
        </w:numPr>
        <w:rPr>
          <w:rFonts w:hint="eastAsia" w:ascii="宋体" w:hAnsi="宋体" w:eastAsia="宋体" w:cs="宋体"/>
          <w:sz w:val="32"/>
          <w:szCs w:val="32"/>
          <w:highlight w:val="yellow"/>
        </w:rPr>
      </w:pPr>
      <w:bookmarkStart w:id="1179" w:name="_Toc47976618"/>
      <w:bookmarkStart w:id="1180" w:name="_Toc29366865"/>
      <w:bookmarkStart w:id="1181" w:name="_Toc29366869"/>
      <w:r>
        <w:rPr>
          <w:rFonts w:hint="eastAsia" w:ascii="宋体" w:hAnsi="宋体" w:eastAsia="宋体" w:cs="宋体"/>
          <w:sz w:val="32"/>
          <w:szCs w:val="32"/>
          <w:highlight w:val="yellow"/>
        </w:rPr>
        <w:t>附件2</w:t>
      </w:r>
    </w:p>
    <w:bookmarkEnd w:id="1179"/>
    <w:p>
      <w:pPr>
        <w:spacing w:line="360" w:lineRule="auto"/>
        <w:jc w:val="center"/>
        <w:rPr>
          <w:rFonts w:hint="eastAsia" w:ascii="宋体" w:hAnsi="宋体" w:cs="宋体"/>
          <w:color w:val="000000"/>
          <w:sz w:val="32"/>
          <w:szCs w:val="32"/>
        </w:rPr>
      </w:pPr>
      <w:r>
        <w:rPr>
          <w:rFonts w:hint="eastAsia" w:ascii="宋体" w:hAnsi="宋体" w:cs="宋体"/>
          <w:b/>
          <w:bCs/>
          <w:color w:val="000000"/>
          <w:sz w:val="32"/>
          <w:szCs w:val="32"/>
        </w:rPr>
        <w:t>法定代表人授权委托书</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spacing w:line="360" w:lineRule="auto"/>
        <w:ind w:firstLine="4800" w:firstLineChars="2000"/>
        <w:rPr>
          <w:rFonts w:hint="eastAsia" w:ascii="宋体" w:hAnsi="宋体" w:cs="宋体"/>
          <w:sz w:val="24"/>
          <w:szCs w:val="21"/>
        </w:rPr>
      </w:pPr>
    </w:p>
    <w:p>
      <w:pPr>
        <w:spacing w:line="360" w:lineRule="auto"/>
        <w:ind w:firstLine="4800" w:firstLineChars="2000"/>
        <w:rPr>
          <w:rFonts w:hint="eastAsia" w:ascii="宋体" w:hAnsi="宋体" w:cs="宋体"/>
          <w:sz w:val="24"/>
          <w:szCs w:val="21"/>
        </w:rPr>
      </w:pPr>
    </w:p>
    <w:p>
      <w:pPr>
        <w:spacing w:line="360" w:lineRule="auto"/>
        <w:ind w:firstLine="4800" w:firstLineChars="2000"/>
        <w:rPr>
          <w:rFonts w:hint="eastAsia" w:ascii="宋体" w:hAnsi="宋体" w:cs="宋体"/>
          <w:sz w:val="24"/>
          <w:szCs w:val="21"/>
        </w:rPr>
      </w:pPr>
    </w:p>
    <w:p>
      <w:pPr>
        <w:spacing w:line="360" w:lineRule="auto"/>
        <w:ind w:firstLine="4800" w:firstLineChars="2000"/>
        <w:rPr>
          <w:rFonts w:hint="eastAsia" w:ascii="宋体" w:hAnsi="宋体" w:cs="宋体"/>
          <w:sz w:val="24"/>
          <w:szCs w:val="21"/>
        </w:rPr>
      </w:pPr>
    </w:p>
    <w:p>
      <w:pPr>
        <w:pStyle w:val="2"/>
      </w:pPr>
    </w:p>
    <w:p>
      <w:pPr>
        <w:spacing w:line="360" w:lineRule="auto"/>
        <w:rPr>
          <w:rFonts w:hint="eastAsia" w:ascii="宋体" w:hAnsi="宋体" w:cs="宋体"/>
          <w:sz w:val="24"/>
          <w:szCs w:val="21"/>
        </w:rPr>
      </w:pPr>
    </w:p>
    <w:p>
      <w:pPr>
        <w:pStyle w:val="12"/>
        <w:rPr>
          <w:rFonts w:hint="eastAsia"/>
        </w:rPr>
      </w:pPr>
    </w:p>
    <w:bookmarkEnd w:id="1180"/>
    <w:bookmarkEnd w:id="1181"/>
    <w:p>
      <w:pPr>
        <w:pStyle w:val="73"/>
        <w:numPr>
          <w:ilvl w:val="0"/>
          <w:numId w:val="0"/>
        </w:numPr>
        <w:rPr>
          <w:rFonts w:hint="eastAsia" w:ascii="宋体" w:hAnsi="宋体" w:eastAsia="宋体" w:cs="宋体"/>
          <w:sz w:val="32"/>
          <w:szCs w:val="32"/>
          <w:highlight w:val="yellow"/>
        </w:rPr>
      </w:pPr>
      <w:r>
        <w:rPr>
          <w:rFonts w:hint="eastAsia" w:ascii="宋体" w:hAnsi="宋体" w:eastAsia="宋体" w:cs="宋体"/>
          <w:sz w:val="32"/>
          <w:szCs w:val="32"/>
          <w:highlight w:val="yellow"/>
        </w:rPr>
        <w:t>附件3</w:t>
      </w:r>
    </w:p>
    <w:p>
      <w:pPr>
        <w:pStyle w:val="73"/>
        <w:numPr>
          <w:ilvl w:val="0"/>
          <w:numId w:val="0"/>
        </w:numPr>
        <w:jc w:val="center"/>
      </w:pPr>
      <w:r>
        <w:rPr>
          <w:rFonts w:hint="eastAsia"/>
        </w:rPr>
        <w:t>开标一览表</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                          </w:t>
      </w:r>
      <w:r>
        <w:rPr>
          <w:rFonts w:ascii="宋体" w:hAnsi="宋体"/>
          <w:color w:val="000000"/>
          <w:sz w:val="24"/>
          <w:szCs w:val="24"/>
        </w:rPr>
        <w:t xml:space="preserve">                                                        </w:t>
      </w:r>
    </w:p>
    <w:tbl>
      <w:tblPr>
        <w:tblStyle w:val="3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b/>
              </w:rPr>
            </w:pPr>
            <w:r>
              <w:rPr>
                <w:rFonts w:hint="eastAsia"/>
                <w:b/>
              </w:rPr>
              <w:t>序号</w:t>
            </w:r>
          </w:p>
        </w:tc>
        <w:tc>
          <w:tcPr>
            <w:tcW w:w="1518" w:type="dxa"/>
            <w:vAlign w:val="center"/>
          </w:tcPr>
          <w:p>
            <w:pPr>
              <w:jc w:val="center"/>
              <w:rPr>
                <w:b/>
              </w:rPr>
            </w:pPr>
            <w:r>
              <w:rPr>
                <w:rFonts w:hint="eastAsia"/>
                <w:b/>
              </w:rPr>
              <w:t>货物名称</w:t>
            </w:r>
          </w:p>
        </w:tc>
        <w:tc>
          <w:tcPr>
            <w:tcW w:w="848" w:type="dxa"/>
            <w:vAlign w:val="center"/>
          </w:tcPr>
          <w:p>
            <w:pPr>
              <w:jc w:val="center"/>
              <w:rPr>
                <w:b/>
              </w:rPr>
            </w:pPr>
            <w:r>
              <w:rPr>
                <w:rFonts w:hint="eastAsia"/>
                <w:b/>
              </w:rPr>
              <w:t>数量</w:t>
            </w:r>
          </w:p>
        </w:tc>
        <w:tc>
          <w:tcPr>
            <w:tcW w:w="2270" w:type="dxa"/>
            <w:vAlign w:val="center"/>
          </w:tcPr>
          <w:p>
            <w:pPr>
              <w:jc w:val="center"/>
              <w:rPr>
                <w:b/>
              </w:rPr>
            </w:pPr>
            <w:r>
              <w:rPr>
                <w:rFonts w:hint="eastAsia"/>
                <w:b/>
              </w:rPr>
              <w:t>投标总价</w:t>
            </w:r>
            <w:r>
              <w:rPr>
                <w:rFonts w:hint="eastAsia" w:ascii="等线" w:hAnsi="等线" w:eastAsia="等线"/>
                <w:b/>
              </w:rPr>
              <w:t>（元）</w:t>
            </w:r>
          </w:p>
        </w:tc>
        <w:tc>
          <w:tcPr>
            <w:tcW w:w="1100" w:type="dxa"/>
            <w:vAlign w:val="center"/>
          </w:tcPr>
          <w:p>
            <w:pPr>
              <w:jc w:val="center"/>
              <w:rPr>
                <w:b/>
              </w:rPr>
            </w:pPr>
            <w:r>
              <w:rPr>
                <w:rFonts w:hint="eastAsia"/>
                <w:b/>
              </w:rPr>
              <w:t>XX</w:t>
            </w:r>
          </w:p>
        </w:tc>
        <w:tc>
          <w:tcPr>
            <w:tcW w:w="1243" w:type="dxa"/>
            <w:vAlign w:val="center"/>
          </w:tcPr>
          <w:p>
            <w:pPr>
              <w:jc w:val="center"/>
              <w:rPr>
                <w:b/>
              </w:rPr>
            </w:pPr>
            <w:r>
              <w:rPr>
                <w:rFonts w:hint="eastAsia"/>
                <w:b/>
              </w:rPr>
              <w:t>XX</w:t>
            </w:r>
          </w:p>
        </w:tc>
        <w:tc>
          <w:tcPr>
            <w:tcW w:w="705" w:type="dxa"/>
            <w:vAlign w:val="center"/>
          </w:tcPr>
          <w:p>
            <w:pPr>
              <w:jc w:val="center"/>
              <w:rPr>
                <w:b/>
              </w:rPr>
            </w:pPr>
            <w:r>
              <w:rPr>
                <w:rFonts w:hint="eastAsia"/>
                <w:b/>
              </w:rPr>
              <w:t>XX</w:t>
            </w:r>
          </w:p>
        </w:tc>
        <w:tc>
          <w:tcPr>
            <w:tcW w:w="699" w:type="dxa"/>
            <w:vAlign w:val="center"/>
          </w:tcPr>
          <w:p>
            <w:pPr>
              <w:jc w:val="center"/>
              <w:rPr>
                <w:rFonts w:hint="eastAsia" w:ascii="等线" w:hAnsi="等线" w:eastAsia="等线"/>
                <w:b/>
              </w:rPr>
            </w:pPr>
            <w:r>
              <w:rPr>
                <w:rFonts w:hint="eastAsia"/>
                <w:b/>
              </w:rPr>
              <w:t>商务条款是否偏离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b/>
              </w:rPr>
            </w:pPr>
          </w:p>
        </w:tc>
        <w:tc>
          <w:tcPr>
            <w:tcW w:w="1518" w:type="dxa"/>
            <w:vAlign w:val="center"/>
          </w:tcPr>
          <w:p>
            <w:pPr>
              <w:jc w:val="center"/>
              <w:rPr>
                <w:b/>
              </w:rPr>
            </w:pPr>
          </w:p>
        </w:tc>
        <w:tc>
          <w:tcPr>
            <w:tcW w:w="848" w:type="dxa"/>
            <w:vAlign w:val="center"/>
          </w:tcPr>
          <w:p>
            <w:pPr>
              <w:jc w:val="center"/>
              <w:rPr>
                <w:b/>
              </w:rPr>
            </w:pPr>
          </w:p>
        </w:tc>
        <w:tc>
          <w:tcPr>
            <w:tcW w:w="2270" w:type="dxa"/>
            <w:vAlign w:val="center"/>
          </w:tcPr>
          <w:p>
            <w:pPr>
              <w:jc w:val="left"/>
              <w:rPr>
                <w:rFonts w:hint="eastAsia" w:ascii="等线" w:hAnsi="等线" w:eastAsia="等线"/>
                <w:b/>
              </w:rPr>
            </w:pPr>
            <w:r>
              <w:rPr>
                <w:rFonts w:hint="eastAsia" w:ascii="等线" w:hAnsi="等线" w:eastAsia="等线"/>
                <w:b/>
              </w:rPr>
              <w:t>不含税价：</w:t>
            </w:r>
          </w:p>
          <w:p>
            <w:pPr>
              <w:jc w:val="left"/>
              <w:rPr>
                <w:rFonts w:hint="eastAsia"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pPr>
              <w:jc w:val="left"/>
              <w:rPr>
                <w:b/>
              </w:rPr>
            </w:pPr>
            <w:r>
              <w:rPr>
                <w:rFonts w:hint="eastAsia" w:ascii="等线" w:hAnsi="等线" w:eastAsia="等线"/>
                <w:b/>
              </w:rPr>
              <w:t>税率：</w:t>
            </w:r>
          </w:p>
        </w:tc>
        <w:tc>
          <w:tcPr>
            <w:tcW w:w="1100" w:type="dxa"/>
            <w:vAlign w:val="center"/>
          </w:tcPr>
          <w:p>
            <w:pPr>
              <w:jc w:val="center"/>
              <w:rPr>
                <w:b/>
              </w:rPr>
            </w:pPr>
          </w:p>
        </w:tc>
        <w:tc>
          <w:tcPr>
            <w:tcW w:w="1243" w:type="dxa"/>
            <w:vAlign w:val="center"/>
          </w:tcPr>
          <w:p>
            <w:pPr>
              <w:jc w:val="center"/>
              <w:rPr>
                <w:b/>
              </w:rPr>
            </w:pPr>
          </w:p>
        </w:tc>
        <w:tc>
          <w:tcPr>
            <w:tcW w:w="705" w:type="dxa"/>
            <w:vAlign w:val="center"/>
          </w:tcPr>
          <w:p>
            <w:pPr>
              <w:jc w:val="center"/>
              <w:rPr>
                <w:b/>
              </w:rPr>
            </w:pPr>
          </w:p>
        </w:tc>
        <w:tc>
          <w:tcPr>
            <w:tcW w:w="699" w:type="dxa"/>
            <w:vAlign w:val="center"/>
          </w:tcPr>
          <w:p>
            <w:pPr>
              <w:jc w:val="center"/>
              <w:rPr>
                <w:b/>
              </w:rPr>
            </w:pPr>
          </w:p>
        </w:tc>
      </w:tr>
    </w:tbl>
    <w:p>
      <w:pPr>
        <w:rPr>
          <w:rFonts w:ascii="宋体" w:hAnsi="Arial"/>
          <w:sz w:val="24"/>
          <w:szCs w:val="24"/>
        </w:rPr>
      </w:pPr>
    </w:p>
    <w:p>
      <w:pPr>
        <w:spacing w:line="400" w:lineRule="exact"/>
        <w:rPr>
          <w:rFonts w:ascii="宋体" w:hAnsi="Calibri"/>
          <w:szCs w:val="21"/>
        </w:rPr>
      </w:pPr>
      <w:r>
        <w:rPr>
          <w:rFonts w:hint="eastAsia" w:ascii="宋体" w:hAnsi="宋体"/>
          <w:b/>
          <w:bCs/>
          <w:szCs w:val="21"/>
        </w:rPr>
        <w:t>注：</w:t>
      </w:r>
    </w:p>
    <w:p>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pPr>
        <w:spacing w:line="300" w:lineRule="auto"/>
        <w:rPr>
          <w:rFonts w:hint="eastAsia" w:ascii="宋体" w:hAnsi="宋体" w:cs="宋体"/>
          <w:b/>
        </w:rPr>
      </w:pPr>
      <w:r>
        <w:rPr>
          <w:rFonts w:hint="eastAsia" w:ascii="宋体" w:hAnsi="宋体" w:cs="宋体"/>
          <w:b/>
        </w:rPr>
        <w:t>2.需写明含税价、不含税价格、税率。</w:t>
      </w:r>
    </w:p>
    <w:p>
      <w:pPr>
        <w:pStyle w:val="2"/>
        <w:rPr>
          <w:rFonts w:hint="eastAsia" w:hAnsi="宋体"/>
          <w:b/>
          <w:bCs/>
          <w:szCs w:val="21"/>
        </w:rPr>
      </w:pPr>
      <w:r>
        <w:rPr>
          <w:rFonts w:hint="eastAsia" w:hAnsi="宋体" w:cs="宋体"/>
          <w:b/>
        </w:rPr>
        <w:t>3.</w:t>
      </w:r>
      <w:r>
        <w:rPr>
          <w:rFonts w:hint="eastAsia" w:hAnsi="宋体"/>
          <w:b/>
          <w:bCs/>
          <w:szCs w:val="21"/>
        </w:rPr>
        <w:t>投标总价包括</w:t>
      </w:r>
      <w:r>
        <w:rPr>
          <w:rFonts w:hint="eastAsia" w:hAnsi="宋体"/>
          <w:b/>
          <w:bCs/>
          <w:szCs w:val="21"/>
          <w:u w:val="single"/>
        </w:rPr>
        <w:t xml:space="preserve">                                             </w:t>
      </w:r>
      <w:r>
        <w:rPr>
          <w:rFonts w:hint="eastAsia" w:hAnsi="宋体"/>
          <w:b/>
          <w:bCs/>
          <w:szCs w:val="21"/>
        </w:rPr>
        <w:t>全部费用。</w:t>
      </w:r>
    </w:p>
    <w:p>
      <w:pPr>
        <w:pStyle w:val="2"/>
        <w:rPr>
          <w:rFonts w:hint="eastAsia" w:hAnsi="宋体"/>
          <w:b/>
          <w:bCs/>
          <w:szCs w:val="21"/>
        </w:rPr>
      </w:pPr>
      <w:r>
        <w:rPr>
          <w:rFonts w:hint="eastAsia" w:hAnsi="宋体"/>
          <w:b/>
          <w:bCs/>
          <w:szCs w:val="21"/>
        </w:rPr>
        <w:t>4</w:t>
      </w:r>
      <w:r>
        <w:rPr>
          <w:rFonts w:hint="eastAsia" w:hAnsi="宋体" w:cs="宋体"/>
          <w:b/>
          <w:highlight w:val="cyan"/>
        </w:rPr>
        <w:t>.其他</w:t>
      </w:r>
      <w:r>
        <w:rPr>
          <w:rFonts w:hint="eastAsia" w:hAnsi="宋体" w:cs="宋体"/>
          <w:b/>
          <w:color w:val="FF0000"/>
          <w:sz w:val="18"/>
          <w:szCs w:val="18"/>
        </w:rPr>
        <w:t>（注：若无，该条删除。正式标书删除红字内容）</w:t>
      </w:r>
    </w:p>
    <w:p>
      <w:pPr>
        <w:pStyle w:val="2"/>
        <w:rPr>
          <w:rFonts w:hint="eastAsia" w:hAnsi="宋体"/>
          <w:b/>
          <w:bCs/>
          <w:szCs w:val="21"/>
          <w:highlight w:val="yellow"/>
        </w:rPr>
      </w:pPr>
    </w:p>
    <w:p>
      <w:pPr>
        <w:pStyle w:val="2"/>
        <w:rPr>
          <w:rFonts w:hint="eastAsia" w:hAnsi="宋体"/>
          <w:b/>
          <w:bCs/>
          <w:szCs w:val="21"/>
          <w:highlight w:val="yellow"/>
        </w:rPr>
      </w:pPr>
    </w:p>
    <w:p>
      <w:pPr>
        <w:spacing w:line="660" w:lineRule="exact"/>
        <w:jc w:val="center"/>
        <w:rPr>
          <w:rFonts w:ascii="宋体" w:hAnsi="Calibri"/>
          <w:sz w:val="24"/>
        </w:rPr>
      </w:pPr>
      <w:r>
        <w:rPr>
          <w:rFonts w:hint="eastAsia" w:ascii="宋体" w:hAnsi="宋体"/>
          <w:sz w:val="24"/>
        </w:rPr>
        <w:t xml:space="preserve">                        投标人：（盖章）</w:t>
      </w:r>
    </w:p>
    <w:p>
      <w:pPr>
        <w:spacing w:line="660" w:lineRule="exact"/>
        <w:jc w:val="right"/>
        <w:rPr>
          <w:rFonts w:ascii="宋体" w:hAnsi="Calibri"/>
          <w:sz w:val="24"/>
        </w:rPr>
      </w:pPr>
      <w:r>
        <w:rPr>
          <w:rFonts w:hint="eastAsia" w:ascii="宋体" w:hAnsi="宋体"/>
          <w:sz w:val="24"/>
        </w:rPr>
        <w:t>法定代表人（委托代理人）：（签字）</w:t>
      </w:r>
    </w:p>
    <w:p>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pStyle w:val="73"/>
        <w:numPr>
          <w:ilvl w:val="0"/>
          <w:numId w:val="0"/>
        </w:numPr>
      </w:pPr>
      <w:r>
        <w:t xml:space="preserve"> </w:t>
      </w:r>
    </w:p>
    <w:p>
      <w:pPr>
        <w:pStyle w:val="73"/>
        <w:numPr>
          <w:ilvl w:val="0"/>
          <w:numId w:val="0"/>
        </w:numPr>
      </w:pPr>
    </w:p>
    <w:p>
      <w:pPr>
        <w:pStyle w:val="73"/>
        <w:numPr>
          <w:ilvl w:val="0"/>
          <w:numId w:val="0"/>
        </w:numPr>
      </w:pPr>
    </w:p>
    <w:p>
      <w:pPr>
        <w:pStyle w:val="73"/>
        <w:numPr>
          <w:ilvl w:val="0"/>
          <w:numId w:val="0"/>
        </w:numPr>
      </w:pPr>
    </w:p>
    <w:p>
      <w:pPr>
        <w:pStyle w:val="73"/>
        <w:numPr>
          <w:ilvl w:val="0"/>
          <w:numId w:val="0"/>
        </w:numPr>
      </w:pPr>
    </w:p>
    <w:p>
      <w:pPr>
        <w:pStyle w:val="73"/>
        <w:numPr>
          <w:ilvl w:val="0"/>
          <w:numId w:val="0"/>
        </w:numPr>
      </w:pPr>
    </w:p>
    <w:p>
      <w:pPr>
        <w:pStyle w:val="73"/>
        <w:numPr>
          <w:ilvl w:val="0"/>
          <w:numId w:val="0"/>
        </w:numPr>
      </w:pPr>
    </w:p>
    <w:p>
      <w:pPr>
        <w:pStyle w:val="77"/>
        <w:ind w:firstLine="630" w:firstLineChars="300"/>
      </w:pPr>
    </w:p>
    <w:p>
      <w:pPr>
        <w:pStyle w:val="77"/>
        <w:rPr>
          <w:rFonts w:hint="eastAsia" w:hAnsi="宋体"/>
          <w:sz w:val="24"/>
        </w:rPr>
      </w:pPr>
      <w:r>
        <w:rPr>
          <w:rFonts w:hint="eastAsia" w:hAnsi="宋体" w:cs="宋体"/>
          <w:b/>
          <w:bCs/>
          <w:sz w:val="32"/>
          <w:szCs w:val="32"/>
        </w:rPr>
        <w:t>附件4</w:t>
      </w:r>
      <w:r>
        <w:rPr>
          <w:rFonts w:hint="eastAsia" w:hAnsi="宋体" w:cs="宋体"/>
          <w:b/>
          <w:bCs/>
          <w:sz w:val="32"/>
          <w:szCs w:val="32"/>
          <w:highlight w:val="cyan"/>
        </w:rPr>
        <w:t>其他</w:t>
      </w:r>
      <w:r>
        <w:rPr>
          <w:rFonts w:hint="eastAsia" w:hAnsi="宋体" w:cs="宋体"/>
          <w:b/>
          <w:color w:val="FF0000"/>
          <w:sz w:val="18"/>
          <w:szCs w:val="18"/>
        </w:rPr>
        <w:t>（注：若无，该条删除。正式标书删除红字内容）</w:t>
      </w:r>
    </w:p>
    <w:sectPr>
      <w:headerReference r:id="rId27" w:type="first"/>
      <w:footerReference r:id="rId2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5"/>
      </w:rPr>
    </w:pPr>
    <w:r>
      <w:fldChar w:fldCharType="begin"/>
    </w:r>
    <w:r>
      <w:rPr>
        <w:rStyle w:val="35"/>
      </w:rPr>
      <w:instrText xml:space="preserve">PAGE  </w:instrText>
    </w:r>
    <w:r>
      <w:fldChar w:fldCharType="end"/>
    </w:r>
  </w:p>
  <w:p>
    <w:pPr>
      <w:pStyle w:val="19"/>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19"/>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19"/>
      <w:jc w:val="center"/>
    </w:pPr>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right"/>
    </w:pPr>
    <w:r>
      <w:rPr>
        <w:rFonts w:hint="eastAsia"/>
      </w:rPr>
      <w:t>中国重型汽车集团</w:t>
    </w:r>
    <w:r>
      <w:rPr>
        <w:rFonts w:hint="eastAsia" w:ascii="Times New Roman" w:hAnsi="Times New Roman" w:eastAsia="宋体" w:cs="Times New Roman"/>
      </w:rPr>
      <w:t>集团数据中心2层新增精密空调项目</w:t>
    </w:r>
    <w:r>
      <w:rPr>
        <w:rFonts w:hint="eastAsia"/>
      </w:rPr>
      <w:t>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12" w:space="9"/>
      </w:pBdr>
      <w:ind w:firstLine="3960" w:firstLineChars="2200"/>
      <w:jc w:val="both"/>
    </w:pPr>
    <w:r>
      <w:rPr>
        <w:rFonts w:hint="eastAsia"/>
      </w:rPr>
      <w:t>中国重型汽车集团</w:t>
    </w:r>
    <w:r>
      <w:rPr>
        <w:rFonts w:hint="eastAsia"/>
        <w:lang w:eastAsia="zh-CN"/>
      </w:rPr>
      <w:t>2025年Hiwork存储扩容项目</w:t>
    </w:r>
    <w:r>
      <w:rPr>
        <w:rFonts w:hint="eastAsia"/>
      </w:rPr>
      <w:t>招标书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12" w:space="9"/>
      </w:pBdr>
      <w:ind w:firstLine="3960" w:firstLineChars="2200"/>
      <w:jc w:val="both"/>
    </w:pPr>
    <w:r>
      <w:rPr>
        <w:rFonts w:hint="eastAsia"/>
      </w:rPr>
      <w:t>中国重型汽车集团</w:t>
    </w:r>
    <w:r>
      <w:rPr>
        <w:rFonts w:hint="eastAsia" w:ascii="Times New Roman" w:hAnsi="Times New Roman" w:eastAsia="宋体" w:cs="Times New Roman"/>
      </w:rPr>
      <w:t>数据中心2层新增精密空调项目</w:t>
    </w:r>
    <w:r>
      <w:rPr>
        <w:rFonts w:hint="eastAsia"/>
      </w:rPr>
      <w:t>招标书</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8430C3B"/>
    <w:multiLevelType w:val="singleLevel"/>
    <w:tmpl w:val="98430C3B"/>
    <w:lvl w:ilvl="0" w:tentative="0">
      <w:start w:val="1"/>
      <w:numFmt w:val="decimal"/>
      <w:suff w:val="nothing"/>
      <w:lvlText w:val="%1、"/>
      <w:lvlJc w:val="left"/>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E692BBD5"/>
    <w:multiLevelType w:val="singleLevel"/>
    <w:tmpl w:val="E692BBD5"/>
    <w:lvl w:ilvl="0" w:tentative="0">
      <w:start w:val="1"/>
      <w:numFmt w:val="lowerLetter"/>
      <w:lvlText w:val="%1)"/>
      <w:lvlJc w:val="left"/>
      <w:pPr>
        <w:tabs>
          <w:tab w:val="left" w:pos="-108"/>
        </w:tabs>
        <w:ind w:left="-420"/>
      </w:pPr>
    </w:lvl>
  </w:abstractNum>
  <w:abstractNum w:abstractNumId="11">
    <w:nsid w:val="F9A847D2"/>
    <w:multiLevelType w:val="singleLevel"/>
    <w:tmpl w:val="F9A847D2"/>
    <w:lvl w:ilvl="0" w:tentative="0">
      <w:start w:val="1"/>
      <w:numFmt w:val="decimal"/>
      <w:suff w:val="nothing"/>
      <w:lvlText w:val="%1、"/>
      <w:lvlJc w:val="left"/>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20">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3"/>
  </w:num>
  <w:num w:numId="6">
    <w:abstractNumId w:val="14"/>
  </w:num>
  <w:num w:numId="7">
    <w:abstractNumId w:val="15"/>
  </w:num>
  <w:num w:numId="8">
    <w:abstractNumId w:val="22"/>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8"/>
  </w:num>
  <w:num w:numId="12">
    <w:abstractNumId w:val="5"/>
  </w:num>
  <w:num w:numId="13">
    <w:abstractNumId w:val="0"/>
  </w:num>
  <w:num w:numId="14">
    <w:abstractNumId w:val="2"/>
  </w:num>
  <w:num w:numId="15">
    <w:abstractNumId w:val="24"/>
  </w:num>
  <w:num w:numId="16">
    <w:abstractNumId w:val="26"/>
  </w:num>
  <w:num w:numId="17">
    <w:abstractNumId w:val="16"/>
  </w:num>
  <w:num w:numId="18">
    <w:abstractNumId w:val="8"/>
  </w:num>
  <w:num w:numId="19">
    <w:abstractNumId w:val="4"/>
  </w:num>
  <w:num w:numId="20">
    <w:abstractNumId w:val="1"/>
  </w:num>
  <w:num w:numId="21">
    <w:abstractNumId w:val="6"/>
  </w:num>
  <w:num w:numId="22">
    <w:abstractNumId w:val="12"/>
  </w:num>
  <w:num w:numId="23">
    <w:abstractNumId w:val="9"/>
  </w:num>
  <w:num w:numId="24">
    <w:abstractNumId w:val="19"/>
  </w:num>
  <w:num w:numId="25">
    <w:abstractNumId w:val="17"/>
  </w:num>
  <w:num w:numId="26">
    <w:abstractNumId w:val="10"/>
  </w:num>
  <w:num w:numId="27">
    <w:abstractNumId w:val="11"/>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87A22"/>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2DAD"/>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2E34"/>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62C"/>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04D0"/>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6A0398A"/>
    <w:rsid w:val="08633479"/>
    <w:rsid w:val="09096A5A"/>
    <w:rsid w:val="0CB51572"/>
    <w:rsid w:val="0E386AE9"/>
    <w:rsid w:val="0E4D31E3"/>
    <w:rsid w:val="10DC2AA3"/>
    <w:rsid w:val="10FA7C8C"/>
    <w:rsid w:val="130B198F"/>
    <w:rsid w:val="16A918E4"/>
    <w:rsid w:val="17D966D6"/>
    <w:rsid w:val="1BC71D3B"/>
    <w:rsid w:val="1C59115B"/>
    <w:rsid w:val="1ED7245A"/>
    <w:rsid w:val="1FB23E60"/>
    <w:rsid w:val="22726D9C"/>
    <w:rsid w:val="22B57588"/>
    <w:rsid w:val="22C5630B"/>
    <w:rsid w:val="23EC0BA6"/>
    <w:rsid w:val="24701A48"/>
    <w:rsid w:val="268B0052"/>
    <w:rsid w:val="27743C90"/>
    <w:rsid w:val="29CA2459"/>
    <w:rsid w:val="2B271A58"/>
    <w:rsid w:val="2B6304A7"/>
    <w:rsid w:val="2BD44A00"/>
    <w:rsid w:val="2C2F3A25"/>
    <w:rsid w:val="2CF6734C"/>
    <w:rsid w:val="2D663463"/>
    <w:rsid w:val="2EF96EE4"/>
    <w:rsid w:val="36254FE4"/>
    <w:rsid w:val="372F61E0"/>
    <w:rsid w:val="39322FCA"/>
    <w:rsid w:val="3AB90991"/>
    <w:rsid w:val="3B706131"/>
    <w:rsid w:val="3D9C3869"/>
    <w:rsid w:val="3E6F041E"/>
    <w:rsid w:val="3EAE7A24"/>
    <w:rsid w:val="4275481E"/>
    <w:rsid w:val="428B617A"/>
    <w:rsid w:val="433D7BDC"/>
    <w:rsid w:val="43652FE2"/>
    <w:rsid w:val="437E1813"/>
    <w:rsid w:val="45BD47FC"/>
    <w:rsid w:val="45CC5FB2"/>
    <w:rsid w:val="46B75BA8"/>
    <w:rsid w:val="488804C5"/>
    <w:rsid w:val="48C97955"/>
    <w:rsid w:val="49880C8F"/>
    <w:rsid w:val="4A8835F7"/>
    <w:rsid w:val="4B592E71"/>
    <w:rsid w:val="52B9239A"/>
    <w:rsid w:val="54BD78FD"/>
    <w:rsid w:val="57684B46"/>
    <w:rsid w:val="58246094"/>
    <w:rsid w:val="58A86DDE"/>
    <w:rsid w:val="59154AD7"/>
    <w:rsid w:val="5ADF548D"/>
    <w:rsid w:val="5CAA1B60"/>
    <w:rsid w:val="5D5C60B4"/>
    <w:rsid w:val="5F13177E"/>
    <w:rsid w:val="61A04895"/>
    <w:rsid w:val="63F04A69"/>
    <w:rsid w:val="65EB0BAB"/>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83B73D7"/>
    <w:rsid w:val="7CB93F8E"/>
    <w:rsid w:val="7CF66B46"/>
    <w:rsid w:val="7D072223"/>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4"/>
    <w:semiHidden/>
    <w:qFormat/>
    <w:uiPriority w:val="0"/>
    <w:pPr>
      <w:keepNext/>
      <w:keepLines/>
      <w:spacing w:line="416" w:lineRule="auto"/>
      <w:outlineLvl w:val="2"/>
    </w:pPr>
    <w:rPr>
      <w:b/>
      <w:bCs/>
      <w:sz w:val="32"/>
      <w:szCs w:val="32"/>
    </w:rPr>
  </w:style>
  <w:style w:type="paragraph" w:styleId="6">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1"/>
    <w:qFormat/>
    <w:uiPriority w:val="0"/>
    <w:rPr>
      <w:rFonts w:ascii="宋体" w:hAnsi="Courier New"/>
    </w:rPr>
  </w:style>
  <w:style w:type="paragraph" w:styleId="8">
    <w:name w:val="E-mail Signature"/>
    <w:basedOn w:val="1"/>
    <w:link w:val="105"/>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6"/>
    <w:qFormat/>
    <w:uiPriority w:val="99"/>
    <w:pPr>
      <w:jc w:val="left"/>
    </w:pPr>
  </w:style>
  <w:style w:type="paragraph" w:styleId="1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link w:val="42"/>
    <w:semiHidden/>
    <w:qFormat/>
    <w:uiPriority w:val="98"/>
    <w:rPr>
      <w:rFonts w:ascii="仿宋_GB2312" w:eastAsia="仿宋_GB2312"/>
      <w:sz w:val="32"/>
    </w:rPr>
  </w:style>
  <w:style w:type="paragraph" w:styleId="14">
    <w:name w:val="Body Text Indent"/>
    <w:basedOn w:val="1"/>
    <w:next w:val="1"/>
    <w:link w:val="49"/>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1"/>
    <w:next w:val="11"/>
    <w:link w:val="54"/>
    <w:semiHidden/>
    <w:qFormat/>
    <w:uiPriority w:val="98"/>
    <w:rPr>
      <w:b/>
      <w:bCs/>
    </w:rPr>
  </w:style>
  <w:style w:type="paragraph" w:styleId="30">
    <w:name w:val="Body Text First Indent 2"/>
    <w:basedOn w:val="14"/>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3"/>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5"/>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1"/>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4"/>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2"/>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3"/>
    <w:semiHidden/>
    <w:qFormat/>
    <w:uiPriority w:val="0"/>
    <w:rPr>
      <w:b/>
      <w:bCs/>
      <w:kern w:val="44"/>
      <w:sz w:val="44"/>
      <w:szCs w:val="44"/>
    </w:rPr>
  </w:style>
  <w:style w:type="paragraph" w:customStyle="1" w:styleId="69">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4"/>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2"/>
    <w:qFormat/>
    <w:uiPriority w:val="0"/>
    <w:pPr>
      <w:spacing w:line="360" w:lineRule="auto"/>
      <w:jc w:val="center"/>
      <w:outlineLvl w:val="0"/>
    </w:pPr>
    <w:rPr>
      <w:rFonts w:ascii="黑体" w:eastAsia="黑体"/>
      <w:b/>
      <w:bCs/>
      <w:sz w:val="36"/>
      <w:szCs w:val="36"/>
    </w:rPr>
  </w:style>
  <w:style w:type="paragraph" w:customStyle="1" w:styleId="73">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2"/>
    <w:qFormat/>
    <w:uiPriority w:val="2"/>
    <w:pPr>
      <w:numPr>
        <w:ilvl w:val="0"/>
        <w:numId w:val="3"/>
      </w:numPr>
      <w:spacing w:line="360" w:lineRule="auto"/>
      <w:outlineLvl w:val="2"/>
    </w:pPr>
    <w:rPr>
      <w:b/>
    </w:rPr>
  </w:style>
  <w:style w:type="paragraph" w:customStyle="1" w:styleId="75">
    <w:name w:val="3级标题"/>
    <w:basedOn w:val="2"/>
    <w:link w:val="103"/>
    <w:qFormat/>
    <w:uiPriority w:val="3"/>
    <w:pPr>
      <w:numPr>
        <w:ilvl w:val="0"/>
        <w:numId w:val="4"/>
      </w:numPr>
      <w:spacing w:line="360" w:lineRule="auto"/>
      <w:outlineLvl w:val="3"/>
    </w:pPr>
    <w:rPr>
      <w:b/>
    </w:rPr>
  </w:style>
  <w:style w:type="paragraph" w:customStyle="1" w:styleId="76">
    <w:name w:val="（4）级标题"/>
    <w:basedOn w:val="2"/>
    <w:qFormat/>
    <w:uiPriority w:val="8"/>
    <w:pPr>
      <w:numPr>
        <w:ilvl w:val="0"/>
        <w:numId w:val="5"/>
      </w:numPr>
      <w:spacing w:line="360" w:lineRule="auto"/>
      <w:outlineLvl w:val="4"/>
    </w:pPr>
  </w:style>
  <w:style w:type="paragraph" w:customStyle="1" w:styleId="77">
    <w:name w:val="标书正文"/>
    <w:basedOn w:val="2"/>
    <w:link w:val="98"/>
    <w:qFormat/>
    <w:uiPriority w:val="9"/>
    <w:pPr>
      <w:spacing w:line="360" w:lineRule="auto"/>
      <w:jc w:val="left"/>
    </w:pPr>
  </w:style>
  <w:style w:type="character" w:customStyle="1" w:styleId="78">
    <w:name w:val="标题 4 字符"/>
    <w:basedOn w:val="33"/>
    <w:link w:val="6"/>
    <w:semiHidden/>
    <w:qFormat/>
    <w:uiPriority w:val="0"/>
    <w:rPr>
      <w:rFonts w:ascii="Arial" w:hAnsi="Arial"/>
      <w:b/>
      <w:bCs/>
      <w:kern w:val="2"/>
      <w:sz w:val="21"/>
      <w:szCs w:val="28"/>
    </w:rPr>
  </w:style>
  <w:style w:type="character" w:customStyle="1" w:styleId="79">
    <w:name w:val="标题 5 字符"/>
    <w:basedOn w:val="33"/>
    <w:link w:val="7"/>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0"/>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不明显强调1"/>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8"/>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HR正文表格"/>
    <w:basedOn w:val="1"/>
    <w:qFormat/>
    <w:uiPriority w:val="0"/>
    <w:pPr>
      <w:spacing w:beforeLines="25" w:afterLines="25" w:line="300" w:lineRule="auto"/>
    </w:pPr>
    <w:rPr>
      <w:szCs w:val="24"/>
    </w:rPr>
  </w:style>
  <w:style w:type="paragraph" w:customStyle="1" w:styleId="113">
    <w:name w:val="Table Paragraph"/>
    <w:basedOn w:val="1"/>
    <w:qFormat/>
    <w:uiPriority w:val="1"/>
    <w:rPr>
      <w:rFonts w:ascii="Calibri" w:hAnsi="Calibri" w:eastAsia="宋体" w:cs="Times New Roman"/>
      <w:szCs w:val="22"/>
    </w:rPr>
  </w:style>
  <w:style w:type="table" w:customStyle="1" w:styleId="11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16.png"/><Relationship Id="rId46" Type="http://schemas.openxmlformats.org/officeDocument/2006/relationships/image" Target="media/image15.png"/><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footer" Target="footer1.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emf"/><Relationship Id="rId33" Type="http://schemas.openxmlformats.org/officeDocument/2006/relationships/oleObject" Target="embeddings/oleObject2.bin"/><Relationship Id="rId32" Type="http://schemas.openxmlformats.org/officeDocument/2006/relationships/image" Target="media/image2.emf"/><Relationship Id="rId31" Type="http://schemas.openxmlformats.org/officeDocument/2006/relationships/oleObject" Target="embeddings/oleObject1.bin"/><Relationship Id="rId30" Type="http://schemas.openxmlformats.org/officeDocument/2006/relationships/image" Target="media/image1.jpe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22.xml"/><Relationship Id="rId27" Type="http://schemas.openxmlformats.org/officeDocument/2006/relationships/header" Target="header4.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40</Pages>
  <Words>4551</Words>
  <Characters>4713</Characters>
  <Lines>64</Lines>
  <Paragraphs>18</Paragraphs>
  <TotalTime>20</TotalTime>
  <ScaleCrop>false</ScaleCrop>
  <LinksUpToDate>false</LinksUpToDate>
  <CharactersWithSpaces>4785</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赵力</cp:lastModifiedBy>
  <cp:lastPrinted>2020-06-28T02:28:00Z</cp:lastPrinted>
  <dcterms:modified xsi:type="dcterms:W3CDTF">2025-09-30T03:08:02Z</dcterms:modified>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C4E667CF26604F52AD561790FE42A8A8_13</vt:lpwstr>
  </property>
  <property fmtid="{D5CDD505-2E9C-101B-9397-08002B2CF9AE}" pid="4" name="KSOTemplateDocerSaveRecord">
    <vt:lpwstr>eyJoZGlkIjoiMzdmYTYwZTc0ZTVkOWQ2NzAwMGQ5MDhjMjA2YjQyZDQiLCJ1c2VySWQiOiIxNDkxNjQ1MjA1In0=</vt:lpwstr>
  </property>
</Properties>
</file>