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p>
    <w:p>
      <w:pPr>
        <w:spacing w:line="276" w:lineRule="auto"/>
        <w:jc w:val="center"/>
        <w:rPr>
          <w:rFonts w:hint="eastAsia" w:ascii="Calibri" w:hAnsi="宋体" w:eastAsia="宋体" w:cs="Times New Roman"/>
          <w:b/>
          <w:bCs/>
          <w:color w:val="000000"/>
          <w:spacing w:val="-8"/>
          <w:sz w:val="48"/>
          <w:szCs w:val="44"/>
          <w:highlight w:val="red"/>
          <w:lang w:eastAsia="zh-CN"/>
        </w:rPr>
      </w:pPr>
      <w:r>
        <w:rPr>
          <w:rFonts w:hint="eastAsia" w:ascii="Calibri" w:hAnsi="宋体" w:eastAsia="宋体" w:cs="Times New Roman"/>
          <w:b/>
          <w:bCs/>
          <w:color w:val="000000"/>
          <w:spacing w:val="-8"/>
          <w:sz w:val="48"/>
          <w:szCs w:val="44"/>
          <w:highlight w:val="none"/>
          <w:lang w:eastAsia="zh-CN"/>
        </w:rPr>
        <w:t>中国重汽集团济南商用车有限公司</w:t>
      </w:r>
    </w:p>
    <w:p>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val="en-US" w:eastAsia="zh-CN"/>
        </w:rPr>
        <w:t>轻卡制造公司</w:t>
      </w:r>
      <w:bookmarkStart w:id="108" w:name="_GoBack"/>
      <w:bookmarkEnd w:id="108"/>
      <w:r>
        <w:rPr>
          <w:rFonts w:hint="eastAsia" w:ascii="Calibri" w:hAnsi="宋体" w:eastAsia="宋体" w:cs="Times New Roman"/>
          <w:b/>
          <w:bCs/>
          <w:color w:val="000000"/>
          <w:spacing w:val="-8"/>
          <w:sz w:val="48"/>
          <w:szCs w:val="44"/>
          <w:lang w:eastAsia="zh-CN"/>
        </w:rPr>
        <w:t>新能源加注机技改项目</w:t>
      </w:r>
    </w:p>
    <w:p>
      <w:pPr>
        <w:pStyle w:val="40"/>
      </w:pPr>
    </w:p>
    <w:p>
      <w:pPr>
        <w:pStyle w:val="40"/>
      </w:pPr>
    </w:p>
    <w:p>
      <w:pPr>
        <w:pStyle w:val="40"/>
      </w:pPr>
    </w:p>
    <w:p>
      <w:pPr>
        <w:pStyle w:val="40"/>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pStyle w:val="40"/>
        <w:rPr>
          <w:b/>
          <w:bCs/>
        </w:rPr>
      </w:pPr>
    </w:p>
    <w:p>
      <w:pPr>
        <w:jc w:val="center"/>
        <w:rPr>
          <w:rFonts w:hint="eastAsia" w:ascii="宋体" w:hAnsi="Calibri" w:eastAsia="宋体" w:cs="Times New Roman"/>
          <w:color w:val="000000"/>
          <w:sz w:val="28"/>
          <w:szCs w:val="28"/>
          <w:lang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lang w:eastAsia="zh-CN"/>
        </w:rPr>
        <w:t>中国重汽集团济南商用车有限公司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2025年</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52"/>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52"/>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52"/>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52"/>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52"/>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pPr>
            <w:pStyle w:val="52"/>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pPr>
            <w:pStyle w:val="4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40"/>
        <w:numPr>
          <w:ilvl w:val="0"/>
          <w:numId w:val="8"/>
        </w:numPr>
        <w:jc w:val="center"/>
        <w:outlineLvl w:val="0"/>
        <w:rPr>
          <w:rFonts w:ascii="Calibri" w:hAnsi="Calibri" w:eastAsia="宋体" w:cs="Times New Roman"/>
          <w:b/>
          <w:bCs/>
          <w:kern w:val="44"/>
          <w:sz w:val="36"/>
          <w:szCs w:val="44"/>
        </w:rPr>
      </w:pPr>
      <w:bookmarkStart w:id="0" w:name="_Toc25915"/>
      <w:r>
        <w:rPr>
          <w:rFonts w:hint="eastAsia" w:ascii="Calibri" w:hAnsi="Calibri" w:eastAsia="宋体" w:cs="Times New Roman"/>
          <w:b/>
          <w:bCs/>
          <w:kern w:val="44"/>
          <w:sz w:val="36"/>
          <w:szCs w:val="44"/>
        </w:rPr>
        <w:t xml:space="preserve"> 投标须知前附表</w:t>
      </w:r>
      <w:bookmarkEnd w:id="0"/>
    </w:p>
    <w:p>
      <w:pPr>
        <w:pStyle w:val="4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7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351"/>
                <w:rFonts w:ascii="宋体" w:hAnsi="宋体" w:eastAsia="宋体" w:cs="宋体"/>
                <w:b/>
                <w:sz w:val="28"/>
                <w:szCs w:val="28"/>
              </w:rPr>
            </w:pPr>
            <w:bookmarkStart w:id="1" w:name="_Toc346372875"/>
            <w:r>
              <w:rPr>
                <w:rStyle w:val="35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35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项目名称：济南轻卡制造公司新能源加注机技改项目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highlight w:val="yellow"/>
                <w:shd w:val="clear" w:fill="FFFFFF" w:themeFill="background1"/>
              </w:rPr>
              <w:t>采购形式编号：</w:t>
            </w:r>
            <w:r>
              <w:rPr>
                <w:rFonts w:hint="eastAsia" w:ascii="宋体" w:hAnsi="宋体" w:eastAsia="宋体" w:cs="宋体"/>
                <w:sz w:val="24"/>
                <w:szCs w:val="24"/>
                <w:highlight w:val="yellow"/>
                <w:u w:val="single"/>
                <w:shd w:val="clear" w:fill="FFFFFF" w:themeFill="background1"/>
                <w:lang w:val="en-US" w:eastAsia="zh-CN"/>
              </w:rPr>
              <w:t xml:space="preserve"> CGZX2025080071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lang w:val="en-US" w:eastAsia="zh-CN"/>
              </w:rPr>
              <w:t>采购1台防冻液真空加注机以及1台冷媒真空加注机。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yellow"/>
              </w:rPr>
            </w:pPr>
            <w:r>
              <w:rPr>
                <w:rFonts w:hint="eastAsia" w:ascii="宋体" w:hAnsi="宋体" w:eastAsia="宋体" w:cs="宋体"/>
                <w:b/>
                <w:snapToGrid w:val="0"/>
                <w:kern w:val="0"/>
                <w:sz w:val="24"/>
                <w:szCs w:val="24"/>
                <w:highlight w:val="yellow"/>
              </w:rPr>
              <w:t>招标人名称：</w:t>
            </w:r>
            <w:r>
              <w:rPr>
                <w:rFonts w:hint="eastAsia" w:ascii="宋体" w:hAnsi="宋体" w:eastAsia="宋体" w:cs="宋体"/>
                <w:sz w:val="24"/>
                <w:szCs w:val="24"/>
                <w:highlight w:val="yellow"/>
                <w:u w:val="single"/>
              </w:rPr>
              <w:t>中国重汽集团济南动力有限公司</w:t>
            </w:r>
            <w:r>
              <w:rPr>
                <w:rFonts w:hint="eastAsia" w:ascii="宋体" w:hAnsi="宋体" w:eastAsia="宋体" w:cs="宋体"/>
                <w:bCs/>
                <w:snapToGrid w:val="0"/>
                <w:kern w:val="0"/>
                <w:sz w:val="24"/>
                <w:szCs w:val="24"/>
                <w:highlight w:val="yellow"/>
              </w:rPr>
              <w:t xml:space="preserve"> </w:t>
            </w:r>
          </w:p>
          <w:p>
            <w:pPr>
              <w:ind w:firstLine="482" w:firstLineChars="200"/>
              <w:rPr>
                <w:rFonts w:ascii="宋体" w:hAnsi="宋体" w:eastAsia="宋体" w:cs="宋体"/>
                <w:sz w:val="24"/>
                <w:szCs w:val="24"/>
                <w:highlight w:val="yellow"/>
              </w:rPr>
            </w:pPr>
            <w:r>
              <w:rPr>
                <w:rFonts w:hint="eastAsia" w:ascii="宋体" w:hAnsi="宋体" w:eastAsia="宋体" w:cs="宋体"/>
                <w:b/>
                <w:snapToGrid w:val="0"/>
                <w:kern w:val="0"/>
                <w:sz w:val="24"/>
                <w:szCs w:val="24"/>
                <w:highlight w:val="yellow"/>
              </w:rPr>
              <w:t>招标人地址：</w:t>
            </w:r>
            <w:r>
              <w:rPr>
                <w:rFonts w:hint="eastAsia" w:ascii="宋体" w:hAnsi="宋体" w:eastAsia="宋体" w:cs="宋体"/>
                <w:sz w:val="24"/>
                <w:szCs w:val="24"/>
                <w:highlight w:val="yellow"/>
                <w:u w:val="single"/>
              </w:rPr>
              <w:t xml:space="preserve">济南市历城区华奥路777号 </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eastAsia="zh-CN"/>
              </w:rPr>
              <w:t>：</w:t>
            </w:r>
            <w:r>
              <w:rPr>
                <w:rFonts w:hint="eastAsia" w:ascii="宋体" w:hAnsi="宋体" w:eastAsia="宋体" w:cs="宋体"/>
                <w:b w:val="0"/>
                <w:bCs/>
                <w:snapToGrid w:val="0"/>
                <w:kern w:val="0"/>
                <w:sz w:val="24"/>
                <w:szCs w:val="24"/>
                <w:highlight w:val="yellow"/>
                <w:lang w:val="en-US" w:eastAsia="zh-CN"/>
              </w:rPr>
              <w:t>杨淑超</w:t>
            </w:r>
          </w:p>
          <w:p>
            <w:pPr>
              <w:pStyle w:val="40"/>
              <w:ind w:firstLine="482" w:firstLineChars="200"/>
              <w:rPr>
                <w:rFonts w:hint="default" w:eastAsia="宋体"/>
                <w:b w:val="0"/>
                <w:bCs/>
                <w:highlight w:val="yellow"/>
                <w:lang w:val="en-US" w:eastAsia="zh-CN"/>
              </w:rPr>
            </w:pPr>
            <w:r>
              <w:rPr>
                <w:rFonts w:hint="eastAsia" w:hAnsi="宋体" w:eastAsia="宋体" w:cs="宋体"/>
                <w:b/>
                <w:snapToGrid w:val="0"/>
                <w:kern w:val="0"/>
                <w:sz w:val="24"/>
                <w:szCs w:val="24"/>
                <w:highlight w:val="yellow"/>
              </w:rPr>
              <w:t>电话：</w:t>
            </w:r>
            <w:r>
              <w:rPr>
                <w:rFonts w:hint="eastAsia" w:hAnsi="宋体" w:cs="宋体"/>
                <w:b w:val="0"/>
                <w:bCs/>
                <w:snapToGrid w:val="0"/>
                <w:kern w:val="0"/>
                <w:sz w:val="24"/>
                <w:szCs w:val="24"/>
                <w:highlight w:val="yellow"/>
                <w:lang w:val="en-US" w:eastAsia="zh-CN"/>
              </w:rPr>
              <w:t>18525373795</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邮箱：</w:t>
            </w:r>
            <w:r>
              <w:rPr>
                <w:rFonts w:hint="eastAsia" w:ascii="宋体" w:hAnsi="宋体" w:eastAsia="宋体" w:cs="宋体"/>
                <w:b w:val="0"/>
                <w:bCs/>
                <w:snapToGrid w:val="0"/>
                <w:kern w:val="0"/>
                <w:sz w:val="24"/>
                <w:szCs w:val="24"/>
                <w:highlight w:val="yellow"/>
                <w:lang w:val="en-US" w:eastAsia="zh-CN"/>
              </w:rPr>
              <w:t>yangshuchao@sinotruk.com</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技术联系人：</w:t>
            </w:r>
            <w:r>
              <w:rPr>
                <w:rFonts w:hint="eastAsia" w:ascii="宋体" w:hAnsi="宋体" w:eastAsia="宋体" w:cs="宋体"/>
                <w:b w:val="0"/>
                <w:bCs/>
                <w:snapToGrid w:val="0"/>
                <w:kern w:val="0"/>
                <w:sz w:val="24"/>
                <w:szCs w:val="24"/>
                <w:highlight w:val="yellow"/>
                <w:lang w:val="en-US" w:eastAsia="zh-CN"/>
              </w:rPr>
              <w:t>陈琦琦</w:t>
            </w:r>
          </w:p>
          <w:p>
            <w:pPr>
              <w:ind w:firstLine="482" w:firstLineChars="200"/>
              <w:rPr>
                <w:rFonts w:hint="eastAsia" w:hAnsi="宋体" w:eastAsia="宋体" w:cs="宋体"/>
                <w:b/>
                <w:snapToGrid w:val="0"/>
                <w:kern w:val="0"/>
                <w:sz w:val="24"/>
                <w:szCs w:val="24"/>
                <w:highlight w:val="yellow"/>
              </w:rPr>
            </w:pPr>
            <w:r>
              <w:rPr>
                <w:rFonts w:hint="eastAsia" w:hAnsi="宋体" w:eastAsia="宋体" w:cs="宋体"/>
                <w:b/>
                <w:snapToGrid w:val="0"/>
                <w:kern w:val="0"/>
                <w:sz w:val="24"/>
                <w:szCs w:val="24"/>
                <w:highlight w:val="yellow"/>
              </w:rPr>
              <w:t>电话：</w:t>
            </w:r>
            <w:r>
              <w:rPr>
                <w:rFonts w:hint="eastAsia" w:ascii="宋体" w:hAnsi="宋体" w:eastAsia="宋体" w:cs="宋体"/>
                <w:bCs/>
                <w:snapToGrid w:val="0"/>
                <w:kern w:val="0"/>
                <w:sz w:val="24"/>
                <w:szCs w:val="24"/>
                <w:highlight w:val="yellow"/>
                <w:lang w:val="en-US" w:eastAsia="zh-CN" w:bidi="ar-SA"/>
              </w:rPr>
              <w:t>18815311681</w:t>
            </w:r>
          </w:p>
          <w:p>
            <w:pPr>
              <w:ind w:firstLine="482" w:firstLineChars="200"/>
              <w:rPr>
                <w:rFonts w:hint="default"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yellow"/>
              </w:rPr>
              <w:t>邮箱：</w:t>
            </w:r>
            <w:r>
              <w:rPr>
                <w:rFonts w:hint="eastAsia" w:ascii="宋体" w:hAnsi="宋体" w:eastAsia="宋体" w:cs="宋体"/>
                <w:bCs/>
                <w:snapToGrid w:val="0"/>
                <w:kern w:val="0"/>
                <w:sz w:val="24"/>
                <w:szCs w:val="24"/>
                <w:highlight w:val="yellow"/>
                <w:lang w:val="en-US" w:eastAsia="zh-CN" w:bidi="ar-SA"/>
              </w:rPr>
              <w:t>chenqiqi@sinotruk.com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40"/>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w:t>
            </w:r>
            <w:r>
              <w:rPr>
                <w:rFonts w:hint="eastAsia" w:hAnsi="宋体" w:eastAsia="宋体" w:cs="Times New Roman"/>
                <w:color w:val="000000"/>
                <w:sz w:val="24"/>
                <w:szCs w:val="24"/>
                <w:highlight w:val="yellow"/>
              </w:rPr>
              <w:t>人民币</w:t>
            </w:r>
            <w:r>
              <w:rPr>
                <w:rFonts w:hint="eastAsia" w:hAnsi="宋体" w:eastAsia="宋体" w:cs="Times New Roman"/>
                <w:b/>
                <w:bCs/>
                <w:color w:val="000000"/>
                <w:sz w:val="24"/>
                <w:szCs w:val="24"/>
                <w:highlight w:val="yellow"/>
                <w:lang w:val="en-US" w:eastAsia="zh-CN"/>
              </w:rPr>
              <w:t>39.55</w:t>
            </w:r>
            <w:r>
              <w:rPr>
                <w:rFonts w:hint="eastAsia" w:hAnsi="宋体" w:eastAsia="宋体" w:cs="Times New Roman"/>
                <w:color w:val="000000"/>
                <w:sz w:val="24"/>
                <w:szCs w:val="24"/>
                <w:highlight w:val="yellow"/>
              </w:rPr>
              <w:t>万元（含税，税率13%）</w:t>
            </w:r>
            <w:r>
              <w:rPr>
                <w:rFonts w:hint="eastAsia" w:hAnsi="宋体" w:eastAsia="宋体" w:cs="Times New Roman"/>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4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rPr>
              <w:t>1.拟标投人必须是在中华人民共和国境内注册的独立法人机构，具有独立承担民事责任能力；注册资金不少于500万人民币（或等值其他货币）；公司成立三年以上（以营业执照成立日期到开标当日满三年为准），且经营范围</w:t>
            </w:r>
            <w:r>
              <w:rPr>
                <w:rFonts w:hint="eastAsia" w:hAnsi="宋体" w:eastAsia="宋体" w:cs="宋体"/>
                <w:color w:val="000000"/>
                <w:sz w:val="24"/>
                <w:szCs w:val="24"/>
                <w:lang w:val="en-US" w:eastAsia="zh-CN"/>
              </w:rPr>
              <w:t>符合项目要求。</w:t>
            </w:r>
            <w:r>
              <w:rPr>
                <w:rFonts w:hint="eastAsia" w:hAnsi="宋体" w:eastAsia="宋体" w:cs="宋体"/>
                <w:color w:val="000000"/>
                <w:sz w:val="24"/>
                <w:szCs w:val="24"/>
              </w:rPr>
              <w:t>并在人员、设备、资金等方面具有承担本项目的能力；</w:t>
            </w:r>
            <w:r>
              <w:rPr>
                <w:rFonts w:hint="eastAsia" w:hAnsi="宋体" w:eastAsia="宋体" w:cs="宋体"/>
                <w:color w:val="000000"/>
                <w:sz w:val="24"/>
                <w:szCs w:val="24"/>
                <w:lang w:val="en-US" w:eastAsia="zh-CN"/>
              </w:rPr>
              <w:t>且满足技术、质量、资金等要求，财务状况良好、经营稳定，具有全面履约的能力，能提供相关信用等级和完税证明的能力，能提供相关信用等级和完税证明。拟投标人为该标的物的设计和制造商或其在中国境内有完善的技术以及售后服务体系，该项目不允许代理商参标。</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4.拟投标人在“国家企业信用信息公示系统”、“中国执行信息公开网”“信用中国”、“天眼查”“裁判文书网”等信息平台中，无行政处罚及失信记录等信息；</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7.拟投标人</w:t>
            </w:r>
            <w:r>
              <w:rPr>
                <w:rFonts w:hint="eastAsia" w:hAnsi="宋体" w:eastAsia="宋体" w:cs="宋体"/>
                <w:color w:val="000000"/>
                <w:sz w:val="24"/>
                <w:szCs w:val="24"/>
                <w:lang w:val="en-US" w:eastAsia="zh-CN"/>
              </w:rPr>
              <w:t>2022年1月1日至今，</w:t>
            </w:r>
            <w:r>
              <w:rPr>
                <w:rFonts w:hint="eastAsia" w:hAnsi="宋体" w:eastAsia="宋体" w:cs="宋体"/>
                <w:color w:val="000000"/>
                <w:sz w:val="24"/>
                <w:szCs w:val="24"/>
              </w:rPr>
              <w:t>有与本次招标内容相同或类似项目业绩，且近3年内无因服务不当而造成重大事故；</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8.拟投标人近三年内在经营活动中无招标违规、谎报年度报告信息、提供虚假资质资料等行为或其他行政处罚记录；</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13.本项目不接受联合体投标，拟投标人必须是最终投标单位和签订合同单位，不得以任何理由将已中标项目以任何形式分包或转包给其他单位。</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14.</w:t>
            </w:r>
            <w:r>
              <w:rPr>
                <w:rFonts w:hint="eastAsia" w:hAnsi="宋体" w:eastAsia="宋体" w:cs="宋体"/>
                <w:color w:val="000000"/>
                <w:sz w:val="24"/>
                <w:szCs w:val="24"/>
              </w:rPr>
              <w:t>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highlight w:val="yellow"/>
                <w:lang w:val="en-US" w:eastAsia="zh-CN"/>
              </w:rPr>
              <w:t>计划</w:t>
            </w:r>
            <w:r>
              <w:rPr>
                <w:rFonts w:hint="eastAsia" w:ascii="宋体" w:hAnsi="宋体" w:eastAsia="宋体" w:cs="宋体"/>
                <w:b/>
                <w:bCs/>
                <w:sz w:val="24"/>
                <w:szCs w:val="24"/>
                <w:highlight w:val="yellow"/>
              </w:rPr>
              <w:t>发标时间：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08</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15</w:t>
            </w:r>
            <w:r>
              <w:rPr>
                <w:rFonts w:hint="eastAsia" w:ascii="宋体" w:hAnsi="宋体" w:cs="宋体"/>
                <w:sz w:val="24"/>
                <w:szCs w:val="24"/>
                <w:highlight w:val="yellow"/>
              </w:rPr>
              <w:t>日</w:t>
            </w:r>
            <w:r>
              <w:rPr>
                <w:rFonts w:hint="eastAsia" w:ascii="宋体" w:hAnsi="宋体" w:eastAsia="宋体" w:cs="宋体"/>
                <w:bCs/>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yellow"/>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sz w:val="24"/>
                <w:szCs w:val="24"/>
                <w:highlight w:val="yellow"/>
              </w:rPr>
            </w:pPr>
            <w:r>
              <w:rPr>
                <w:rFonts w:hint="eastAsia" w:ascii="宋体" w:hAnsi="宋体" w:eastAsia="宋体" w:cs="宋体"/>
                <w:b/>
                <w:bCs/>
                <w:sz w:val="24"/>
                <w:szCs w:val="24"/>
                <w:highlight w:val="yellow"/>
              </w:rPr>
              <w:t>提交疑问时间：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08</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29</w:t>
            </w:r>
            <w:r>
              <w:rPr>
                <w:rFonts w:hint="eastAsia" w:ascii="宋体" w:hAnsi="宋体" w:cs="宋体"/>
                <w:sz w:val="24"/>
                <w:szCs w:val="24"/>
                <w:highlight w:val="yellow"/>
              </w:rPr>
              <w:t>日</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highlight w:val="yellow"/>
              </w:rPr>
              <w:t>领取答疑、澄清和修改文件时间：2025年</w:t>
            </w:r>
            <w:r>
              <w:rPr>
                <w:rFonts w:hint="eastAsia" w:ascii="宋体" w:hAnsi="宋体" w:eastAsia="宋体" w:cs="宋体"/>
                <w:sz w:val="24"/>
                <w:szCs w:val="24"/>
                <w:highlight w:val="yellow"/>
                <w:lang w:val="en-US" w:eastAsia="zh-CN"/>
              </w:rPr>
              <w:t>08</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29</w:t>
            </w:r>
            <w:r>
              <w:rPr>
                <w:rFonts w:hint="eastAsia" w:ascii="宋体" w:hAnsi="宋体" w:cs="宋体"/>
                <w:sz w:val="24"/>
                <w:szCs w:val="24"/>
                <w:highlight w:val="yellow"/>
              </w:rPr>
              <w:t>日</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:00前；</w:t>
            </w:r>
          </w:p>
          <w:p>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352"/>
              <w:spacing w:line="240" w:lineRule="auto"/>
              <w:ind w:firstLine="482"/>
              <w:rPr>
                <w:rFonts w:hint="default" w:eastAsia="宋体" w:cs="宋体"/>
                <w:highlight w:val="yellow"/>
                <w:lang w:val="en-US"/>
              </w:rPr>
            </w:pPr>
            <w:r>
              <w:rPr>
                <w:rFonts w:hint="eastAsia" w:eastAsia="宋体" w:cs="宋体"/>
                <w:b/>
                <w:bCs/>
                <w:highlight w:val="yellow"/>
              </w:rPr>
              <w:t>应标截止时间：</w:t>
            </w:r>
            <w:r>
              <w:rPr>
                <w:rFonts w:hint="eastAsia" w:ascii="宋体" w:hAnsi="宋体" w:eastAsia="宋体" w:cs="宋体"/>
                <w:sz w:val="24"/>
                <w:szCs w:val="24"/>
                <w:highlight w:val="yellow"/>
              </w:rPr>
              <w:t>2025年</w:t>
            </w:r>
            <w:r>
              <w:rPr>
                <w:rFonts w:hint="eastAsia" w:cs="宋体"/>
                <w:sz w:val="24"/>
                <w:szCs w:val="24"/>
                <w:highlight w:val="yellow"/>
                <w:lang w:val="en-US" w:eastAsia="zh-CN"/>
              </w:rPr>
              <w:t>08</w:t>
            </w:r>
            <w:r>
              <w:rPr>
                <w:rFonts w:hint="eastAsia" w:ascii="宋体" w:hAnsi="宋体" w:eastAsia="宋体" w:cs="宋体"/>
                <w:sz w:val="24"/>
                <w:szCs w:val="24"/>
                <w:highlight w:val="yellow"/>
              </w:rPr>
              <w:t>月</w:t>
            </w:r>
            <w:r>
              <w:rPr>
                <w:rFonts w:hint="eastAsia" w:cs="宋体"/>
                <w:sz w:val="24"/>
                <w:szCs w:val="24"/>
                <w:highlight w:val="yellow"/>
                <w:lang w:val="en-US" w:eastAsia="zh-CN"/>
              </w:rPr>
              <w:t>29</w:t>
            </w:r>
            <w:r>
              <w:rPr>
                <w:rFonts w:hint="eastAsia" w:ascii="宋体" w:hAnsi="宋体" w:cs="宋体"/>
                <w:sz w:val="24"/>
                <w:szCs w:val="24"/>
                <w:highlight w:val="yellow"/>
              </w:rPr>
              <w:t>日</w:t>
            </w:r>
            <w:r>
              <w:rPr>
                <w:rFonts w:hint="eastAsia" w:cs="宋体"/>
                <w:sz w:val="24"/>
                <w:szCs w:val="24"/>
                <w:highlight w:val="yellow"/>
                <w:lang w:val="en-US" w:eastAsia="zh-CN"/>
              </w:rPr>
              <w:t>17时00分00秒；</w:t>
            </w:r>
          </w:p>
          <w:p>
            <w:pPr>
              <w:pStyle w:val="352"/>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正本一份，副本二份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pPr>
              <w:pStyle w:val="4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pPr>
              <w:pStyle w:val="40"/>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pPr>
              <w:pStyle w:val="4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ascii="宋体" w:hAnsi="宋体" w:eastAsia="宋体" w:cs="宋体"/>
                <w:sz w:val="24"/>
                <w:szCs w:val="24"/>
              </w:rPr>
              <w:t>山东省济南市章丘区潘王路东园区十一号路北，重汽（济南）轻卡有限公司</w:t>
            </w:r>
          </w:p>
          <w:p>
            <w:pPr>
              <w:pStyle w:val="4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rPr>
              <w:t>喻新/17398245138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30"/>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40"/>
              <w:ind w:firstLine="482" w:firstLineChars="20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int="eastAsia" w:hAnsi="宋体" w:eastAsia="宋体" w:cs="宋体"/>
                <w:sz w:val="24"/>
                <w:szCs w:val="24"/>
                <w:highlight w:val="yellow"/>
                <w:lang w:eastAsia="zh-CN"/>
              </w:rPr>
            </w:pPr>
            <w:r>
              <w:rPr>
                <w:rFonts w:hint="eastAsia" w:hAnsi="宋体" w:eastAsia="宋体" w:cs="宋体"/>
                <w:b/>
                <w:bCs/>
                <w:sz w:val="24"/>
                <w:szCs w:val="24"/>
                <w:highlight w:val="yellow"/>
              </w:rPr>
              <w:t>投标文件递交截止时间：</w:t>
            </w:r>
            <w:r>
              <w:rPr>
                <w:rFonts w:hint="eastAsia" w:ascii="宋体" w:hAnsi="宋体" w:eastAsia="宋体" w:cs="宋体"/>
                <w:sz w:val="24"/>
                <w:szCs w:val="24"/>
                <w:highlight w:val="yellow"/>
              </w:rPr>
              <w:t>2025年</w:t>
            </w:r>
            <w:r>
              <w:rPr>
                <w:rFonts w:hint="eastAsia" w:hAnsi="宋体" w:cs="宋体"/>
                <w:sz w:val="24"/>
                <w:szCs w:val="24"/>
                <w:highlight w:val="yellow"/>
                <w:lang w:val="en-US" w:eastAsia="zh-CN"/>
              </w:rPr>
              <w:t>09</w:t>
            </w:r>
            <w:r>
              <w:rPr>
                <w:rFonts w:hint="eastAsia" w:ascii="宋体" w:hAnsi="宋体" w:eastAsia="宋体" w:cs="宋体"/>
                <w:sz w:val="24"/>
                <w:szCs w:val="24"/>
                <w:highlight w:val="yellow"/>
              </w:rPr>
              <w:t>月</w:t>
            </w:r>
            <w:r>
              <w:rPr>
                <w:rFonts w:hint="eastAsia" w:hAnsi="宋体" w:cs="宋体"/>
                <w:sz w:val="24"/>
                <w:szCs w:val="24"/>
                <w:highlight w:val="yellow"/>
                <w:lang w:val="en-US" w:eastAsia="zh-CN"/>
              </w:rPr>
              <w:t>01</w:t>
            </w:r>
            <w:r>
              <w:rPr>
                <w:rFonts w:hint="eastAsia" w:ascii="宋体" w:hAnsi="宋体" w:cs="宋体"/>
                <w:sz w:val="24"/>
                <w:szCs w:val="24"/>
                <w:highlight w:val="yellow"/>
              </w:rPr>
              <w:t>日</w:t>
            </w:r>
            <w:r>
              <w:rPr>
                <w:rFonts w:hint="eastAsia" w:hAnsi="宋体" w:cs="宋体"/>
                <w:kern w:val="0"/>
                <w:sz w:val="24"/>
                <w:szCs w:val="24"/>
                <w:highlight w:val="yellow"/>
                <w:lang w:val="en-US" w:eastAsia="zh-CN"/>
              </w:rPr>
              <w:t>8</w:t>
            </w:r>
            <w:r>
              <w:rPr>
                <w:rFonts w:hint="eastAsia" w:hAnsi="宋体" w:eastAsia="宋体" w:cs="宋体"/>
                <w:sz w:val="24"/>
                <w:szCs w:val="24"/>
                <w:highlight w:val="yellow"/>
              </w:rPr>
              <w:t>:00</w:t>
            </w:r>
            <w:r>
              <w:rPr>
                <w:rFonts w:hint="eastAsia" w:hAnsi="宋体" w:cs="宋体"/>
                <w:sz w:val="24"/>
                <w:szCs w:val="24"/>
                <w:highlight w:val="yellow"/>
                <w:lang w:val="en-US" w:eastAsia="zh-CN"/>
              </w:rPr>
              <w:t>前</w:t>
            </w:r>
          </w:p>
          <w:p>
            <w:pPr>
              <w:pStyle w:val="40"/>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b/>
                <w:bCs/>
                <w:sz w:val="24"/>
                <w:szCs w:val="24"/>
                <w:lang w:val="en-US" w:eastAsia="zh-CN"/>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人民币5000.00元</w:t>
            </w:r>
          </w:p>
          <w:p>
            <w:pPr>
              <w:tabs>
                <w:tab w:val="left" w:pos="932"/>
              </w:tabs>
              <w:ind w:firstLine="482" w:firstLineChars="200"/>
              <w:rPr>
                <w:rFonts w:hint="eastAsia" w:ascii="宋体" w:hAnsi="宋体" w:eastAsia="宋体" w:cs="宋体"/>
                <w:color w:val="000000"/>
                <w:kern w:val="0"/>
                <w:sz w:val="24"/>
                <w:szCs w:val="24"/>
                <w:highlight w:val="yellow"/>
                <w:lang w:eastAsia="zh-CN"/>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lang w:eastAsia="zh-CN"/>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ascii="宋体" w:hAnsi="宋体" w:eastAsia="宋体" w:cs="宋体"/>
                <w:sz w:val="24"/>
                <w:szCs w:val="24"/>
              </w:rPr>
            </w:pPr>
            <w:r>
              <w:rPr>
                <w:rFonts w:hint="eastAsia" w:eastAsia="宋体" w:cs="Times New Roman"/>
                <w:sz w:val="24"/>
                <w:szCs w:val="28"/>
                <w:highlight w:val="yellow"/>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75"/>
              <w:spacing w:after="0" w:line="240" w:lineRule="auto"/>
              <w:ind w:left="0" w:leftChars="0" w:firstLine="482"/>
              <w:rPr>
                <w:rFonts w:ascii="宋体" w:hAnsi="宋体" w:cs="宋体"/>
                <w:sz w:val="24"/>
                <w:szCs w:val="24"/>
                <w:highlight w:val="yellow"/>
              </w:rPr>
            </w:pPr>
            <w:r>
              <w:rPr>
                <w:rFonts w:hint="eastAsia" w:ascii="宋体" w:hAnsi="宋体" w:cs="宋体"/>
                <w:b/>
                <w:bCs/>
                <w:sz w:val="24"/>
                <w:szCs w:val="24"/>
                <w:highlight w:val="yellow"/>
              </w:rPr>
              <w:t>保证金缴纳截止时间：</w:t>
            </w:r>
            <w:r>
              <w:rPr>
                <w:rFonts w:hint="eastAsia" w:ascii="宋体" w:hAnsi="宋体" w:eastAsia="宋体" w:cs="宋体"/>
                <w:sz w:val="24"/>
                <w:szCs w:val="24"/>
                <w:highlight w:val="yellow"/>
              </w:rPr>
              <w:t>2025年</w:t>
            </w:r>
            <w:r>
              <w:rPr>
                <w:rFonts w:hint="eastAsia" w:ascii="宋体" w:hAnsi="宋体" w:cs="宋体"/>
                <w:sz w:val="24"/>
                <w:szCs w:val="24"/>
                <w:highlight w:val="yellow"/>
                <w:lang w:val="en-US" w:eastAsia="zh-CN"/>
              </w:rPr>
              <w:t>08</w:t>
            </w:r>
            <w:r>
              <w:rPr>
                <w:rFonts w:hint="eastAsia" w:ascii="宋体" w:hAnsi="宋体" w:eastAsia="宋体" w:cs="宋体"/>
                <w:sz w:val="24"/>
                <w:szCs w:val="24"/>
                <w:highlight w:val="yellow"/>
              </w:rPr>
              <w:t>月</w:t>
            </w:r>
            <w:r>
              <w:rPr>
                <w:rFonts w:hint="eastAsia" w:ascii="宋体" w:hAnsi="宋体" w:cs="宋体"/>
                <w:sz w:val="24"/>
                <w:szCs w:val="24"/>
                <w:highlight w:val="yellow"/>
                <w:lang w:val="en-US" w:eastAsia="zh-CN"/>
              </w:rPr>
              <w:t>29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7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yellow"/>
                <w:lang w:val="en-US" w:eastAsia="zh-CN"/>
              </w:rPr>
              <w:t>计划</w:t>
            </w:r>
            <w:r>
              <w:rPr>
                <w:rFonts w:hint="eastAsia" w:ascii="宋体" w:hAnsi="宋体" w:eastAsia="宋体" w:cs="宋体"/>
                <w:b/>
                <w:bCs/>
                <w:sz w:val="24"/>
                <w:szCs w:val="24"/>
                <w:highlight w:val="yellow"/>
              </w:rPr>
              <w:t>开标时间：</w:t>
            </w:r>
            <w:r>
              <w:rPr>
                <w:rFonts w:hint="eastAsia" w:ascii="宋体" w:hAnsi="宋体" w:eastAsia="宋体" w:cs="宋体"/>
                <w:sz w:val="24"/>
                <w:szCs w:val="24"/>
                <w:highlight w:val="yellow"/>
              </w:rPr>
              <w:t>2025年</w:t>
            </w:r>
            <w:r>
              <w:rPr>
                <w:rFonts w:hint="eastAsia" w:ascii="宋体" w:hAnsi="宋体" w:eastAsia="宋体" w:cs="宋体"/>
                <w:sz w:val="24"/>
                <w:szCs w:val="24"/>
                <w:highlight w:val="yellow"/>
                <w:lang w:val="en-US" w:eastAsia="zh-CN"/>
              </w:rPr>
              <w:t>09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01</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9：00</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若有变动，另行通知</w:t>
            </w:r>
            <w:r>
              <w:rPr>
                <w:rFonts w:hint="eastAsia" w:ascii="宋体" w:hAnsi="宋体" w:cs="宋体"/>
                <w:sz w:val="24"/>
                <w:szCs w:val="24"/>
                <w:highlight w:val="yellow"/>
                <w:lang w:eastAsia="zh-CN"/>
              </w:rPr>
              <w:t>）</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highlight w:val="yellow"/>
                <w:shd w:val="clear"/>
              </w:rPr>
              <w:t>开标地点：</w:t>
            </w:r>
            <w:r>
              <w:rPr>
                <w:rFonts w:hint="eastAsia" w:ascii="宋体" w:hAnsi="宋体" w:eastAsia="宋体" w:cs="宋体"/>
                <w:sz w:val="24"/>
                <w:szCs w:val="24"/>
                <w:highlight w:val="yellow"/>
                <w:u w:val="single"/>
                <w:lang w:val="en-US" w:eastAsia="zh-CN"/>
              </w:rPr>
              <w:t>济南轻卡制造公司线下会议室</w:t>
            </w:r>
            <w:r>
              <w:rPr>
                <w:rFonts w:hint="eastAsia" w:ascii="宋体" w:hAnsi="宋体" w:eastAsia="宋体" w:cs="宋体"/>
                <w:sz w:val="24"/>
                <w:szCs w:val="24"/>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25"/>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highlight w:val="none"/>
              </w:rPr>
              <w:t>资质标审核→唱标→商务标评审，原则上合理最低价中标。</w:t>
            </w:r>
            <w:r>
              <w:rPr>
                <w:rFonts w:hint="eastAsia" w:ascii="宋体" w:hAnsi="宋体" w:eastAsia="宋体" w:cs="宋体"/>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40"/>
              <w:ind w:firstLine="480" w:firstLineChars="200"/>
              <w:rPr>
                <w:rFonts w:hAnsi="宋体" w:eastAsia="宋体" w:cs="宋体"/>
                <w:color w:val="000000"/>
                <w:sz w:val="24"/>
                <w:szCs w:val="24"/>
              </w:rPr>
            </w:pPr>
            <w:r>
              <w:rPr>
                <w:rFonts w:hint="eastAsia" w:ascii="宋体" w:hAnsi="宋体" w:eastAsia="宋体"/>
                <w:sz w:val="24"/>
              </w:rPr>
              <w:t>投标方收到中标通知书后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120</w:t>
            </w:r>
            <w:r>
              <w:rPr>
                <w:rFonts w:hint="eastAsia" w:hAnsi="宋体" w:eastAsia="宋体" w:cs="宋体"/>
                <w:color w:val="000000"/>
                <w:sz w:val="24"/>
                <w:szCs w:val="24"/>
              </w:rPr>
              <w:t>个日历日之内交货至供货地点。</w:t>
            </w:r>
          </w:p>
          <w:p>
            <w:pPr>
              <w:pStyle w:val="4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40"/>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Times New Roman" w:hAnsi="Times New Roman" w:eastAsia="宋体" w:cs="Times New Roman"/>
                <w:bCs/>
                <w:sz w:val="24"/>
              </w:rPr>
              <w:t>山东省济南市章丘区圣井街道潘王路西，</w:t>
            </w:r>
            <w:r>
              <w:rPr>
                <w:rFonts w:hint="eastAsia" w:ascii="宋体" w:hAnsi="宋体" w:eastAsia="宋体" w:cs="宋体"/>
                <w:sz w:val="24"/>
                <w:szCs w:val="24"/>
                <w:lang w:val="en-US" w:eastAsia="zh-CN"/>
              </w:rPr>
              <w:t>济南轻卡制造公司</w:t>
            </w:r>
            <w:r>
              <w:rPr>
                <w:rFonts w:hint="eastAsia" w:ascii="宋体" w:hAnsi="宋体" w:eastAsia="宋体" w:cs="宋体"/>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56"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25"/>
              <w:keepNext w:val="0"/>
              <w:keepLines w:val="0"/>
              <w:pageBreakBefore w:val="0"/>
              <w:widowControl w:val="0"/>
              <w:kinsoku/>
              <w:wordWrap/>
              <w:overflowPunct/>
              <w:topLinePunct w:val="0"/>
              <w:autoSpaceDE/>
              <w:autoSpaceDN/>
              <w:bidi w:val="0"/>
              <w:adjustRightInd/>
              <w:snapToGrid/>
              <w:spacing w:after="0"/>
              <w:ind w:firstLine="482" w:firstLineChars="200"/>
              <w:textAlignment w:val="auto"/>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lang w:val="en-US" w:eastAsia="zh-CN"/>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4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pPr>
              <w:pStyle w:val="75"/>
              <w:adjustRightInd w:val="0"/>
              <w:spacing w:after="0" w:line="240" w:lineRule="auto"/>
              <w:ind w:firstLine="0" w:firstLineChars="0"/>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A.设备全部到货</w:t>
            </w:r>
            <w:r>
              <w:rPr>
                <w:rFonts w:hint="eastAsia" w:ascii="宋体" w:hAnsi="宋体" w:cs="宋体"/>
                <w:sz w:val="24"/>
                <w:szCs w:val="24"/>
                <w:lang w:val="en-US" w:eastAsia="zh-CN"/>
              </w:rPr>
              <w:t>经检验无问题</w:t>
            </w:r>
            <w:r>
              <w:rPr>
                <w:rFonts w:hint="eastAsia" w:ascii="宋体" w:hAnsi="宋体" w:cs="宋体"/>
                <w:sz w:val="24"/>
                <w:szCs w:val="24"/>
              </w:rPr>
              <w:t>后，中标人提交金额为合同价款30%的收据并提供合同价款30%的增值税专用发票（含复印件二份），经招标人依照财务制度审核通过后支付；</w:t>
            </w:r>
          </w:p>
          <w:p>
            <w:pPr>
              <w:pStyle w:val="75"/>
              <w:adjustRightInd w:val="0"/>
              <w:spacing w:after="0" w:line="240" w:lineRule="auto"/>
              <w:ind w:firstLine="0" w:firstLineChars="0"/>
              <w:rPr>
                <w:rFonts w:hint="eastAsia" w:ascii="宋体" w:hAnsi="宋体" w:cs="宋体"/>
                <w:sz w:val="24"/>
                <w:szCs w:val="24"/>
              </w:rPr>
            </w:pPr>
            <w:r>
              <w:rPr>
                <w:rFonts w:hint="eastAsia" w:ascii="宋体" w:hAnsi="宋体" w:cs="宋体"/>
                <w:sz w:val="24"/>
                <w:szCs w:val="24"/>
              </w:rPr>
              <w:t xml:space="preserve">    B.设备终验收合格后，中标人提交金额为合同价款60%的收据并提供合同价款70%的增值税专用发票（含复印件二份），经招标人依照财务制度审核通过后支付；</w:t>
            </w:r>
          </w:p>
          <w:p>
            <w:pPr>
              <w:pStyle w:val="75"/>
              <w:adjustRightInd w:val="0"/>
              <w:spacing w:after="0" w:line="240" w:lineRule="auto"/>
              <w:ind w:firstLine="480" w:firstLineChars="0"/>
              <w:rPr>
                <w:rFonts w:hint="eastAsia" w:ascii="宋体" w:hAnsi="宋体" w:cs="宋体"/>
                <w:sz w:val="24"/>
                <w:szCs w:val="24"/>
              </w:rPr>
            </w:pPr>
            <w:r>
              <w:rPr>
                <w:rFonts w:hint="eastAsia" w:ascii="宋体" w:hAnsi="宋体" w:cs="宋体"/>
                <w:sz w:val="24"/>
                <w:szCs w:val="24"/>
              </w:rPr>
              <w:t>C.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w:t>
            </w:r>
            <w:r>
              <w:rPr>
                <w:rFonts w:hint="eastAsia" w:ascii="宋体" w:hAnsi="宋体" w:cs="宋体"/>
                <w:sz w:val="24"/>
                <w:szCs w:val="24"/>
                <w:lang w:val="en-US" w:eastAsia="zh-CN"/>
              </w:rPr>
              <w:t>按照财务付款条件：365填到期执行</w:t>
            </w:r>
            <w:r>
              <w:rPr>
                <w:rFonts w:hint="eastAsia" w:ascii="宋体" w:hAnsi="宋体" w:cs="宋体"/>
                <w:sz w:val="24"/>
                <w:szCs w:val="24"/>
              </w:rPr>
              <w:t>。如有质量问题，质量保证金予以相应扣除。</w:t>
            </w:r>
          </w:p>
          <w:p>
            <w:pPr>
              <w:pStyle w:val="75"/>
              <w:adjustRightInd w:val="0"/>
              <w:spacing w:after="0" w:line="240" w:lineRule="auto"/>
              <w:ind w:firstLine="480" w:firstLineChars="0"/>
              <w:rPr>
                <w:rFonts w:hint="default" w:ascii="宋体" w:hAnsi="宋体" w:eastAsia="宋体" w:cs="宋体"/>
                <w:sz w:val="24"/>
                <w:szCs w:val="24"/>
                <w:lang w:val="en-US" w:eastAsia="zh-CN"/>
              </w:rPr>
            </w:pPr>
            <w:r>
              <w:rPr>
                <w:rFonts w:hint="eastAsia" w:ascii="宋体" w:hAnsi="宋体" w:cs="宋体"/>
                <w:sz w:val="24"/>
                <w:szCs w:val="24"/>
                <w:highlight w:val="yellow"/>
                <w:lang w:val="en-US" w:eastAsia="zh-CN"/>
              </w:rPr>
              <w:t>*付款方式及付款比例不允许偏离。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25"/>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53"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投标内容的分解报价、设计图纸等招标人所需要的各类资料，招标人为推进项目招标定标流程时需要上述资料的，中标人应及时无偿提供。</w:t>
            </w:r>
          </w:p>
          <w:p>
            <w:pPr>
              <w:pStyle w:val="25"/>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25"/>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lang w:val="en-US" w:eastAsia="zh-CN"/>
              </w:rPr>
              <w:t>5</w:t>
            </w:r>
            <w:r>
              <w:rPr>
                <w:rFonts w:hint="eastAsia" w:ascii="宋体" w:hAnsi="宋体" w:eastAsia="宋体" w:cs="宋体"/>
                <w:sz w:val="24"/>
                <w:szCs w:val="24"/>
              </w:rPr>
              <w:t>日内</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项目计划和项目组织机构并盖章发给招标方</w:t>
            </w:r>
            <w:r>
              <w:rPr>
                <w:rFonts w:hint="eastAsia" w:ascii="宋体" w:hAnsi="宋体" w:eastAsia="宋体" w:cs="宋体"/>
                <w:sz w:val="24"/>
                <w:szCs w:val="24"/>
              </w:rPr>
              <w:t>。</w:t>
            </w:r>
          </w:p>
        </w:tc>
      </w:tr>
      <w:bookmarkEnd w:id="1"/>
    </w:tbl>
    <w:p>
      <w:pPr>
        <w:pStyle w:val="40"/>
        <w:numPr>
          <w:ilvl w:val="0"/>
          <w:numId w:val="8"/>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40"/>
        <w:jc w:val="center"/>
        <w:outlineLvl w:val="0"/>
        <w:rPr>
          <w:rFonts w:ascii="Calibri" w:hAnsi="Calibri" w:eastAsia="宋体" w:cs="Times New Roman"/>
          <w:b/>
          <w:bCs/>
          <w:kern w:val="44"/>
          <w:sz w:val="36"/>
          <w:szCs w:val="44"/>
        </w:rPr>
      </w:pPr>
      <w:bookmarkStart w:id="2" w:name="_Toc15609"/>
      <w:r>
        <w:rPr>
          <w:rFonts w:hint="eastAsia" w:ascii="Calibri" w:hAnsi="Calibri" w:eastAsia="宋体" w:cs="Times New Roman"/>
          <w:b/>
          <w:bCs/>
          <w:kern w:val="44"/>
          <w:sz w:val="36"/>
          <w:szCs w:val="44"/>
        </w:rPr>
        <w:t>第二部分 投标须知</w:t>
      </w:r>
      <w:bookmarkEnd w:id="2"/>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3" w:name="OLE_LINK1"/>
      <w:r>
        <w:rPr>
          <w:rFonts w:hint="eastAsia" w:ascii="宋体" w:hAnsi="宋体" w:eastAsia="宋体" w:cs="宋体"/>
          <w:color w:val="000000"/>
          <w:sz w:val="24"/>
          <w:szCs w:val="24"/>
        </w:rPr>
        <w:t>见《投标须知前附表》。</w:t>
      </w:r>
    </w:p>
    <w:bookmarkEnd w:id="3"/>
    <w:p>
      <w:pPr>
        <w:keepNext/>
        <w:keepLines/>
        <w:numPr>
          <w:ilvl w:val="0"/>
          <w:numId w:val="9"/>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pPr>
        <w:pStyle w:val="4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9"/>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4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注册时</w:t>
      </w:r>
      <w:r>
        <w:rPr>
          <w:rFonts w:hint="eastAsia" w:ascii="宋体" w:hAnsi="宋体" w:eastAsia="宋体" w:cs="宋体"/>
          <w:color w:val="000000"/>
          <w:sz w:val="24"/>
          <w:szCs w:val="24"/>
          <w:highlight w:val="yellow"/>
          <w:lang w:val="en-US" w:eastAsia="zh-CN"/>
        </w:rPr>
        <w:t>配套能力中的供货类别选择“非生产招标-工艺设备-工艺设备”对应的业务主管部门为“工艺研究院”，提交注册后请电话告知招标方联系人</w:t>
      </w:r>
      <w:r>
        <w:rPr>
          <w:rFonts w:hint="eastAsia" w:ascii="宋体" w:hAnsi="宋体" w:eastAsia="宋体" w:cs="宋体"/>
          <w:color w:val="000000"/>
          <w:sz w:val="24"/>
          <w:szCs w:val="24"/>
          <w:lang w:val="en-US" w:eastAsia="zh-CN"/>
        </w:rPr>
        <w:t>。</w:t>
      </w:r>
    </w:p>
    <w:p>
      <w:pPr>
        <w:spacing w:line="360" w:lineRule="auto"/>
        <w:ind w:firstLine="480" w:firstLineChars="200"/>
        <w:rPr>
          <w:rFonts w:ascii="宋体" w:hAnsi="宋体" w:eastAsia="宋体" w:cs="宋体"/>
          <w:color w:val="000000"/>
          <w:sz w:val="24"/>
          <w:szCs w:val="24"/>
        </w:rPr>
      </w:pP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10"/>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4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4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4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4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pPr>
        <w:pStyle w:val="40"/>
        <w:spacing w:line="360" w:lineRule="auto"/>
        <w:rPr>
          <w:rFonts w:hAnsi="宋体" w:eastAsia="宋体" w:cs="宋体"/>
          <w:color w:val="000000"/>
          <w:sz w:val="24"/>
          <w:szCs w:val="24"/>
        </w:rPr>
      </w:pPr>
      <w:r>
        <w:rPr>
          <w:rFonts w:hint="eastAsia" w:hAnsi="宋体" w:eastAsia="宋体" w:cs="宋体"/>
          <w:color w:val="000000"/>
          <w:sz w:val="24"/>
          <w:szCs w:val="24"/>
        </w:rPr>
        <w:t>—2020）。</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352"/>
        <w:ind w:firstLine="480"/>
        <w:rPr>
          <w:rFonts w:eastAsia="宋体" w:cs="宋体"/>
        </w:rPr>
      </w:pPr>
      <w:r>
        <w:rPr>
          <w:rFonts w:hint="eastAsia" w:eastAsia="宋体" w:cs="宋体"/>
        </w:rPr>
        <w:t>4.2招标人银行账户信息如下：见《投标须知前附表》4.2。</w:t>
      </w:r>
    </w:p>
    <w:p>
      <w:pPr>
        <w:pStyle w:val="352"/>
        <w:ind w:firstLine="480"/>
        <w:rPr>
          <w:rFonts w:eastAsia="宋体" w:cs="宋体"/>
        </w:rPr>
      </w:pPr>
      <w:r>
        <w:rPr>
          <w:rFonts w:hint="eastAsia" w:eastAsia="宋体" w:cs="宋体"/>
        </w:rPr>
        <w:t>转账附言：公司名称+项目名称+投标保证金；</w:t>
      </w:r>
    </w:p>
    <w:p>
      <w:pPr>
        <w:pStyle w:val="352"/>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pPr>
        <w:pStyle w:val="352"/>
        <w:ind w:firstLine="480"/>
        <w:rPr>
          <w:rFonts w:eastAsia="宋体" w:cs="宋体"/>
        </w:rPr>
      </w:pPr>
      <w:r>
        <w:rPr>
          <w:rFonts w:hint="eastAsia" w:eastAsia="宋体" w:cs="宋体"/>
        </w:rPr>
        <w:t>4.3说明</w:t>
      </w:r>
    </w:p>
    <w:p>
      <w:pPr>
        <w:pStyle w:val="352"/>
        <w:ind w:firstLine="480"/>
        <w:rPr>
          <w:rFonts w:eastAsia="宋体" w:cs="宋体"/>
        </w:rPr>
      </w:pPr>
      <w:r>
        <w:rPr>
          <w:rFonts w:hint="eastAsia" w:eastAsia="宋体" w:cs="宋体"/>
        </w:rPr>
        <w:t>4.3.1 投标人在向招标人出示《投标保证金缴纳凭证》后方可进行投标；</w:t>
      </w:r>
    </w:p>
    <w:p>
      <w:pPr>
        <w:pStyle w:val="352"/>
        <w:ind w:firstLine="480"/>
        <w:rPr>
          <w:rFonts w:eastAsia="宋体" w:cs="宋体"/>
        </w:rPr>
      </w:pPr>
      <w:r>
        <w:rPr>
          <w:rFonts w:hint="eastAsia" w:eastAsia="宋体" w:cs="宋体"/>
        </w:rPr>
        <w:t>4.3.2 发生以下情况时，招标人有权没收保证金：</w:t>
      </w:r>
    </w:p>
    <w:p>
      <w:pPr>
        <w:pStyle w:val="352"/>
        <w:ind w:firstLine="480"/>
        <w:rPr>
          <w:rFonts w:eastAsia="宋体" w:cs="宋体"/>
        </w:rPr>
      </w:pPr>
      <w:r>
        <w:rPr>
          <w:rFonts w:hint="eastAsia" w:eastAsia="宋体" w:cs="宋体"/>
        </w:rPr>
        <w:t>4.3.2.1 截至开标前3天，投标人无正当理由且未以书面形式递交说明而在投标截止日不来投标的；</w:t>
      </w:r>
    </w:p>
    <w:p>
      <w:pPr>
        <w:pStyle w:val="352"/>
        <w:ind w:firstLine="480"/>
        <w:rPr>
          <w:rFonts w:eastAsia="宋体" w:cs="宋体"/>
        </w:rPr>
      </w:pPr>
      <w:r>
        <w:rPr>
          <w:rFonts w:hint="eastAsia" w:eastAsia="宋体" w:cs="宋体"/>
        </w:rPr>
        <w:t>4.3.2.2 投标人递送投标文件后，无正当理由放弃投标的；</w:t>
      </w:r>
    </w:p>
    <w:p>
      <w:pPr>
        <w:pStyle w:val="352"/>
        <w:ind w:firstLine="480"/>
        <w:rPr>
          <w:rFonts w:eastAsia="宋体" w:cs="宋体"/>
        </w:rPr>
      </w:pPr>
      <w:r>
        <w:rPr>
          <w:rFonts w:hint="eastAsia" w:eastAsia="宋体" w:cs="宋体"/>
        </w:rPr>
        <w:t>4.3.2.3若为视频开标，招标过程中澄清函等资料原件未按要求提交的；</w:t>
      </w:r>
    </w:p>
    <w:p>
      <w:pPr>
        <w:pStyle w:val="352"/>
        <w:ind w:firstLine="480"/>
        <w:rPr>
          <w:rFonts w:eastAsia="宋体" w:cs="宋体"/>
        </w:rPr>
      </w:pPr>
      <w:r>
        <w:rPr>
          <w:rFonts w:hint="eastAsia" w:eastAsia="宋体" w:cs="宋体"/>
        </w:rPr>
        <w:t>4.3.2.4自中标通知书发出之日起30日内，中标人无正当理由不签订合同的；</w:t>
      </w:r>
    </w:p>
    <w:p>
      <w:pPr>
        <w:pStyle w:val="352"/>
        <w:ind w:firstLine="480"/>
        <w:rPr>
          <w:rFonts w:eastAsia="宋体" w:cs="宋体"/>
        </w:rPr>
      </w:pPr>
      <w:r>
        <w:rPr>
          <w:rFonts w:hint="eastAsia" w:eastAsia="宋体" w:cs="宋体"/>
        </w:rPr>
        <w:t>4.3.2.5投标人在投标过程中被查实有串标、围标、陪标等违规违纪行为的；</w:t>
      </w:r>
    </w:p>
    <w:p>
      <w:pPr>
        <w:pStyle w:val="352"/>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pPr>
        <w:pStyle w:val="352"/>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pPr>
        <w:pStyle w:val="352"/>
        <w:ind w:firstLine="480"/>
        <w:rPr>
          <w:rFonts w:eastAsia="宋体" w:cs="宋体"/>
        </w:rPr>
      </w:pPr>
      <w:r>
        <w:rPr>
          <w:rFonts w:hint="eastAsia" w:eastAsia="宋体" w:cs="宋体"/>
        </w:rPr>
        <w:t>4.4投标报名截止时间</w:t>
      </w:r>
    </w:p>
    <w:p>
      <w:pPr>
        <w:pStyle w:val="352"/>
        <w:ind w:firstLine="480"/>
        <w:rPr>
          <w:rFonts w:eastAsia="宋体" w:cs="宋体"/>
        </w:rPr>
      </w:pPr>
      <w:r>
        <w:rPr>
          <w:rFonts w:hint="eastAsia" w:eastAsia="宋体" w:cs="宋体"/>
        </w:rPr>
        <w:t>报名方式：见《投标须知前附表》2.3。</w:t>
      </w:r>
    </w:p>
    <w:p>
      <w:pPr>
        <w:pStyle w:val="352"/>
        <w:ind w:firstLine="480"/>
        <w:rPr>
          <w:rFonts w:eastAsia="宋体" w:cs="宋体"/>
        </w:rPr>
      </w:pPr>
      <w:r>
        <w:rPr>
          <w:rFonts w:hint="eastAsia" w:eastAsia="宋体" w:cs="宋体"/>
        </w:rPr>
        <w:t>报名提交资料：均为盖章电子扫描版，用“公司名称+文件名称”命名。</w:t>
      </w:r>
    </w:p>
    <w:p>
      <w:pPr>
        <w:numPr>
          <w:ilvl w:val="0"/>
          <w:numId w:val="11"/>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11"/>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pPr>
        <w:spacing w:line="360" w:lineRule="auto"/>
        <w:jc w:val="left"/>
        <w:outlineLvl w:val="1"/>
        <w:rPr>
          <w:rFonts w:ascii="宋体" w:hAnsi="宋体" w:eastAsia="宋体" w:cs="宋体"/>
          <w:b/>
          <w:sz w:val="24"/>
          <w:szCs w:val="24"/>
        </w:rPr>
      </w:pPr>
      <w:bookmarkStart w:id="4" w:name="_Toc33266914"/>
      <w:bookmarkStart w:id="5" w:name="_Toc33285487"/>
      <w:bookmarkStart w:id="6" w:name="_Toc33267001"/>
      <w:bookmarkStart w:id="7" w:name="_Toc33265752"/>
      <w:bookmarkStart w:id="8" w:name="_Toc33266950"/>
      <w:bookmarkStart w:id="9" w:name="_Toc33265653"/>
      <w:bookmarkStart w:id="10" w:name="_Toc33266627"/>
      <w:r>
        <w:rPr>
          <w:rFonts w:hint="eastAsia" w:ascii="宋体" w:hAnsi="宋体" w:eastAsia="宋体" w:cs="宋体"/>
          <w:b/>
          <w:sz w:val="24"/>
          <w:szCs w:val="24"/>
        </w:rPr>
        <w:t>六、评价原则</w:t>
      </w:r>
      <w:bookmarkEnd w:id="4"/>
      <w:bookmarkEnd w:id="5"/>
      <w:bookmarkEnd w:id="6"/>
      <w:bookmarkEnd w:id="7"/>
      <w:bookmarkEnd w:id="8"/>
      <w:bookmarkEnd w:id="9"/>
      <w:bookmarkEnd w:id="10"/>
      <w:bookmarkStart w:id="11" w:name="_Toc395116633"/>
    </w:p>
    <w:bookmarkEnd w:id="11"/>
    <w:p>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2" w:name="_Toc33266915"/>
      <w:bookmarkStart w:id="13" w:name="_Toc33265753"/>
      <w:bookmarkStart w:id="14" w:name="_Toc33285489"/>
      <w:bookmarkStart w:id="15" w:name="_Toc395116634"/>
      <w:bookmarkStart w:id="16" w:name="_Toc33267002"/>
      <w:bookmarkStart w:id="17" w:name="_Toc33265654"/>
      <w:bookmarkStart w:id="18" w:name="_Toc33266628"/>
      <w:bookmarkStart w:id="19" w:name="_Toc33266951"/>
      <w:r>
        <w:rPr>
          <w:rFonts w:hint="eastAsia" w:ascii="宋体" w:hAnsi="宋体" w:eastAsia="宋体" w:cs="宋体"/>
          <w:b/>
          <w:bCs/>
          <w:sz w:val="24"/>
          <w:szCs w:val="24"/>
          <w:highlight w:val="yellow"/>
          <w:lang w:val="en-US" w:eastAsia="zh-CN"/>
        </w:rPr>
        <w:t>合理最低价中标</w:t>
      </w:r>
      <w:r>
        <w:rPr>
          <w:rFonts w:hint="eastAsia" w:ascii="宋体" w:hAnsi="宋体" w:eastAsia="宋体" w:cs="宋体"/>
          <w:sz w:val="24"/>
          <w:szCs w:val="24"/>
        </w:rPr>
        <w:t>。</w:t>
      </w:r>
      <w:r>
        <w:rPr>
          <w:rFonts w:hint="eastAsia" w:ascii="宋体" w:hAnsi="宋体" w:eastAsia="宋体" w:cs="宋体"/>
          <w:b/>
          <w:color w:val="000000"/>
          <w:sz w:val="24"/>
          <w:szCs w:val="24"/>
        </w:rPr>
        <w:t>对未中标单位不做任何解释。</w:t>
      </w:r>
    </w:p>
    <w:bookmarkEnd w:id="12"/>
    <w:bookmarkEnd w:id="13"/>
    <w:bookmarkEnd w:id="14"/>
    <w:bookmarkEnd w:id="15"/>
    <w:bookmarkEnd w:id="16"/>
    <w:bookmarkEnd w:id="17"/>
    <w:bookmarkEnd w:id="18"/>
    <w:bookmarkEnd w:id="19"/>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40"/>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投标文件包含《投标文件（资质标）》、《投标文件（商务标）》（开标一览表），共计三个文件。</w:t>
      </w:r>
    </w:p>
    <w:p>
      <w:pPr>
        <w:numPr>
          <w:ilvl w:val="0"/>
          <w:numId w:val="12"/>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按照第三部分第三条投标文件组成资格证明文件中的1.1-1.12准备资料，上传完毕后，等待审核</w:t>
      </w:r>
      <w:r>
        <w:rPr>
          <w:rFonts w:hint="eastAsia" w:ascii="宋体" w:hAnsi="宋体" w:eastAsia="宋体" w:cs="宋体"/>
          <w:b/>
          <w:color w:val="000000"/>
          <w:sz w:val="24"/>
          <w:szCs w:val="24"/>
          <w:highlight w:val="none"/>
        </w:rPr>
        <w:t>；</w:t>
      </w:r>
    </w:p>
    <w:p>
      <w:pPr>
        <w:numPr>
          <w:ilvl w:val="0"/>
          <w:numId w:val="13"/>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通过应标资格审查的单位进入投标环节，按照“SRM系统供应商用户手册（附件16）”，在重汽e采通平台投递电子标书（包含资质标、商务标）；没有通过应标资质审查的单位不能进入投标环节；</w:t>
      </w:r>
    </w:p>
    <w:p>
      <w:pPr>
        <w:numPr>
          <w:ilvl w:val="0"/>
          <w:numId w:val="12"/>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pPr>
        <w:numPr>
          <w:ilvl w:val="0"/>
          <w:numId w:val="14"/>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pPr>
        <w:numPr>
          <w:ilvl w:val="0"/>
          <w:numId w:val="15"/>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pPr>
        <w:numPr>
          <w:ilvl w:val="0"/>
          <w:numId w:val="16"/>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Times New Roman"/>
          <w:b/>
          <w:sz w:val="24"/>
          <w:szCs w:val="24"/>
          <w:lang w:val="en-US" w:eastAsia="zh-CN"/>
        </w:rPr>
        <w:t>在满足招标方技术要求的前提下</w:t>
      </w:r>
      <w:r>
        <w:rPr>
          <w:rFonts w:hint="eastAsia" w:ascii="宋体" w:hAnsi="宋体" w:eastAsia="宋体" w:cs="Times New Roman"/>
          <w:b/>
          <w:sz w:val="24"/>
          <w:szCs w:val="24"/>
        </w:rPr>
        <w:t>，原则上合理最低价中标。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4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4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pPr>
        <w:pStyle w:val="4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0" w:name="OLE_LINK25"/>
      <w:bookmarkStart w:id="21" w:name="OLE_LINK29"/>
      <w:bookmarkStart w:id="22" w:name="OLE_LINK28"/>
      <w:bookmarkStart w:id="23" w:name="OLE_LINK27"/>
      <w:bookmarkStart w:id="24" w:name="OLE_LINK26"/>
      <w:r>
        <w:rPr>
          <w:rFonts w:hint="eastAsia" w:ascii="宋体" w:hAnsi="宋体" w:eastAsia="宋体" w:cs="宋体"/>
          <w:bCs/>
          <w:sz w:val="24"/>
          <w:szCs w:val="24"/>
        </w:rPr>
        <w:t>；</w:t>
      </w:r>
      <w:bookmarkEnd w:id="20"/>
      <w:bookmarkEnd w:id="21"/>
      <w:bookmarkEnd w:id="22"/>
      <w:bookmarkEnd w:id="23"/>
      <w:bookmarkEnd w:id="24"/>
    </w:p>
    <w:p>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4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ascii="宋体" w:hAnsi="宋体" w:eastAsia="宋体" w:cs="宋体"/>
          <w:b w:val="0"/>
          <w:bCs w:val="0"/>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、本次招标最终解释权归中国重汽集团济南动力有限公司。</w:t>
      </w:r>
    </w:p>
    <w:p>
      <w:pPr>
        <w:pStyle w:val="40"/>
        <w:spacing w:line="360" w:lineRule="auto"/>
        <w:jc w:val="center"/>
        <w:rPr>
          <w:rFonts w:hAnsi="宋体" w:eastAsia="宋体" w:cs="宋体"/>
          <w:b w:val="0"/>
          <w:bCs w:val="0"/>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40"/>
        <w:numPr>
          <w:ilvl w:val="255"/>
          <w:numId w:val="0"/>
        </w:numPr>
        <w:jc w:val="center"/>
        <w:outlineLvl w:val="0"/>
        <w:rPr>
          <w:rFonts w:ascii="Calibri" w:hAnsi="Calibri" w:eastAsia="宋体" w:cs="Times New Roman"/>
          <w:b/>
          <w:bCs/>
          <w:kern w:val="44"/>
          <w:sz w:val="36"/>
          <w:szCs w:val="44"/>
        </w:rPr>
      </w:pPr>
      <w:bookmarkStart w:id="25" w:name="_Toc22879"/>
      <w:r>
        <w:rPr>
          <w:rFonts w:hint="eastAsia" w:ascii="Calibri" w:hAnsi="Calibri" w:eastAsia="宋体" w:cs="Times New Roman"/>
          <w:b/>
          <w:bCs/>
          <w:kern w:val="44"/>
          <w:sz w:val="36"/>
          <w:szCs w:val="44"/>
        </w:rPr>
        <w:t>第三部分 投标文件编制</w:t>
      </w:r>
      <w:bookmarkEnd w:id="25"/>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rPr>
        <w:t>三</w:t>
      </w:r>
      <w:r>
        <w:rPr>
          <w:rFonts w:hint="eastAsia" w:ascii="宋体" w:hAnsi="宋体" w:eastAsia="宋体" w:cs="宋体"/>
          <w:b/>
          <w:bCs/>
          <w:sz w:val="24"/>
          <w:szCs w:val="24"/>
          <w:highlight w:val="none"/>
        </w:rPr>
        <w:t>、投标文件的组成</w:t>
      </w:r>
    </w:p>
    <w:p>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1.6投标人在国家企业信用信息公示系统中无与本项目有关的行政处罚、经营异常和失信信息的声明；（附投标当日系统内相关截图或报告）</w:t>
      </w:r>
    </w:p>
    <w:p>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1.12</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1.13</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lang w:val="en-US" w:eastAsia="zh-CN"/>
        </w:rPr>
        <w:t>1.14</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1.15</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1.16</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1.17</w:t>
      </w:r>
      <w:r>
        <w:rPr>
          <w:rFonts w:hint="eastAsia" w:ascii="宋体" w:hAnsi="宋体" w:eastAsia="宋体" w:cs="宋体"/>
          <w:color w:val="000000"/>
          <w:sz w:val="24"/>
          <w:szCs w:val="24"/>
        </w:rPr>
        <w:t>招标文件要求的其它必要资格文件</w:t>
      </w:r>
      <w:r>
        <w:rPr>
          <w:rFonts w:hint="eastAsia" w:ascii="宋体" w:hAnsi="宋体" w:eastAsia="宋体" w:cs="宋体"/>
          <w:color w:val="000000"/>
          <w:sz w:val="24"/>
          <w:szCs w:val="24"/>
          <w:lang w:eastAsia="zh-CN"/>
        </w:rPr>
        <w:t>；</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1.18</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投标保证金缴纳凭证，同时正文描述付款账号、户名、开户行名称、开户行行号、保证金金额。</w:t>
      </w:r>
    </w:p>
    <w:p>
      <w:pPr>
        <w:shd w:val="clear"/>
        <w:spacing w:line="360" w:lineRule="auto"/>
        <w:ind w:firstLine="482" w:firstLineChars="200"/>
        <w:rPr>
          <w:rFonts w:ascii="宋体" w:hAnsi="宋体" w:eastAsia="宋体" w:cs="宋体"/>
          <w:b/>
          <w:bCs/>
          <w:sz w:val="24"/>
          <w:szCs w:val="24"/>
          <w:highlight w:val="none"/>
        </w:rPr>
      </w:pPr>
      <w:bookmarkStart w:id="26"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6"/>
    </w:p>
    <w:p>
      <w:pPr>
        <w:shd w:val="clea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pPr>
        <w:shd w:val="clea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pPr>
        <w:shd w:val="clea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pPr>
        <w:shd w:val="clea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pPr>
        <w:shd w:val="clea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pPr>
        <w:shd w:val="clea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pPr>
        <w:shd w:val="clear"/>
        <w:spacing w:line="360" w:lineRule="auto"/>
        <w:ind w:firstLine="480" w:firstLineChars="200"/>
        <w:rPr>
          <w:rFonts w:ascii="宋体" w:hAnsi="宋体" w:eastAsia="宋体" w:cs="宋体"/>
          <w:color w:val="000000"/>
          <w:sz w:val="24"/>
          <w:szCs w:val="24"/>
          <w:highlight w:val="none"/>
        </w:rPr>
      </w:pPr>
      <w:bookmarkStart w:id="27" w:name="_Toc536542319"/>
      <w:r>
        <w:rPr>
          <w:rFonts w:hint="eastAsia" w:ascii="宋体" w:hAnsi="宋体" w:eastAsia="宋体" w:cs="宋体"/>
          <w:color w:val="000000"/>
          <w:sz w:val="24"/>
          <w:szCs w:val="24"/>
          <w:highlight w:val="none"/>
        </w:rPr>
        <w:t>2.7投标产品技术支持材料</w:t>
      </w:r>
      <w:bookmarkEnd w:id="27"/>
      <w:r>
        <w:rPr>
          <w:rFonts w:hint="eastAsia" w:ascii="宋体" w:hAnsi="宋体" w:eastAsia="宋体" w:cs="宋体"/>
          <w:color w:val="000000"/>
          <w:sz w:val="24"/>
          <w:szCs w:val="24"/>
          <w:highlight w:val="none"/>
        </w:rPr>
        <w:t>；</w:t>
      </w:r>
    </w:p>
    <w:p>
      <w:pPr>
        <w:shd w:val="clea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pPr>
        <w:shd w:val="clea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28" w:name="OLE_LINK19"/>
      <w:bookmarkStart w:id="29" w:name="OLE_LINK18"/>
      <w:r>
        <w:rPr>
          <w:rFonts w:hint="eastAsia" w:ascii="宋体" w:hAnsi="宋体" w:eastAsia="宋体" w:cs="宋体"/>
          <w:b/>
          <w:color w:val="000000"/>
          <w:sz w:val="24"/>
          <w:szCs w:val="24"/>
        </w:rPr>
        <w:t>；</w:t>
      </w:r>
      <w:bookmarkEnd w:id="28"/>
      <w:bookmarkEnd w:id="29"/>
      <w:r>
        <w:rPr>
          <w:rFonts w:hint="eastAsia" w:ascii="宋体" w:hAnsi="宋体" w:eastAsia="宋体" w:cs="宋体"/>
          <w:color w:val="000000"/>
          <w:sz w:val="24"/>
          <w:szCs w:val="24"/>
        </w:rPr>
        <w:t xml:space="preserve"> </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val="en-US" w:eastAsia="zh-CN"/>
        </w:rPr>
        <w:t>;</w:t>
      </w:r>
    </w:p>
    <w:p>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Times New Roman"/>
          <w:color w:val="000000"/>
          <w:sz w:val="24"/>
          <w:szCs w:val="24"/>
          <w:lang w:val="en-US" w:eastAsia="zh-CN"/>
        </w:rPr>
        <w:t>技术条件满足</w:t>
      </w:r>
      <w:r>
        <w:rPr>
          <w:rFonts w:hint="eastAsia" w:ascii="宋体" w:hAnsi="宋体" w:eastAsia="宋体" w:cs="宋体"/>
          <w:color w:val="000000"/>
          <w:sz w:val="24"/>
          <w:szCs w:val="24"/>
          <w:lang w:val="en-US" w:eastAsia="zh-CN"/>
        </w:rPr>
        <w:t>招标</w:t>
      </w:r>
      <w:r>
        <w:rPr>
          <w:rFonts w:hint="eastAsia" w:ascii="宋体" w:hAnsi="宋体" w:eastAsia="宋体" w:cs="Times New Roman"/>
          <w:color w:val="000000"/>
          <w:sz w:val="24"/>
          <w:szCs w:val="24"/>
          <w:lang w:val="en-US" w:eastAsia="zh-CN"/>
        </w:rPr>
        <w:t>文件的承诺书</w:t>
      </w:r>
      <w:r>
        <w:rPr>
          <w:rFonts w:hint="eastAsia" w:ascii="宋体" w:hAnsi="宋体" w:eastAsia="宋体" w:cs="Times New Roman"/>
          <w:color w:val="000000"/>
          <w:sz w:val="24"/>
          <w:szCs w:val="24"/>
        </w:rPr>
        <w:t>。</w:t>
      </w:r>
    </w:p>
    <w:p>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sectPr>
          <w:footerReference r:id="rId12" w:type="first"/>
          <w:headerReference r:id="rId10" w:type="default"/>
          <w:footerReference r:id="rId11"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sz w:val="24"/>
          <w:szCs w:val="24"/>
        </w:rPr>
        <w:t>详见第六部分投标文件附件格式1—13，其余未尽事宜请按各单位习惯制定即可。</w:t>
      </w:r>
    </w:p>
    <w:p>
      <w:pPr>
        <w:pStyle w:val="40"/>
        <w:numPr>
          <w:ilvl w:val="255"/>
          <w:numId w:val="0"/>
        </w:numPr>
        <w:jc w:val="center"/>
        <w:outlineLvl w:val="0"/>
      </w:pPr>
      <w:r>
        <w:rPr>
          <w:rFonts w:hint="eastAsia" w:ascii="Calibri" w:hAnsi="Calibri" w:eastAsia="宋体" w:cs="Times New Roman"/>
          <w:b/>
          <w:bCs/>
          <w:kern w:val="44"/>
          <w:sz w:val="36"/>
          <w:szCs w:val="44"/>
        </w:rPr>
        <w:t>第四</w:t>
      </w:r>
      <w:r>
        <w:rPr>
          <w:rFonts w:hint="eastAsia" w:ascii="Calibri" w:hAnsi="Calibri" w:eastAsia="宋体" w:cs="Times New Roman"/>
          <w:b/>
          <w:bCs/>
          <w:kern w:val="44"/>
          <w:sz w:val="36"/>
          <w:szCs w:val="44"/>
          <w:lang w:val="en-US" w:eastAsia="zh-CN"/>
        </w:rPr>
        <w:t>部分</w:t>
      </w:r>
      <w:r>
        <w:rPr>
          <w:rFonts w:hint="eastAsia" w:ascii="Calibri" w:hAnsi="Calibri" w:eastAsia="宋体" w:cs="Times New Roman"/>
          <w:b/>
          <w:bCs/>
          <w:kern w:val="44"/>
          <w:sz w:val="36"/>
          <w:szCs w:val="44"/>
        </w:rPr>
        <w:t xml:space="preserve"> 技术规格及技术要求</w:t>
      </w:r>
    </w:p>
    <w:p>
      <w:pPr>
        <w:pStyle w:val="3"/>
      </w:pPr>
      <w:r>
        <w:rPr>
          <w:rFonts w:hint="eastAsia"/>
        </w:rPr>
        <w:t>一、标的物用途</w:t>
      </w:r>
    </w:p>
    <w:p>
      <w:pPr>
        <w:spacing w:line="360" w:lineRule="auto"/>
        <w:ind w:firstLine="480" w:firstLineChars="200"/>
      </w:pPr>
      <w:r>
        <w:rPr>
          <w:rFonts w:hint="eastAsia" w:asciiTheme="minorEastAsia" w:hAnsiTheme="minorEastAsia"/>
          <w:sz w:val="24"/>
          <w:szCs w:val="24"/>
        </w:rPr>
        <w:t>标的物适用于招标方所有轻卡（主要为新能源）车型油液的线边设备加注。</w:t>
      </w:r>
    </w:p>
    <w:p>
      <w:pPr>
        <w:pStyle w:val="3"/>
      </w:pPr>
      <w:r>
        <w:rPr>
          <w:rFonts w:hint="eastAsia"/>
        </w:rPr>
        <w:t>二、标的物使用环境</w:t>
      </w:r>
    </w:p>
    <w:p>
      <w:pPr>
        <w:spacing w:line="360" w:lineRule="auto"/>
        <w:ind w:firstLine="480" w:firstLineChars="200"/>
        <w:jc w:val="left"/>
        <w:rPr>
          <w:rFonts w:hint="eastAsia" w:ascii="宋体" w:hAnsi="宋体" w:eastAsia="宋体" w:cs="宋体"/>
          <w:b w:val="0"/>
          <w:bCs w:val="0"/>
          <w:sz w:val="24"/>
          <w:szCs w:val="24"/>
        </w:rPr>
      </w:pPr>
      <w:r>
        <w:rPr>
          <w:rFonts w:hint="eastAsia" w:ascii="宋体" w:hAnsi="宋体"/>
          <w:bCs/>
          <w:sz w:val="24"/>
          <w:szCs w:val="24"/>
        </w:rPr>
        <w:t>1</w:t>
      </w:r>
      <w:r>
        <w:rPr>
          <w:rFonts w:ascii="宋体" w:hAnsi="宋体"/>
          <w:bCs/>
          <w:sz w:val="24"/>
          <w:szCs w:val="24"/>
        </w:rPr>
        <w:t>.</w:t>
      </w:r>
      <w:r>
        <w:rPr>
          <w:rFonts w:hint="eastAsia" w:ascii="宋体" w:hAnsi="宋体"/>
          <w:bCs/>
          <w:sz w:val="24"/>
          <w:szCs w:val="24"/>
        </w:rPr>
        <w:t>项目名称：</w:t>
      </w:r>
      <w:r>
        <w:rPr>
          <w:rFonts w:hint="eastAsia" w:ascii="宋体" w:hAnsi="宋体" w:eastAsia="宋体" w:cs="宋体"/>
          <w:b w:val="0"/>
          <w:bCs w:val="0"/>
          <w:sz w:val="24"/>
          <w:szCs w:val="24"/>
        </w:rPr>
        <w:t>济南轻卡制造公司新能源加注机技改项目</w:t>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2</w:t>
      </w:r>
      <w:r>
        <w:rPr>
          <w:rFonts w:ascii="宋体" w:hAnsi="宋体"/>
          <w:bCs/>
          <w:sz w:val="24"/>
          <w:szCs w:val="24"/>
        </w:rPr>
        <w:t>.</w:t>
      </w:r>
      <w:r>
        <w:rPr>
          <w:rFonts w:hint="eastAsia" w:ascii="宋体" w:hAnsi="宋体"/>
          <w:bCs/>
          <w:sz w:val="24"/>
          <w:szCs w:val="24"/>
        </w:rPr>
        <w:t>产能规划：轻卡10万辆/年</w:t>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3</w:t>
      </w:r>
      <w:r>
        <w:rPr>
          <w:rFonts w:ascii="宋体" w:hAnsi="宋体"/>
          <w:bCs/>
          <w:sz w:val="24"/>
          <w:szCs w:val="24"/>
        </w:rPr>
        <w:t>.</w:t>
      </w:r>
      <w:r>
        <w:rPr>
          <w:rFonts w:hint="eastAsia" w:ascii="宋体" w:hAnsi="宋体"/>
          <w:bCs/>
          <w:sz w:val="24"/>
          <w:szCs w:val="24"/>
        </w:rPr>
        <w:t>工作地点：山东济南</w:t>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4</w:t>
      </w:r>
      <w:r>
        <w:rPr>
          <w:rFonts w:ascii="宋体" w:hAnsi="宋体"/>
          <w:bCs/>
          <w:sz w:val="24"/>
          <w:szCs w:val="24"/>
        </w:rPr>
        <w:t>.</w:t>
      </w:r>
      <w:r>
        <w:rPr>
          <w:rFonts w:hint="eastAsia" w:ascii="宋体" w:hAnsi="宋体"/>
          <w:bCs/>
          <w:sz w:val="24"/>
          <w:szCs w:val="24"/>
        </w:rPr>
        <w:t>工作制度：每班8小时，双班制，251天。极限工况：每班10小时，双班制，300天。</w:t>
      </w:r>
    </w:p>
    <w:p>
      <w:pPr>
        <w:spacing w:line="360" w:lineRule="auto"/>
        <w:ind w:firstLine="480" w:firstLineChars="200"/>
        <w:jc w:val="left"/>
        <w:rPr>
          <w:rFonts w:hint="eastAsia" w:ascii="宋体" w:hAnsi="宋体"/>
          <w:sz w:val="24"/>
          <w:szCs w:val="24"/>
        </w:rPr>
      </w:pPr>
      <w:r>
        <w:rPr>
          <w:rFonts w:hint="eastAsia" w:ascii="宋体" w:hAnsi="宋体"/>
          <w:bCs/>
          <w:sz w:val="24"/>
          <w:szCs w:val="24"/>
        </w:rPr>
        <w:t>5.生产节拍：3min/车</w:t>
      </w:r>
    </w:p>
    <w:p>
      <w:pPr>
        <w:spacing w:line="360" w:lineRule="auto"/>
        <w:ind w:firstLine="480"/>
        <w:rPr>
          <w:rFonts w:hint="eastAsia" w:ascii="宋体" w:hAnsi="宋体"/>
          <w:sz w:val="24"/>
          <w:szCs w:val="24"/>
        </w:rPr>
      </w:pPr>
      <w:r>
        <w:rPr>
          <w:rFonts w:hint="eastAsia" w:ascii="宋体" w:hAnsi="宋体"/>
          <w:sz w:val="24"/>
          <w:szCs w:val="24"/>
        </w:rPr>
        <w:t>6.年时基数：设备年时基数6000小时</w:t>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7</w:t>
      </w:r>
      <w:r>
        <w:rPr>
          <w:rFonts w:ascii="宋体" w:hAnsi="宋体"/>
          <w:bCs/>
          <w:sz w:val="24"/>
          <w:szCs w:val="24"/>
        </w:rPr>
        <w:t>.</w:t>
      </w:r>
      <w:r>
        <w:rPr>
          <w:rFonts w:hint="eastAsia" w:ascii="宋体" w:hAnsi="宋体"/>
          <w:bCs/>
          <w:sz w:val="24"/>
          <w:szCs w:val="24"/>
        </w:rPr>
        <w:t>使用地点区域自然环境：</w:t>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7</w:t>
      </w:r>
      <w:r>
        <w:rPr>
          <w:rFonts w:ascii="宋体" w:hAnsi="宋体"/>
          <w:bCs/>
          <w:sz w:val="24"/>
          <w:szCs w:val="24"/>
        </w:rPr>
        <w:t>.1.</w:t>
      </w:r>
      <w:r>
        <w:rPr>
          <w:rFonts w:hint="eastAsia" w:ascii="宋体" w:hAnsi="宋体"/>
          <w:bCs/>
          <w:sz w:val="24"/>
          <w:szCs w:val="24"/>
        </w:rPr>
        <w:t>海拔高度：1000m以下</w:t>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7</w:t>
      </w:r>
      <w:r>
        <w:rPr>
          <w:rFonts w:ascii="宋体" w:hAnsi="宋体"/>
          <w:bCs/>
          <w:sz w:val="24"/>
          <w:szCs w:val="24"/>
        </w:rPr>
        <w:t>.2.</w:t>
      </w:r>
      <w:r>
        <w:rPr>
          <w:rFonts w:hint="eastAsia" w:ascii="宋体" w:hAnsi="宋体"/>
          <w:bCs/>
          <w:sz w:val="24"/>
          <w:szCs w:val="24"/>
        </w:rPr>
        <w:t>室外温度：-20℃～40℃</w:t>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7</w:t>
      </w:r>
      <w:r>
        <w:rPr>
          <w:rFonts w:ascii="宋体" w:hAnsi="宋体"/>
          <w:bCs/>
          <w:sz w:val="24"/>
          <w:szCs w:val="24"/>
        </w:rPr>
        <w:t>.3.</w:t>
      </w:r>
      <w:r>
        <w:rPr>
          <w:rFonts w:hint="eastAsia" w:ascii="宋体" w:hAnsi="宋体"/>
          <w:bCs/>
          <w:sz w:val="24"/>
          <w:szCs w:val="24"/>
        </w:rPr>
        <w:t>室内温度：-5℃～45℃</w:t>
      </w:r>
      <w:r>
        <w:rPr>
          <w:rFonts w:hint="eastAsia" w:ascii="宋体" w:hAnsi="宋体"/>
          <w:bCs/>
          <w:sz w:val="24"/>
          <w:szCs w:val="24"/>
        </w:rPr>
        <w:tab/>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7</w:t>
      </w:r>
      <w:r>
        <w:rPr>
          <w:rFonts w:ascii="宋体" w:hAnsi="宋体"/>
          <w:bCs/>
          <w:sz w:val="24"/>
          <w:szCs w:val="24"/>
        </w:rPr>
        <w:t>.4.</w:t>
      </w:r>
      <w:r>
        <w:rPr>
          <w:rFonts w:hint="eastAsia" w:ascii="宋体" w:hAnsi="宋体"/>
          <w:bCs/>
          <w:sz w:val="24"/>
          <w:szCs w:val="24"/>
        </w:rPr>
        <w:t>环境湿度：在20℃时最大湿度为90%</w:t>
      </w:r>
    </w:p>
    <w:p>
      <w:pPr>
        <w:spacing w:line="360" w:lineRule="auto"/>
        <w:ind w:firstLine="480" w:firstLineChars="200"/>
        <w:jc w:val="left"/>
        <w:rPr>
          <w:rFonts w:hint="eastAsia" w:ascii="宋体" w:hAnsi="宋体"/>
          <w:sz w:val="24"/>
          <w:szCs w:val="24"/>
        </w:rPr>
      </w:pPr>
      <w:r>
        <w:rPr>
          <w:rFonts w:hint="eastAsia" w:ascii="宋体" w:hAnsi="宋体"/>
          <w:bCs/>
          <w:sz w:val="24"/>
          <w:szCs w:val="24"/>
        </w:rPr>
        <w:t>8</w:t>
      </w:r>
      <w:r>
        <w:rPr>
          <w:rFonts w:ascii="宋体" w:hAnsi="宋体"/>
          <w:bCs/>
          <w:sz w:val="24"/>
          <w:szCs w:val="24"/>
        </w:rPr>
        <w:t>.</w:t>
      </w:r>
      <w:r>
        <w:rPr>
          <w:rFonts w:hint="eastAsia" w:ascii="宋体" w:hAnsi="宋体"/>
          <w:bCs/>
          <w:sz w:val="24"/>
          <w:szCs w:val="24"/>
        </w:rPr>
        <w:t>压缩空气压力：0.4～0.6Mpa</w:t>
      </w:r>
    </w:p>
    <w:p>
      <w:pPr>
        <w:spacing w:line="360" w:lineRule="auto"/>
        <w:ind w:firstLine="480" w:firstLineChars="200"/>
        <w:jc w:val="left"/>
        <w:rPr>
          <w:rFonts w:hint="eastAsia" w:ascii="宋体" w:hAnsi="宋体"/>
          <w:bCs/>
          <w:sz w:val="24"/>
          <w:szCs w:val="24"/>
        </w:rPr>
      </w:pPr>
      <w:r>
        <w:rPr>
          <w:rFonts w:hint="eastAsia" w:ascii="宋体" w:hAnsi="宋体"/>
          <w:bCs/>
          <w:sz w:val="24"/>
          <w:szCs w:val="24"/>
        </w:rPr>
        <w:t>9</w:t>
      </w:r>
      <w:r>
        <w:rPr>
          <w:rFonts w:ascii="宋体" w:hAnsi="宋体"/>
          <w:bCs/>
          <w:sz w:val="24"/>
          <w:szCs w:val="24"/>
        </w:rPr>
        <w:t>.</w:t>
      </w:r>
      <w:r>
        <w:rPr>
          <w:rFonts w:hint="eastAsia" w:ascii="宋体" w:hAnsi="宋体"/>
          <w:bCs/>
          <w:sz w:val="24"/>
          <w:szCs w:val="24"/>
        </w:rPr>
        <w:t>电源电压：</w:t>
      </w:r>
      <w:r>
        <w:rPr>
          <w:rFonts w:hint="eastAsia" w:asciiTheme="minorEastAsia" w:hAnsiTheme="minorEastAsia" w:cstheme="minorEastAsia"/>
          <w:sz w:val="24"/>
          <w:szCs w:val="24"/>
        </w:rPr>
        <w:t>三相五线制，符合中国制式，供电电压：AC380V±10%，供电频率：50Hz±2%，单相电：AC220V±10%，供电频率：50Hz±2%。</w:t>
      </w:r>
    </w:p>
    <w:p>
      <w:pPr>
        <w:pStyle w:val="3"/>
      </w:pPr>
      <w:r>
        <w:rPr>
          <w:rFonts w:hint="eastAsia"/>
        </w:rPr>
        <w:t>三、供货范围</w:t>
      </w:r>
    </w:p>
    <w:p>
      <w:pPr>
        <w:spacing w:line="360" w:lineRule="auto"/>
        <w:ind w:firstLine="480" w:firstLineChars="200"/>
        <w:jc w:val="left"/>
        <w:rPr>
          <w:rFonts w:hint="eastAsia" w:asciiTheme="minorEastAsia" w:hAnsiTheme="minorEastAsia"/>
          <w:sz w:val="24"/>
          <w:szCs w:val="24"/>
        </w:rPr>
      </w:pPr>
      <w:r>
        <w:rPr>
          <w:rFonts w:hint="eastAsia" w:asciiTheme="minorEastAsia" w:hAnsiTheme="minorEastAsia"/>
          <w:sz w:val="24"/>
          <w:szCs w:val="24"/>
        </w:rPr>
        <w:t>本项目包含</w:t>
      </w:r>
      <w:r>
        <w:rPr>
          <w:rFonts w:hint="eastAsia" w:asciiTheme="minorEastAsia" w:hAnsiTheme="minorEastAsia"/>
          <w:sz w:val="24"/>
          <w:szCs w:val="24"/>
          <w:lang w:eastAsia="zh-CN"/>
        </w:rPr>
        <w:t>冷媒</w:t>
      </w:r>
      <w:r>
        <w:rPr>
          <w:rFonts w:hint="eastAsia" w:asciiTheme="minorEastAsia" w:hAnsiTheme="minorEastAsia"/>
          <w:sz w:val="24"/>
          <w:szCs w:val="24"/>
        </w:rPr>
        <w:t>真空加注机、防冻液真空加注机（二合一）设备的设计、采购、制造、运输、装卸、安装、调试、验收及培训等，</w:t>
      </w:r>
      <w:r>
        <w:rPr>
          <w:rFonts w:hint="eastAsia" w:ascii="宋体" w:hAnsi="宋体"/>
          <w:bCs/>
          <w:sz w:val="24"/>
          <w:szCs w:val="24"/>
        </w:rPr>
        <w:t>并交付使用；同时包含安全相关设备的设计、制造、采购任务，并提供相关的售后服务。</w:t>
      </w:r>
      <w:r>
        <w:rPr>
          <w:rFonts w:hint="eastAsia" w:asciiTheme="minorEastAsia" w:hAnsiTheme="minorEastAsia"/>
          <w:sz w:val="24"/>
          <w:szCs w:val="24"/>
        </w:rPr>
        <w:t>最终的工艺安装图、电控程序等技术文件,以及必须的备品备件清单。</w:t>
      </w:r>
    </w:p>
    <w:p>
      <w:pPr>
        <w:spacing w:line="360" w:lineRule="auto"/>
        <w:jc w:val="center"/>
        <w:rPr>
          <w:rFonts w:hint="eastAsia" w:asciiTheme="minorEastAsia" w:hAnsiTheme="minorEastAsia"/>
          <w:sz w:val="24"/>
          <w:szCs w:val="24"/>
        </w:rPr>
      </w:pPr>
      <w:r>
        <w:rPr>
          <w:rFonts w:hint="eastAsia" w:asciiTheme="minorEastAsia" w:hAnsiTheme="minorEastAsia"/>
          <w:sz w:val="24"/>
          <w:szCs w:val="24"/>
        </w:rPr>
        <w:t>表2: 加注机招标设备一览表</w:t>
      </w:r>
    </w:p>
    <w:tbl>
      <w:tblPr>
        <w:tblStyle w:val="76"/>
        <w:tblW w:w="10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551"/>
        <w:gridCol w:w="1173"/>
        <w:gridCol w:w="787"/>
        <w:gridCol w:w="1252"/>
        <w:gridCol w:w="1877"/>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3"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序号</w:t>
            </w:r>
          </w:p>
        </w:tc>
        <w:tc>
          <w:tcPr>
            <w:tcW w:w="2551"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设备名称</w:t>
            </w:r>
          </w:p>
        </w:tc>
        <w:tc>
          <w:tcPr>
            <w:tcW w:w="1173"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加注范围</w:t>
            </w:r>
          </w:p>
        </w:tc>
        <w:tc>
          <w:tcPr>
            <w:tcW w:w="787"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数量（套）</w:t>
            </w:r>
          </w:p>
        </w:tc>
        <w:tc>
          <w:tcPr>
            <w:tcW w:w="1252"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供液方式</w:t>
            </w:r>
          </w:p>
        </w:tc>
        <w:tc>
          <w:tcPr>
            <w:tcW w:w="1877"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加注节拍要求</w:t>
            </w:r>
          </w:p>
        </w:tc>
        <w:tc>
          <w:tcPr>
            <w:tcW w:w="2088" w:type="dxa"/>
            <w:vAlign w:val="center"/>
          </w:tcPr>
          <w:p>
            <w:pPr>
              <w:jc w:val="center"/>
              <w:textAlignment w:val="center"/>
              <w:rPr>
                <w:rFonts w:hint="eastAsia"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53"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2551"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eastAsia="zh-CN" w:bidi="ar"/>
              </w:rPr>
              <w:t>冷媒</w:t>
            </w:r>
            <w:r>
              <w:rPr>
                <w:rFonts w:hint="eastAsia" w:ascii="宋体" w:hAnsi="宋体" w:cs="宋体"/>
                <w:color w:val="000000"/>
                <w:kern w:val="0"/>
                <w:szCs w:val="21"/>
                <w:lang w:bidi="ar"/>
              </w:rPr>
              <w:t>真空加注机</w:t>
            </w:r>
          </w:p>
        </w:tc>
        <w:tc>
          <w:tcPr>
            <w:tcW w:w="1173"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w:t>
            </w:r>
            <w:r>
              <w:rPr>
                <w:rFonts w:hint="eastAsia" w:ascii="宋体" w:hAnsi="宋体" w:cs="宋体"/>
                <w:color w:val="000000"/>
                <w:kern w:val="0"/>
                <w:szCs w:val="21"/>
                <w:lang w:val="en-US" w:eastAsia="zh-CN" w:bidi="ar"/>
              </w:rPr>
              <w:t>1</w:t>
            </w:r>
            <w:r>
              <w:rPr>
                <w:rFonts w:ascii="宋体" w:hAnsi="宋体" w:cs="宋体"/>
                <w:color w:val="000000"/>
                <w:kern w:val="0"/>
                <w:szCs w:val="21"/>
                <w:lang w:bidi="ar"/>
              </w:rPr>
              <w:t>KG</w:t>
            </w:r>
          </w:p>
        </w:tc>
        <w:tc>
          <w:tcPr>
            <w:tcW w:w="787"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1252"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线边瓶装</w:t>
            </w:r>
          </w:p>
        </w:tc>
        <w:tc>
          <w:tcPr>
            <w:tcW w:w="1877" w:type="dxa"/>
            <w:vAlign w:val="center"/>
          </w:tcPr>
          <w:p>
            <w:pPr>
              <w:jc w:val="center"/>
              <w:rPr>
                <w:rFonts w:hint="default" w:eastAsiaTheme="minorEastAsia"/>
                <w:lang w:val="en-US" w:eastAsia="zh-CN"/>
              </w:rPr>
            </w:pPr>
            <w:r>
              <w:rPr>
                <w:rFonts w:hint="eastAsia"/>
                <w:lang w:val="en-US" w:eastAsia="zh-CN"/>
              </w:rPr>
              <w:t>0-2min</w:t>
            </w:r>
          </w:p>
        </w:tc>
        <w:tc>
          <w:tcPr>
            <w:tcW w:w="2088" w:type="dxa"/>
            <w:vAlign w:val="center"/>
          </w:tcPr>
          <w:p>
            <w:pPr>
              <w:jc w:val="center"/>
              <w:rPr>
                <w:rFonts w:hint="eastAsia" w:ascii="宋体" w:hAnsi="宋体" w:cs="宋体" w:eastAsiaTheme="minorEastAsia"/>
                <w:color w:val="000000"/>
                <w:kern w:val="0"/>
                <w:szCs w:val="21"/>
                <w:lang w:val="en-US" w:eastAsia="zh-CN" w:bidi="ar"/>
              </w:rPr>
            </w:pPr>
            <w:r>
              <w:rPr>
                <w:rFonts w:hint="eastAsia" w:ascii="宋体" w:hAnsi="宋体" w:cs="宋体"/>
                <w:color w:val="000000"/>
                <w:kern w:val="0"/>
                <w:szCs w:val="21"/>
                <w:lang w:val="en-US" w:eastAsia="zh-CN" w:bidi="ar"/>
              </w:rPr>
              <w:t>含</w:t>
            </w:r>
            <w:r>
              <w:rPr>
                <w:rFonts w:hint="eastAsia" w:ascii="宋体" w:hAnsi="宋体" w:cs="宋体"/>
                <w:color w:val="000000"/>
                <w:kern w:val="0"/>
                <w:szCs w:val="21"/>
                <w:lang w:bidi="ar"/>
              </w:rPr>
              <w:t>1套标定检测装置</w:t>
            </w:r>
            <w:r>
              <w:rPr>
                <w:rFonts w:hint="eastAsia" w:ascii="宋体" w:hAnsi="宋体" w:cs="宋体"/>
                <w:color w:val="000000"/>
                <w:kern w:val="0"/>
                <w:szCs w:val="21"/>
                <w:lang w:eastAsia="zh-CN" w:bidi="ar"/>
              </w:rPr>
              <w:t>（</w:t>
            </w:r>
            <w:r>
              <w:rPr>
                <w:rFonts w:hint="eastAsia" w:ascii="宋体" w:hAnsi="宋体" w:cs="宋体"/>
                <w:color w:val="000000"/>
                <w:kern w:val="0"/>
                <w:szCs w:val="21"/>
                <w:lang w:bidi="ar"/>
              </w:rPr>
              <w:t>质量秤、空调瓶</w:t>
            </w:r>
            <w:r>
              <w:rPr>
                <w:rFonts w:hint="eastAsia" w:ascii="宋体" w:hAnsi="宋体" w:cs="宋体"/>
                <w:color w:val="000000"/>
                <w:kern w:val="0"/>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53"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2</w:t>
            </w:r>
          </w:p>
        </w:tc>
        <w:tc>
          <w:tcPr>
            <w:tcW w:w="2551"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防冻液真空加注机</w:t>
            </w:r>
          </w:p>
        </w:tc>
        <w:tc>
          <w:tcPr>
            <w:tcW w:w="1173"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0</w:t>
            </w:r>
            <w:r>
              <w:rPr>
                <w:rFonts w:ascii="宋体" w:hAnsi="宋体" w:cs="宋体"/>
                <w:color w:val="000000"/>
                <w:kern w:val="0"/>
                <w:szCs w:val="21"/>
                <w:lang w:bidi="ar"/>
              </w:rPr>
              <w:t>-</w:t>
            </w:r>
            <w:r>
              <w:rPr>
                <w:rFonts w:hint="eastAsia" w:ascii="宋体" w:hAnsi="宋体" w:cs="宋体"/>
                <w:color w:val="000000"/>
                <w:kern w:val="0"/>
                <w:szCs w:val="21"/>
                <w:lang w:val="en-US" w:eastAsia="zh-CN" w:bidi="ar"/>
              </w:rPr>
              <w:t>40</w:t>
            </w:r>
            <w:r>
              <w:rPr>
                <w:rFonts w:ascii="宋体" w:hAnsi="宋体" w:cs="宋体"/>
                <w:color w:val="000000"/>
                <w:kern w:val="0"/>
                <w:szCs w:val="21"/>
                <w:lang w:bidi="ar"/>
              </w:rPr>
              <w:t>L</w:t>
            </w:r>
          </w:p>
        </w:tc>
        <w:tc>
          <w:tcPr>
            <w:tcW w:w="787"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1</w:t>
            </w:r>
          </w:p>
        </w:tc>
        <w:tc>
          <w:tcPr>
            <w:tcW w:w="1252" w:type="dxa"/>
            <w:vAlign w:val="center"/>
          </w:tcPr>
          <w:p>
            <w:pPr>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集中供液、线边桶装</w:t>
            </w:r>
          </w:p>
        </w:tc>
        <w:tc>
          <w:tcPr>
            <w:tcW w:w="1877" w:type="dxa"/>
            <w:vAlign w:val="center"/>
          </w:tcPr>
          <w:p>
            <w:pPr>
              <w:jc w:val="center"/>
              <w:rPr>
                <w:rFonts w:hint="eastAsia"/>
                <w:lang w:val="en-US" w:eastAsia="zh-CN"/>
              </w:rPr>
            </w:pPr>
            <w:r>
              <w:rPr>
                <w:rFonts w:hint="eastAsia"/>
                <w:lang w:val="en-US" w:eastAsia="zh-CN"/>
              </w:rPr>
              <w:t>燃油车0-2min</w:t>
            </w:r>
          </w:p>
          <w:p>
            <w:pPr>
              <w:jc w:val="center"/>
              <w:rPr>
                <w:rFonts w:hint="default"/>
                <w:lang w:val="en-US" w:eastAsia="zh-CN"/>
              </w:rPr>
            </w:pPr>
            <w:r>
              <w:rPr>
                <w:rFonts w:hint="eastAsia"/>
                <w:lang w:val="en-US" w:eastAsia="zh-CN"/>
              </w:rPr>
              <w:t>新能源车0-2.5min</w:t>
            </w:r>
          </w:p>
        </w:tc>
        <w:tc>
          <w:tcPr>
            <w:tcW w:w="2088" w:type="dxa"/>
            <w:vAlign w:val="center"/>
          </w:tcPr>
          <w:p>
            <w:pPr>
              <w:jc w:val="center"/>
            </w:pPr>
          </w:p>
        </w:tc>
      </w:tr>
    </w:tbl>
    <w:p>
      <w:pPr>
        <w:pStyle w:val="3"/>
      </w:pPr>
      <w:r>
        <w:rPr>
          <w:rFonts w:hint="eastAsia"/>
        </w:rPr>
        <w:t>四、工程界面</w:t>
      </w:r>
    </w:p>
    <w:p>
      <w:pPr>
        <w:spacing w:line="360" w:lineRule="auto"/>
        <w:rPr>
          <w:rFonts w:hint="eastAsia" w:ascii="宋体" w:hAnsi="宋体"/>
          <w:sz w:val="24"/>
          <w:szCs w:val="24"/>
        </w:rPr>
      </w:pPr>
      <w:r>
        <w:rPr>
          <w:rFonts w:hint="eastAsia" w:ascii="宋体" w:hAnsi="宋体"/>
          <w:sz w:val="24"/>
          <w:szCs w:val="24"/>
        </w:rPr>
        <w:t>1.招标方提供厂房及吊点，吊点设置位置、高度及规格型号见厂房建筑图纸；投标方负责吊点以下悬挂钢结构，包括吊点联接装置、吊杆、一次、二次辅梁、安全护栏、安全网等的设计、制作、安装。投标方的设计图纸应经招标方审核。</w:t>
      </w:r>
    </w:p>
    <w:p>
      <w:pPr>
        <w:spacing w:line="360" w:lineRule="auto"/>
        <w:rPr>
          <w:rFonts w:hint="eastAsia" w:ascii="宋体" w:hAnsi="宋体"/>
          <w:sz w:val="24"/>
          <w:szCs w:val="24"/>
        </w:rPr>
      </w:pPr>
      <w:r>
        <w:rPr>
          <w:rFonts w:hint="eastAsia" w:ascii="宋体" w:hAnsi="宋体"/>
          <w:sz w:val="24"/>
          <w:szCs w:val="24"/>
        </w:rPr>
        <w:t>2.基础，基础和二次浇注、预埋件等由招标方负责，具体要求由投标方在土建需求提供资料前提出。</w:t>
      </w:r>
    </w:p>
    <w:p>
      <w:pPr>
        <w:spacing w:line="360" w:lineRule="auto"/>
        <w:rPr>
          <w:rFonts w:hint="eastAsia" w:ascii="宋体" w:hAnsi="宋体"/>
          <w:sz w:val="24"/>
          <w:szCs w:val="24"/>
        </w:rPr>
      </w:pPr>
      <w:r>
        <w:rPr>
          <w:rFonts w:hint="eastAsia" w:ascii="宋体" w:hAnsi="宋体"/>
          <w:sz w:val="24"/>
          <w:szCs w:val="24"/>
        </w:rPr>
        <w:t>3.气源划分，气源一次侧与二次侧的范围界定：根据设备需要，招标方在车间主管网上预留气源接口并带有阀门；阀门后所有的气路设施由投标方负责，投标方需在提供资料时提出预留气源接口位置。</w:t>
      </w:r>
    </w:p>
    <w:p>
      <w:pPr>
        <w:spacing w:line="360" w:lineRule="auto"/>
        <w:rPr>
          <w:rFonts w:hint="eastAsia" w:ascii="宋体" w:hAnsi="宋体"/>
          <w:sz w:val="24"/>
          <w:szCs w:val="24"/>
        </w:rPr>
      </w:pPr>
      <w:r>
        <w:rPr>
          <w:rFonts w:hint="eastAsia" w:ascii="宋体" w:hAnsi="宋体"/>
          <w:sz w:val="24"/>
          <w:szCs w:val="24"/>
        </w:rPr>
        <w:t xml:space="preserve">4.电源划分，控制柜仅指设备的主控柜，原则上每台设备设置一个主控柜（主控柜位置需根据实际生产情况具体设置），单台设备超过一个主控柜需在图纸会签时说明，否则招标方不负责提供多余电源点。招标方负责从插接箱中接电进投标方主控柜，线缆和桥架及母线插接箱均由招标方负责。投标方负责每条主线和分装线边小功率设备的线边配电柜（带电表及通讯上传功能）接线及柜内各元器件连接，无主控柜时电源由投标方负责从插接箱中取电。投标方负责线边配电柜到线边两侧工位上的接电盒（具体图纸会签时确定），接电盒内各元器件由投标方负责。投标方负责提供输送设备、工艺设备、照明、风扇、插座用电。  </w:t>
      </w:r>
    </w:p>
    <w:p>
      <w:pPr>
        <w:spacing w:line="360" w:lineRule="auto"/>
        <w:rPr>
          <w:rFonts w:hint="eastAsia" w:ascii="宋体" w:hAnsi="宋体"/>
          <w:bCs/>
          <w:sz w:val="24"/>
          <w:szCs w:val="24"/>
        </w:rPr>
      </w:pPr>
      <w:r>
        <w:rPr>
          <w:rFonts w:hint="eastAsia" w:ascii="宋体" w:hAnsi="宋体"/>
          <w:sz w:val="24"/>
          <w:szCs w:val="24"/>
        </w:rPr>
        <w:t>5.照明划分，招标方负责车间照明、应急照明、疏散指示灯。投标方负责工位照明、设备照明。</w:t>
      </w:r>
    </w:p>
    <w:p>
      <w:pPr>
        <w:spacing w:line="360" w:lineRule="auto"/>
        <w:jc w:val="left"/>
        <w:rPr>
          <w:rFonts w:hint="eastAsia" w:asciiTheme="minorEastAsia" w:hAnsiTheme="minorEastAsia"/>
          <w:sz w:val="24"/>
          <w:szCs w:val="24"/>
        </w:rPr>
      </w:pPr>
      <w:r>
        <w:rPr>
          <w:rFonts w:hint="eastAsia" w:ascii="宋体" w:hAnsi="宋体"/>
          <w:bCs/>
          <w:sz w:val="24"/>
          <w:szCs w:val="24"/>
        </w:rPr>
        <w:t>6.工艺接口，</w:t>
      </w:r>
      <w:r>
        <w:rPr>
          <w:rFonts w:hint="eastAsia" w:asciiTheme="minorEastAsia" w:hAnsiTheme="minorEastAsia"/>
          <w:sz w:val="24"/>
          <w:szCs w:val="24"/>
        </w:rPr>
        <w:t>各设备具体布置情况详见重汽轻卡二期总装平面布置图。平面布置图仅提出各设备布置位置及输送流向，投标方应细化各设备设计方案后，作为投标依据。</w:t>
      </w:r>
    </w:p>
    <w:p>
      <w:pPr>
        <w:spacing w:line="360" w:lineRule="auto"/>
        <w:jc w:val="left"/>
        <w:rPr>
          <w:rFonts w:hint="eastAsia" w:asciiTheme="minorEastAsia" w:hAnsiTheme="minorEastAsia"/>
          <w:sz w:val="24"/>
          <w:szCs w:val="24"/>
        </w:rPr>
      </w:pPr>
      <w:r>
        <w:rPr>
          <w:rFonts w:hint="eastAsia" w:asciiTheme="minorEastAsia" w:hAnsiTheme="minorEastAsia"/>
          <w:sz w:val="24"/>
          <w:szCs w:val="24"/>
        </w:rPr>
        <w:t>7.网络界面，招标方负责车间内一次侧网络布置，</w:t>
      </w:r>
      <w:r>
        <w:rPr>
          <w:rFonts w:hint="eastAsia" w:ascii="宋体" w:hAnsi="宋体"/>
          <w:sz w:val="24"/>
          <w:szCs w:val="24"/>
        </w:rPr>
        <w:t>投标方提出预留网络需求必须经过招标方审核，</w:t>
      </w:r>
      <w:r>
        <w:rPr>
          <w:rFonts w:hint="eastAsia" w:asciiTheme="minorEastAsia" w:hAnsiTheme="minorEastAsia"/>
          <w:sz w:val="24"/>
          <w:szCs w:val="24"/>
        </w:rPr>
        <w:t>投标方负责二次侧网络布置、连接和调试。</w:t>
      </w:r>
    </w:p>
    <w:p>
      <w:pPr>
        <w:pStyle w:val="3"/>
      </w:pPr>
      <w:r>
        <w:rPr>
          <w:rFonts w:hint="eastAsia"/>
        </w:rPr>
        <w:t>五、标的物技术要求</w:t>
      </w:r>
    </w:p>
    <w:p>
      <w:pPr>
        <w:spacing w:line="360" w:lineRule="auto"/>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1.基本要求</w:t>
      </w:r>
    </w:p>
    <w:p>
      <w:pPr>
        <w:spacing w:line="360" w:lineRule="auto"/>
        <w:rPr>
          <w:rFonts w:hint="eastAsia" w:ascii="宋体" w:hAnsi="宋体"/>
          <w:bCs/>
          <w:sz w:val="24"/>
        </w:rPr>
      </w:pPr>
      <w:r>
        <w:rPr>
          <w:rFonts w:hint="eastAsia" w:ascii="宋体" w:hAnsi="宋体"/>
          <w:bCs/>
          <w:sz w:val="24"/>
        </w:rPr>
        <w:t>1.1投标方所供的货物，必须符合中国最新版的法律、法规和相关标准、规范的要求，符合项目所在地政府有关特殊要求。</w:t>
      </w:r>
    </w:p>
    <w:p>
      <w:pPr>
        <w:spacing w:line="360" w:lineRule="auto"/>
        <w:rPr>
          <w:rFonts w:hint="eastAsia" w:ascii="宋体" w:hAnsi="宋体"/>
          <w:bCs/>
          <w:sz w:val="24"/>
        </w:rPr>
      </w:pPr>
      <w:r>
        <w:rPr>
          <w:rFonts w:hint="eastAsia" w:ascii="宋体" w:hAnsi="宋体"/>
          <w:bCs/>
          <w:sz w:val="24"/>
        </w:rPr>
        <w:t>1.2投标方所供货物涉及的、招标方有权使用的专利权技术以及知识产权保护的其它技术等，应保证招标方不因此受到任何侵权指控以及实际损失。</w:t>
      </w:r>
    </w:p>
    <w:p>
      <w:pPr>
        <w:spacing w:line="360" w:lineRule="auto"/>
        <w:rPr>
          <w:rFonts w:hint="eastAsia" w:ascii="宋体" w:hAnsi="宋体"/>
          <w:bCs/>
          <w:sz w:val="24"/>
        </w:rPr>
      </w:pPr>
      <w:r>
        <w:rPr>
          <w:rFonts w:hint="eastAsia" w:ascii="宋体" w:hAnsi="宋体"/>
          <w:bCs/>
          <w:sz w:val="24"/>
        </w:rPr>
        <w:t>1.3投标方应保证所供货物的先进性、可靠性、经济性和实用性，并为全新货物（或设备）。</w:t>
      </w:r>
    </w:p>
    <w:p>
      <w:pPr>
        <w:spacing w:line="360" w:lineRule="auto"/>
        <w:rPr>
          <w:rFonts w:hint="eastAsia" w:ascii="宋体" w:hAnsi="宋体"/>
          <w:bCs/>
          <w:sz w:val="24"/>
        </w:rPr>
      </w:pPr>
      <w:r>
        <w:rPr>
          <w:rFonts w:hint="eastAsia" w:ascii="宋体" w:hAnsi="宋体"/>
          <w:bCs/>
          <w:sz w:val="24"/>
        </w:rPr>
        <w:t>1.4投标方应满足招标方提出的各项技术要求，必要时应当免费提供技术承诺或担保。</w:t>
      </w:r>
    </w:p>
    <w:p>
      <w:pPr>
        <w:spacing w:line="360" w:lineRule="auto"/>
        <w:rPr>
          <w:rFonts w:hint="eastAsia" w:ascii="宋体" w:hAnsi="宋体"/>
          <w:bCs/>
          <w:sz w:val="24"/>
        </w:rPr>
      </w:pPr>
      <w:r>
        <w:rPr>
          <w:rFonts w:hint="eastAsia" w:ascii="宋体" w:hAnsi="宋体"/>
          <w:bCs/>
          <w:sz w:val="24"/>
        </w:rPr>
        <w:t>1.5投标方应保证所供货物（或设备）为中国公布的非淘汰货物（或设备），并为中国指定或规定的主管部门认可的环保型和节能型货物（或设备）。</w:t>
      </w:r>
    </w:p>
    <w:p>
      <w:pPr>
        <w:spacing w:line="360" w:lineRule="auto"/>
        <w:rPr>
          <w:rFonts w:hint="eastAsia" w:ascii="宋体" w:hAnsi="宋体"/>
          <w:bCs/>
          <w:sz w:val="24"/>
        </w:rPr>
      </w:pPr>
      <w:r>
        <w:rPr>
          <w:rFonts w:hint="eastAsia" w:ascii="宋体" w:hAnsi="宋体"/>
          <w:bCs/>
          <w:sz w:val="24"/>
        </w:rPr>
        <w:t>1.6投标方应保证所供货物（或生产线）的完整性和成套性，能保证货物（或生产线）的正常运行、使用。</w:t>
      </w:r>
    </w:p>
    <w:p>
      <w:pPr>
        <w:spacing w:line="360" w:lineRule="auto"/>
      </w:pPr>
      <w:r>
        <w:rPr>
          <w:rFonts w:hint="eastAsia" w:ascii="宋体" w:hAnsi="宋体"/>
          <w:bCs/>
          <w:sz w:val="24"/>
        </w:rPr>
        <w:t>1.7投标方应对招标方采购的货物（或生产线）所涉及的技术、产能等信息负有保密义务，特殊项目应当无条件签署保密协议。</w:t>
      </w:r>
    </w:p>
    <w:p>
      <w:pPr>
        <w:spacing w:line="360" w:lineRule="auto"/>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2.通用技术要求</w:t>
      </w:r>
    </w:p>
    <w:p>
      <w:pPr>
        <w:spacing w:line="360" w:lineRule="auto"/>
        <w:rPr>
          <w:rFonts w:hint="eastAsia" w:ascii="宋体" w:hAnsi="宋体"/>
          <w:sz w:val="24"/>
        </w:rPr>
      </w:pPr>
      <w:r>
        <w:rPr>
          <w:rFonts w:hint="eastAsia" w:ascii="宋体" w:hAnsi="宋体"/>
          <w:sz w:val="24"/>
        </w:rPr>
        <w:t>2.1</w:t>
      </w:r>
      <w:r>
        <w:rPr>
          <w:rFonts w:hint="eastAsia" w:asciiTheme="minorEastAsia" w:hAnsiTheme="minorEastAsia"/>
          <w:sz w:val="24"/>
          <w:szCs w:val="24"/>
        </w:rPr>
        <w:t>关于加注机整车装配线、空中输送部分的对接，投标方必须无条件服从招标方的安排。</w:t>
      </w:r>
    </w:p>
    <w:p>
      <w:pPr>
        <w:pStyle w:val="147"/>
        <w:spacing w:line="360" w:lineRule="auto"/>
        <w:ind w:firstLine="0" w:firstLineChars="0"/>
        <w:jc w:val="left"/>
        <w:rPr>
          <w:rFonts w:hint="eastAsia" w:asciiTheme="minorEastAsia" w:hAnsiTheme="minorEastAsia" w:eastAsiaTheme="majorEastAsia"/>
          <w:sz w:val="24"/>
          <w:szCs w:val="24"/>
        </w:rPr>
      </w:pPr>
      <w:r>
        <w:rPr>
          <w:rFonts w:hint="eastAsia" w:ascii="宋体" w:hAnsi="宋体"/>
          <w:sz w:val="24"/>
        </w:rPr>
        <w:t>2.2</w:t>
      </w:r>
      <w:r>
        <w:rPr>
          <w:rFonts w:hint="eastAsia" w:ascii="宋体" w:hAnsi="宋体"/>
          <w:sz w:val="24"/>
          <w:szCs w:val="24"/>
        </w:rPr>
        <w:t>所提供的</w:t>
      </w:r>
      <w:r>
        <w:rPr>
          <w:rFonts w:hint="eastAsia" w:asciiTheme="minorEastAsia" w:hAnsiTheme="minorEastAsia"/>
          <w:sz w:val="24"/>
          <w:szCs w:val="24"/>
        </w:rPr>
        <w:t>电气控制及联锁应可靠，信号指示醒目明确；电机采用强制风冷，电流在额定范围内，温升不超出规定值。</w:t>
      </w:r>
      <w:r>
        <w:rPr>
          <w:rFonts w:hint="eastAsia" w:asciiTheme="majorEastAsia" w:hAnsiTheme="majorEastAsia" w:eastAsiaTheme="majorEastAsia"/>
          <w:sz w:val="24"/>
          <w:szCs w:val="24"/>
        </w:rPr>
        <w:t>所有零部件都必须经防锈处理。</w:t>
      </w:r>
    </w:p>
    <w:p>
      <w:pPr>
        <w:pStyle w:val="147"/>
        <w:spacing w:line="360" w:lineRule="auto"/>
        <w:ind w:firstLine="0" w:firstLineChars="0"/>
        <w:jc w:val="left"/>
        <w:rPr>
          <w:rFonts w:hint="eastAsia" w:ascii="宋体" w:hAnsi="宋体"/>
          <w:sz w:val="24"/>
        </w:rPr>
      </w:pPr>
      <w:r>
        <w:rPr>
          <w:rFonts w:hint="eastAsia" w:ascii="宋体" w:hAnsi="宋体"/>
          <w:sz w:val="24"/>
        </w:rPr>
        <w:t>2.3</w:t>
      </w:r>
      <w:r>
        <w:rPr>
          <w:rFonts w:hint="eastAsia" w:ascii="宋体" w:hAnsi="宋体"/>
          <w:sz w:val="24"/>
          <w:szCs w:val="24"/>
        </w:rPr>
        <w:t>所提供的设备应带有与本身相符的</w:t>
      </w:r>
      <w:r>
        <w:rPr>
          <w:rFonts w:hint="eastAsia" w:ascii="宋体" w:hAnsi="宋体"/>
          <w:sz w:val="24"/>
        </w:rPr>
        <w:t>人机交互监控界面，便于操作人员设备参数、性能等进行查看、调整、监控。</w:t>
      </w:r>
    </w:p>
    <w:p>
      <w:pPr>
        <w:pStyle w:val="144"/>
        <w:spacing w:line="360" w:lineRule="auto"/>
        <w:ind w:firstLine="0" w:firstLineChars="0"/>
        <w:rPr>
          <w:rFonts w:hint="eastAsia" w:asciiTheme="majorEastAsia" w:hAnsiTheme="majorEastAsia" w:eastAsiaTheme="majorEastAsia"/>
          <w:sz w:val="24"/>
        </w:rPr>
      </w:pPr>
      <w:r>
        <w:rPr>
          <w:rFonts w:hint="eastAsia" w:ascii="宋体" w:hAnsi="宋体"/>
          <w:sz w:val="24"/>
        </w:rPr>
        <w:t>2.4所有</w:t>
      </w:r>
      <w:r>
        <w:rPr>
          <w:rFonts w:hint="eastAsia" w:asciiTheme="majorEastAsia" w:hAnsiTheme="majorEastAsia" w:eastAsiaTheme="majorEastAsia"/>
          <w:sz w:val="24"/>
        </w:rPr>
        <w:t>设备自带干燥装置，压缩空气接入端必须装有空气干燥器，保证进入设备管路中的压缩空气干燥。</w:t>
      </w:r>
    </w:p>
    <w:p>
      <w:pPr>
        <w:pStyle w:val="144"/>
        <w:spacing w:line="360" w:lineRule="auto"/>
        <w:ind w:firstLine="0" w:firstLineChars="0"/>
        <w:rPr>
          <w:rFonts w:hint="eastAsia"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sz w:val="24"/>
        </w:rPr>
        <w:t>2.5设备内所有加注硬管采用304及以上不</w:t>
      </w:r>
      <w:r>
        <w:rPr>
          <w:rFonts w:hint="eastAsia" w:asciiTheme="majorEastAsia" w:hAnsiTheme="majorEastAsia" w:eastAsiaTheme="majorEastAsia"/>
          <w:color w:val="000000" w:themeColor="text1"/>
          <w:sz w:val="24"/>
          <w14:textFill>
            <w14:solidFill>
              <w14:schemeClr w14:val="tx1"/>
            </w14:solidFill>
          </w14:textFill>
        </w:rPr>
        <w:t>锈钢材料，加注枪管路及其他无法采用不锈钢的管路，必须保证管路在抽真空及加注过程中不发生变形。</w:t>
      </w:r>
    </w:p>
    <w:p>
      <w:pPr>
        <w:pStyle w:val="144"/>
        <w:spacing w:line="360" w:lineRule="auto"/>
        <w:ind w:firstLine="0" w:firstLineChars="0"/>
        <w:rPr>
          <w:rFonts w:hint="eastAsia"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2.6管路布置整洁，集中供液和线边单机不允许出现后部管路拆卸位置被前面管路或部件遮挡的情况。</w:t>
      </w:r>
    </w:p>
    <w:p>
      <w:pPr>
        <w:pStyle w:val="144"/>
        <w:spacing w:line="360" w:lineRule="auto"/>
        <w:ind w:firstLine="0" w:firstLineChars="0"/>
        <w:rPr>
          <w:rFonts w:hint="eastAsia"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 xml:space="preserve">2.7真空管路设置真空密封检测接口，方便用户定期自行校准设备和检查设备本体有无泄漏。 </w:t>
      </w:r>
    </w:p>
    <w:p>
      <w:pPr>
        <w:pStyle w:val="144"/>
        <w:spacing w:line="360" w:lineRule="auto"/>
        <w:ind w:firstLine="0" w:firstLineChars="0"/>
        <w:rPr>
          <w:rFonts w:hint="eastAsia"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2.8加注泵前、后均配置过滤器，选型时过滤器不能影响系统工作压力以及流体速度，过滤器安装位置考虑人员可维修性，滤芯更换要方便。</w:t>
      </w:r>
    </w:p>
    <w:p>
      <w:pPr>
        <w:pStyle w:val="144"/>
        <w:spacing w:line="360" w:lineRule="auto"/>
        <w:ind w:firstLine="0" w:firstLineChars="0"/>
        <w:rPr>
          <w:rFonts w:hint="eastAsia"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2.9所有的压力表都标明红绿区域指示正常和非正常的范围；所有的容器都在其侧面或正面带有检测液位的指示器。</w:t>
      </w:r>
    </w:p>
    <w:p>
      <w:pPr>
        <w:pStyle w:val="144"/>
        <w:spacing w:line="360" w:lineRule="auto"/>
        <w:ind w:firstLine="0" w:firstLineChars="0"/>
        <w:rPr>
          <w:rFonts w:hint="eastAsia"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2.10所有设备加注枪带管路长度满足现场使用要求，具体长度设计会签时确定。</w:t>
      </w:r>
    </w:p>
    <w:p>
      <w:pPr>
        <w:pStyle w:val="144"/>
        <w:spacing w:line="360" w:lineRule="auto"/>
        <w:ind w:firstLine="0" w:firstLineChars="0"/>
        <w:rPr>
          <w:rFonts w:hint="eastAsia"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2.11所有设备加注枪要求拆卸方便，便于维修；加注枪管路与设备之间采用快速接口连接。</w:t>
      </w:r>
    </w:p>
    <w:p>
      <w:pPr>
        <w:pStyle w:val="144"/>
        <w:spacing w:line="360" w:lineRule="auto"/>
        <w:ind w:firstLine="0" w:firstLineChars="0"/>
        <w:rPr>
          <w:rFonts w:hint="eastAsia" w:asciiTheme="majorEastAsia" w:hAnsiTheme="majorEastAsia" w:eastAsiaTheme="majorEastAsia"/>
          <w:sz w:val="24"/>
        </w:rPr>
      </w:pPr>
      <w:r>
        <w:rPr>
          <w:rFonts w:hint="eastAsia" w:asciiTheme="majorEastAsia" w:hAnsiTheme="majorEastAsia" w:eastAsiaTheme="majorEastAsia"/>
          <w:color w:val="000000" w:themeColor="text1"/>
          <w:sz w:val="24"/>
          <w14:textFill>
            <w14:solidFill>
              <w14:schemeClr w14:val="tx1"/>
            </w14:solidFill>
          </w14:textFill>
        </w:rPr>
        <w:t>2.12所有加注枪管路与车辆接触时不会对车辆油漆造成损伤、划伤，加注枪与壶</w:t>
      </w:r>
      <w:r>
        <w:rPr>
          <w:rFonts w:hint="eastAsia" w:asciiTheme="majorEastAsia" w:hAnsiTheme="majorEastAsia" w:eastAsiaTheme="majorEastAsia"/>
          <w:sz w:val="24"/>
        </w:rPr>
        <w:t>罐接触时，不允许对其造成损伤、划伤。</w:t>
      </w:r>
    </w:p>
    <w:p>
      <w:pPr>
        <w:pStyle w:val="144"/>
        <w:spacing w:line="360" w:lineRule="auto"/>
        <w:ind w:firstLine="0" w:firstLineChars="0"/>
        <w:rPr>
          <w:rFonts w:hint="eastAsia" w:asciiTheme="minorEastAsia" w:hAnsiTheme="minorEastAsia"/>
          <w:sz w:val="24"/>
        </w:rPr>
      </w:pPr>
      <w:r>
        <w:rPr>
          <w:rFonts w:hint="eastAsia" w:asciiTheme="majorEastAsia" w:hAnsiTheme="majorEastAsia" w:eastAsiaTheme="majorEastAsia"/>
          <w:sz w:val="24"/>
        </w:rPr>
        <w:t>2.13加注枪在员工操作移动过程中保证无液滴滴落。</w:t>
      </w:r>
    </w:p>
    <w:p>
      <w:pPr>
        <w:spacing w:line="360" w:lineRule="auto"/>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3.控制柜和接线技术要求</w:t>
      </w:r>
    </w:p>
    <w:p>
      <w:pPr>
        <w:spacing w:line="360" w:lineRule="auto"/>
        <w:rPr>
          <w:sz w:val="24"/>
          <w:szCs w:val="24"/>
        </w:rPr>
      </w:pPr>
      <w:r>
        <w:rPr>
          <w:rFonts w:hint="eastAsia" w:ascii="宋体" w:hAnsi="宋体"/>
          <w:sz w:val="24"/>
        </w:rPr>
        <w:t>3.1</w:t>
      </w:r>
      <w:r>
        <w:rPr>
          <w:rFonts w:hint="eastAsia"/>
          <w:sz w:val="24"/>
          <w:szCs w:val="24"/>
        </w:rPr>
        <w:t>控制柜具有防倾倒措施。</w:t>
      </w:r>
      <w:r>
        <w:rPr>
          <w:rFonts w:hint="eastAsia" w:asciiTheme="minorEastAsia" w:hAnsiTheme="minorEastAsia"/>
          <w:sz w:val="24"/>
          <w:szCs w:val="24"/>
        </w:rPr>
        <w:t>控制柜配备空调降温系统；</w:t>
      </w:r>
      <w:r>
        <w:rPr>
          <w:rFonts w:hint="eastAsia"/>
          <w:sz w:val="24"/>
          <w:szCs w:val="24"/>
        </w:rPr>
        <w:t>控制柜内设置照明装置。</w:t>
      </w:r>
      <w:r>
        <w:rPr>
          <w:rFonts w:hint="eastAsia" w:cs="Times New Roman" w:asciiTheme="minorEastAsia" w:hAnsiTheme="minorEastAsia"/>
          <w:color w:val="000000" w:themeColor="text1"/>
          <w:sz w:val="24"/>
          <w:szCs w:val="24"/>
          <w14:textFill>
            <w14:solidFill>
              <w14:schemeClr w14:val="tx1"/>
            </w14:solidFill>
          </w14:textFill>
        </w:rPr>
        <w:t>系统各部件要求接地良好，电缆桥架、电柜、钢管之间必须做接地跨接。</w:t>
      </w:r>
    </w:p>
    <w:p>
      <w:pPr>
        <w:spacing w:line="360" w:lineRule="auto"/>
        <w:rPr>
          <w:rFonts w:hint="eastAsia" w:asciiTheme="minorEastAsia" w:hAnsiTheme="minorEastAsia" w:cstheme="minorEastAsia"/>
          <w:sz w:val="24"/>
          <w:szCs w:val="24"/>
        </w:rPr>
      </w:pPr>
      <w:r>
        <w:rPr>
          <w:rFonts w:hint="eastAsia" w:ascii="宋体" w:hAnsi="宋体"/>
          <w:sz w:val="24"/>
        </w:rPr>
        <w:t>3.2</w:t>
      </w:r>
      <w:r>
        <w:rPr>
          <w:rFonts w:hint="eastAsia"/>
          <w:sz w:val="24"/>
          <w:szCs w:val="24"/>
        </w:rPr>
        <w:t>所有输送线体按钮站、控制柜、线束桥架全部做防鼠、防尘、防水处理，防尘、防水标准符合国标要求，各设备和控制系统之间不允许有控制方式、接口不相容因素。为防止上述因素发生，主要产品使用同一厂家生产的系列化产品。所有电器、气动元件需要标识清晰，方便维修人员处理故障。地线联接和地极符合国际</w:t>
      </w:r>
      <w:r>
        <w:rPr>
          <w:rFonts w:hint="eastAsia" w:asciiTheme="minorEastAsia" w:hAnsiTheme="minorEastAsia" w:cstheme="minorEastAsia"/>
          <w:sz w:val="24"/>
          <w:szCs w:val="24"/>
        </w:rPr>
        <w:t>（ISO/IEC）标准规范，满足用户使用要求。</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3.3</w:t>
      </w:r>
      <w:r>
        <w:rPr>
          <w:rFonts w:hint="eastAsia" w:asciiTheme="minorEastAsia" w:hAnsiTheme="minorEastAsia" w:cstheme="minorEastAsia"/>
          <w:sz w:val="24"/>
          <w:szCs w:val="24"/>
        </w:rPr>
        <w:t>控制柜外壳防护等级：室内环境，控制柜的外壳防护等级不宜低于IP55；室外环境，控制柜的外壳防护等级不宜低于IP67。</w:t>
      </w:r>
    </w:p>
    <w:p>
      <w:pPr>
        <w:spacing w:line="360" w:lineRule="auto"/>
        <w:rPr>
          <w:sz w:val="24"/>
          <w:szCs w:val="24"/>
        </w:rPr>
      </w:pPr>
      <w:r>
        <w:rPr>
          <w:rFonts w:hint="eastAsia" w:asciiTheme="minorEastAsia" w:hAnsiTheme="minorEastAsia" w:cstheme="minorEastAsia"/>
          <w:sz w:val="24"/>
        </w:rPr>
        <w:t>3.4</w:t>
      </w:r>
      <w:r>
        <w:rPr>
          <w:rFonts w:hint="eastAsia" w:asciiTheme="minorEastAsia" w:hAnsiTheme="minorEastAsia" w:cstheme="minorEastAsia"/>
          <w:sz w:val="24"/>
          <w:szCs w:val="24"/>
        </w:rPr>
        <w:t>控制柜和接线，控制柜门应有导电门封垫条，以提高抗射频干扰（RFI）能力。控制柜的设计应满足电缆由柜底引入的要求，投标人提供的电缆接线应采用接线端子排方式，而非将电缆直接连接在元件端子上，内部接线应预置。对需散热的控制柜，投标人提供排气风扇和内部循环风扇。排气风扇和</w:t>
      </w:r>
      <w:r>
        <w:rPr>
          <w:rFonts w:hint="eastAsia"/>
          <w:sz w:val="24"/>
          <w:szCs w:val="24"/>
        </w:rPr>
        <w:t>内部循环风扇应易于更换。风扇故障应有报警，在投标文件中注明。</w:t>
      </w:r>
    </w:p>
    <w:p>
      <w:pPr>
        <w:spacing w:line="360" w:lineRule="auto"/>
        <w:rPr>
          <w:sz w:val="24"/>
          <w:szCs w:val="24"/>
        </w:rPr>
      </w:pPr>
      <w:r>
        <w:rPr>
          <w:rFonts w:hint="eastAsia" w:ascii="宋体" w:hAnsi="宋体"/>
          <w:sz w:val="24"/>
        </w:rPr>
        <w:t>3.5</w:t>
      </w:r>
      <w:r>
        <w:rPr>
          <w:rFonts w:hint="eastAsia"/>
          <w:sz w:val="24"/>
          <w:szCs w:val="24"/>
        </w:rPr>
        <w:t>所提供的控制柜内应安装设温度检测开关，当温度过高时应进行报警。</w:t>
      </w:r>
    </w:p>
    <w:p>
      <w:pPr>
        <w:spacing w:line="360" w:lineRule="auto"/>
        <w:rPr>
          <w:rFonts w:hint="eastAsia" w:asciiTheme="minorEastAsia" w:hAnsiTheme="minorEastAsia" w:cstheme="minorEastAsia"/>
          <w:sz w:val="24"/>
          <w:szCs w:val="24"/>
        </w:rPr>
      </w:pPr>
      <w:r>
        <w:rPr>
          <w:rFonts w:hint="eastAsia" w:ascii="宋体" w:hAnsi="宋体"/>
          <w:sz w:val="24"/>
        </w:rPr>
        <w:t>3.6</w:t>
      </w:r>
      <w:r>
        <w:rPr>
          <w:rFonts w:hint="eastAsia"/>
          <w:sz w:val="24"/>
          <w:szCs w:val="24"/>
        </w:rPr>
        <w:t>控制柜内的端子排</w:t>
      </w:r>
      <w:r>
        <w:rPr>
          <w:rFonts w:hint="eastAsia" w:asciiTheme="minorEastAsia" w:hAnsiTheme="minorEastAsia" w:cstheme="minorEastAsia"/>
          <w:sz w:val="24"/>
          <w:szCs w:val="24"/>
        </w:rPr>
        <w:t>应布置在易于安装接线的地方，即为离柜底300mm以上和距柜顶150mm以下，控制柜（控制台）尺寸、颜色、外形结构相同，其控制柜、控制台颜色由招标方确定。控制柜外壳刚度能满足现场要求（最小厚度≥2mm）。控制柜内附有关本控制柜情况的资料袋。</w:t>
      </w:r>
    </w:p>
    <w:p>
      <w:pPr>
        <w:spacing w:line="360" w:lineRule="auto"/>
        <w:rPr>
          <w:sz w:val="24"/>
          <w:szCs w:val="24"/>
        </w:rPr>
      </w:pPr>
      <w:r>
        <w:rPr>
          <w:rFonts w:hint="eastAsia" w:asciiTheme="minorEastAsia" w:hAnsiTheme="minorEastAsia" w:cstheme="minorEastAsia"/>
          <w:sz w:val="24"/>
        </w:rPr>
        <w:t>3.7</w:t>
      </w:r>
      <w:r>
        <w:rPr>
          <w:rFonts w:hint="eastAsia" w:asciiTheme="minorEastAsia" w:hAnsiTheme="minorEastAsia" w:cstheme="minorEastAsia"/>
          <w:sz w:val="24"/>
          <w:szCs w:val="24"/>
        </w:rPr>
        <w:t>所有外部接线至少满足1.5</w:t>
      </w:r>
      <w:r>
        <w:rPr>
          <w:rFonts w:hint="eastAsia" w:ascii="宋体" w:hAnsi="宋体"/>
          <w:sz w:val="24"/>
        </w:rPr>
        <w:t>mm</w:t>
      </w:r>
      <w:r>
        <w:rPr>
          <w:rFonts w:ascii="宋体" w:hAnsi="宋体"/>
          <w:sz w:val="24"/>
          <w:vertAlign w:val="superscript"/>
        </w:rPr>
        <w:t>2</w:t>
      </w:r>
      <w:r>
        <w:rPr>
          <w:rFonts w:hint="eastAsia" w:asciiTheme="minorEastAsia" w:hAnsiTheme="minorEastAsia" w:cstheme="minorEastAsia"/>
          <w:sz w:val="24"/>
          <w:szCs w:val="24"/>
        </w:rPr>
        <w:t>线芯截</w:t>
      </w:r>
      <w:r>
        <w:rPr>
          <w:rFonts w:hint="eastAsia"/>
          <w:sz w:val="24"/>
          <w:szCs w:val="24"/>
        </w:rPr>
        <w:t>面的接线要求。</w:t>
      </w:r>
    </w:p>
    <w:p>
      <w:pPr>
        <w:spacing w:line="360" w:lineRule="auto"/>
        <w:rPr>
          <w:sz w:val="24"/>
          <w:szCs w:val="24"/>
        </w:rPr>
      </w:pPr>
      <w:r>
        <w:rPr>
          <w:rFonts w:hint="eastAsia" w:ascii="宋体" w:hAnsi="宋体"/>
          <w:sz w:val="24"/>
        </w:rPr>
        <w:t>3.8</w:t>
      </w:r>
      <w:r>
        <w:rPr>
          <w:rFonts w:hint="eastAsia"/>
          <w:sz w:val="24"/>
          <w:szCs w:val="24"/>
        </w:rPr>
        <w:t>控制柜内的每个电气元件、端子排和端子都有清晰的标志，并与图纸和接线表相符。</w:t>
      </w:r>
    </w:p>
    <w:p>
      <w:pPr>
        <w:spacing w:line="360" w:lineRule="auto"/>
        <w:rPr>
          <w:sz w:val="24"/>
          <w:szCs w:val="24"/>
        </w:rPr>
      </w:pPr>
      <w:r>
        <w:rPr>
          <w:rFonts w:hint="eastAsia" w:ascii="宋体" w:hAnsi="宋体"/>
          <w:sz w:val="24"/>
        </w:rPr>
        <w:t>3.9</w:t>
      </w:r>
      <w:r>
        <w:rPr>
          <w:rFonts w:hint="eastAsia"/>
          <w:sz w:val="24"/>
          <w:szCs w:val="24"/>
        </w:rPr>
        <w:t>端子排、电缆夹头、电缆走线槽及接线槽均由“阻燃”型材料制造。</w:t>
      </w:r>
    </w:p>
    <w:p>
      <w:pPr>
        <w:spacing w:line="360" w:lineRule="auto"/>
        <w:rPr>
          <w:sz w:val="24"/>
          <w:szCs w:val="24"/>
        </w:rPr>
      </w:pPr>
      <w:r>
        <w:rPr>
          <w:rFonts w:hint="eastAsia" w:ascii="宋体" w:hAnsi="宋体"/>
          <w:sz w:val="24"/>
        </w:rPr>
        <w:t>3.10</w:t>
      </w:r>
      <w:r>
        <w:rPr>
          <w:rFonts w:hint="eastAsia"/>
          <w:sz w:val="24"/>
          <w:szCs w:val="24"/>
        </w:rPr>
        <w:t>控制系统使用的通讯、控制、电力电缆（包括两端的接触件），这些电缆符合国标防火标准。</w:t>
      </w:r>
    </w:p>
    <w:p>
      <w:pPr>
        <w:spacing w:line="360" w:lineRule="auto"/>
        <w:rPr>
          <w:rFonts w:hint="eastAsia" w:asciiTheme="minorEastAsia" w:hAnsiTheme="minorEastAsia" w:cstheme="minorEastAsia"/>
          <w:sz w:val="24"/>
          <w:szCs w:val="24"/>
        </w:rPr>
      </w:pPr>
      <w:r>
        <w:rPr>
          <w:rFonts w:hint="eastAsia" w:ascii="宋体" w:hAnsi="宋体"/>
          <w:sz w:val="24"/>
        </w:rPr>
        <w:t>3.11</w:t>
      </w:r>
      <w:r>
        <w:rPr>
          <w:rFonts w:hint="eastAsia"/>
          <w:sz w:val="24"/>
          <w:szCs w:val="24"/>
        </w:rPr>
        <w:t>所有</w:t>
      </w:r>
      <w:r>
        <w:rPr>
          <w:rFonts w:hint="eastAsia" w:asciiTheme="minorEastAsia" w:hAnsiTheme="minorEastAsia" w:cstheme="minorEastAsia"/>
          <w:sz w:val="24"/>
          <w:szCs w:val="24"/>
        </w:rPr>
        <w:t>I/O模块和现场信号的接线接口应为接线端子排，卡件和端子排之间的连线在制造厂内接好，并在端子排上注有明显标记。</w:t>
      </w:r>
    </w:p>
    <w:p>
      <w:pPr>
        <w:spacing w:line="360" w:lineRule="auto"/>
        <w:rPr>
          <w:sz w:val="24"/>
          <w:szCs w:val="24"/>
        </w:rPr>
      </w:pPr>
      <w:r>
        <w:rPr>
          <w:rFonts w:hint="eastAsia" w:asciiTheme="minorEastAsia" w:hAnsiTheme="minorEastAsia" w:cstheme="minorEastAsia"/>
          <w:sz w:val="24"/>
        </w:rPr>
        <w:t>3.12</w:t>
      </w:r>
      <w:r>
        <w:rPr>
          <w:rFonts w:hint="eastAsia" w:asciiTheme="minorEastAsia" w:hAnsiTheme="minorEastAsia" w:cstheme="minorEastAsia"/>
          <w:sz w:val="24"/>
          <w:szCs w:val="24"/>
        </w:rPr>
        <w:t>控制柜内应预留充足的空间，元器件安装裕量大于30%，</w:t>
      </w:r>
      <w:r>
        <w:rPr>
          <w:rFonts w:hint="eastAsia"/>
          <w:sz w:val="24"/>
          <w:szCs w:val="24"/>
        </w:rPr>
        <w:t>使招标方能增加部分元器件，方便地接线、汇线、布线和查线。所有信号屏蔽层接地应在控制柜侧完成。</w:t>
      </w:r>
    </w:p>
    <w:p>
      <w:pPr>
        <w:spacing w:line="360" w:lineRule="auto"/>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4.自动化控制系统技术要求</w:t>
      </w:r>
    </w:p>
    <w:p>
      <w:pPr>
        <w:spacing w:line="360" w:lineRule="auto"/>
        <w:rPr>
          <w:rFonts w:hint="eastAsia" w:asciiTheme="minorEastAsia" w:hAnsiTheme="minorEastAsia" w:cstheme="minorEastAsia"/>
          <w:sz w:val="24"/>
          <w:szCs w:val="24"/>
        </w:rPr>
      </w:pPr>
      <w:r>
        <w:rPr>
          <w:rFonts w:hint="eastAsia" w:ascii="宋体" w:hAnsi="宋体"/>
          <w:sz w:val="24"/>
        </w:rPr>
        <w:t>4.1</w:t>
      </w:r>
      <w:r>
        <w:rPr>
          <w:rFonts w:hint="eastAsia"/>
          <w:sz w:val="24"/>
          <w:szCs w:val="24"/>
        </w:rPr>
        <w:t>设备自动化控制系</w:t>
      </w:r>
      <w:r>
        <w:rPr>
          <w:rFonts w:hint="eastAsia" w:asciiTheme="minorEastAsia" w:hAnsiTheme="minorEastAsia" w:cstheme="minorEastAsia"/>
          <w:sz w:val="24"/>
          <w:szCs w:val="24"/>
        </w:rPr>
        <w:t>统（PLC、工业</w:t>
      </w:r>
      <w:r>
        <w:rPr>
          <w:rFonts w:hint="eastAsia"/>
          <w:sz w:val="24"/>
          <w:szCs w:val="24"/>
        </w:rPr>
        <w:t>软件）的品牌推荐是建议性的，是根据公司设备使用习惯、实现设备（生产线）控制目的、维修技术人员的知识结构、备件储备与易获得性、易维修性和价格等因素综合权衡后确定的，并非设置壁垒，阻止采用其它品牌。当设备必须选用其它</w:t>
      </w:r>
      <w:r>
        <w:rPr>
          <w:rFonts w:hint="eastAsia" w:asciiTheme="minorEastAsia" w:hAnsiTheme="minorEastAsia" w:cstheme="minorEastAsia"/>
          <w:sz w:val="24"/>
          <w:szCs w:val="24"/>
        </w:rPr>
        <w:t>品牌的PLC产品才能满足设备安全、质量、工艺要求时，亦可以选择其它品牌产品，但应当考虑维修、备件、易维修性等因素，控制系统通讯应当满足本文内工业通讯的要求。</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4.2</w:t>
      </w:r>
      <w:r>
        <w:rPr>
          <w:rFonts w:hint="eastAsia" w:asciiTheme="minorEastAsia" w:hAnsiTheme="minorEastAsia" w:cstheme="minorEastAsia"/>
          <w:sz w:val="24"/>
          <w:szCs w:val="24"/>
        </w:rPr>
        <w:t>数据采集与监视控制系统（SCADA）选用西门子WINCC组态，建议PLC和界面组态软件统一使用博图。</w:t>
      </w:r>
    </w:p>
    <w:p>
      <w:pPr>
        <w:spacing w:line="360" w:lineRule="auto"/>
        <w:rPr>
          <w:rFonts w:hint="eastAsia" w:asciiTheme="minorEastAsia" w:hAnsiTheme="minorEastAsia" w:cstheme="minorEastAsia"/>
          <w:sz w:val="24"/>
          <w:szCs w:val="24"/>
        </w:rPr>
      </w:pPr>
      <w:r>
        <w:rPr>
          <w:rFonts w:hint="eastAsia" w:ascii="宋体" w:hAnsi="宋体"/>
          <w:sz w:val="24"/>
        </w:rPr>
        <w:t>4.3</w:t>
      </w:r>
      <w:r>
        <w:rPr>
          <w:rFonts w:hint="eastAsia"/>
          <w:sz w:val="24"/>
          <w:szCs w:val="24"/>
        </w:rPr>
        <w:t>编程组态工具：选用</w:t>
      </w:r>
      <w:r>
        <w:rPr>
          <w:rFonts w:hint="eastAsia" w:asciiTheme="minorEastAsia" w:hAnsiTheme="minorEastAsia" w:cstheme="minorEastAsia"/>
          <w:sz w:val="24"/>
          <w:szCs w:val="24"/>
        </w:rPr>
        <w:t>西门子TIA博图软件进行开发。PLC编程语言，符合GB/T 15969.3-2017 《可编程序控制器 第3部分：编程语言》（等同采用IEC61131-3标准）的梯形图（优选）及其它PLC常用语言。</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4.4</w:t>
      </w:r>
      <w:r>
        <w:rPr>
          <w:rFonts w:hint="eastAsia" w:asciiTheme="minorEastAsia" w:hAnsiTheme="minorEastAsia" w:cstheme="minorEastAsia"/>
          <w:sz w:val="24"/>
          <w:szCs w:val="24"/>
        </w:rPr>
        <w:t>控制系统应采取有效措施，以防止各类计算机病毒的侵害和PLC系统内各存储器的数据丢失。系统设计应满足工业信息安全标准、规范。</w:t>
      </w:r>
    </w:p>
    <w:p>
      <w:pPr>
        <w:spacing w:line="360" w:lineRule="auto"/>
        <w:rPr>
          <w:sz w:val="24"/>
          <w:szCs w:val="24"/>
        </w:rPr>
      </w:pPr>
      <w:r>
        <w:rPr>
          <w:rFonts w:hint="eastAsia" w:asciiTheme="minorEastAsia" w:hAnsiTheme="minorEastAsia" w:cstheme="minorEastAsia"/>
          <w:sz w:val="24"/>
        </w:rPr>
        <w:t>4.5</w:t>
      </w:r>
      <w:r>
        <w:rPr>
          <w:rFonts w:hint="eastAsia" w:asciiTheme="minorEastAsia" w:hAnsiTheme="minorEastAsia" w:cstheme="minorEastAsia"/>
          <w:sz w:val="24"/>
          <w:szCs w:val="24"/>
        </w:rPr>
        <w:t>控制系统应当留有以下的裕量：最忙时，CPU的负荷率不大于50%；内部存储器占用容量不大于50%，外部存储器占有容量不大于40%；通讯总线负荷率不大于40%；每种I/O点裕量大于20%（具体根据项目确定，下同）；I/O模块槽裕量大于20%（备用插槽应配置必要的硬件，保证今后插入模块即能投入运行）；电源负荷裕量大于40％〔备用模块插入后的裕量〕。以上</w:t>
      </w:r>
      <w:r>
        <w:rPr>
          <w:rFonts w:hint="eastAsia"/>
          <w:sz w:val="24"/>
          <w:szCs w:val="24"/>
        </w:rPr>
        <w:t>这些参数都应是按系统正式投运时的最终容量计算的百分比值。</w:t>
      </w:r>
    </w:p>
    <w:p>
      <w:pPr>
        <w:spacing w:line="360" w:lineRule="auto"/>
        <w:rPr>
          <w:rFonts w:hint="eastAsia" w:asciiTheme="minorEastAsia" w:hAnsiTheme="minorEastAsia" w:cstheme="minorEastAsia"/>
          <w:sz w:val="24"/>
          <w:szCs w:val="24"/>
        </w:rPr>
      </w:pPr>
      <w:r>
        <w:rPr>
          <w:rFonts w:hint="eastAsia" w:ascii="宋体" w:hAnsi="宋体"/>
          <w:sz w:val="24"/>
        </w:rPr>
        <w:t>4.6</w:t>
      </w:r>
      <w:r>
        <w:rPr>
          <w:rFonts w:hint="eastAsia"/>
          <w:sz w:val="24"/>
          <w:szCs w:val="24"/>
        </w:rPr>
        <w:t>控制系统包含在设</w:t>
      </w:r>
      <w:r>
        <w:rPr>
          <w:rFonts w:hint="eastAsia" w:asciiTheme="minorEastAsia" w:hAnsiTheme="minorEastAsia" w:cstheme="minorEastAsia"/>
          <w:sz w:val="24"/>
          <w:szCs w:val="24"/>
        </w:rPr>
        <w:t>备内，控制系统设计使用寿命应满足设备整体设计使用寿命的要求；独立采购的控制系统设计使用寿命应不低于15年,PLC所有模块（板）的平均无故障时间(MTBF)不小于20万小时。</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4.7</w:t>
      </w:r>
      <w:r>
        <w:rPr>
          <w:rFonts w:hint="eastAsia" w:asciiTheme="minorEastAsia" w:hAnsiTheme="minorEastAsia" w:cstheme="minorEastAsia"/>
          <w:sz w:val="24"/>
          <w:szCs w:val="24"/>
        </w:rPr>
        <w:t>在执行合同的过程中，随着项目设计进程和技术资料逐渐完善，在不超出I/O信号总量的前提下，硬件、软件冻结前后，招标方对I/O信号及控制要求的变更，投标方应及时更新设计。在保证大于20%备用量的前提下不增加费用。</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4.8</w:t>
      </w:r>
      <w:r>
        <w:rPr>
          <w:rFonts w:hint="eastAsia" w:asciiTheme="minorEastAsia" w:hAnsiTheme="minorEastAsia" w:cstheme="minorEastAsia"/>
          <w:sz w:val="24"/>
          <w:szCs w:val="24"/>
        </w:rPr>
        <w:t>环境及抗干扰，系统能在电子噪声、射频干扰及振动都很大的现场环境中连续运行，且不降低系统的性能。</w:t>
      </w:r>
    </w:p>
    <w:p>
      <w:pPr>
        <w:spacing w:line="360" w:lineRule="auto"/>
        <w:rPr>
          <w:sz w:val="24"/>
          <w:szCs w:val="24"/>
        </w:rPr>
      </w:pPr>
      <w:r>
        <w:rPr>
          <w:rFonts w:hint="eastAsia" w:asciiTheme="minorEastAsia" w:hAnsiTheme="minorEastAsia" w:cstheme="minorEastAsia"/>
          <w:sz w:val="24"/>
        </w:rPr>
        <w:t>4.9</w:t>
      </w:r>
      <w:r>
        <w:rPr>
          <w:rFonts w:hint="eastAsia" w:asciiTheme="minorEastAsia" w:hAnsiTheme="minorEastAsia" w:cstheme="minorEastAsia"/>
          <w:sz w:val="24"/>
          <w:szCs w:val="24"/>
        </w:rPr>
        <w:t>系统设计应采用各种抗噪声技术，包括光电隔离、高共模</w:t>
      </w:r>
      <w:r>
        <w:rPr>
          <w:rFonts w:hint="eastAsia"/>
          <w:sz w:val="24"/>
          <w:szCs w:val="24"/>
        </w:rPr>
        <w:t>抑制比、合理的接地和屏蔽。</w:t>
      </w:r>
    </w:p>
    <w:p>
      <w:pPr>
        <w:spacing w:line="360" w:lineRule="auto"/>
        <w:rPr>
          <w:rFonts w:hint="eastAsia" w:asciiTheme="minorEastAsia" w:hAnsiTheme="minorEastAsia" w:cstheme="minorEastAsia"/>
          <w:sz w:val="24"/>
          <w:szCs w:val="24"/>
        </w:rPr>
      </w:pPr>
      <w:r>
        <w:rPr>
          <w:rFonts w:hint="eastAsia" w:ascii="宋体" w:hAnsi="宋体"/>
          <w:sz w:val="24"/>
        </w:rPr>
        <w:t>4.10</w:t>
      </w:r>
      <w:r>
        <w:rPr>
          <w:rFonts w:hint="eastAsia"/>
          <w:sz w:val="24"/>
          <w:szCs w:val="24"/>
        </w:rPr>
        <w:t>在距</w:t>
      </w:r>
      <w:r>
        <w:rPr>
          <w:rFonts w:hint="eastAsia" w:asciiTheme="minorEastAsia" w:hAnsiTheme="minorEastAsia" w:cstheme="minorEastAsia"/>
          <w:sz w:val="24"/>
          <w:szCs w:val="24"/>
        </w:rPr>
        <w:t>电子设备1.2m以外发出的工作频率达470MHz、功率输出达5W的电磁干扰和射频干扰，不会影响系统正常工作。系统应能在环境温度-20℃～45℃（控制站-20℃～50℃），相对湿度10～95%（不结露）的环境中连续运行。</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4.11</w:t>
      </w:r>
      <w:r>
        <w:rPr>
          <w:rFonts w:hint="eastAsia" w:asciiTheme="minorEastAsia" w:hAnsiTheme="minorEastAsia" w:cstheme="minorEastAsia"/>
          <w:sz w:val="24"/>
          <w:szCs w:val="24"/>
        </w:rPr>
        <w:t>系统抗干扰能力：共模电压不小于500V，继电器输出350V；共模抑制比不小于120dB，50Hz；差模电压不小于60V；差模抑制比不小于60dB；50Hz。</w:t>
      </w:r>
    </w:p>
    <w:p>
      <w:pPr>
        <w:spacing w:line="360" w:lineRule="auto"/>
        <w:rPr>
          <w:sz w:val="24"/>
          <w:szCs w:val="24"/>
        </w:rPr>
      </w:pPr>
      <w:r>
        <w:rPr>
          <w:rFonts w:hint="eastAsia" w:asciiTheme="minorEastAsia" w:hAnsiTheme="minorEastAsia" w:cstheme="minorEastAsia"/>
          <w:sz w:val="24"/>
        </w:rPr>
        <w:t>4.12</w:t>
      </w:r>
      <w:r>
        <w:rPr>
          <w:rFonts w:hint="eastAsia" w:asciiTheme="minorEastAsia" w:hAnsiTheme="minorEastAsia" w:cstheme="minorEastAsia"/>
          <w:sz w:val="24"/>
          <w:szCs w:val="24"/>
        </w:rPr>
        <w:t>控制系统应留有与SAP、MES系统的通讯接口。如需要则应提供冗余光纤、通讯电缆和全部通讯附件。投标方应根据招标方提供的SAP、MES、ERP或工厂自动化数据集成商给出的数据采集规范，将设备的过程数据、状态数据整理，写入PLC的存储区。投标方应保证无条件的与招标方选定的数据采集系统集成商、SAP、MES、ERP等软件供应商配合。数据交换规范以SAP、MES系统供</w:t>
      </w:r>
      <w:r>
        <w:rPr>
          <w:rFonts w:hint="eastAsia"/>
          <w:sz w:val="24"/>
          <w:szCs w:val="24"/>
        </w:rPr>
        <w:t>应商提出的标准为准（或集团公司制造执行系统现场设备数据交换（采集）标准）。</w:t>
      </w:r>
    </w:p>
    <w:p>
      <w:pPr>
        <w:spacing w:line="360" w:lineRule="auto"/>
        <w:rPr>
          <w:rFonts w:hint="eastAsia" w:asciiTheme="minorEastAsia" w:hAnsiTheme="minorEastAsia" w:cstheme="minorEastAsia"/>
          <w:sz w:val="24"/>
          <w:szCs w:val="24"/>
        </w:rPr>
      </w:pPr>
      <w:r>
        <w:rPr>
          <w:rFonts w:hint="eastAsia" w:ascii="宋体" w:hAnsi="宋体"/>
          <w:sz w:val="24"/>
        </w:rPr>
        <w:t>4.13</w:t>
      </w:r>
      <w:r>
        <w:rPr>
          <w:rFonts w:hint="eastAsia"/>
          <w:sz w:val="24"/>
          <w:szCs w:val="24"/>
        </w:rPr>
        <w:t>设备控制系统</w:t>
      </w:r>
      <w:r>
        <w:rPr>
          <w:rFonts w:hint="eastAsia" w:asciiTheme="minorEastAsia" w:hAnsiTheme="minorEastAsia" w:cstheme="minorEastAsia"/>
          <w:sz w:val="24"/>
          <w:szCs w:val="24"/>
        </w:rPr>
        <w:t>向MES主控PLC（或上位机）提供的状态信息包含但不限于：设备启动、停机信息；上位机心跳：如0.5Hz,占空比50%的方波；控制器（PLC）心跳：如0.5Hz,占空比50%的方波；控制器与设备（如：机器人）、HMI等设备间的心跳信号由系统集成商确定；故障状态信息；故障代码；故障时间；加工时间；累计运行时间；生产计数（或加工循环计数）。</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4.14</w:t>
      </w:r>
      <w:r>
        <w:rPr>
          <w:rFonts w:hint="eastAsia" w:asciiTheme="minorEastAsia" w:hAnsiTheme="minorEastAsia" w:cstheme="minorEastAsia"/>
          <w:sz w:val="24"/>
          <w:szCs w:val="24"/>
        </w:rPr>
        <w:t>设备控制系统应支持常用OPC服务器（如：SIMATIC NET）将PLC的内存数据映射到上位机的OPC服务器中；或与MES主控PLC通讯，实现MES对设备过程、状态信息数据采集和控制信息的交互。</w:t>
      </w:r>
    </w:p>
    <w:p>
      <w:pPr>
        <w:spacing w:line="360" w:lineRule="auto"/>
        <w:rPr>
          <w:sz w:val="24"/>
          <w:szCs w:val="24"/>
        </w:rPr>
      </w:pPr>
      <w:r>
        <w:rPr>
          <w:rFonts w:hint="eastAsia" w:asciiTheme="minorEastAsia" w:hAnsiTheme="minorEastAsia" w:cstheme="minorEastAsia"/>
          <w:sz w:val="24"/>
        </w:rPr>
        <w:t>4.15</w:t>
      </w:r>
      <w:r>
        <w:rPr>
          <w:rFonts w:hint="eastAsia" w:asciiTheme="minorEastAsia" w:hAnsiTheme="minorEastAsia" w:cstheme="minorEastAsia"/>
          <w:sz w:val="24"/>
          <w:szCs w:val="24"/>
        </w:rPr>
        <w:t>PLC 控制系统应结合系统特点并按功能分散和物理分散的</w:t>
      </w:r>
      <w:r>
        <w:rPr>
          <w:rFonts w:hint="eastAsia"/>
          <w:sz w:val="24"/>
          <w:szCs w:val="24"/>
        </w:rPr>
        <w:t>原则进行设计。</w:t>
      </w:r>
    </w:p>
    <w:p>
      <w:pPr>
        <w:spacing w:line="360" w:lineRule="auto"/>
        <w:rPr>
          <w:rFonts w:hint="eastAsia" w:asciiTheme="minorEastAsia" w:hAnsiTheme="minorEastAsia" w:cstheme="minorEastAsia"/>
          <w:sz w:val="24"/>
        </w:rPr>
      </w:pPr>
      <w:r>
        <w:rPr>
          <w:rFonts w:hint="eastAsia" w:asciiTheme="minorEastAsia" w:hAnsiTheme="minorEastAsia" w:cstheme="minorEastAsia"/>
          <w:sz w:val="24"/>
        </w:rPr>
        <w:t>4.16</w:t>
      </w:r>
      <w:r>
        <w:rPr>
          <w:rFonts w:hint="eastAsia" w:ascii="宋体" w:hAnsi="宋体" w:cs="宋体"/>
          <w:sz w:val="24"/>
          <w:szCs w:val="24"/>
        </w:rPr>
        <w:t>AGV控制系统负责与空中所有输送线，集中供液及油液加注机、线体所用定值拧紧设备，助力机械手进行控制信息的互联，包括硬件的连接、信号的读取、控制程序的编制等内容。投标方应充分预留控制柜相关控制模块、信号模块等余量。</w:t>
      </w:r>
    </w:p>
    <w:p>
      <w:pPr>
        <w:pStyle w:val="5"/>
        <w:rPr>
          <w:rFonts w:hint="eastAsia" w:asciiTheme="majorEastAsia" w:hAnsiTheme="majorEastAsia" w:cstheme="majorEastAsia"/>
        </w:rPr>
      </w:pPr>
      <w:r>
        <w:rPr>
          <w:rFonts w:hint="eastAsia" w:asciiTheme="majorEastAsia" w:hAnsiTheme="majorEastAsia" w:cstheme="majorEastAsia"/>
        </w:rPr>
        <w:t>5.工业通讯技术要求</w:t>
      </w:r>
    </w:p>
    <w:p>
      <w:pPr>
        <w:spacing w:line="360" w:lineRule="auto"/>
        <w:rPr>
          <w:rFonts w:hint="eastAsia" w:asciiTheme="minorEastAsia" w:hAnsiTheme="minorEastAsia" w:cstheme="minorEastAsia"/>
          <w:sz w:val="24"/>
          <w:szCs w:val="24"/>
        </w:rPr>
      </w:pPr>
      <w:r>
        <w:rPr>
          <w:rFonts w:hint="eastAsia" w:ascii="宋体" w:hAnsi="宋体"/>
          <w:sz w:val="24"/>
        </w:rPr>
        <w:t>5.1</w:t>
      </w:r>
      <w:r>
        <w:rPr>
          <w:rFonts w:hint="eastAsia"/>
          <w:sz w:val="24"/>
          <w:szCs w:val="24"/>
        </w:rPr>
        <w:t>设备、控制系统宜选用工业</w:t>
      </w:r>
      <w:r>
        <w:rPr>
          <w:rFonts w:hint="eastAsia" w:asciiTheme="minorEastAsia" w:hAnsiTheme="minorEastAsia" w:cstheme="minorEastAsia"/>
          <w:sz w:val="24"/>
          <w:szCs w:val="24"/>
        </w:rPr>
        <w:t>以太网，小型设备可选用RS485串行总线通讯方式。</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5.2</w:t>
      </w:r>
      <w:r>
        <w:rPr>
          <w:rFonts w:hint="eastAsia" w:asciiTheme="minorEastAsia" w:hAnsiTheme="minorEastAsia" w:cstheme="minorEastAsia"/>
          <w:sz w:val="24"/>
          <w:szCs w:val="24"/>
        </w:rPr>
        <w:t>通讯协议：宜采用ProfiNet；设备因实现特定应用，必须采用其它通讯协议的，项目实施部门应当充分论证。但设备与上位机（系统）通讯协议宜采用工业以太网，ProfiNet通讯协议。</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5.3</w:t>
      </w:r>
      <w:r>
        <w:rPr>
          <w:rFonts w:hint="eastAsia" w:asciiTheme="minorEastAsia" w:hAnsiTheme="minorEastAsia" w:cstheme="minorEastAsia"/>
          <w:sz w:val="24"/>
          <w:szCs w:val="24"/>
        </w:rPr>
        <w:t>能源采集通讯协议：宜采用Modbus-RTU、Modbus-TCP。</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5.4</w:t>
      </w:r>
      <w:r>
        <w:rPr>
          <w:rFonts w:hint="eastAsia" w:asciiTheme="minorEastAsia" w:hAnsiTheme="minorEastAsia" w:cstheme="minorEastAsia"/>
          <w:sz w:val="24"/>
          <w:szCs w:val="24"/>
        </w:rPr>
        <w:t>电力计量采集通讯协议：可采用DL/T645-97、DL/T645-07规约。</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5.5</w:t>
      </w:r>
      <w:r>
        <w:rPr>
          <w:rFonts w:hint="eastAsia" w:asciiTheme="minorEastAsia" w:hAnsiTheme="minorEastAsia" w:cstheme="minorEastAsia"/>
          <w:sz w:val="24"/>
          <w:szCs w:val="24"/>
        </w:rPr>
        <w:t>设备过程数据、状态数据的采集，宜采用OPC方式。</w:t>
      </w:r>
    </w:p>
    <w:p>
      <w:pPr>
        <w:spacing w:line="360" w:lineRule="auto"/>
        <w:rPr>
          <w:rFonts w:hint="eastAsia" w:asciiTheme="minorEastAsia" w:hAnsiTheme="minorEastAsia" w:cstheme="minorEastAsia"/>
          <w:sz w:val="24"/>
          <w:szCs w:val="24"/>
        </w:rPr>
      </w:pPr>
      <w:r>
        <w:rPr>
          <w:rFonts w:hint="eastAsia" w:asciiTheme="minorEastAsia" w:hAnsiTheme="minorEastAsia" w:cstheme="minorEastAsia"/>
          <w:sz w:val="24"/>
        </w:rPr>
        <w:t>5.6</w:t>
      </w:r>
      <w:r>
        <w:rPr>
          <w:rFonts w:hint="eastAsia" w:asciiTheme="minorEastAsia" w:hAnsiTheme="minorEastAsia" w:cstheme="minorEastAsia"/>
          <w:sz w:val="24"/>
          <w:szCs w:val="24"/>
        </w:rPr>
        <w:t>每台（套）设备控制系统应预留一个工业以太网接口，用于与上位系统（如：MES）通讯。</w:t>
      </w:r>
    </w:p>
    <w:p>
      <w:pPr>
        <w:pStyle w:val="5"/>
        <w:rPr>
          <w:rFonts w:hint="eastAsia" w:asciiTheme="majorEastAsia" w:hAnsiTheme="majorEastAsia" w:cstheme="majorEastAsia"/>
        </w:rPr>
      </w:pPr>
      <w:r>
        <w:rPr>
          <w:rFonts w:hint="eastAsia" w:asciiTheme="majorEastAsia" w:hAnsiTheme="majorEastAsia" w:cstheme="majorEastAsia"/>
        </w:rPr>
        <w:t>6.工业信息安全技术要求</w:t>
      </w:r>
    </w:p>
    <w:p>
      <w:pPr>
        <w:spacing w:line="360" w:lineRule="auto"/>
        <w:rPr>
          <w:sz w:val="24"/>
          <w:szCs w:val="24"/>
        </w:rPr>
      </w:pPr>
      <w:r>
        <w:rPr>
          <w:rFonts w:hint="eastAsia" w:ascii="宋体" w:hAnsi="宋体"/>
          <w:sz w:val="24"/>
        </w:rPr>
        <w:t>6.1</w:t>
      </w:r>
      <w:r>
        <w:rPr>
          <w:rFonts w:hint="eastAsia"/>
          <w:sz w:val="24"/>
          <w:szCs w:val="24"/>
        </w:rPr>
        <w:t>规划时通过工业控制网络边界防护设备对工业控制网络与企业网或互联网之间的边界进行安全防护，禁止没有防护的工业控制网络与互联网连接。</w:t>
      </w:r>
    </w:p>
    <w:p>
      <w:pPr>
        <w:spacing w:line="360" w:lineRule="auto"/>
        <w:rPr>
          <w:sz w:val="24"/>
          <w:szCs w:val="24"/>
        </w:rPr>
      </w:pPr>
      <w:r>
        <w:rPr>
          <w:rFonts w:hint="eastAsia" w:ascii="宋体" w:hAnsi="宋体"/>
          <w:sz w:val="24"/>
        </w:rPr>
        <w:t>6.2</w:t>
      </w:r>
      <w:r>
        <w:rPr>
          <w:rFonts w:hint="eastAsia"/>
          <w:sz w:val="24"/>
          <w:szCs w:val="24"/>
        </w:rPr>
        <w:t>通过设置工业防火墙、网闸等设备对工业控制网络与企业网之间进行逻辑隔离安全防护。</w:t>
      </w:r>
    </w:p>
    <w:p>
      <w:pPr>
        <w:spacing w:line="360" w:lineRule="auto"/>
        <w:rPr>
          <w:sz w:val="24"/>
          <w:szCs w:val="24"/>
        </w:rPr>
      </w:pPr>
      <w:r>
        <w:rPr>
          <w:rFonts w:hint="eastAsia" w:ascii="宋体" w:hAnsi="宋体"/>
          <w:sz w:val="24"/>
        </w:rPr>
        <w:t>6.3</w:t>
      </w:r>
      <w:r>
        <w:rPr>
          <w:rFonts w:hint="eastAsia"/>
          <w:sz w:val="24"/>
          <w:szCs w:val="24"/>
        </w:rPr>
        <w:t>投标方在设计规划时，对工程师站、工业数据库、服务器等核心工业控制软硬件所在区域应采取访问控制、视频监控、专人值守等物理安全防护措施。</w:t>
      </w:r>
    </w:p>
    <w:p>
      <w:pPr>
        <w:spacing w:line="360" w:lineRule="auto"/>
        <w:rPr>
          <w:sz w:val="24"/>
          <w:szCs w:val="24"/>
        </w:rPr>
      </w:pPr>
      <w:r>
        <w:rPr>
          <w:rFonts w:hint="eastAsia" w:ascii="宋体" w:hAnsi="宋体"/>
          <w:sz w:val="24"/>
        </w:rPr>
        <w:t>6.4</w:t>
      </w:r>
      <w:r>
        <w:rPr>
          <w:rFonts w:hint="eastAsia"/>
          <w:sz w:val="24"/>
          <w:szCs w:val="24"/>
        </w:rPr>
        <w:t>较大规模的生产线，在工业主机</w:t>
      </w:r>
      <w:r>
        <w:rPr>
          <w:rFonts w:hint="eastAsia" w:asciiTheme="minorEastAsia" w:hAnsiTheme="minorEastAsia" w:cstheme="minorEastAsia"/>
          <w:sz w:val="24"/>
          <w:szCs w:val="24"/>
        </w:rPr>
        <w:t>登录、应用服务资源访问、SCADA软件登陆、控制系统维护等过程中应设计身份认证管理。对于关键设备、系统和平台的</w:t>
      </w:r>
      <w:r>
        <w:rPr>
          <w:rFonts w:hint="eastAsia"/>
          <w:sz w:val="24"/>
          <w:szCs w:val="24"/>
        </w:rPr>
        <w:t>访问宜采用多因素认证。</w:t>
      </w:r>
    </w:p>
    <w:p>
      <w:pPr>
        <w:spacing w:line="360" w:lineRule="auto"/>
        <w:rPr>
          <w:sz w:val="24"/>
          <w:szCs w:val="24"/>
          <w:highlight w:val="none"/>
        </w:rPr>
      </w:pPr>
      <w:r>
        <w:rPr>
          <w:rFonts w:hint="eastAsia" w:ascii="宋体" w:hAnsi="宋体"/>
          <w:sz w:val="24"/>
        </w:rPr>
        <w:t>6.5</w:t>
      </w:r>
      <w:r>
        <w:rPr>
          <w:rFonts w:hint="eastAsia"/>
          <w:sz w:val="24"/>
          <w:szCs w:val="24"/>
        </w:rPr>
        <w:t>根据应用的重</w:t>
      </w:r>
      <w:r>
        <w:rPr>
          <w:rFonts w:hint="eastAsia"/>
          <w:sz w:val="24"/>
          <w:szCs w:val="24"/>
          <w:highlight w:val="none"/>
        </w:rPr>
        <w:t>要性，对关键系统、网络设备、控制系统组件选择冗余配置。</w:t>
      </w:r>
    </w:p>
    <w:p>
      <w:pPr>
        <w:spacing w:line="360" w:lineRule="auto"/>
        <w:rPr>
          <w:rFonts w:hint="eastAsia"/>
          <w:sz w:val="24"/>
          <w:szCs w:val="24"/>
          <w:highlight w:val="none"/>
        </w:rPr>
      </w:pPr>
      <w:r>
        <w:rPr>
          <w:rFonts w:hint="eastAsia" w:ascii="宋体" w:hAnsi="宋体"/>
          <w:sz w:val="24"/>
          <w:highlight w:val="none"/>
        </w:rPr>
        <w:t>6.6</w:t>
      </w:r>
      <w:r>
        <w:rPr>
          <w:rFonts w:hint="eastAsia"/>
          <w:sz w:val="24"/>
          <w:szCs w:val="24"/>
          <w:highlight w:val="none"/>
        </w:rPr>
        <w:t>投标方在设计规划时，应考虑重要工业数据进行保护，定期备份关键业务数据。</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6.7</w:t>
      </w:r>
      <w:r>
        <w:rPr>
          <w:rFonts w:hint="default"/>
          <w:sz w:val="24"/>
          <w:szCs w:val="24"/>
          <w:highlight w:val="none"/>
          <w:lang w:val="en-US" w:eastAsia="zh-CN"/>
        </w:rPr>
        <w:t xml:space="preserve">程序图纸要求 </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6.7.1</w:t>
      </w:r>
      <w:r>
        <w:rPr>
          <w:rFonts w:hint="default"/>
          <w:sz w:val="24"/>
          <w:szCs w:val="24"/>
          <w:highlight w:val="none"/>
          <w:lang w:val="en-US" w:eastAsia="zh-CN"/>
        </w:rPr>
        <w:t xml:space="preserve"> </w:t>
      </w:r>
      <w:r>
        <w:rPr>
          <w:rFonts w:hint="eastAsia"/>
          <w:sz w:val="24"/>
          <w:szCs w:val="24"/>
          <w:highlight w:val="none"/>
          <w:lang w:val="en-US" w:eastAsia="zh-CN"/>
        </w:rPr>
        <w:t>投标方</w:t>
      </w:r>
      <w:r>
        <w:rPr>
          <w:rFonts w:hint="default"/>
          <w:sz w:val="24"/>
          <w:szCs w:val="24"/>
          <w:highlight w:val="none"/>
          <w:lang w:val="en-US" w:eastAsia="zh-CN"/>
        </w:rPr>
        <w:t>必须提供所有设备程序的源代码，包括但不限于 PLC 程序、HMI 程序、机器人程序、视觉程序、伺服等。</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6.7.2</w:t>
      </w:r>
      <w:r>
        <w:rPr>
          <w:rFonts w:hint="default"/>
          <w:sz w:val="24"/>
          <w:szCs w:val="24"/>
          <w:highlight w:val="none"/>
          <w:lang w:val="en-US" w:eastAsia="zh-CN"/>
        </w:rPr>
        <w:t xml:space="preserve"> </w:t>
      </w:r>
      <w:r>
        <w:rPr>
          <w:rFonts w:hint="eastAsia"/>
          <w:sz w:val="24"/>
          <w:szCs w:val="24"/>
          <w:highlight w:val="none"/>
          <w:lang w:val="en-US" w:eastAsia="zh-CN"/>
        </w:rPr>
        <w:t>投标方</w:t>
      </w:r>
      <w:r>
        <w:rPr>
          <w:rFonts w:hint="default"/>
          <w:sz w:val="24"/>
          <w:szCs w:val="24"/>
          <w:highlight w:val="none"/>
          <w:lang w:val="en-US" w:eastAsia="zh-CN"/>
        </w:rPr>
        <w:t>所提供的程序不得设置任何密码、保护等限制手段，PLC 不得设置修改下载权限，功能块不得设置密码保护。</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6.7.3</w:t>
      </w:r>
      <w:r>
        <w:rPr>
          <w:rFonts w:hint="default"/>
          <w:sz w:val="24"/>
          <w:szCs w:val="24"/>
          <w:highlight w:val="none"/>
          <w:lang w:val="en-US" w:eastAsia="zh-CN"/>
        </w:rPr>
        <w:t xml:space="preserve"> HMI 界面等需要密码保护的程序，</w:t>
      </w:r>
      <w:r>
        <w:rPr>
          <w:rFonts w:hint="eastAsia"/>
          <w:sz w:val="24"/>
          <w:szCs w:val="24"/>
          <w:highlight w:val="none"/>
          <w:lang w:val="en-US" w:eastAsia="zh-CN"/>
        </w:rPr>
        <w:t>投标方</w:t>
      </w:r>
      <w:r>
        <w:rPr>
          <w:rFonts w:hint="default"/>
          <w:sz w:val="24"/>
          <w:szCs w:val="24"/>
          <w:highlight w:val="none"/>
          <w:lang w:val="en-US" w:eastAsia="zh-CN"/>
        </w:rPr>
        <w:t>必须提供所有级别的用户名、密码。</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6.7.4</w:t>
      </w:r>
      <w:r>
        <w:rPr>
          <w:rFonts w:hint="default"/>
          <w:sz w:val="24"/>
          <w:szCs w:val="24"/>
          <w:highlight w:val="none"/>
          <w:lang w:val="en-US" w:eastAsia="zh-CN"/>
        </w:rPr>
        <w:t xml:space="preserve"> </w:t>
      </w:r>
      <w:r>
        <w:rPr>
          <w:rFonts w:hint="eastAsia"/>
          <w:sz w:val="24"/>
          <w:szCs w:val="24"/>
          <w:highlight w:val="none"/>
          <w:lang w:val="en-US" w:eastAsia="zh-CN"/>
        </w:rPr>
        <w:t>投标方</w:t>
      </w:r>
      <w:r>
        <w:rPr>
          <w:rFonts w:hint="default"/>
          <w:sz w:val="24"/>
          <w:szCs w:val="24"/>
          <w:highlight w:val="none"/>
          <w:lang w:val="en-US" w:eastAsia="zh-CN"/>
        </w:rPr>
        <w:t>需在设备入场前提供设备程序源码，HMI 界面各级用户名和密码，并保证与现场程序一致。</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6.7.5</w:t>
      </w:r>
      <w:r>
        <w:rPr>
          <w:rFonts w:hint="default"/>
          <w:sz w:val="24"/>
          <w:szCs w:val="24"/>
          <w:highlight w:val="none"/>
          <w:lang w:val="en-US" w:eastAsia="zh-CN"/>
        </w:rPr>
        <w:t xml:space="preserve"> </w:t>
      </w:r>
      <w:r>
        <w:rPr>
          <w:rFonts w:hint="eastAsia"/>
          <w:sz w:val="24"/>
          <w:szCs w:val="24"/>
          <w:highlight w:val="none"/>
          <w:lang w:val="en-US" w:eastAsia="zh-CN"/>
        </w:rPr>
        <w:t>投标方</w:t>
      </w:r>
      <w:r>
        <w:rPr>
          <w:rFonts w:hint="default"/>
          <w:sz w:val="24"/>
          <w:szCs w:val="24"/>
          <w:highlight w:val="none"/>
          <w:lang w:val="en-US" w:eastAsia="zh-CN"/>
        </w:rPr>
        <w:t>需在终验收前提供最新的设备程序源码和电气图纸，图纸要求为可编辑原格式（EPLAN、CAD 格式）且与实际接线一致。</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6.8</w:t>
      </w:r>
      <w:r>
        <w:rPr>
          <w:rFonts w:hint="default"/>
          <w:sz w:val="24"/>
          <w:szCs w:val="24"/>
          <w:highlight w:val="none"/>
          <w:lang w:val="en-US" w:eastAsia="zh-CN"/>
        </w:rPr>
        <w:t xml:space="preserve">接口协议要求 </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6.8.1</w:t>
      </w:r>
      <w:r>
        <w:rPr>
          <w:rFonts w:hint="default"/>
          <w:sz w:val="24"/>
          <w:szCs w:val="24"/>
          <w:highlight w:val="none"/>
          <w:lang w:val="en-US" w:eastAsia="zh-CN"/>
        </w:rPr>
        <w:t xml:space="preserve"> </w:t>
      </w:r>
      <w:r>
        <w:rPr>
          <w:rFonts w:hint="eastAsia"/>
          <w:sz w:val="24"/>
          <w:szCs w:val="24"/>
          <w:highlight w:val="none"/>
          <w:lang w:val="en-US" w:eastAsia="zh-CN"/>
        </w:rPr>
        <w:t>投标方</w:t>
      </w:r>
      <w:r>
        <w:rPr>
          <w:rFonts w:hint="default"/>
          <w:sz w:val="24"/>
          <w:szCs w:val="24"/>
          <w:highlight w:val="none"/>
          <w:lang w:val="en-US" w:eastAsia="zh-CN"/>
        </w:rPr>
        <w:t xml:space="preserve">免费开放所有通讯接口，包括但不限于以太网、RS232、RS485、PROFIBUS、PROFINET、MODBUS 等常见接口，以及设备特有的专用接口。 </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6.8.2</w:t>
      </w:r>
      <w:r>
        <w:rPr>
          <w:rFonts w:hint="default"/>
          <w:sz w:val="24"/>
          <w:szCs w:val="24"/>
          <w:highlight w:val="none"/>
          <w:lang w:val="en-US" w:eastAsia="zh-CN"/>
        </w:rPr>
        <w:t xml:space="preserve"> </w:t>
      </w:r>
      <w:r>
        <w:rPr>
          <w:rFonts w:hint="eastAsia"/>
          <w:sz w:val="24"/>
          <w:szCs w:val="24"/>
          <w:highlight w:val="none"/>
          <w:lang w:val="en-US" w:eastAsia="zh-CN"/>
        </w:rPr>
        <w:t>投标方</w:t>
      </w:r>
      <w:r>
        <w:rPr>
          <w:rFonts w:hint="default"/>
          <w:sz w:val="24"/>
          <w:szCs w:val="24"/>
          <w:highlight w:val="none"/>
          <w:lang w:val="en-US" w:eastAsia="zh-CN"/>
        </w:rPr>
        <w:t xml:space="preserve">免费提供数据交互功能，交互数据包括但不限于实时数据、历史数据、报警信息等。 </w:t>
      </w:r>
    </w:p>
    <w:p>
      <w:pPr>
        <w:spacing w:line="360" w:lineRule="auto"/>
        <w:rPr>
          <w:rFonts w:hint="default"/>
          <w:sz w:val="24"/>
          <w:szCs w:val="24"/>
          <w:highlight w:val="none"/>
          <w:lang w:val="en-US" w:eastAsia="zh-CN"/>
        </w:rPr>
      </w:pPr>
      <w:r>
        <w:rPr>
          <w:rFonts w:hint="eastAsia" w:ascii="宋体" w:hAnsi="宋体"/>
          <w:sz w:val="24"/>
          <w:highlight w:val="none"/>
          <w:lang w:val="en-US" w:eastAsia="zh-CN"/>
        </w:rPr>
        <w:t>6.8.3</w:t>
      </w:r>
      <w:r>
        <w:rPr>
          <w:rFonts w:hint="default"/>
          <w:sz w:val="24"/>
          <w:szCs w:val="24"/>
          <w:highlight w:val="none"/>
          <w:lang w:val="en-US" w:eastAsia="zh-CN"/>
        </w:rPr>
        <w:t xml:space="preserve"> </w:t>
      </w:r>
      <w:r>
        <w:rPr>
          <w:rFonts w:hint="eastAsia"/>
          <w:sz w:val="24"/>
          <w:szCs w:val="24"/>
          <w:highlight w:val="none"/>
          <w:lang w:val="en-US" w:eastAsia="zh-CN"/>
        </w:rPr>
        <w:t>投标方</w:t>
      </w:r>
      <w:r>
        <w:rPr>
          <w:rFonts w:hint="default"/>
          <w:sz w:val="24"/>
          <w:szCs w:val="24"/>
          <w:highlight w:val="none"/>
          <w:lang w:val="en-US" w:eastAsia="zh-CN"/>
        </w:rPr>
        <w:t xml:space="preserve">在设备入场前提供接口的技术文档和参数说明，包括但不限于接口协议、通讯速率、数据格式等。 </w:t>
      </w:r>
    </w:p>
    <w:p>
      <w:pPr>
        <w:spacing w:line="360" w:lineRule="auto"/>
        <w:rPr>
          <w:rFonts w:hint="eastAsia"/>
          <w:sz w:val="24"/>
          <w:szCs w:val="24"/>
          <w:highlight w:val="none"/>
        </w:rPr>
      </w:pPr>
      <w:r>
        <w:rPr>
          <w:rFonts w:hint="eastAsia" w:ascii="宋体" w:hAnsi="宋体"/>
          <w:sz w:val="24"/>
          <w:highlight w:val="none"/>
          <w:lang w:val="en-US" w:eastAsia="zh-CN"/>
        </w:rPr>
        <w:t>6.8.4</w:t>
      </w:r>
      <w:r>
        <w:rPr>
          <w:rFonts w:hint="default"/>
          <w:sz w:val="24"/>
          <w:szCs w:val="24"/>
          <w:highlight w:val="none"/>
          <w:lang w:val="en-US" w:eastAsia="zh-CN"/>
        </w:rPr>
        <w:t xml:space="preserve"> 设备使用周期内，</w:t>
      </w:r>
      <w:r>
        <w:rPr>
          <w:rFonts w:hint="eastAsia"/>
          <w:sz w:val="24"/>
          <w:szCs w:val="24"/>
          <w:highlight w:val="none"/>
          <w:lang w:val="en-US" w:eastAsia="zh-CN"/>
        </w:rPr>
        <w:t>投标方</w:t>
      </w:r>
      <w:r>
        <w:rPr>
          <w:rFonts w:hint="default"/>
          <w:sz w:val="24"/>
          <w:szCs w:val="24"/>
          <w:highlight w:val="none"/>
          <w:lang w:val="en-US" w:eastAsia="zh-CN"/>
        </w:rPr>
        <w:t>免费派遣技术人员与甲方调试团队共同进行设备通讯接口的调试工作。</w:t>
      </w:r>
    </w:p>
    <w:p>
      <w:pPr>
        <w:pStyle w:val="5"/>
        <w:rPr>
          <w:rFonts w:hint="eastAsia" w:asciiTheme="majorEastAsia" w:hAnsiTheme="majorEastAsia" w:cstheme="majorEastAsia"/>
        </w:rPr>
      </w:pPr>
      <w:r>
        <w:rPr>
          <w:rFonts w:hint="eastAsia" w:asciiTheme="majorEastAsia" w:hAnsiTheme="majorEastAsia" w:cstheme="majorEastAsia"/>
        </w:rPr>
        <w:t>7.全生命周期费用技术要求</w:t>
      </w:r>
    </w:p>
    <w:p>
      <w:pPr>
        <w:spacing w:line="360" w:lineRule="auto"/>
        <w:rPr>
          <w:rFonts w:hint="eastAsia" w:asciiTheme="minorEastAsia" w:hAnsiTheme="minorEastAsia" w:cstheme="minorEastAsia"/>
          <w:sz w:val="24"/>
          <w:szCs w:val="24"/>
        </w:rPr>
      </w:pPr>
      <w:r>
        <w:rPr>
          <w:rFonts w:hint="eastAsia" w:ascii="宋体" w:hAnsi="宋体"/>
          <w:sz w:val="24"/>
        </w:rPr>
        <w:t>7.1</w:t>
      </w:r>
      <w:r>
        <w:rPr>
          <w:rFonts w:hint="eastAsia"/>
          <w:sz w:val="24"/>
          <w:szCs w:val="24"/>
        </w:rPr>
        <w:t>投标方应测算设备的全生</w:t>
      </w:r>
      <w:r>
        <w:rPr>
          <w:rFonts w:hint="eastAsia" w:asciiTheme="minorEastAsia" w:hAnsiTheme="minorEastAsia" w:cstheme="minorEastAsia"/>
          <w:sz w:val="24"/>
          <w:szCs w:val="24"/>
        </w:rPr>
        <w:t>命周期费用（LCC）、运行维持费用及费用分解构成，并在投标文件中列出。</w:t>
      </w:r>
    </w:p>
    <w:p>
      <w:pPr>
        <w:spacing w:line="360" w:lineRule="auto"/>
        <w:rPr>
          <w:sz w:val="24"/>
          <w:szCs w:val="24"/>
        </w:rPr>
      </w:pPr>
      <w:r>
        <w:rPr>
          <w:rFonts w:hint="eastAsia" w:asciiTheme="minorEastAsia" w:hAnsiTheme="minorEastAsia" w:cstheme="minorEastAsia"/>
          <w:sz w:val="24"/>
        </w:rPr>
        <w:t>7.2</w:t>
      </w:r>
      <w:r>
        <w:rPr>
          <w:rFonts w:hint="eastAsia" w:asciiTheme="minorEastAsia" w:hAnsiTheme="minorEastAsia" w:cstheme="minorEastAsia"/>
          <w:sz w:val="24"/>
          <w:szCs w:val="24"/>
        </w:rPr>
        <w:t>全生命周期费用（LCC）主要指</w:t>
      </w:r>
      <w:r>
        <w:rPr>
          <w:rFonts w:hint="eastAsia"/>
          <w:sz w:val="24"/>
          <w:szCs w:val="24"/>
        </w:rPr>
        <w:t>设备的维持费用，包括设备在设计使用寿命内的备品备件投入，日常维护（维保）费用，大（项）修费用，和正常使用的能源费用，按年列出。</w:t>
      </w:r>
    </w:p>
    <w:p>
      <w:pPr>
        <w:pStyle w:val="5"/>
        <w:rPr>
          <w:rFonts w:hint="eastAsia" w:asciiTheme="majorEastAsia" w:hAnsiTheme="majorEastAsia" w:cstheme="majorEastAsia"/>
        </w:rPr>
      </w:pPr>
      <w:r>
        <w:rPr>
          <w:rFonts w:hint="eastAsia" w:asciiTheme="majorEastAsia" w:hAnsiTheme="majorEastAsia" w:cstheme="majorEastAsia"/>
        </w:rPr>
        <w:t>8.备件供给技术要求</w:t>
      </w:r>
    </w:p>
    <w:p>
      <w:pPr>
        <w:spacing w:line="360" w:lineRule="auto"/>
        <w:rPr>
          <w:sz w:val="24"/>
          <w:szCs w:val="24"/>
        </w:rPr>
      </w:pPr>
      <w:r>
        <w:rPr>
          <w:rFonts w:hint="eastAsia" w:ascii="宋体" w:hAnsi="宋体"/>
          <w:sz w:val="24"/>
        </w:rPr>
        <w:t>8.1</w:t>
      </w:r>
      <w:r>
        <w:rPr>
          <w:rFonts w:hint="eastAsia"/>
          <w:sz w:val="24"/>
          <w:szCs w:val="24"/>
        </w:rPr>
        <w:t>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方，以便招标方增加这些备品备件储备。</w:t>
      </w:r>
    </w:p>
    <w:p>
      <w:pPr>
        <w:spacing w:line="360" w:lineRule="auto"/>
        <w:rPr>
          <w:sz w:val="24"/>
          <w:szCs w:val="24"/>
        </w:rPr>
      </w:pPr>
      <w:r>
        <w:rPr>
          <w:rFonts w:hint="eastAsia" w:ascii="宋体" w:hAnsi="宋体"/>
          <w:sz w:val="24"/>
        </w:rPr>
        <w:t>8.2</w:t>
      </w:r>
      <w:r>
        <w:rPr>
          <w:rFonts w:hint="eastAsia"/>
          <w:sz w:val="24"/>
          <w:szCs w:val="24"/>
        </w:rPr>
        <w:t>投标方应提供有关备品备件的保管资料，如：存放期限、温度、湿度、是否需干燥剂等。</w:t>
      </w:r>
    </w:p>
    <w:p>
      <w:pPr>
        <w:shd w:val="clear"/>
        <w:spacing w:line="360" w:lineRule="auto"/>
        <w:rPr>
          <w:sz w:val="24"/>
          <w:szCs w:val="24"/>
          <w:highlight w:val="none"/>
        </w:rPr>
      </w:pPr>
      <w:r>
        <w:rPr>
          <w:rFonts w:hint="eastAsia" w:ascii="宋体" w:hAnsi="宋体"/>
          <w:sz w:val="24"/>
        </w:rPr>
        <w:t>8.3</w:t>
      </w:r>
      <w:r>
        <w:rPr>
          <w:rFonts w:hint="eastAsia"/>
          <w:sz w:val="24"/>
          <w:szCs w:val="24"/>
        </w:rPr>
        <w:t>招标方件所指备品备件、易损件和专用耗材，是招标方为保证设备质保期之后正常运行一年所自备自用的备品备件、易损件和专用耗材；质保期内需更换的备品备件、易损件</w:t>
      </w:r>
      <w:r>
        <w:rPr>
          <w:rFonts w:hint="eastAsia"/>
          <w:sz w:val="24"/>
          <w:szCs w:val="24"/>
          <w:highlight w:val="none"/>
        </w:rPr>
        <w:t>和专用耗材等均应包含在总价内，招标方不承担质保期内费用。</w:t>
      </w:r>
    </w:p>
    <w:p>
      <w:pPr>
        <w:shd w:val="clear"/>
        <w:spacing w:line="360" w:lineRule="auto"/>
        <w:rPr>
          <w:sz w:val="24"/>
          <w:szCs w:val="24"/>
          <w:highlight w:val="none"/>
        </w:rPr>
      </w:pPr>
      <w:r>
        <w:rPr>
          <w:rFonts w:hint="eastAsia" w:ascii="宋体" w:hAnsi="宋体"/>
          <w:sz w:val="24"/>
          <w:highlight w:val="none"/>
        </w:rPr>
        <w:t>8.4</w:t>
      </w:r>
      <w:r>
        <w:rPr>
          <w:rFonts w:hint="eastAsia"/>
          <w:sz w:val="24"/>
          <w:szCs w:val="24"/>
          <w:highlight w:val="none"/>
        </w:rPr>
        <w:t>投标方应</w:t>
      </w:r>
      <w:r>
        <w:rPr>
          <w:rFonts w:hint="eastAsia"/>
          <w:sz w:val="24"/>
          <w:szCs w:val="24"/>
          <w:highlight w:val="none"/>
          <w:lang w:val="en-US" w:eastAsia="zh-CN"/>
        </w:rPr>
        <w:t>在终验收前</w:t>
      </w:r>
      <w:r>
        <w:rPr>
          <w:rFonts w:hint="eastAsia"/>
          <w:sz w:val="24"/>
          <w:szCs w:val="24"/>
          <w:highlight w:val="none"/>
        </w:rPr>
        <w:t>免费提供满足设备正常运行一年所需的备品备件、易损件和专用耗材，并附详细清单（包括名称、型号、规格、单位、数量、生产厂家、单价、总价等条目）。</w:t>
      </w:r>
    </w:p>
    <w:p>
      <w:pPr>
        <w:shd w:val="clear"/>
        <w:spacing w:line="360" w:lineRule="auto"/>
        <w:rPr>
          <w:sz w:val="24"/>
          <w:szCs w:val="24"/>
          <w:highlight w:val="none"/>
        </w:rPr>
      </w:pPr>
      <w:r>
        <w:rPr>
          <w:rFonts w:hint="eastAsia" w:ascii="宋体" w:hAnsi="宋体"/>
          <w:sz w:val="24"/>
          <w:highlight w:val="none"/>
        </w:rPr>
        <w:t>8.5</w:t>
      </w:r>
      <w:r>
        <w:rPr>
          <w:rFonts w:hint="eastAsia"/>
          <w:sz w:val="24"/>
          <w:szCs w:val="24"/>
          <w:highlight w:val="none"/>
        </w:rPr>
        <w:t>设</w:t>
      </w:r>
      <w:r>
        <w:rPr>
          <w:rFonts w:hint="eastAsia" w:asciiTheme="minorEastAsia" w:hAnsiTheme="minorEastAsia" w:cstheme="minorEastAsia"/>
          <w:sz w:val="24"/>
          <w:szCs w:val="24"/>
          <w:highlight w:val="none"/>
        </w:rPr>
        <w:t>备的维修BOM。</w:t>
      </w:r>
    </w:p>
    <w:p>
      <w:pPr>
        <w:shd w:val="clear"/>
        <w:spacing w:line="360" w:lineRule="auto"/>
        <w:rPr>
          <w:sz w:val="24"/>
          <w:szCs w:val="24"/>
          <w:highlight w:val="none"/>
        </w:rPr>
      </w:pPr>
      <w:r>
        <w:rPr>
          <w:rFonts w:hint="eastAsia" w:ascii="宋体" w:hAnsi="宋体"/>
          <w:sz w:val="24"/>
          <w:highlight w:val="none"/>
        </w:rPr>
        <w:t>8.6</w:t>
      </w:r>
      <w:r>
        <w:rPr>
          <w:rFonts w:hint="eastAsia"/>
          <w:sz w:val="24"/>
          <w:szCs w:val="24"/>
          <w:highlight w:val="none"/>
        </w:rPr>
        <w:t>投标方应</w:t>
      </w:r>
      <w:r>
        <w:rPr>
          <w:rFonts w:hint="eastAsia"/>
          <w:sz w:val="24"/>
          <w:szCs w:val="24"/>
          <w:highlight w:val="none"/>
          <w:lang w:val="en-US" w:eastAsia="zh-CN"/>
        </w:rPr>
        <w:t>在终验收前</w:t>
      </w:r>
      <w:r>
        <w:rPr>
          <w:rFonts w:hint="eastAsia"/>
          <w:sz w:val="24"/>
          <w:szCs w:val="24"/>
          <w:highlight w:val="none"/>
        </w:rPr>
        <w:t>提供易损件和专用耗材的制造图纸及其技术要求等资料。</w:t>
      </w:r>
    </w:p>
    <w:p>
      <w:pPr>
        <w:pStyle w:val="5"/>
        <w:rPr>
          <w:rFonts w:hint="eastAsia" w:asciiTheme="majorEastAsia" w:hAnsiTheme="majorEastAsia" w:cstheme="majorEastAsia"/>
        </w:rPr>
      </w:pPr>
      <w:r>
        <w:rPr>
          <w:rFonts w:hint="eastAsia" w:asciiTheme="majorEastAsia" w:hAnsiTheme="majorEastAsia" w:cstheme="majorEastAsia"/>
        </w:rPr>
        <w:t>9.技术资料要求</w:t>
      </w:r>
    </w:p>
    <w:p>
      <w:pPr>
        <w:spacing w:line="360" w:lineRule="auto"/>
        <w:rPr>
          <w:rFonts w:hint="eastAsia" w:ascii="宋体" w:hAnsi="宋体"/>
          <w:sz w:val="24"/>
          <w:szCs w:val="24"/>
        </w:rPr>
      </w:pPr>
      <w:r>
        <w:rPr>
          <w:rFonts w:hint="eastAsia" w:ascii="宋体" w:hAnsi="宋体"/>
          <w:sz w:val="24"/>
          <w:szCs w:val="24"/>
        </w:rPr>
        <w:t>9.1硬件资料，投标方提供的资料应包括涉及所有系统部件的安装、运行、注意事项和维护方法的详细说明，此外还应包括所购设备的完整设备清单和详细指南。与设备清单相对应的设备项目代号应在所有相关图纸上表示出来，投标方还应根据要求提供其设备代号与市场上可买到的该设备型号间的参照表。</w:t>
      </w:r>
    </w:p>
    <w:p>
      <w:pPr>
        <w:spacing w:line="360" w:lineRule="auto"/>
        <w:rPr>
          <w:rFonts w:hint="eastAsia" w:ascii="宋体" w:hAnsi="宋体"/>
          <w:sz w:val="24"/>
          <w:szCs w:val="24"/>
        </w:rPr>
      </w:pPr>
      <w:r>
        <w:rPr>
          <w:rFonts w:hint="eastAsia" w:ascii="宋体" w:hAnsi="宋体"/>
          <w:sz w:val="24"/>
          <w:szCs w:val="24"/>
        </w:rPr>
        <w:t>9.</w:t>
      </w:r>
      <w:r>
        <w:rPr>
          <w:rFonts w:ascii="宋体" w:hAnsi="宋体"/>
          <w:sz w:val="24"/>
          <w:szCs w:val="24"/>
        </w:rPr>
        <w:t>2</w:t>
      </w:r>
      <w:r>
        <w:rPr>
          <w:rFonts w:hint="eastAsia" w:ascii="宋体" w:hAnsi="宋体"/>
          <w:sz w:val="24"/>
          <w:szCs w:val="24"/>
        </w:rPr>
        <w:t>投标方至少应提供下列手册和图纸：设备竣工图（包括总图、基础图、装配图、机械原理图、气动、液压原理图、电气原理图、接线图和元器件布置图、PLC 梯形图、变频器的组态文件、HMI 的组态文件等）。</w:t>
      </w:r>
    </w:p>
    <w:p>
      <w:pPr>
        <w:spacing w:line="360" w:lineRule="auto"/>
        <w:rPr>
          <w:rFonts w:hint="eastAsia" w:ascii="宋体" w:hAnsi="宋体"/>
          <w:sz w:val="24"/>
          <w:szCs w:val="24"/>
        </w:rPr>
      </w:pPr>
      <w:r>
        <w:rPr>
          <w:rFonts w:hint="eastAsia" w:ascii="宋体" w:hAnsi="宋体"/>
          <w:sz w:val="24"/>
          <w:szCs w:val="24"/>
        </w:rPr>
        <w:t>9.</w:t>
      </w:r>
      <w:r>
        <w:rPr>
          <w:rFonts w:ascii="宋体" w:hAnsi="宋体"/>
          <w:sz w:val="24"/>
          <w:szCs w:val="24"/>
        </w:rPr>
        <w:t>3</w:t>
      </w:r>
      <w:r>
        <w:rPr>
          <w:rFonts w:hint="eastAsia" w:ascii="宋体" w:hAnsi="宋体"/>
          <w:sz w:val="24"/>
          <w:szCs w:val="24"/>
        </w:rPr>
        <w:t>设备硬件手册，设备操作手册（含安全操作规程、操作和安全事项的使用说明书）。设备维护手册（含润滑图表、含有易损件的检查更换指南、易损件使用时间）。设备组态手册。仪器仪表检定证书和使用维修说明书。构成设备所有部件的原理图。内部布置图。符合招标方要求格式的外部连接图，图上应有电缆编号和端子编号。每只控制柜、操作台的总布置图，这些图中应标明各模件和组装件的编号，并包括正视图、后视图、开孔图、总尺寸及开门所需的净空距离。所有控制和调整装置在维护时所需的校验曲线。所有卖方外购设备手册。PLC使用的部件详图。安装步骤、包括装配细节、设备散热和设备重量等。材料清册，包括备件、易损件和耗材清单。所有外围设备的样本（包括主机、显示器、键盘、打印机等）。产品合格证。开箱记录等随机文件材料。施工文件。用于说明采购件名称、型号、规格、厂家等的采购件明细表。设备出厂所必须的精度检验证书、性能测试记录和报告。设备分支动力管线的设计竣工图。</w:t>
      </w:r>
    </w:p>
    <w:p>
      <w:pPr>
        <w:spacing w:line="360" w:lineRule="auto"/>
        <w:rPr>
          <w:rFonts w:hint="eastAsia" w:ascii="宋体" w:hAnsi="宋体"/>
          <w:sz w:val="24"/>
          <w:szCs w:val="24"/>
        </w:rPr>
      </w:pPr>
      <w:r>
        <w:rPr>
          <w:rFonts w:hint="eastAsia" w:ascii="宋体" w:hAnsi="宋体"/>
          <w:sz w:val="24"/>
          <w:szCs w:val="24"/>
        </w:rPr>
        <w:t>9.</w:t>
      </w:r>
      <w:r>
        <w:rPr>
          <w:rFonts w:ascii="宋体" w:hAnsi="宋体"/>
          <w:sz w:val="24"/>
          <w:szCs w:val="24"/>
        </w:rPr>
        <w:t>4</w:t>
      </w:r>
      <w:r>
        <w:rPr>
          <w:rFonts w:hint="eastAsia" w:ascii="宋体" w:hAnsi="宋体"/>
          <w:sz w:val="24"/>
          <w:szCs w:val="24"/>
        </w:rPr>
        <w:t>软件资料，投标方应提供足以使招标方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设备可编程器件（PLC、触摸屏、伺服器等）的原控制程序、组态程序电子文档。编程指导材料，投标方应提供用于各系统程序的源码说明，包括交互在程序中的注释，以便整个程序的理解，这一资料应存放在工程师站和U盘内提供给招标方。投标方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w:t>
      </w:r>
    </w:p>
    <w:p>
      <w:pPr>
        <w:pStyle w:val="5"/>
        <w:rPr>
          <w:rFonts w:hint="eastAsia" w:asciiTheme="majorEastAsia" w:hAnsiTheme="majorEastAsia" w:cstheme="majorEastAsia"/>
        </w:rPr>
      </w:pPr>
      <w:r>
        <w:rPr>
          <w:rFonts w:hint="eastAsia" w:asciiTheme="majorEastAsia" w:hAnsiTheme="majorEastAsia" w:cstheme="majorEastAsia"/>
        </w:rPr>
        <w:t>10.节能技术要求</w:t>
      </w:r>
    </w:p>
    <w:p>
      <w:pPr>
        <w:spacing w:line="360" w:lineRule="auto"/>
        <w:rPr>
          <w:rFonts w:hint="eastAsia" w:ascii="宋体" w:hAnsi="宋体"/>
          <w:sz w:val="24"/>
          <w:szCs w:val="24"/>
          <w:highlight w:val="none"/>
        </w:rPr>
      </w:pPr>
      <w:r>
        <w:rPr>
          <w:rFonts w:hint="eastAsia" w:ascii="宋体" w:hAnsi="宋体"/>
          <w:sz w:val="24"/>
          <w:szCs w:val="24"/>
        </w:rPr>
        <w:t>10.</w:t>
      </w:r>
      <w:r>
        <w:rPr>
          <w:rFonts w:ascii="宋体" w:hAnsi="宋体"/>
          <w:sz w:val="24"/>
          <w:szCs w:val="24"/>
        </w:rPr>
        <w:t>1</w:t>
      </w:r>
      <w:r>
        <w:rPr>
          <w:rFonts w:hint="eastAsia" w:ascii="宋体" w:hAnsi="宋体"/>
          <w:sz w:val="24"/>
          <w:szCs w:val="24"/>
        </w:rPr>
        <w:t>采购节能产品和环境标志产品。可参照节能机电设备（产品）推荐目录（工信部）</w:t>
      </w:r>
      <w:r>
        <w:rPr>
          <w:rFonts w:hint="eastAsia" w:ascii="宋体" w:hAnsi="宋体"/>
          <w:sz w:val="24"/>
          <w:szCs w:val="24"/>
          <w:highlight w:val="none"/>
        </w:rPr>
        <w:t>、“能效之星”产品目录（工信部）。</w:t>
      </w:r>
    </w:p>
    <w:p>
      <w:pPr>
        <w:spacing w:line="360" w:lineRule="auto"/>
        <w:rPr>
          <w:rFonts w:hint="default" w:ascii="宋体" w:hAnsi="宋体"/>
          <w:sz w:val="24"/>
          <w:szCs w:val="24"/>
          <w:highlight w:val="none"/>
          <w:lang w:val="en-US" w:eastAsia="zh-CN"/>
        </w:rPr>
      </w:pPr>
      <w:r>
        <w:rPr>
          <w:rFonts w:hint="eastAsia" w:ascii="宋体" w:hAnsi="宋体"/>
          <w:sz w:val="24"/>
          <w:szCs w:val="24"/>
          <w:highlight w:val="none"/>
        </w:rPr>
        <w:t>10.</w:t>
      </w:r>
      <w:r>
        <w:rPr>
          <w:rFonts w:ascii="宋体" w:hAnsi="宋体"/>
          <w:sz w:val="24"/>
          <w:szCs w:val="24"/>
          <w:highlight w:val="none"/>
        </w:rPr>
        <w:t>2</w:t>
      </w:r>
      <w:r>
        <w:rPr>
          <w:rFonts w:hint="default" w:ascii="宋体" w:hAnsi="宋体"/>
          <w:sz w:val="24"/>
          <w:szCs w:val="24"/>
          <w:highlight w:val="none"/>
          <w:lang w:val="en-US" w:eastAsia="zh-CN"/>
        </w:rPr>
        <w:t>原则上，电机功率≥7.5kW，必须选用一级能效。电机功率＜7.5kW，优先选用一级能效</w:t>
      </w:r>
      <w:r>
        <w:rPr>
          <w:rFonts w:hint="eastAsia" w:ascii="宋体" w:hAnsi="宋体"/>
          <w:sz w:val="24"/>
          <w:szCs w:val="24"/>
          <w:highlight w:val="none"/>
          <w:lang w:val="en-US" w:eastAsia="zh-CN"/>
        </w:rPr>
        <w:t>；</w:t>
      </w:r>
      <w:r>
        <w:rPr>
          <w:rFonts w:hint="default" w:ascii="宋体" w:hAnsi="宋体"/>
          <w:sz w:val="24"/>
          <w:szCs w:val="24"/>
          <w:highlight w:val="none"/>
          <w:lang w:val="en-US" w:eastAsia="zh-CN"/>
        </w:rPr>
        <w:t>其中对于能源供应类设备及年运行时间≥2000</w:t>
      </w:r>
      <w:r>
        <w:rPr>
          <w:rFonts w:hint="eastAsia" w:ascii="宋体" w:hAnsi="宋体"/>
          <w:sz w:val="24"/>
          <w:szCs w:val="24"/>
          <w:highlight w:val="none"/>
          <w:lang w:val="en-US" w:eastAsia="zh-CN"/>
        </w:rPr>
        <w:t>h</w:t>
      </w:r>
      <w:r>
        <w:rPr>
          <w:rFonts w:hint="default" w:ascii="宋体" w:hAnsi="宋体"/>
          <w:sz w:val="24"/>
          <w:szCs w:val="24"/>
          <w:highlight w:val="none"/>
          <w:lang w:val="en-US" w:eastAsia="zh-CN"/>
        </w:rPr>
        <w:t>工艺设备的电机必须选一级能效。杜绝选用三级及以下能效。</w:t>
      </w:r>
    </w:p>
    <w:p>
      <w:pPr>
        <w:spacing w:line="360" w:lineRule="auto"/>
        <w:ind w:firstLine="480" w:firstLineChars="200"/>
        <w:rPr>
          <w:rFonts w:hint="eastAsia" w:ascii="宋体" w:hAnsi="宋体"/>
          <w:sz w:val="24"/>
          <w:szCs w:val="24"/>
          <w:highlight w:val="none"/>
        </w:rPr>
      </w:pPr>
      <w:r>
        <w:rPr>
          <w:rFonts w:hint="eastAsia" w:ascii="宋体" w:hAnsi="宋体"/>
          <w:sz w:val="24"/>
          <w:szCs w:val="24"/>
          <w:highlight w:val="none"/>
          <w:lang w:val="en-US" w:eastAsia="zh-CN"/>
        </w:rPr>
        <w:t>空调必须选用一级能效，变压器最低选用二级能效，对于特殊场景、特殊用途其他设备结合性价比综合考虑、充分论证。</w:t>
      </w:r>
    </w:p>
    <w:p>
      <w:pPr>
        <w:spacing w:line="360" w:lineRule="auto"/>
        <w:rPr>
          <w:rFonts w:hint="eastAsia" w:ascii="宋体" w:hAnsi="宋体"/>
          <w:sz w:val="24"/>
          <w:szCs w:val="24"/>
          <w:highlight w:val="none"/>
        </w:rPr>
      </w:pPr>
      <w:r>
        <w:rPr>
          <w:rFonts w:hint="eastAsia" w:ascii="宋体" w:hAnsi="宋体"/>
          <w:sz w:val="24"/>
          <w:szCs w:val="24"/>
          <w:highlight w:val="none"/>
        </w:rPr>
        <w:t>10.</w:t>
      </w:r>
      <w:r>
        <w:rPr>
          <w:rFonts w:ascii="宋体" w:hAnsi="宋体"/>
          <w:sz w:val="24"/>
          <w:szCs w:val="24"/>
          <w:highlight w:val="none"/>
        </w:rPr>
        <w:t>3</w:t>
      </w:r>
      <w:r>
        <w:rPr>
          <w:rFonts w:hint="eastAsia" w:ascii="宋体" w:hAnsi="宋体"/>
          <w:sz w:val="24"/>
          <w:szCs w:val="24"/>
          <w:highlight w:val="none"/>
        </w:rPr>
        <w:t>不应采购列入国家高耗能落后机电设备（产品）淘汰目录的产品（工信部）</w:t>
      </w:r>
    </w:p>
    <w:p>
      <w:pPr>
        <w:spacing w:line="360" w:lineRule="auto"/>
        <w:rPr>
          <w:rFonts w:hint="eastAsia" w:ascii="宋体" w:hAnsi="宋体"/>
          <w:sz w:val="24"/>
          <w:szCs w:val="24"/>
        </w:rPr>
      </w:pPr>
      <w:r>
        <w:rPr>
          <w:rFonts w:hint="eastAsia" w:ascii="宋体" w:hAnsi="宋体"/>
          <w:sz w:val="24"/>
          <w:szCs w:val="24"/>
          <w:highlight w:val="none"/>
        </w:rPr>
        <w:t>10.</w:t>
      </w:r>
      <w:r>
        <w:rPr>
          <w:rFonts w:ascii="宋体" w:hAnsi="宋体"/>
          <w:sz w:val="24"/>
          <w:szCs w:val="24"/>
          <w:highlight w:val="none"/>
        </w:rPr>
        <w:t>4</w:t>
      </w:r>
      <w:r>
        <w:rPr>
          <w:rFonts w:hint="eastAsia" w:ascii="宋体" w:hAnsi="宋体"/>
          <w:sz w:val="24"/>
          <w:szCs w:val="24"/>
          <w:highlight w:val="none"/>
        </w:rPr>
        <w:t>能源计量，主要用能设备应当按照GB17167《用</w:t>
      </w:r>
      <w:r>
        <w:rPr>
          <w:rFonts w:hint="eastAsia" w:ascii="宋体" w:hAnsi="宋体"/>
          <w:sz w:val="24"/>
          <w:szCs w:val="24"/>
        </w:rPr>
        <w:t>能单位能源计量器具配备和管理通则》的要求配备能源计量器具。当主要用能设备能源消耗量（或功率）达到下列限定值时，应当配备能源计量器具：100KW; 多功能电能表的准确度等级应不低于2.0级。其他：29.26GJ/h；计量表的准确度等级应不低于2.0级。设备能源消耗（或功率）需要测量能源消耗或能效的关键设备应当加装能源计量仪表。能源计量仪表应带远传功能，通讯应满足本</w:t>
      </w:r>
      <w:r>
        <w:rPr>
          <w:rFonts w:hint="eastAsia"/>
          <w:sz w:val="24"/>
          <w:szCs w:val="24"/>
        </w:rPr>
        <w:t>文内</w:t>
      </w:r>
      <w:r>
        <w:rPr>
          <w:rFonts w:hint="eastAsia" w:ascii="宋体" w:hAnsi="宋体"/>
          <w:sz w:val="24"/>
          <w:szCs w:val="24"/>
        </w:rPr>
        <w:t>工业通讯的要求。加装能源计量仪表的要求应写入设备招标文件，并包含在投标价格内。</w:t>
      </w:r>
    </w:p>
    <w:p>
      <w:pPr>
        <w:pStyle w:val="5"/>
        <w:rPr>
          <w:rFonts w:hint="eastAsia" w:asciiTheme="majorEastAsia" w:hAnsiTheme="majorEastAsia" w:cstheme="majorEastAsia"/>
        </w:rPr>
      </w:pPr>
      <w:r>
        <w:rPr>
          <w:rFonts w:hint="eastAsia" w:asciiTheme="majorEastAsia" w:hAnsiTheme="majorEastAsia" w:cstheme="majorEastAsia"/>
        </w:rPr>
        <w:t>11.设备设计使用寿命（年限）</w:t>
      </w:r>
    </w:p>
    <w:p>
      <w:pPr>
        <w:spacing w:line="360" w:lineRule="auto"/>
        <w:jc w:val="left"/>
        <w:rPr>
          <w:rFonts w:hint="eastAsia" w:ascii="宋体" w:hAnsi="宋体"/>
          <w:sz w:val="24"/>
          <w:szCs w:val="24"/>
        </w:rPr>
      </w:pPr>
      <w:r>
        <w:rPr>
          <w:rFonts w:hint="eastAsia" w:ascii="宋体" w:hAnsi="宋体"/>
          <w:sz w:val="24"/>
          <w:szCs w:val="24"/>
        </w:rPr>
        <w:t>设备设计使用寿命不应低于15年。</w:t>
      </w:r>
    </w:p>
    <w:p>
      <w:pPr>
        <w:pStyle w:val="5"/>
        <w:rPr>
          <w:rFonts w:hint="eastAsia" w:asciiTheme="majorEastAsia" w:hAnsiTheme="majorEastAsia" w:cstheme="majorEastAsia"/>
        </w:rPr>
      </w:pPr>
      <w:r>
        <w:rPr>
          <w:rFonts w:hint="eastAsia" w:asciiTheme="majorEastAsia" w:hAnsiTheme="majorEastAsia" w:cstheme="majorEastAsia"/>
        </w:rPr>
        <w:t>12.易维修性技术要求</w:t>
      </w:r>
    </w:p>
    <w:p>
      <w:pPr>
        <w:spacing w:line="360" w:lineRule="auto"/>
        <w:jc w:val="left"/>
        <w:rPr>
          <w:rFonts w:hint="eastAsia" w:ascii="宋体" w:hAnsi="宋体"/>
          <w:sz w:val="24"/>
          <w:szCs w:val="24"/>
        </w:rPr>
      </w:pPr>
      <w:r>
        <w:rPr>
          <w:rFonts w:hint="eastAsia" w:ascii="宋体" w:hAnsi="宋体"/>
          <w:sz w:val="24"/>
          <w:szCs w:val="24"/>
        </w:rPr>
        <w:t>12.</w:t>
      </w:r>
      <w:r>
        <w:rPr>
          <w:rFonts w:ascii="宋体" w:hAnsi="宋体"/>
          <w:sz w:val="24"/>
          <w:szCs w:val="24"/>
        </w:rPr>
        <w:t>1</w:t>
      </w:r>
      <w:r>
        <w:rPr>
          <w:rFonts w:hint="eastAsia" w:ascii="宋体" w:hAnsi="宋体"/>
          <w:sz w:val="24"/>
          <w:szCs w:val="24"/>
        </w:rPr>
        <w:t>投标方对设备可维修性进行描述，设备在设计、制造、布局、安装时应充分考虑了后续维修的易维修性、可修复性和维修作业的安全、可操作性。</w:t>
      </w:r>
    </w:p>
    <w:p>
      <w:pPr>
        <w:spacing w:line="360" w:lineRule="auto"/>
        <w:jc w:val="left"/>
        <w:rPr>
          <w:rFonts w:hint="eastAsia" w:ascii="宋体" w:hAnsi="宋体"/>
          <w:sz w:val="24"/>
          <w:szCs w:val="24"/>
        </w:rPr>
      </w:pPr>
      <w:r>
        <w:rPr>
          <w:rFonts w:hint="eastAsia" w:ascii="宋体" w:hAnsi="宋体"/>
          <w:sz w:val="24"/>
          <w:szCs w:val="24"/>
        </w:rPr>
        <w:t>12.</w:t>
      </w:r>
      <w:r>
        <w:rPr>
          <w:rFonts w:ascii="宋体" w:hAnsi="宋体"/>
          <w:sz w:val="24"/>
          <w:szCs w:val="24"/>
        </w:rPr>
        <w:t>2</w:t>
      </w:r>
      <w:r>
        <w:rPr>
          <w:rFonts w:hint="eastAsia" w:ascii="宋体" w:hAnsi="宋体"/>
          <w:sz w:val="24"/>
          <w:szCs w:val="24"/>
        </w:rPr>
        <w:t>在正式提交的设备资料中应当包含设备的维修BOM。</w:t>
      </w:r>
    </w:p>
    <w:p>
      <w:pPr>
        <w:spacing w:line="360" w:lineRule="auto"/>
        <w:jc w:val="left"/>
        <w:rPr>
          <w:rFonts w:hint="eastAsia" w:ascii="宋体" w:hAnsi="宋体"/>
          <w:sz w:val="24"/>
          <w:szCs w:val="24"/>
        </w:rPr>
      </w:pPr>
      <w:r>
        <w:rPr>
          <w:rFonts w:hint="eastAsia" w:ascii="宋体" w:hAnsi="宋体"/>
          <w:sz w:val="24"/>
          <w:szCs w:val="24"/>
        </w:rPr>
        <w:t>12.</w:t>
      </w:r>
      <w:r>
        <w:rPr>
          <w:rFonts w:ascii="宋体" w:hAnsi="宋体"/>
          <w:sz w:val="24"/>
          <w:szCs w:val="24"/>
        </w:rPr>
        <w:t>3</w:t>
      </w:r>
      <w:r>
        <w:rPr>
          <w:rFonts w:hint="eastAsia" w:ascii="宋体" w:hAnsi="宋体"/>
          <w:sz w:val="24"/>
          <w:szCs w:val="24"/>
        </w:rPr>
        <w:t>投标方在投标文件中应说明设备在维保方面的信息，包含但不限于：易损件清单、耗材清单、定期维保项目清单等，上述清单应包含单价。</w:t>
      </w:r>
    </w:p>
    <w:p>
      <w:pPr>
        <w:spacing w:line="360" w:lineRule="auto"/>
        <w:outlineLvl w:val="1"/>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13.执行标准技术要求</w:t>
      </w:r>
    </w:p>
    <w:p>
      <w:pPr>
        <w:spacing w:line="25" w:lineRule="atLeast"/>
        <w:ind w:firstLine="480" w:firstLineChars="200"/>
        <w:rPr>
          <w:rFonts w:hint="eastAsia" w:ascii="宋体" w:hAnsi="宋体"/>
          <w:u w:val="single"/>
        </w:rPr>
      </w:pPr>
      <w:r>
        <w:rPr>
          <w:rFonts w:ascii="宋体" w:hAnsi="宋体"/>
          <w:sz w:val="24"/>
          <w:szCs w:val="24"/>
        </w:rPr>
        <w:t>投标方应提供与设备设计、制造、安装相关的国家、行业的标准，标准应为有效的。设备制造、安装调试、检验和验收按下列标准、规范、规程等技术文件执行。若</w:t>
      </w:r>
      <w:r>
        <w:rPr>
          <w:rFonts w:hint="eastAsia" w:ascii="宋体" w:hAnsi="宋体"/>
          <w:sz w:val="24"/>
          <w:szCs w:val="24"/>
        </w:rPr>
        <w:t>投</w:t>
      </w:r>
      <w:r>
        <w:rPr>
          <w:rFonts w:ascii="宋体" w:hAnsi="宋体"/>
          <w:sz w:val="24"/>
          <w:szCs w:val="24"/>
        </w:rPr>
        <w:t>标方</w:t>
      </w:r>
      <w:r>
        <w:rPr>
          <w:rFonts w:hint="eastAsia" w:ascii="宋体" w:hAnsi="宋体"/>
          <w:sz w:val="24"/>
          <w:szCs w:val="24"/>
        </w:rPr>
        <w:t>标准</w:t>
      </w:r>
      <w:r>
        <w:rPr>
          <w:rFonts w:ascii="宋体" w:hAnsi="宋体"/>
          <w:sz w:val="24"/>
          <w:szCs w:val="24"/>
        </w:rPr>
        <w:t>高于所述标准时优先选用</w:t>
      </w:r>
      <w:r>
        <w:rPr>
          <w:rFonts w:hint="eastAsia" w:ascii="宋体" w:hAnsi="宋体"/>
          <w:sz w:val="24"/>
          <w:szCs w:val="24"/>
        </w:rPr>
        <w:t>投标方</w:t>
      </w:r>
      <w:r>
        <w:rPr>
          <w:rFonts w:ascii="宋体" w:hAnsi="宋体"/>
          <w:sz w:val="24"/>
          <w:szCs w:val="24"/>
        </w:rPr>
        <w:t>标准。</w:t>
      </w:r>
    </w:p>
    <w:tbl>
      <w:tblPr>
        <w:tblStyle w:val="76"/>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4752"/>
        <w:gridCol w:w="1925"/>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12" w:type="dxa"/>
            <w:vAlign w:val="center"/>
          </w:tcPr>
          <w:p>
            <w:pPr>
              <w:spacing w:line="25" w:lineRule="atLeast"/>
              <w:jc w:val="center"/>
              <w:rPr>
                <w:rFonts w:hint="eastAsia" w:asciiTheme="minorEastAsia" w:hAnsiTheme="minorEastAsia" w:cstheme="minorEastAsia"/>
                <w:b/>
                <w:kern w:val="0"/>
                <w:sz w:val="18"/>
                <w:szCs w:val="18"/>
              </w:rPr>
            </w:pPr>
            <w:r>
              <w:rPr>
                <w:rFonts w:hint="eastAsia" w:asciiTheme="minorEastAsia" w:hAnsiTheme="minorEastAsia" w:cstheme="minorEastAsia"/>
                <w:b/>
                <w:kern w:val="0"/>
                <w:sz w:val="18"/>
                <w:szCs w:val="18"/>
              </w:rPr>
              <w:t>序号</w:t>
            </w:r>
          </w:p>
        </w:tc>
        <w:tc>
          <w:tcPr>
            <w:tcW w:w="4752" w:type="dxa"/>
            <w:vAlign w:val="center"/>
          </w:tcPr>
          <w:p>
            <w:pPr>
              <w:spacing w:line="25" w:lineRule="atLeast"/>
              <w:jc w:val="center"/>
              <w:rPr>
                <w:rFonts w:hint="eastAsia" w:asciiTheme="minorEastAsia" w:hAnsiTheme="minorEastAsia" w:cstheme="minorEastAsia"/>
                <w:b/>
                <w:kern w:val="0"/>
                <w:sz w:val="18"/>
                <w:szCs w:val="18"/>
              </w:rPr>
            </w:pPr>
            <w:r>
              <w:rPr>
                <w:rFonts w:hint="eastAsia" w:asciiTheme="minorEastAsia" w:hAnsiTheme="minorEastAsia" w:cstheme="minorEastAsia"/>
                <w:b/>
                <w:kern w:val="0"/>
                <w:sz w:val="18"/>
                <w:szCs w:val="18"/>
              </w:rPr>
              <w:t>标准名称</w:t>
            </w:r>
          </w:p>
        </w:tc>
        <w:tc>
          <w:tcPr>
            <w:tcW w:w="1925" w:type="dxa"/>
            <w:vAlign w:val="center"/>
          </w:tcPr>
          <w:p>
            <w:pPr>
              <w:spacing w:line="25" w:lineRule="atLeast"/>
              <w:jc w:val="center"/>
              <w:rPr>
                <w:rFonts w:hint="eastAsia" w:asciiTheme="minorEastAsia" w:hAnsiTheme="minorEastAsia" w:cstheme="minorEastAsia"/>
                <w:b/>
                <w:kern w:val="0"/>
                <w:sz w:val="18"/>
                <w:szCs w:val="18"/>
              </w:rPr>
            </w:pPr>
            <w:r>
              <w:rPr>
                <w:rFonts w:hint="eastAsia" w:asciiTheme="minorEastAsia" w:hAnsiTheme="minorEastAsia" w:cstheme="minorEastAsia"/>
                <w:b/>
                <w:kern w:val="0"/>
                <w:sz w:val="18"/>
                <w:szCs w:val="18"/>
              </w:rPr>
              <w:t>标准编号</w:t>
            </w:r>
          </w:p>
        </w:tc>
        <w:tc>
          <w:tcPr>
            <w:tcW w:w="1514" w:type="dxa"/>
            <w:vAlign w:val="center"/>
          </w:tcPr>
          <w:p>
            <w:pPr>
              <w:spacing w:line="25" w:lineRule="atLeast"/>
              <w:jc w:val="center"/>
              <w:rPr>
                <w:rFonts w:hint="eastAsia" w:asciiTheme="minorEastAsia" w:hAnsiTheme="minorEastAsia" w:cstheme="minorEastAsia"/>
                <w:b/>
                <w:kern w:val="0"/>
                <w:sz w:val="18"/>
                <w:szCs w:val="18"/>
              </w:rPr>
            </w:pPr>
            <w:r>
              <w:rPr>
                <w:rFonts w:hint="eastAsia" w:asciiTheme="minorEastAsia" w:hAnsiTheme="minorEastAsia" w:cstheme="minorEastAsia"/>
                <w:b/>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机械安全防护装置固定式和活动式防护装置设计与制造一般要求</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GB/T 8196-2018</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工业企业生产过程中噪声控制设计规范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GB/T 50087-2013</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3</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工业企业设计卫生标准</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GBZ 1-2010</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4</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机械设备防护罩安全标准</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GB8196-2003</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5</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施工现场临时用电安全技术规范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JGJ46-2018</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6</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机械工业职工安全卫生设计规定</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JBJ18-2000</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7</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机械工业环境保护设计规定</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GB50894-2013</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8</w:t>
            </w:r>
          </w:p>
        </w:tc>
        <w:tc>
          <w:tcPr>
            <w:tcW w:w="4752" w:type="dxa"/>
            <w:vAlign w:val="center"/>
          </w:tcPr>
          <w:p>
            <w:pPr>
              <w:widowControl/>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kern w:val="0"/>
                <w:sz w:val="18"/>
                <w:szCs w:val="18"/>
              </w:rPr>
              <w:t>电气装置安装工程施工及验收规范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GB50254-2016</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9</w:t>
            </w:r>
          </w:p>
        </w:tc>
        <w:tc>
          <w:tcPr>
            <w:tcW w:w="4752" w:type="dxa"/>
            <w:vAlign w:val="center"/>
          </w:tcPr>
          <w:p>
            <w:pPr>
              <w:widowControl/>
              <w:spacing w:line="25" w:lineRule="atLeast"/>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电气装置安装工程电缆线路施工及验收规范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GB50168-2018</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10</w:t>
            </w:r>
          </w:p>
        </w:tc>
        <w:tc>
          <w:tcPr>
            <w:tcW w:w="4752" w:type="dxa"/>
            <w:vAlign w:val="center"/>
          </w:tcPr>
          <w:p>
            <w:pPr>
              <w:widowControl/>
              <w:spacing w:line="25" w:lineRule="atLeast"/>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电气装置安装工程接地装置施工及验收规范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GB-50169-2016</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11</w:t>
            </w:r>
          </w:p>
        </w:tc>
        <w:tc>
          <w:tcPr>
            <w:tcW w:w="4752" w:type="dxa"/>
            <w:vAlign w:val="center"/>
          </w:tcPr>
          <w:p>
            <w:pPr>
              <w:widowControl/>
              <w:spacing w:line="25" w:lineRule="atLeast"/>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电气装置安装工程旋转电机施工及验收规范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 50170-2018</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12</w:t>
            </w:r>
          </w:p>
        </w:tc>
        <w:tc>
          <w:tcPr>
            <w:tcW w:w="4752" w:type="dxa"/>
            <w:vAlign w:val="center"/>
          </w:tcPr>
          <w:p>
            <w:pPr>
              <w:widowControl/>
              <w:spacing w:line="25" w:lineRule="atLeast"/>
              <w:jc w:val="center"/>
              <w:rPr>
                <w:rFonts w:hint="eastAsia" w:asciiTheme="minorEastAsia" w:hAnsiTheme="minorEastAsia" w:cstheme="minorEastAsia"/>
                <w:kern w:val="0"/>
                <w:sz w:val="18"/>
                <w:szCs w:val="18"/>
              </w:rPr>
            </w:pPr>
            <w:r>
              <w:rPr>
                <w:rFonts w:hint="eastAsia" w:asciiTheme="minorEastAsia" w:hAnsiTheme="minorEastAsia" w:cstheme="minorEastAsia"/>
                <w:kern w:val="0"/>
                <w:sz w:val="18"/>
                <w:szCs w:val="18"/>
              </w:rPr>
              <w:t>电气装置安装工程盘、柜及二次回路接线施工及验收规范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GB50171-2012</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13</w:t>
            </w:r>
          </w:p>
        </w:tc>
        <w:tc>
          <w:tcPr>
            <w:tcW w:w="4752" w:type="dxa"/>
            <w:vAlign w:val="center"/>
          </w:tcPr>
          <w:p>
            <w:pPr>
              <w:spacing w:line="25" w:lineRule="atLeast"/>
              <w:jc w:val="center"/>
              <w:rPr>
                <w:rFonts w:hint="eastAsia" w:asciiTheme="minorEastAsia" w:hAnsiTheme="minorEastAsia" w:cstheme="minorEastAsia"/>
                <w:kern w:val="0"/>
                <w:sz w:val="18"/>
                <w:szCs w:val="18"/>
              </w:rPr>
            </w:pPr>
            <w:r>
              <w:rPr>
                <w:rFonts w:hint="eastAsia" w:asciiTheme="minorEastAsia" w:hAnsiTheme="minorEastAsia" w:cstheme="minorEastAsia"/>
                <w:sz w:val="18"/>
                <w:szCs w:val="18"/>
              </w:rPr>
              <w:t>《室内管道支吊架》</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05R417-1</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14</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《工业金属管道工程施工和验收规范》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 50235-2010</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15</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《工业管道的基本识别色、识别符号和安全标识》</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GB7231-2003</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16</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《气焊、焊条电弧焊、气体保护焊和高能束焊的推荐坡口》</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GB/T 985.1-2008</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17</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《钢制焊接常压容器》</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NB T 47003.1-2009</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18</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《标牌》</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 T 13306-2011</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19</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《钢制石油储罐防腐蚀工程技术规范》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 T 50393-2017</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20</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《建筑设计防火规范》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 50016—2014 (2018年版)</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21</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《建筑灭火器配置设计规范》</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GB50140-2010</w:t>
            </w:r>
          </w:p>
        </w:tc>
        <w:tc>
          <w:tcPr>
            <w:tcW w:w="1514" w:type="dxa"/>
            <w:vAlign w:val="center"/>
          </w:tcPr>
          <w:p>
            <w:pPr>
              <w:spacing w:line="25" w:lineRule="atLeas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22</w:t>
            </w:r>
          </w:p>
        </w:tc>
        <w:tc>
          <w:tcPr>
            <w:tcW w:w="4752"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《液体石油产品静电安全规程》</w:t>
            </w:r>
          </w:p>
        </w:tc>
        <w:tc>
          <w:tcPr>
            <w:tcW w:w="1925" w:type="dxa"/>
            <w:vAlign w:val="center"/>
          </w:tcPr>
          <w:p>
            <w:pPr>
              <w:spacing w:line="25" w:lineRule="atLeas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GB 13348-2009</w:t>
            </w:r>
          </w:p>
        </w:tc>
        <w:tc>
          <w:tcPr>
            <w:tcW w:w="1514" w:type="dxa"/>
            <w:vAlign w:val="center"/>
          </w:tcPr>
          <w:p>
            <w:pPr>
              <w:spacing w:line="25" w:lineRule="atLeast"/>
              <w:jc w:val="center"/>
              <w:rPr>
                <w:rFonts w:hint="eastAsia" w:asciiTheme="minorEastAsia" w:hAnsiTheme="minorEastAsia" w:cstheme="minorEastAsia"/>
                <w:sz w:val="18"/>
                <w:szCs w:val="18"/>
              </w:rPr>
            </w:pPr>
          </w:p>
        </w:tc>
      </w:tr>
    </w:tbl>
    <w:p>
      <w:pPr>
        <w:pStyle w:val="144"/>
        <w:spacing w:line="360" w:lineRule="auto"/>
        <w:ind w:firstLine="0" w:firstLineChars="0"/>
        <w:rPr>
          <w:rFonts w:hint="eastAsia" w:asciiTheme="majorEastAsia" w:hAnsiTheme="majorEastAsia" w:eastAsiaTheme="majorEastAsia"/>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14:textFill>
            <w14:solidFill>
              <w14:schemeClr w14:val="tx1"/>
            </w14:solidFill>
          </w14:textFill>
        </w:rPr>
        <w:t>13.1设备符合国家相关标准制造要求。</w:t>
      </w:r>
    </w:p>
    <w:p>
      <w:pPr>
        <w:pStyle w:val="144"/>
        <w:spacing w:line="360" w:lineRule="auto"/>
        <w:ind w:firstLine="0" w:firstLineChars="0"/>
        <w:rPr>
          <w:rFonts w:hint="eastAsia" w:asciiTheme="majorEastAsia" w:hAnsiTheme="majorEastAsia" w:eastAsiaTheme="majorEastAsia"/>
          <w:sz w:val="24"/>
        </w:rPr>
      </w:pPr>
      <w:r>
        <w:rPr>
          <w:rFonts w:hint="eastAsia" w:asciiTheme="majorEastAsia" w:hAnsiTheme="majorEastAsia" w:eastAsiaTheme="majorEastAsia"/>
          <w:sz w:val="24"/>
        </w:rPr>
        <w:t>13.2招标方提供的初步技术方案，供投标方参考；招标方鼓励投标方拿出个性化、更优化的方案。</w:t>
      </w:r>
    </w:p>
    <w:p>
      <w:pPr>
        <w:pStyle w:val="144"/>
        <w:spacing w:line="360" w:lineRule="auto"/>
        <w:ind w:firstLine="0" w:firstLineChars="0"/>
        <w:rPr>
          <w:rFonts w:hint="eastAsia" w:asciiTheme="majorEastAsia" w:hAnsiTheme="majorEastAsia" w:eastAsiaTheme="majorEastAsia"/>
          <w:sz w:val="24"/>
        </w:rPr>
      </w:pPr>
      <w:r>
        <w:rPr>
          <w:rFonts w:hint="eastAsia" w:asciiTheme="majorEastAsia" w:hAnsiTheme="majorEastAsia" w:eastAsiaTheme="majorEastAsia"/>
          <w:sz w:val="24"/>
        </w:rPr>
        <w:t>13.3设备元器件必须有出厂合格证，计量仪器件由出厂合格证和检测报告，同时设计考虑外委检测的方便性。</w:t>
      </w:r>
    </w:p>
    <w:p>
      <w:pPr>
        <w:pStyle w:val="144"/>
        <w:spacing w:line="360" w:lineRule="auto"/>
        <w:ind w:firstLine="0" w:firstLineChars="0"/>
        <w:rPr>
          <w:rFonts w:hint="eastAsia" w:asciiTheme="majorEastAsia" w:hAnsiTheme="majorEastAsia" w:eastAsiaTheme="majorEastAsia"/>
          <w:sz w:val="24"/>
        </w:rPr>
      </w:pPr>
      <w:r>
        <w:rPr>
          <w:rFonts w:hint="eastAsia" w:asciiTheme="majorEastAsia" w:hAnsiTheme="majorEastAsia" w:eastAsiaTheme="majorEastAsia"/>
          <w:sz w:val="24"/>
        </w:rPr>
        <w:t>13.4</w:t>
      </w:r>
      <w:r>
        <w:rPr>
          <w:rFonts w:asciiTheme="majorEastAsia" w:hAnsiTheme="majorEastAsia" w:eastAsiaTheme="majorEastAsia"/>
          <w:sz w:val="24"/>
        </w:rPr>
        <w:t>其他附属装置：具体形式由</w:t>
      </w:r>
      <w:r>
        <w:rPr>
          <w:rFonts w:hint="eastAsia" w:asciiTheme="majorEastAsia" w:hAnsiTheme="majorEastAsia" w:eastAsiaTheme="majorEastAsia"/>
          <w:sz w:val="24"/>
        </w:rPr>
        <w:t>投标方</w:t>
      </w:r>
      <w:r>
        <w:rPr>
          <w:rFonts w:asciiTheme="majorEastAsia" w:hAnsiTheme="majorEastAsia" w:eastAsiaTheme="majorEastAsia"/>
          <w:sz w:val="24"/>
        </w:rPr>
        <w:t>设计，</w:t>
      </w:r>
      <w:r>
        <w:rPr>
          <w:rFonts w:hint="eastAsia" w:asciiTheme="majorEastAsia" w:hAnsiTheme="majorEastAsia" w:eastAsiaTheme="majorEastAsia"/>
          <w:sz w:val="24"/>
        </w:rPr>
        <w:t>招标方</w:t>
      </w:r>
      <w:r>
        <w:rPr>
          <w:rFonts w:asciiTheme="majorEastAsia" w:hAnsiTheme="majorEastAsia" w:eastAsiaTheme="majorEastAsia"/>
          <w:sz w:val="24"/>
        </w:rPr>
        <w:t>确认</w:t>
      </w:r>
      <w:r>
        <w:rPr>
          <w:rFonts w:hint="eastAsia" w:asciiTheme="majorEastAsia" w:hAnsiTheme="majorEastAsia" w:eastAsiaTheme="majorEastAsia"/>
          <w:sz w:val="24"/>
        </w:rPr>
        <w:t>。</w:t>
      </w:r>
    </w:p>
    <w:p>
      <w:pPr>
        <w:pStyle w:val="144"/>
        <w:spacing w:line="360" w:lineRule="auto"/>
        <w:ind w:firstLine="0" w:firstLineChars="0"/>
        <w:rPr>
          <w:rFonts w:hint="eastAsia" w:asciiTheme="majorEastAsia" w:hAnsiTheme="majorEastAsia" w:eastAsiaTheme="majorEastAsia"/>
          <w:sz w:val="24"/>
        </w:rPr>
      </w:pPr>
      <w:r>
        <w:rPr>
          <w:rFonts w:hint="eastAsia" w:asciiTheme="majorEastAsia" w:hAnsiTheme="majorEastAsia" w:eastAsiaTheme="majorEastAsia"/>
          <w:sz w:val="24"/>
        </w:rPr>
        <w:t>13.5</w:t>
      </w:r>
      <w:r>
        <w:rPr>
          <w:rFonts w:asciiTheme="majorEastAsia" w:hAnsiTheme="majorEastAsia" w:eastAsiaTheme="majorEastAsia"/>
          <w:sz w:val="24"/>
        </w:rPr>
        <w:t>机械安全电气设备通用技术条件必须符合国标GB5226.1-200</w:t>
      </w:r>
      <w:r>
        <w:rPr>
          <w:rFonts w:hint="eastAsia" w:asciiTheme="majorEastAsia" w:hAnsiTheme="majorEastAsia" w:eastAsiaTheme="majorEastAsia"/>
          <w:sz w:val="24"/>
        </w:rPr>
        <w:t>8。</w:t>
      </w:r>
    </w:p>
    <w:p>
      <w:pPr>
        <w:pStyle w:val="144"/>
        <w:spacing w:line="360" w:lineRule="auto"/>
        <w:ind w:firstLine="0" w:firstLineChars="0"/>
        <w:rPr>
          <w:rFonts w:eastAsiaTheme="majorEastAsia"/>
        </w:rPr>
      </w:pPr>
      <w:r>
        <w:rPr>
          <w:rFonts w:hint="eastAsia" w:asciiTheme="majorEastAsia" w:hAnsiTheme="majorEastAsia" w:eastAsiaTheme="majorEastAsia"/>
          <w:sz w:val="24"/>
        </w:rPr>
        <w:t>13.6</w:t>
      </w:r>
      <w:r>
        <w:rPr>
          <w:rFonts w:asciiTheme="majorEastAsia" w:hAnsiTheme="majorEastAsia" w:eastAsiaTheme="majorEastAsia"/>
          <w:sz w:val="24"/>
        </w:rPr>
        <w:t>安装验收标准必须符合国标GB50231-</w:t>
      </w:r>
      <w:r>
        <w:rPr>
          <w:rFonts w:hint="eastAsia" w:asciiTheme="majorEastAsia" w:hAnsiTheme="majorEastAsia" w:eastAsiaTheme="majorEastAsia"/>
          <w:sz w:val="24"/>
        </w:rPr>
        <w:t>2009。</w:t>
      </w:r>
    </w:p>
    <w:p>
      <w:pPr>
        <w:pStyle w:val="5"/>
        <w:rPr>
          <w:rFonts w:hint="eastAsia" w:asciiTheme="majorEastAsia" w:hAnsiTheme="majorEastAsia" w:cstheme="majorEastAsia"/>
        </w:rPr>
      </w:pPr>
      <w:r>
        <w:rPr>
          <w:rFonts w:hint="eastAsia" w:asciiTheme="majorEastAsia" w:hAnsiTheme="majorEastAsia" w:cstheme="majorEastAsia"/>
        </w:rPr>
        <w:t>14.设备配置明细表</w:t>
      </w:r>
    </w:p>
    <w:p>
      <w:pPr>
        <w:spacing w:line="360" w:lineRule="auto"/>
        <w:ind w:firstLine="3120" w:firstLineChars="1300"/>
        <w:rPr>
          <w:rFonts w:hint="eastAsia" w:ascii="宋体" w:hAnsi="宋体"/>
          <w:sz w:val="24"/>
          <w:szCs w:val="24"/>
        </w:rPr>
      </w:pPr>
      <w:r>
        <w:rPr>
          <w:rFonts w:hint="eastAsia" w:ascii="宋体" w:hAnsi="宋体"/>
          <w:sz w:val="24"/>
          <w:szCs w:val="24"/>
        </w:rPr>
        <w:t>防冻液加注机主要配置表</w:t>
      </w:r>
    </w:p>
    <w:tbl>
      <w:tblPr>
        <w:tblStyle w:val="76"/>
        <w:tblW w:w="9513" w:type="dxa"/>
        <w:jc w:val="center"/>
        <w:tblLayout w:type="fixed"/>
        <w:tblCellMar>
          <w:top w:w="15" w:type="dxa"/>
          <w:left w:w="15" w:type="dxa"/>
          <w:bottom w:w="15" w:type="dxa"/>
          <w:right w:w="15" w:type="dxa"/>
        </w:tblCellMar>
      </w:tblPr>
      <w:tblGrid>
        <w:gridCol w:w="1219"/>
        <w:gridCol w:w="2539"/>
        <w:gridCol w:w="1982"/>
        <w:gridCol w:w="630"/>
        <w:gridCol w:w="973"/>
        <w:gridCol w:w="2170"/>
      </w:tblGrid>
      <w:tr>
        <w:tblPrEx>
          <w:tblCellMar>
            <w:top w:w="15" w:type="dxa"/>
            <w:left w:w="15" w:type="dxa"/>
            <w:bottom w:w="15" w:type="dxa"/>
            <w:right w:w="15" w:type="dxa"/>
          </w:tblCellMar>
        </w:tblPrEx>
        <w:trPr>
          <w:trHeight w:val="285" w:hRule="atLeast"/>
          <w:jc w:val="center"/>
        </w:trPr>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系统名称</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主要配置</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b/>
                <w:bCs/>
                <w:color w:val="000000"/>
                <w:kern w:val="0"/>
                <w:sz w:val="18"/>
                <w:szCs w:val="18"/>
              </w:rPr>
              <w:t>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用量</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单位</w:t>
            </w:r>
          </w:p>
        </w:tc>
        <w:tc>
          <w:tcPr>
            <w:tcW w:w="2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备注</w:t>
            </w:r>
          </w:p>
        </w:tc>
      </w:tr>
      <w:tr>
        <w:tblPrEx>
          <w:tblCellMar>
            <w:top w:w="15" w:type="dxa"/>
            <w:left w:w="15" w:type="dxa"/>
            <w:bottom w:w="15" w:type="dxa"/>
            <w:right w:w="15" w:type="dxa"/>
          </w:tblCellMar>
        </w:tblPrEx>
        <w:trPr>
          <w:trHeight w:val="255" w:hRule="atLeast"/>
          <w:jc w:val="center"/>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操作控制系统</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PLC基本单元</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台</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模拟量扩展</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数字输出扩展模块</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西门子Siemens 12” TP1200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9寸彩色触摸屏</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西门子Siemens 12” TP1200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台</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480" w:hRule="atLeast"/>
          <w:jc w:val="center"/>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电气控制系统</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电气控制驱动系统</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西门子Siemens 12” TP1200</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电源/按钮/指示单元</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APT等国际知名品牌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扫描枪</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ZEBRA同等品牌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机柜工业空调</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雷博同等品牌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台</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389" w:hRule="atLeast"/>
          <w:jc w:val="center"/>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真空系统</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真空泵</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原装进口Leybold真空泵</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真空传感器</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E+H /IFM、</w:t>
            </w:r>
            <w:r>
              <w:rPr>
                <w:rFonts w:ascii="宋体" w:hAnsi="宋体" w:cs="宋体"/>
                <w:color w:val="000000"/>
                <w:kern w:val="0"/>
                <w:szCs w:val="21"/>
              </w:rPr>
              <w:t>FLOMEC</w:t>
            </w:r>
            <w:r>
              <w:rPr>
                <w:rFonts w:hint="eastAsia" w:ascii="宋体" w:hAnsi="宋体" w:cs="宋体"/>
                <w:color w:val="000000"/>
                <w:kern w:val="0"/>
                <w:szCs w:val="21"/>
              </w:rPr>
              <w:t>、</w:t>
            </w:r>
            <w:r>
              <w:rPr>
                <w:rFonts w:hint="eastAsia" w:asciiTheme="minorEastAsia" w:hAnsiTheme="minorEastAsia" w:cstheme="minorEastAsia"/>
                <w:color w:val="000000"/>
                <w:kern w:val="0"/>
                <w:sz w:val="18"/>
                <w:szCs w:val="18"/>
              </w:rPr>
              <w:t>原装进口ABB/KRACHT</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ASCO 1/2、BIVCO同等品牌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6</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件</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r>
              <w:rPr>
                <w:rFonts w:hint="eastAsia" w:ascii="宋体" w:hAnsi="宋体" w:cs="宋体"/>
                <w:color w:val="000000"/>
                <w:szCs w:val="21"/>
              </w:rPr>
              <w:t>正压检测</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调压阀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压力传感器</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ascii="宋体" w:hAnsi="宋体" w:cs="宋体"/>
                <w:color w:val="000000"/>
                <w:kern w:val="0"/>
                <w:szCs w:val="21"/>
              </w:rPr>
              <w:t>WIKA</w:t>
            </w:r>
            <w:r>
              <w:rPr>
                <w:rFonts w:hint="eastAsia" w:ascii="宋体" w:hAnsi="宋体" w:cs="宋体"/>
                <w:color w:val="000000"/>
                <w:kern w:val="0"/>
                <w:szCs w:val="21"/>
              </w:rPr>
              <w:t>、</w:t>
            </w:r>
            <w:r>
              <w:rPr>
                <w:rFonts w:hint="eastAsia" w:asciiTheme="minorEastAsia" w:hAnsiTheme="minorEastAsia" w:cstheme="minorEastAsia"/>
                <w:color w:val="000000"/>
                <w:kern w:val="0"/>
                <w:sz w:val="18"/>
                <w:szCs w:val="18"/>
              </w:rPr>
              <w:t>GE DRUCK</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流体阀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Theme="minorEastAsia" w:hAnsiTheme="minorEastAsia" w:cstheme="minorEastAsia"/>
                <w:color w:val="000000"/>
                <w:kern w:val="0"/>
                <w:sz w:val="18"/>
                <w:szCs w:val="18"/>
              </w:rPr>
              <w:t>ASCO 1/2、BIVCO同等品牌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加注系统</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加注泵系统</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WILO、</w:t>
            </w:r>
            <w:r>
              <w:rPr>
                <w:rFonts w:hint="eastAsia" w:asciiTheme="minorEastAsia" w:hAnsiTheme="minorEastAsia" w:cstheme="minorEastAsia"/>
                <w:color w:val="000000"/>
                <w:kern w:val="0"/>
                <w:sz w:val="18"/>
                <w:szCs w:val="18"/>
              </w:rPr>
              <w:t>原装进口GRACO加注泵/KRACHT、Haskel、ARO</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流体调压阀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AD等</w:t>
            </w:r>
            <w:r>
              <w:rPr>
                <w:rFonts w:hint="eastAsia" w:asciiTheme="minorEastAsia" w:hAnsiTheme="minorEastAsia" w:cstheme="minorEastAsia"/>
                <w:color w:val="000000"/>
                <w:kern w:val="0"/>
                <w:sz w:val="18"/>
                <w:szCs w:val="18"/>
              </w:rPr>
              <w:t>国际知名品牌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压力传感器</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ascii="宋体" w:hAnsi="宋体" w:cs="宋体"/>
                <w:color w:val="000000"/>
                <w:kern w:val="0"/>
                <w:szCs w:val="21"/>
              </w:rPr>
              <w:t>WIKA</w:t>
            </w:r>
            <w:r>
              <w:rPr>
                <w:rFonts w:hint="eastAsia" w:ascii="宋体" w:hAnsi="宋体" w:cs="宋体"/>
                <w:color w:val="000000"/>
                <w:kern w:val="0"/>
                <w:szCs w:val="21"/>
              </w:rPr>
              <w:t>、</w:t>
            </w:r>
            <w:r>
              <w:rPr>
                <w:rFonts w:hint="eastAsia" w:asciiTheme="minorEastAsia" w:hAnsiTheme="minorEastAsia" w:cstheme="minorEastAsia"/>
                <w:color w:val="000000"/>
                <w:kern w:val="0"/>
                <w:sz w:val="18"/>
                <w:szCs w:val="18"/>
              </w:rPr>
              <w:t>GE DRUCK</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ASCO 1/2、BIVCO同等品牌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批</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过滤器组</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PARKER等</w:t>
            </w:r>
            <w:r>
              <w:rPr>
                <w:rFonts w:hint="eastAsia" w:ascii="宋体" w:hAnsi="宋体" w:cs="宋体"/>
                <w:color w:val="000000"/>
                <w:kern w:val="0"/>
                <w:szCs w:val="21"/>
              </w:rPr>
              <w:t>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流量计</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ascii="宋体" w:hAnsi="宋体" w:cs="宋体"/>
                <w:color w:val="000000"/>
                <w:kern w:val="0"/>
                <w:szCs w:val="21"/>
              </w:rPr>
              <w:t>FLOMEC</w:t>
            </w:r>
            <w:r>
              <w:rPr>
                <w:rFonts w:hint="eastAsia" w:ascii="宋体" w:hAnsi="宋体" w:cs="宋体"/>
                <w:color w:val="000000"/>
                <w:kern w:val="0"/>
                <w:szCs w:val="21"/>
              </w:rPr>
              <w:t>、</w:t>
            </w:r>
            <w:r>
              <w:rPr>
                <w:rFonts w:hint="eastAsia" w:asciiTheme="minorEastAsia" w:hAnsiTheme="minorEastAsia" w:cstheme="minorEastAsia"/>
                <w:color w:val="000000"/>
                <w:kern w:val="0"/>
                <w:sz w:val="18"/>
                <w:szCs w:val="18"/>
              </w:rPr>
              <w:t>原装进口ABB/KRACHT及E+H流量计/IFM</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接头/阀门组</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国产</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宋体" w:hAnsi="宋体" w:cs="宋体"/>
                <w:color w:val="000000"/>
                <w:kern w:val="0"/>
                <w:szCs w:val="21"/>
              </w:rPr>
              <w:t>液位传感器</w:t>
            </w:r>
          </w:p>
        </w:tc>
        <w:tc>
          <w:tcPr>
            <w:tcW w:w="1982"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宋体" w:hAnsi="宋体" w:cs="宋体"/>
                <w:color w:val="000000"/>
                <w:kern w:val="0"/>
                <w:szCs w:val="21"/>
              </w:rPr>
              <w:t>北京金德或</w:t>
            </w:r>
            <w:r>
              <w:rPr>
                <w:rFonts w:hint="eastAsia" w:asciiTheme="minorEastAsia" w:hAnsiTheme="minorEastAsia" w:cstheme="minorEastAsia"/>
                <w:color w:val="000000"/>
                <w:kern w:val="0"/>
                <w:sz w:val="18"/>
                <w:szCs w:val="18"/>
              </w:rPr>
              <w:t>原装进口传感器</w:t>
            </w:r>
          </w:p>
        </w:tc>
        <w:tc>
          <w:tcPr>
            <w:tcW w:w="630"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宋体" w:hAnsi="宋体" w:cs="宋体"/>
                <w:color w:val="000000"/>
                <w:kern w:val="0"/>
                <w:szCs w:val="21"/>
              </w:rPr>
              <w:t>组</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储液箱</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国产</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回吸</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真空发生器</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件</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回吸泵</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cstheme="minorEastAsia"/>
                <w:color w:val="000000"/>
                <w:kern w:val="0"/>
                <w:sz w:val="18"/>
                <w:szCs w:val="18"/>
              </w:rPr>
            </w:pPr>
            <w:r>
              <w:rPr>
                <w:rFonts w:hint="eastAsia" w:asciiTheme="minorEastAsia" w:hAnsiTheme="minorEastAsia" w:cstheme="minorEastAsia"/>
                <w:color w:val="000000"/>
                <w:kern w:val="0"/>
                <w:sz w:val="18"/>
                <w:szCs w:val="18"/>
              </w:rPr>
              <w:t>原装进口Leybold真空泵</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件</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pPr>
              <w:rPr>
                <w:rFonts w:hint="eastAsia" w:asciiTheme="minorEastAsia" w:hAnsiTheme="minorEastAsia" w:cstheme="minorEastAsia"/>
                <w:color w:val="000000"/>
                <w:kern w:val="0"/>
                <w:sz w:val="18"/>
                <w:szCs w:val="18"/>
              </w:rPr>
            </w:pPr>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回吸罐</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国际知名品牌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ascii="宋体" w:hAnsi="宋体" w:cs="宋体"/>
                <w:color w:val="000000"/>
                <w:kern w:val="0"/>
                <w:szCs w:val="21"/>
              </w:rPr>
              <w:t>BURKERT/</w:t>
            </w:r>
            <w:r>
              <w:rPr>
                <w:rFonts w:hint="eastAsia" w:ascii="宋体" w:hAnsi="宋体" w:cs="宋体"/>
                <w:color w:val="000000"/>
                <w:kern w:val="0"/>
                <w:szCs w:val="21"/>
              </w:rPr>
              <w:t>ASCO</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3</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批</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补液系统</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补液泵</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GRACO 、KRACHT、Haskel、ARO</w:t>
            </w:r>
            <w:r>
              <w:rPr>
                <w:rFonts w:hint="eastAsia" w:ascii="宋体" w:hAnsi="宋体" w:cs="宋体"/>
                <w:color w:val="000000"/>
                <w:kern w:val="0"/>
                <w:szCs w:val="21"/>
              </w:rPr>
              <w:t xml:space="preserve"> </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流量开关</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BANNA或 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集中供液管路</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国际知名品牌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线边补液管路模块</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国际知名品牌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ascii="宋体" w:hAnsi="宋体" w:cs="宋体"/>
                <w:color w:val="000000"/>
                <w:kern w:val="0"/>
                <w:szCs w:val="21"/>
              </w:rPr>
              <w:t>BURKERT/</w:t>
            </w:r>
            <w:r>
              <w:rPr>
                <w:rFonts w:hint="eastAsia" w:ascii="宋体" w:hAnsi="宋体" w:cs="宋体"/>
                <w:color w:val="000000"/>
                <w:kern w:val="0"/>
                <w:szCs w:val="21"/>
              </w:rPr>
              <w:t>ASCO</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批</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气路控制系统</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气控电磁阀组</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18</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电磁阀安装板</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三联体</w:t>
            </w:r>
          </w:p>
        </w:tc>
        <w:tc>
          <w:tcPr>
            <w:tcW w:w="1982"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电磁阀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组</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电磁阀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组</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气源调压阀</w:t>
            </w:r>
          </w:p>
        </w:tc>
        <w:tc>
          <w:tcPr>
            <w:tcW w:w="1982"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2</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组</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气压检测 开关</w:t>
            </w:r>
          </w:p>
        </w:tc>
        <w:tc>
          <w:tcPr>
            <w:tcW w:w="1982" w:type="dxa"/>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个</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加注随行单元</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加注枪</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国际知名品牌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枪架及接油盒</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国际知名品牌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流体软管组合</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组</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波纹护套</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FLEX</w:t>
            </w:r>
            <w:r>
              <w:rPr>
                <w:rFonts w:hint="eastAsia" w:asciiTheme="minorEastAsia" w:hAnsiTheme="minorEastAsia" w:cstheme="minorEastAsia"/>
                <w:color w:val="000000"/>
                <w:kern w:val="0"/>
                <w:sz w:val="18"/>
                <w:szCs w:val="18"/>
              </w:rPr>
              <w:t>或同等品牌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Ω导轨组件</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国际知名品牌</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55" w:hRule="atLeast"/>
          <w:jc w:val="center"/>
        </w:trPr>
        <w:tc>
          <w:tcPr>
            <w:tcW w:w="12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机柜</w:t>
            </w:r>
          </w:p>
        </w:tc>
        <w:tc>
          <w:tcPr>
            <w:tcW w:w="253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机械/电气</w:t>
            </w:r>
          </w:p>
        </w:tc>
        <w:tc>
          <w:tcPr>
            <w:tcW w:w="1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ascii="宋体" w:hAnsi="宋体" w:cs="宋体"/>
                <w:color w:val="000000"/>
                <w:kern w:val="0"/>
                <w:szCs w:val="21"/>
              </w:rPr>
              <w:t>仿威图</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217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bl>
    <w:p>
      <w:pPr>
        <w:spacing w:line="360" w:lineRule="auto"/>
        <w:ind w:firstLine="3120" w:firstLineChars="1300"/>
        <w:rPr>
          <w:rFonts w:hint="eastAsia" w:ascii="宋体" w:hAnsi="宋体"/>
          <w:sz w:val="24"/>
          <w:szCs w:val="24"/>
        </w:rPr>
      </w:pPr>
    </w:p>
    <w:p>
      <w:pPr>
        <w:spacing w:line="360" w:lineRule="auto"/>
        <w:ind w:firstLine="3120" w:firstLineChars="1300"/>
        <w:rPr>
          <w:rFonts w:hint="eastAsia" w:ascii="宋体" w:hAnsi="宋体"/>
          <w:sz w:val="24"/>
          <w:szCs w:val="24"/>
        </w:rPr>
      </w:pPr>
      <w:r>
        <w:rPr>
          <w:rFonts w:hint="eastAsia" w:ascii="宋体" w:hAnsi="宋体"/>
          <w:sz w:val="24"/>
          <w:szCs w:val="24"/>
          <w:lang w:eastAsia="zh-CN"/>
        </w:rPr>
        <w:t>冷媒</w:t>
      </w:r>
      <w:r>
        <w:rPr>
          <w:rFonts w:hint="eastAsia" w:ascii="宋体" w:hAnsi="宋体"/>
          <w:sz w:val="24"/>
          <w:szCs w:val="24"/>
        </w:rPr>
        <w:t>加注机主要配置表</w:t>
      </w:r>
    </w:p>
    <w:tbl>
      <w:tblPr>
        <w:tblStyle w:val="76"/>
        <w:tblW w:w="8719" w:type="dxa"/>
        <w:tblInd w:w="0" w:type="dxa"/>
        <w:tblLayout w:type="fixed"/>
        <w:tblCellMar>
          <w:top w:w="15" w:type="dxa"/>
          <w:left w:w="15" w:type="dxa"/>
          <w:bottom w:w="15" w:type="dxa"/>
          <w:right w:w="15" w:type="dxa"/>
        </w:tblCellMar>
      </w:tblPr>
      <w:tblGrid>
        <w:gridCol w:w="899"/>
        <w:gridCol w:w="2425"/>
        <w:gridCol w:w="2307"/>
        <w:gridCol w:w="607"/>
        <w:gridCol w:w="731"/>
        <w:gridCol w:w="1750"/>
      </w:tblGrid>
      <w:tr>
        <w:tblPrEx>
          <w:tblCellMar>
            <w:top w:w="15" w:type="dxa"/>
            <w:left w:w="15" w:type="dxa"/>
            <w:bottom w:w="15" w:type="dxa"/>
            <w:right w:w="15" w:type="dxa"/>
          </w:tblCellMar>
        </w:tblPrEx>
        <w:trPr>
          <w:trHeight w:val="286"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配置名称</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主要主要配置</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主要部件型号</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用量</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单位</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产地厂商</w:t>
            </w:r>
          </w:p>
        </w:tc>
      </w:tr>
      <w:tr>
        <w:tblPrEx>
          <w:tblCellMar>
            <w:top w:w="15" w:type="dxa"/>
            <w:left w:w="15" w:type="dxa"/>
            <w:bottom w:w="15" w:type="dxa"/>
            <w:right w:w="15" w:type="dxa"/>
          </w:tblCellMar>
        </w:tblPrEx>
        <w:trPr>
          <w:trHeight w:val="286" w:hRule="atLeast"/>
        </w:trPr>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电气与操作控制系统</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PLC基本单元</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西门子Siemens 12” TP1200</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台</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模拟量扩展</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西门子Siemens 12” TP1200</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数字输出扩展模块</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西门子Siemens 12” TP1200</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2</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9寸彩色触摸屏</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西门子Siemens 12” TP1200</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台</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电气控制系统</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电气控制驱动系统</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Theme="minorEastAsia" w:hAnsiTheme="minorEastAsia" w:cstheme="minorEastAsia"/>
                <w:color w:val="000000"/>
                <w:kern w:val="0"/>
                <w:sz w:val="18"/>
                <w:szCs w:val="18"/>
              </w:rPr>
              <w:t>西门子Siemens 12” TP120</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302"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按钮/指示单元</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APT等国际知名品牌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扫描枪</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ZEBRA及同等品牌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机柜工业空调</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雷博及同等品牌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台</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r>
              <w:rPr>
                <w:rFonts w:hint="eastAsia" w:ascii="宋体" w:hAnsi="宋体" w:cs="宋体"/>
                <w:color w:val="000000"/>
                <w:szCs w:val="21"/>
              </w:rPr>
              <w:t>正压检漏系统</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氮气减压阀</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国产</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left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压力传感器</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ascii="宋体" w:hAnsi="宋体" w:cs="宋体"/>
                <w:color w:val="000000"/>
                <w:kern w:val="0"/>
                <w:szCs w:val="21"/>
              </w:rPr>
              <w:t>WIKA</w:t>
            </w:r>
            <w:r>
              <w:rPr>
                <w:rFonts w:hint="eastAsia" w:ascii="宋体" w:hAnsi="宋体" w:cs="宋体"/>
                <w:color w:val="000000"/>
                <w:kern w:val="0"/>
                <w:szCs w:val="21"/>
              </w:rPr>
              <w:t>、</w:t>
            </w:r>
            <w:r>
              <w:rPr>
                <w:rFonts w:hint="eastAsia" w:asciiTheme="minorEastAsia" w:hAnsiTheme="minorEastAsia" w:cstheme="minorEastAsia"/>
                <w:color w:val="000000"/>
                <w:kern w:val="0"/>
                <w:sz w:val="18"/>
                <w:szCs w:val="18"/>
              </w:rPr>
              <w:t>GE DRUCK</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流体阀</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BURKERT/ASCO</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4</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真空加注补液系统</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真空泵系统</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LEYBOLD</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真空传感器</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ascii="宋体" w:hAnsi="宋体" w:cs="宋体"/>
                <w:color w:val="000000"/>
                <w:kern w:val="0"/>
                <w:szCs w:val="21"/>
              </w:rPr>
              <w:t>FLOMEC</w:t>
            </w:r>
            <w:r>
              <w:rPr>
                <w:rFonts w:hint="eastAsia" w:ascii="宋体" w:hAnsi="宋体" w:cs="宋体"/>
                <w:color w:val="000000"/>
                <w:kern w:val="0"/>
                <w:szCs w:val="21"/>
              </w:rPr>
              <w:t>、</w:t>
            </w:r>
            <w:r>
              <w:rPr>
                <w:rFonts w:hint="eastAsia" w:asciiTheme="minorEastAsia" w:hAnsiTheme="minorEastAsia" w:cstheme="minorEastAsia"/>
                <w:color w:val="000000"/>
                <w:kern w:val="0"/>
                <w:sz w:val="18"/>
                <w:szCs w:val="18"/>
              </w:rPr>
              <w:t>原装进口ABB/KRACHT及E+H /IFM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过滤器</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Donaldson</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质量流量计</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ascii="宋体" w:hAnsi="宋体" w:cs="宋体"/>
                <w:color w:val="000000"/>
                <w:kern w:val="0"/>
                <w:szCs w:val="21"/>
              </w:rPr>
              <w:t>FLOMEC</w:t>
            </w:r>
            <w:r>
              <w:rPr>
                <w:rFonts w:hint="eastAsia" w:ascii="宋体" w:hAnsi="宋体" w:cs="宋体"/>
                <w:color w:val="000000"/>
                <w:kern w:val="0"/>
                <w:szCs w:val="21"/>
              </w:rPr>
              <w:t>、</w:t>
            </w:r>
            <w:r>
              <w:rPr>
                <w:rFonts w:hint="eastAsia" w:asciiTheme="minorEastAsia" w:hAnsiTheme="minorEastAsia" w:cstheme="minorEastAsia"/>
                <w:color w:val="000000"/>
                <w:kern w:val="0"/>
                <w:sz w:val="18"/>
                <w:szCs w:val="18"/>
              </w:rPr>
              <w:t>原装进口ABB/KRACHT及E+H /IFM</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冷媒增压输送泵</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Theme="minorEastAsia" w:hAnsiTheme="minorEastAsia" w:cstheme="minorEastAsia"/>
                <w:color w:val="000000"/>
                <w:kern w:val="0"/>
                <w:sz w:val="18"/>
                <w:szCs w:val="18"/>
              </w:rPr>
              <w:t>GRACO 、KRACHT、Haskel、ARO</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压力传感器</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ascii="宋体" w:hAnsi="宋体" w:cs="宋体"/>
                <w:color w:val="000000"/>
                <w:kern w:val="0"/>
                <w:szCs w:val="21"/>
              </w:rPr>
              <w:t>WIKA</w:t>
            </w:r>
            <w:r>
              <w:rPr>
                <w:rFonts w:hint="eastAsia" w:ascii="宋体" w:hAnsi="宋体" w:cs="宋体"/>
                <w:color w:val="000000"/>
                <w:kern w:val="0"/>
                <w:szCs w:val="21"/>
              </w:rPr>
              <w:t>、</w:t>
            </w:r>
            <w:r>
              <w:rPr>
                <w:rFonts w:hint="eastAsia" w:asciiTheme="minorEastAsia" w:hAnsiTheme="minorEastAsia" w:cstheme="minorEastAsia"/>
                <w:color w:val="000000"/>
                <w:kern w:val="0"/>
                <w:sz w:val="18"/>
                <w:szCs w:val="18"/>
              </w:rPr>
              <w:t>GE DRUCK</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流体阀</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BURKERT/ASCO</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8</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组</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补液接口快插</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日东工器</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2</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安全阀</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CASTEL及同等品牌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止回阀</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PARKER及同等品牌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储能器</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奥莱尔</w:t>
            </w:r>
            <w:r>
              <w:rPr>
                <w:rFonts w:hint="eastAsia" w:asciiTheme="minorEastAsia" w:hAnsiTheme="minorEastAsia" w:cstheme="minorEastAsia"/>
                <w:color w:val="000000"/>
                <w:kern w:val="0"/>
                <w:sz w:val="18"/>
                <w:szCs w:val="18"/>
              </w:rPr>
              <w:t>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管路系统</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国产优质</w:t>
            </w:r>
            <w:r>
              <w:rPr>
                <w:rFonts w:hint="eastAsia" w:asciiTheme="minorEastAsia" w:hAnsiTheme="minorEastAsia" w:cstheme="minorEastAsia"/>
                <w:color w:val="000000"/>
                <w:kern w:val="0"/>
                <w:sz w:val="18"/>
                <w:szCs w:val="18"/>
              </w:rPr>
              <w:t>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接头/阀门组</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国产优质</w:t>
            </w:r>
            <w:r>
              <w:rPr>
                <w:rFonts w:hint="eastAsia" w:asciiTheme="minorEastAsia" w:hAnsiTheme="minorEastAsia" w:cstheme="minorEastAsia"/>
                <w:color w:val="000000"/>
                <w:kern w:val="0"/>
                <w:sz w:val="18"/>
                <w:szCs w:val="18"/>
              </w:rPr>
              <w:t>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气路系统</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气控电磁阀组</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10</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组</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三联体</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调压阀</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组</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气压检测开关</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个</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加注枪与随动系统</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冷媒加注枪快速接头</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STAUBLI</w:t>
            </w:r>
            <w:r>
              <w:rPr>
                <w:rFonts w:hint="eastAsia" w:asciiTheme="minorEastAsia" w:hAnsiTheme="minorEastAsia" w:cstheme="minorEastAsia"/>
                <w:color w:val="000000"/>
                <w:kern w:val="0"/>
                <w:sz w:val="18"/>
                <w:szCs w:val="18"/>
              </w:rPr>
              <w:t>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流体软管组合</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Theme="minorEastAsia" w:hAnsiTheme="minorEastAsia" w:cstheme="minorEastAsia"/>
                <w:color w:val="000000"/>
                <w:kern w:val="0"/>
                <w:sz w:val="18"/>
                <w:szCs w:val="18"/>
              </w:rPr>
              <w:t>SMC、FESTO或同等品牌</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组</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加注枪本体</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非标定制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枪架</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非标定制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cs="宋体"/>
                <w:color w:val="000000"/>
                <w:szCs w:val="21"/>
              </w:rPr>
            </w:pP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导轨组件</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非标定制</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套</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r>
        <w:tblPrEx>
          <w:tblCellMar>
            <w:top w:w="15" w:type="dxa"/>
            <w:left w:w="15" w:type="dxa"/>
            <w:bottom w:w="15" w:type="dxa"/>
            <w:right w:w="15" w:type="dxa"/>
          </w:tblCellMar>
        </w:tblPrEx>
        <w:trPr>
          <w:trHeight w:val="286" w:hRule="atLeast"/>
        </w:trPr>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机柜</w:t>
            </w:r>
          </w:p>
        </w:tc>
        <w:tc>
          <w:tcPr>
            <w:tcW w:w="2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机械/电气</w:t>
            </w:r>
          </w:p>
        </w:tc>
        <w:tc>
          <w:tcPr>
            <w:tcW w:w="23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ascii="宋体" w:hAnsi="宋体" w:cs="宋体"/>
                <w:color w:val="000000"/>
                <w:kern w:val="0"/>
                <w:szCs w:val="21"/>
              </w:rPr>
              <w:t>仿威图</w:t>
            </w:r>
          </w:p>
        </w:tc>
        <w:tc>
          <w:tcPr>
            <w:tcW w:w="6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1</w:t>
            </w: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Cs w:val="21"/>
              </w:rPr>
            </w:pPr>
            <w:r>
              <w:rPr>
                <w:rFonts w:hint="eastAsia" w:ascii="宋体" w:hAnsi="宋体" w:cs="宋体"/>
                <w:color w:val="000000"/>
                <w:kern w:val="0"/>
                <w:szCs w:val="21"/>
              </w:rPr>
              <w:t>台</w:t>
            </w:r>
          </w:p>
        </w:tc>
        <w:tc>
          <w:tcPr>
            <w:tcW w:w="1750" w:type="dxa"/>
            <w:tcBorders>
              <w:top w:val="single" w:color="000000" w:sz="4" w:space="0"/>
              <w:left w:val="single" w:color="000000" w:sz="4" w:space="0"/>
              <w:bottom w:val="single" w:color="000000" w:sz="4" w:space="0"/>
              <w:right w:val="single" w:color="000000" w:sz="4" w:space="0"/>
            </w:tcBorders>
            <w:shd w:val="clear" w:color="auto" w:fill="auto"/>
          </w:tcPr>
          <w:p>
            <w:r>
              <w:rPr>
                <w:rFonts w:hint="eastAsia" w:asciiTheme="minorEastAsia" w:hAnsiTheme="minorEastAsia" w:cstheme="minorEastAsia"/>
                <w:color w:val="000000"/>
                <w:kern w:val="0"/>
                <w:sz w:val="18"/>
                <w:szCs w:val="18"/>
              </w:rPr>
              <w:t>选用最新系列型产品</w:t>
            </w:r>
          </w:p>
        </w:tc>
      </w:tr>
    </w:tbl>
    <w:p>
      <w:pPr>
        <w:spacing w:line="360" w:lineRule="auto"/>
        <w:rPr>
          <w:rFonts w:hint="eastAsia" w:ascii="宋体" w:hAnsi="宋体"/>
          <w:sz w:val="24"/>
          <w:szCs w:val="24"/>
        </w:rPr>
      </w:pPr>
    </w:p>
    <w:p>
      <w:pPr>
        <w:spacing w:line="360" w:lineRule="auto"/>
        <w:rPr>
          <w:rFonts w:hint="eastAsia" w:ascii="宋体" w:hAnsi="宋体"/>
          <w:sz w:val="24"/>
          <w:szCs w:val="24"/>
        </w:rPr>
      </w:pPr>
      <w:r>
        <w:rPr>
          <w:rFonts w:hint="eastAsia" w:ascii="宋体" w:hAnsi="宋体"/>
          <w:sz w:val="24"/>
          <w:szCs w:val="24"/>
        </w:rPr>
        <w:t>14.1投标方在投标文件中应说明所用配置具体产品品牌、规格、型号、参数、数量、产地等需在标书中明确，（包含但不限于配置表内容）满足用户使用要求。</w:t>
      </w:r>
    </w:p>
    <w:p>
      <w:pPr>
        <w:spacing w:line="360" w:lineRule="auto"/>
        <w:rPr>
          <w:rFonts w:hint="eastAsia" w:ascii="宋体" w:hAnsi="宋体"/>
          <w:sz w:val="24"/>
          <w:szCs w:val="24"/>
        </w:rPr>
      </w:pPr>
      <w:r>
        <w:rPr>
          <w:rFonts w:hint="eastAsia" w:ascii="宋体" w:hAnsi="宋体"/>
          <w:sz w:val="24"/>
          <w:szCs w:val="24"/>
        </w:rPr>
        <w:t>14.2设备表面漆面颜色符合《Q-ZZ 30070 设备设施颜色标识》规定，外观无明显缺陷。</w:t>
      </w:r>
    </w:p>
    <w:p>
      <w:pPr>
        <w:spacing w:line="360" w:lineRule="auto"/>
        <w:rPr>
          <w:sz w:val="24"/>
          <w:szCs w:val="24"/>
        </w:rPr>
      </w:pPr>
      <w:r>
        <w:rPr>
          <w:rFonts w:hint="eastAsia" w:ascii="宋体" w:hAnsi="宋体"/>
          <w:sz w:val="24"/>
          <w:szCs w:val="24"/>
        </w:rPr>
        <w:t>14.3</w:t>
      </w:r>
      <w:r>
        <w:rPr>
          <w:rFonts w:hint="eastAsia"/>
          <w:sz w:val="24"/>
          <w:szCs w:val="24"/>
        </w:rPr>
        <w:t>合同签订后，招标方将组织工艺会签、图纸会签、制造过程监造等，一旦发现投标方质量、周期不满足要求时，招标方有权终止合同，所造成的一切损失，由投标方负责。</w:t>
      </w:r>
    </w:p>
    <w:p>
      <w:pPr>
        <w:spacing w:line="360" w:lineRule="auto"/>
        <w:rPr>
          <w:sz w:val="24"/>
          <w:szCs w:val="24"/>
        </w:rPr>
      </w:pPr>
      <w:r>
        <w:rPr>
          <w:rFonts w:hint="eastAsia" w:ascii="宋体" w:hAnsi="宋体"/>
          <w:sz w:val="24"/>
          <w:szCs w:val="24"/>
        </w:rPr>
        <w:t>14.4</w:t>
      </w:r>
      <w:r>
        <w:rPr>
          <w:rFonts w:hint="eastAsia"/>
          <w:sz w:val="24"/>
          <w:szCs w:val="24"/>
        </w:rPr>
        <w:t>带※内容为否决项。</w:t>
      </w:r>
    </w:p>
    <w:p>
      <w:pPr>
        <w:spacing w:line="360" w:lineRule="auto"/>
        <w:outlineLvl w:val="1"/>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15.加注机通用技术要求</w:t>
      </w:r>
    </w:p>
    <w:p>
      <w:pPr>
        <w:overflowPunct w:val="0"/>
        <w:autoSpaceDE w:val="0"/>
        <w:autoSpaceDN w:val="0"/>
        <w:adjustRightInd w:val="0"/>
        <w:spacing w:line="360" w:lineRule="auto"/>
        <w:textAlignment w:val="baseline"/>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15.1管路技术要求</w:t>
      </w:r>
    </w:p>
    <w:p>
      <w:pPr>
        <w:overflowPunct w:val="0"/>
        <w:autoSpaceDE w:val="0"/>
        <w:autoSpaceDN w:val="0"/>
        <w:adjustRightInd w:val="0"/>
        <w:spacing w:line="360" w:lineRule="auto"/>
        <w:textAlignment w:val="baseline"/>
        <w:rPr>
          <w:rFonts w:hint="eastAsia" w:ascii="宋体" w:hAnsi="宋体" w:cs="宋体"/>
          <w:kern w:val="0"/>
          <w:sz w:val="24"/>
          <w:szCs w:val="24"/>
        </w:rPr>
      </w:pPr>
      <w:r>
        <w:rPr>
          <w:rFonts w:hint="eastAsia" w:ascii="宋体" w:hAnsi="宋体" w:cs="宋体"/>
          <w:kern w:val="0"/>
          <w:sz w:val="24"/>
          <w:szCs w:val="24"/>
        </w:rPr>
        <w:t xml:space="preserve">（1）真空管路不允许与加注管路或回吸管路有共用部分，保证真空管路中不会出现液体。 </w:t>
      </w:r>
    </w:p>
    <w:p>
      <w:pPr>
        <w:spacing w:line="360" w:lineRule="auto"/>
        <w:rPr>
          <w:rFonts w:hint="eastAsia" w:ascii="宋体" w:hAnsi="宋体"/>
          <w:sz w:val="24"/>
          <w:szCs w:val="24"/>
        </w:rPr>
      </w:pPr>
      <w:r>
        <w:rPr>
          <w:rFonts w:hint="eastAsia" w:ascii="宋体" w:hAnsi="宋体" w:cs="宋体"/>
          <w:kern w:val="0"/>
          <w:sz w:val="24"/>
          <w:szCs w:val="24"/>
        </w:rPr>
        <w:t>（2）设备内所有加注硬管采用不锈钢材料，加注枪管路及其他无法采用不锈钢的管路，必须保证管路在抽真空及加注过程中不发生变形、泄露。</w:t>
      </w:r>
      <w:r>
        <w:rPr>
          <w:rFonts w:hint="eastAsia" w:ascii="宋体" w:hAnsi="宋体"/>
          <w:sz w:val="24"/>
          <w:szCs w:val="24"/>
        </w:rPr>
        <w:t>设备中所有的金属管路均采用不锈钢硬管卡套连接，专业真空密封接头，加注软管全部采用耐腐蚀材料，所用产品数量、规格、型号，需在标书中明确。</w:t>
      </w:r>
    </w:p>
    <w:p>
      <w:pPr>
        <w:autoSpaceDE w:val="0"/>
        <w:autoSpaceDN w:val="0"/>
        <w:adjustRightInd w:val="0"/>
        <w:spacing w:line="360" w:lineRule="auto"/>
        <w:jc w:val="left"/>
        <w:rPr>
          <w:rFonts w:hint="eastAsia" w:ascii="宋体" w:hAnsi="宋体" w:cs="宋体"/>
          <w:kern w:val="0"/>
          <w:sz w:val="24"/>
          <w:szCs w:val="24"/>
        </w:rPr>
      </w:pPr>
      <w:r>
        <w:rPr>
          <w:rFonts w:hint="eastAsia" w:ascii="宋体" w:hAnsi="宋体" w:cs="宋体"/>
          <w:kern w:val="0"/>
          <w:sz w:val="24"/>
          <w:szCs w:val="24"/>
        </w:rPr>
        <w:t xml:space="preserve">（3）真空管路设置真空密封检测接口，方便定期自行校准设备和检查设备本体有无泄漏。 </w:t>
      </w:r>
    </w:p>
    <w:p>
      <w:pPr>
        <w:spacing w:line="360" w:lineRule="auto"/>
        <w:rPr>
          <w:rFonts w:hint="eastAsia" w:ascii="宋体" w:hAnsi="宋体"/>
          <w:sz w:val="24"/>
          <w:szCs w:val="24"/>
        </w:rPr>
      </w:pPr>
      <w:r>
        <w:rPr>
          <w:rFonts w:hint="eastAsia" w:ascii="宋体" w:hAnsi="宋体" w:cs="宋体"/>
          <w:kern w:val="0"/>
          <w:sz w:val="24"/>
          <w:szCs w:val="24"/>
        </w:rPr>
        <w:t>（4）加注泵、流量计前分别配置过滤器，选型时过滤器不能影响系统工作压力以及流体速度，过滤器安装位置考虑人员可维修性，滤芯更换要方便，</w:t>
      </w:r>
      <w:r>
        <w:rPr>
          <w:rFonts w:hint="eastAsia" w:ascii="宋体" w:hAnsi="宋体"/>
          <w:sz w:val="24"/>
          <w:szCs w:val="24"/>
        </w:rPr>
        <w:t>所用产品数量、规格、型号，需在标书中明确。</w:t>
      </w:r>
    </w:p>
    <w:p>
      <w:pPr>
        <w:autoSpaceDE w:val="0"/>
        <w:autoSpaceDN w:val="0"/>
        <w:adjustRightInd w:val="0"/>
        <w:spacing w:line="360" w:lineRule="auto"/>
        <w:jc w:val="left"/>
        <w:rPr>
          <w:rFonts w:hint="eastAsia" w:ascii="宋体" w:hAnsi="宋体" w:cs="宋体"/>
          <w:kern w:val="0"/>
          <w:sz w:val="24"/>
          <w:szCs w:val="24"/>
        </w:rPr>
      </w:pPr>
      <w:r>
        <w:rPr>
          <w:rFonts w:hint="eastAsia" w:ascii="宋体" w:hAnsi="宋体" w:cs="宋体"/>
          <w:kern w:val="0"/>
          <w:sz w:val="24"/>
          <w:szCs w:val="24"/>
        </w:rPr>
        <w:t>（5）加注枪管路与车辆接触时不会对车辆油漆造成损伤、划伤，加注枪与壶罐或空调高低压端接口接触时，不允许对其造成损伤、划伤,加注枪与零件配合部位的密封垫圈不被零件损坏，加注枪与产品件接口连接加注次数，不少于3万次插拔。</w:t>
      </w:r>
    </w:p>
    <w:p>
      <w:pPr>
        <w:spacing w:line="360" w:lineRule="auto"/>
        <w:rPr>
          <w:rFonts w:hint="eastAsia" w:ascii="宋体" w:hAnsi="宋体"/>
          <w:sz w:val="24"/>
          <w:szCs w:val="24"/>
        </w:rPr>
      </w:pPr>
      <w:r>
        <w:rPr>
          <w:rFonts w:hint="eastAsia" w:ascii="宋体" w:hAnsi="宋体"/>
          <w:sz w:val="24"/>
          <w:szCs w:val="24"/>
        </w:rPr>
        <w:t>（6）加注机加注系统有自动回吸防滴漏功能，保证加注完成后，加注枪口不滴漏液体，此项作为验收否决项。</w:t>
      </w:r>
    </w:p>
    <w:p>
      <w:pPr>
        <w:spacing w:line="360" w:lineRule="auto"/>
        <w:rPr>
          <w:rFonts w:hint="eastAsia" w:ascii="宋体" w:hAnsi="宋体"/>
          <w:sz w:val="24"/>
          <w:szCs w:val="24"/>
        </w:rPr>
      </w:pPr>
      <w:r>
        <w:rPr>
          <w:rFonts w:hint="eastAsia" w:ascii="宋体" w:hAnsi="宋体"/>
          <w:sz w:val="24"/>
          <w:szCs w:val="24"/>
        </w:rPr>
        <w:t>（7）加注机控制柜要有降温措施，在生产运行过程中不能出现高温现象，不能影响加注质量及生产节拍。</w:t>
      </w:r>
    </w:p>
    <w:p>
      <w:pPr>
        <w:spacing w:line="360" w:lineRule="auto"/>
        <w:rPr>
          <w:rFonts w:hint="eastAsia" w:ascii="宋体" w:hAnsi="宋体"/>
          <w:sz w:val="24"/>
          <w:szCs w:val="24"/>
        </w:rPr>
      </w:pPr>
      <w:r>
        <w:rPr>
          <w:rFonts w:hint="eastAsia" w:ascii="宋体" w:hAnsi="宋体"/>
          <w:sz w:val="24"/>
          <w:szCs w:val="24"/>
        </w:rPr>
        <w:t>（8）气动元器件与压缩空气相通的管路，压缩空气接入端必须装有空气干燥器，保证进入设备管路中的压缩空气干燥。</w:t>
      </w:r>
    </w:p>
    <w:p>
      <w:pPr>
        <w:autoSpaceDE w:val="0"/>
        <w:autoSpaceDN w:val="0"/>
        <w:adjustRightInd w:val="0"/>
        <w:spacing w:line="360" w:lineRule="auto"/>
        <w:jc w:val="left"/>
        <w:rPr>
          <w:rFonts w:hint="eastAsia" w:ascii="宋体" w:hAnsi="宋体" w:cs="宋体"/>
          <w:kern w:val="0"/>
          <w:sz w:val="24"/>
          <w:szCs w:val="24"/>
        </w:rPr>
      </w:pPr>
      <w:r>
        <w:rPr>
          <w:rFonts w:hint="eastAsia" w:ascii="宋体" w:hAnsi="宋体"/>
          <w:kern w:val="0"/>
          <w:sz w:val="24"/>
          <w:szCs w:val="24"/>
        </w:rPr>
        <w:t>（9）</w:t>
      </w:r>
      <w:r>
        <w:rPr>
          <w:rFonts w:hint="eastAsia" w:ascii="宋体" w:hAnsi="宋体" w:cs="宋体"/>
          <w:kern w:val="0"/>
          <w:sz w:val="24"/>
          <w:szCs w:val="24"/>
        </w:rPr>
        <w:t>设备外观颜色按招标方要求，涂漆颜色应具有耐久性，所有部件上均有标识，标识内容包括名称、符号及图纸编号，管路上有流向指示牌及管路功能描述，所有标识均打印并保证能长久保存于设备上。</w:t>
      </w:r>
    </w:p>
    <w:p>
      <w:pPr>
        <w:autoSpaceDE w:val="0"/>
        <w:autoSpaceDN w:val="0"/>
        <w:adjustRightInd w:val="0"/>
        <w:spacing w:line="360" w:lineRule="auto"/>
        <w:jc w:val="left"/>
        <w:rPr>
          <w:rFonts w:hint="eastAsia" w:ascii="宋体" w:hAnsi="宋体" w:cs="宋体"/>
          <w:kern w:val="0"/>
          <w:sz w:val="24"/>
          <w:szCs w:val="24"/>
        </w:rPr>
      </w:pPr>
      <w:r>
        <w:rPr>
          <w:rFonts w:hint="eastAsia" w:ascii="宋体" w:hAnsi="宋体" w:cs="宋体"/>
          <w:kern w:val="0"/>
          <w:sz w:val="24"/>
          <w:szCs w:val="24"/>
        </w:rPr>
        <w:t>（10）所有加注枪均按照车辆两侧都需加注液体设计，要求满足所有车型两侧加注要求和生产节拍。</w:t>
      </w:r>
    </w:p>
    <w:p>
      <w:pPr>
        <w:autoSpaceDE w:val="0"/>
        <w:autoSpaceDN w:val="0"/>
        <w:adjustRightInd w:val="0"/>
        <w:spacing w:line="360" w:lineRule="auto"/>
        <w:jc w:val="left"/>
        <w:rPr>
          <w:rFonts w:hint="eastAsia" w:ascii="宋体" w:hAnsi="宋体" w:cs="宋体"/>
          <w:kern w:val="0"/>
          <w:sz w:val="24"/>
          <w:szCs w:val="24"/>
        </w:rPr>
      </w:pPr>
      <w:r>
        <w:rPr>
          <w:rFonts w:hint="eastAsia" w:ascii="宋体" w:hAnsi="宋体" w:cs="宋体"/>
          <w:kern w:val="0"/>
          <w:sz w:val="24"/>
          <w:szCs w:val="24"/>
        </w:rPr>
        <w:t>（11）所有真空加注机必须带有正压检测功能。投标方在投标文件中详细描述不同油液如何确保实现正压检查功能和生产节拍。</w:t>
      </w:r>
    </w:p>
    <w:p>
      <w:pPr>
        <w:autoSpaceDE w:val="0"/>
        <w:autoSpaceDN w:val="0"/>
        <w:adjustRightInd w:val="0"/>
        <w:spacing w:line="360" w:lineRule="auto"/>
        <w:jc w:val="left"/>
        <w:rPr>
          <w:rFonts w:hint="eastAsia" w:ascii="宋体" w:hAnsi="宋体"/>
          <w:sz w:val="24"/>
          <w:szCs w:val="24"/>
        </w:rPr>
      </w:pPr>
      <w:r>
        <w:rPr>
          <w:rFonts w:hint="eastAsia" w:ascii="宋体" w:hAnsi="宋体" w:cs="宋体"/>
          <w:kern w:val="0"/>
          <w:sz w:val="24"/>
          <w:szCs w:val="24"/>
        </w:rPr>
        <w:t>（12）所有加注机内储液罐采用不锈钢材质，</w:t>
      </w:r>
      <w:r>
        <w:rPr>
          <w:rFonts w:hint="eastAsia" w:ascii="宋体" w:hAnsi="宋体"/>
          <w:sz w:val="24"/>
          <w:szCs w:val="24"/>
        </w:rPr>
        <w:t>所用产品数量、规格、材质、型号，需在标书中明确。</w:t>
      </w:r>
    </w:p>
    <w:p>
      <w:pPr>
        <w:autoSpaceDE w:val="0"/>
        <w:autoSpaceDN w:val="0"/>
        <w:adjustRightInd w:val="0"/>
        <w:spacing w:line="360" w:lineRule="auto"/>
        <w:jc w:val="left"/>
        <w:rPr>
          <w:rFonts w:hint="eastAsia" w:ascii="宋体" w:hAnsi="宋体"/>
          <w:sz w:val="24"/>
          <w:szCs w:val="24"/>
        </w:rPr>
      </w:pPr>
      <w:r>
        <w:rPr>
          <w:rFonts w:hint="eastAsia" w:ascii="宋体" w:hAnsi="宋体"/>
          <w:sz w:val="24"/>
          <w:szCs w:val="24"/>
        </w:rPr>
        <w:t>（13）所有加注机</w:t>
      </w:r>
      <w:r>
        <w:rPr>
          <w:rFonts w:hint="eastAsia" w:asciiTheme="minorEastAsia" w:hAnsiTheme="minorEastAsia"/>
          <w:bCs/>
          <w:sz w:val="24"/>
        </w:rPr>
        <w:t>设备密封件选用适对应的加注介质，避免腐蚀变形或损坏。设备管路及元件采用防腐设计，耐腐蚀，管路连接采用扩口连接方式，</w:t>
      </w:r>
      <w:r>
        <w:rPr>
          <w:rFonts w:hint="eastAsia" w:ascii="宋体" w:hAnsi="宋体" w:cs="宋体"/>
          <w:kern w:val="0"/>
          <w:sz w:val="24"/>
          <w:szCs w:val="24"/>
        </w:rPr>
        <w:t>投标方在投标文件中详细描述不同油液</w:t>
      </w:r>
      <w:r>
        <w:rPr>
          <w:rFonts w:hint="eastAsia" w:ascii="宋体" w:hAnsi="宋体"/>
          <w:sz w:val="24"/>
          <w:szCs w:val="24"/>
        </w:rPr>
        <w:t>所用密封垫数量、规格、材质、品牌、型号等。</w:t>
      </w:r>
    </w:p>
    <w:p>
      <w:pPr>
        <w:overflowPunct w:val="0"/>
        <w:autoSpaceDE w:val="0"/>
        <w:autoSpaceDN w:val="0"/>
        <w:adjustRightInd w:val="0"/>
        <w:spacing w:line="360" w:lineRule="auto"/>
        <w:textAlignment w:val="baseline"/>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15.2加注枪技术要求</w:t>
      </w:r>
    </w:p>
    <w:p>
      <w:pPr>
        <w:overflowPunct w:val="0"/>
        <w:autoSpaceDE w:val="0"/>
        <w:autoSpaceDN w:val="0"/>
        <w:adjustRightInd w:val="0"/>
        <w:spacing w:line="360" w:lineRule="auto"/>
        <w:textAlignment w:val="baseline"/>
        <w:rPr>
          <w:rFonts w:hint="eastAsia" w:ascii="宋体" w:hAnsi="宋体"/>
          <w:sz w:val="24"/>
          <w:szCs w:val="24"/>
        </w:rPr>
      </w:pPr>
      <w:r>
        <w:rPr>
          <w:rFonts w:hint="eastAsia" w:ascii="宋体" w:hAnsi="宋体"/>
          <w:sz w:val="24"/>
          <w:szCs w:val="24"/>
        </w:rPr>
        <w:t>（1）加注枪整套阀体及杯口密封圈部分采用国际知名品牌，要求加注枪和加注产品配合密封良好，插接方便可靠，所用产品数量、规格、型号，需在标书中明确。</w:t>
      </w:r>
    </w:p>
    <w:p>
      <w:pPr>
        <w:spacing w:line="360" w:lineRule="auto"/>
        <w:rPr>
          <w:rFonts w:hint="eastAsia" w:ascii="宋体" w:hAnsi="宋体"/>
          <w:sz w:val="24"/>
          <w:szCs w:val="24"/>
        </w:rPr>
      </w:pPr>
      <w:r>
        <w:rPr>
          <w:rFonts w:hint="eastAsia" w:ascii="宋体" w:hAnsi="宋体"/>
          <w:sz w:val="24"/>
          <w:szCs w:val="24"/>
        </w:rPr>
        <w:t>（2）所有线边设备加注管、加注枪采用平衡器悬挂，避免拖地。</w:t>
      </w:r>
    </w:p>
    <w:p>
      <w:pPr>
        <w:pStyle w:val="154"/>
        <w:spacing w:line="360" w:lineRule="auto"/>
        <w:rPr>
          <w:rFonts w:hint="eastAsia" w:asciiTheme="majorEastAsia" w:hAnsiTheme="majorEastAsia" w:eastAsiaTheme="majorEastAsia"/>
          <w:color w:val="auto"/>
        </w:rPr>
      </w:pPr>
      <w:r>
        <w:rPr>
          <w:rFonts w:hint="eastAsia" w:ascii="宋体" w:hAnsi="宋体"/>
        </w:rPr>
        <w:t>（3）</w:t>
      </w:r>
      <w:r>
        <w:rPr>
          <w:rFonts w:hint="eastAsia" w:asciiTheme="majorEastAsia" w:hAnsiTheme="majorEastAsia" w:eastAsiaTheme="majorEastAsia"/>
          <w:color w:val="auto"/>
        </w:rPr>
        <w:t xml:space="preserve">加注枪采用硬铝合金材料，具有高表面硬度。 </w:t>
      </w:r>
    </w:p>
    <w:p>
      <w:pPr>
        <w:pStyle w:val="154"/>
        <w:spacing w:line="360" w:lineRule="auto"/>
        <w:rPr>
          <w:rFonts w:hint="eastAsia" w:asciiTheme="majorEastAsia" w:hAnsiTheme="majorEastAsia" w:eastAsiaTheme="majorEastAsia"/>
          <w:color w:val="auto"/>
        </w:rPr>
      </w:pPr>
      <w:r>
        <w:rPr>
          <w:rFonts w:hint="eastAsia" w:asciiTheme="majorEastAsia" w:hAnsiTheme="majorEastAsia" w:eastAsiaTheme="majorEastAsia"/>
          <w:color w:val="auto"/>
        </w:rPr>
        <w:t xml:space="preserve">（4）加注枪包括：自动夹紧模块、管路模块（包括真空、加注、回吸等独立管路）及连接模块；管路模块采用气动阀控制。 </w:t>
      </w:r>
    </w:p>
    <w:p>
      <w:pPr>
        <w:pStyle w:val="154"/>
        <w:spacing w:line="360" w:lineRule="auto"/>
        <w:rPr>
          <w:rFonts w:hint="eastAsia" w:asciiTheme="majorEastAsia" w:hAnsiTheme="majorEastAsia" w:eastAsiaTheme="majorEastAsia"/>
          <w:color w:val="auto"/>
        </w:rPr>
      </w:pPr>
      <w:r>
        <w:rPr>
          <w:rFonts w:hint="eastAsia" w:asciiTheme="majorEastAsia" w:hAnsiTheme="majorEastAsia" w:eastAsiaTheme="majorEastAsia"/>
          <w:color w:val="auto"/>
        </w:rPr>
        <w:t>（5）加注枪采用人工装夹，自动夹紧、密封的方式，夹紧、密封采用气动夹紧的方式。</w:t>
      </w:r>
    </w:p>
    <w:p>
      <w:pPr>
        <w:pStyle w:val="154"/>
        <w:spacing w:line="360" w:lineRule="auto"/>
        <w:rPr>
          <w:rFonts w:hint="eastAsia" w:asciiTheme="majorEastAsia" w:hAnsiTheme="majorEastAsia" w:eastAsiaTheme="majorEastAsia"/>
          <w:color w:val="auto"/>
        </w:rPr>
      </w:pPr>
      <w:r>
        <w:rPr>
          <w:rFonts w:hint="eastAsia" w:asciiTheme="majorEastAsia" w:hAnsiTheme="majorEastAsia" w:eastAsiaTheme="majorEastAsia"/>
          <w:color w:val="auto"/>
        </w:rPr>
        <w:t>（6）加注枪设计轻便，便于操作，便于维修。</w:t>
      </w:r>
    </w:p>
    <w:p>
      <w:pPr>
        <w:pStyle w:val="154"/>
        <w:spacing w:line="360" w:lineRule="auto"/>
        <w:rPr>
          <w:rFonts w:hint="eastAsia" w:asciiTheme="majorEastAsia" w:hAnsiTheme="majorEastAsia" w:eastAsiaTheme="majorEastAsia"/>
          <w:color w:val="auto"/>
        </w:rPr>
      </w:pPr>
      <w:r>
        <w:rPr>
          <w:rFonts w:hint="eastAsia" w:asciiTheme="majorEastAsia" w:hAnsiTheme="majorEastAsia" w:eastAsiaTheme="majorEastAsia"/>
          <w:color w:val="auto"/>
        </w:rPr>
        <w:t xml:space="preserve">（7）加注枪上配有加注开始与结束的按钮及相应指示灯，按动开始按钮可以自动实现抽真空、加注以及锁紧加注头。按动结束按钮用于结束或停止加注操作运行，释放加注头。 </w:t>
      </w:r>
    </w:p>
    <w:p>
      <w:pPr>
        <w:pStyle w:val="154"/>
        <w:spacing w:line="360" w:lineRule="auto"/>
        <w:rPr>
          <w:rFonts w:hint="eastAsia" w:asciiTheme="majorEastAsia" w:hAnsiTheme="majorEastAsia" w:eastAsiaTheme="majorEastAsia"/>
          <w:color w:val="auto"/>
        </w:rPr>
      </w:pPr>
      <w:r>
        <w:rPr>
          <w:rFonts w:hint="eastAsia" w:asciiTheme="majorEastAsia" w:hAnsiTheme="majorEastAsia" w:eastAsiaTheme="majorEastAsia"/>
          <w:color w:val="auto"/>
        </w:rPr>
        <w:t xml:space="preserve">（8）加注开始按钮采用绿色按钮，加注结束按钮采用红色按钮，加注循环正在进行中采用绿色指示灯，加注异常采用红色指示灯。 </w:t>
      </w:r>
    </w:p>
    <w:p>
      <w:pPr>
        <w:pStyle w:val="154"/>
        <w:spacing w:line="360" w:lineRule="auto"/>
        <w:rPr>
          <w:rFonts w:hint="eastAsia"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auto"/>
        </w:rPr>
        <w:t>（9）加</w:t>
      </w:r>
      <w:r>
        <w:rPr>
          <w:rFonts w:hint="eastAsia" w:asciiTheme="majorEastAsia" w:hAnsiTheme="majorEastAsia" w:eastAsiaTheme="majorEastAsia"/>
          <w:color w:val="000000" w:themeColor="text1"/>
          <w14:textFill>
            <w14:solidFill>
              <w14:schemeClr w14:val="tx1"/>
            </w14:solidFill>
          </w14:textFill>
        </w:rPr>
        <w:t xml:space="preserve">注枪设计按兼容现有产品加注壶口尺寸/数模来考虑，同时要考虑后期改造方便，通过改造能满足不同加注液面的车辆加注要求。  </w:t>
      </w:r>
    </w:p>
    <w:p>
      <w:pPr>
        <w:pStyle w:val="154"/>
        <w:spacing w:line="360" w:lineRule="auto"/>
        <w:rPr>
          <w:rFonts w:hint="eastAsia"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 xml:space="preserve">（10）加注枪头的密封件易于更换，且不易被所加注的油液腐蚀。 </w:t>
      </w:r>
    </w:p>
    <w:p>
      <w:pPr>
        <w:pStyle w:val="154"/>
        <w:spacing w:line="360" w:lineRule="auto"/>
        <w:rPr>
          <w:rFonts w:hint="eastAsia"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（11）</w:t>
      </w:r>
      <w:r>
        <w:rPr>
          <w:rFonts w:asciiTheme="majorEastAsia" w:hAnsiTheme="majorEastAsia" w:eastAsiaTheme="majorEastAsia"/>
          <w:color w:val="000000" w:themeColor="text1"/>
          <w14:textFill>
            <w14:solidFill>
              <w14:schemeClr w14:val="tx1"/>
            </w14:solidFill>
          </w14:textFill>
        </w:rPr>
        <w:t>具备防滴漏功能</w:t>
      </w:r>
      <w:r>
        <w:rPr>
          <w:rFonts w:hint="eastAsia" w:asciiTheme="majorEastAsia" w:hAnsiTheme="majorEastAsia" w:eastAsiaTheme="majorEastAsia"/>
          <w:color w:val="000000" w:themeColor="text1"/>
          <w14:textFill>
            <w14:solidFill>
              <w14:schemeClr w14:val="tx1"/>
            </w14:solidFill>
          </w14:textFill>
        </w:rPr>
        <w:t>，通过真空吸入，在加注枪接上及取下的过程中，保持无液滴掉下。加注枪配有含保护管的软管组件。</w:t>
      </w:r>
    </w:p>
    <w:p>
      <w:pPr>
        <w:pStyle w:val="154"/>
        <w:spacing w:line="360" w:lineRule="auto"/>
        <w:rPr>
          <w:rFonts w:hint="eastAsia" w:asciiTheme="majorEastAsia" w:hAnsiTheme="majorEastAsia" w:eastAsiaTheme="majorEastAsia"/>
          <w:color w:val="000000" w:themeColor="text1"/>
          <w14:textFill>
            <w14:solidFill>
              <w14:schemeClr w14:val="tx1"/>
            </w14:solidFill>
          </w14:textFill>
        </w:rPr>
      </w:pPr>
      <w:r>
        <w:rPr>
          <w:rFonts w:hint="eastAsia" w:asciiTheme="majorEastAsia" w:hAnsiTheme="majorEastAsia" w:eastAsiaTheme="majorEastAsia"/>
          <w:color w:val="000000" w:themeColor="text1"/>
          <w14:textFill>
            <w14:solidFill>
              <w14:schemeClr w14:val="tx1"/>
            </w14:solidFill>
          </w14:textFill>
        </w:rPr>
        <w:t>（12）所有设备加注机枪使用3阀芯一组先导阀控制结构，投标方在投标文件中详细描述不同油液加注枪3阀芯结构、用途、产品数量、规格、型号等。</w:t>
      </w:r>
    </w:p>
    <w:p>
      <w:pPr>
        <w:overflowPunct w:val="0"/>
        <w:autoSpaceDE w:val="0"/>
        <w:autoSpaceDN w:val="0"/>
        <w:adjustRightInd w:val="0"/>
        <w:spacing w:line="360" w:lineRule="auto"/>
        <w:textAlignment w:val="baseline"/>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15.3电气通用技术要求</w:t>
      </w:r>
    </w:p>
    <w:p>
      <w:pPr>
        <w:tabs>
          <w:tab w:val="left" w:pos="1080"/>
        </w:tabs>
        <w:spacing w:line="360" w:lineRule="auto"/>
        <w:rPr>
          <w:rFonts w:hint="eastAsia" w:ascii="宋体" w:hAnsi="宋体"/>
          <w:sz w:val="24"/>
          <w:szCs w:val="24"/>
        </w:rPr>
      </w:pPr>
      <w:r>
        <w:rPr>
          <w:rFonts w:hint="eastAsia" w:ascii="宋体" w:hAnsi="宋体"/>
          <w:sz w:val="24"/>
          <w:szCs w:val="24"/>
        </w:rPr>
        <w:t>（1）柜内走线采用不同的线槽。所用产品数量、规格、型号，需在标书中明确。</w:t>
      </w:r>
    </w:p>
    <w:p>
      <w:pPr>
        <w:tabs>
          <w:tab w:val="left" w:pos="1080"/>
        </w:tabs>
        <w:spacing w:line="360" w:lineRule="auto"/>
        <w:rPr>
          <w:rFonts w:hint="eastAsia" w:ascii="宋体" w:hAnsi="宋体"/>
          <w:sz w:val="24"/>
          <w:szCs w:val="24"/>
        </w:rPr>
      </w:pPr>
      <w:r>
        <w:rPr>
          <w:rFonts w:hint="eastAsia" w:ascii="宋体" w:hAnsi="宋体"/>
          <w:sz w:val="24"/>
          <w:szCs w:val="24"/>
        </w:rPr>
        <w:t>（2）柜内备有电源插座：AC220V，5A（2孔），AC220V，5A（3孔），所用产品数量、规格、型号，需在标书中明确。</w:t>
      </w:r>
    </w:p>
    <w:p>
      <w:pPr>
        <w:tabs>
          <w:tab w:val="left" w:pos="1080"/>
        </w:tabs>
        <w:spacing w:line="360" w:lineRule="auto"/>
        <w:rPr>
          <w:rFonts w:hint="eastAsia" w:ascii="宋体" w:hAnsi="宋体"/>
          <w:sz w:val="24"/>
          <w:szCs w:val="24"/>
        </w:rPr>
      </w:pPr>
      <w:r>
        <w:rPr>
          <w:rFonts w:hint="eastAsia" w:ascii="宋体" w:hAnsi="宋体"/>
          <w:sz w:val="24"/>
          <w:szCs w:val="24"/>
        </w:rPr>
        <w:t>（3）元器件及配线布置整齐，所有元件标识齐全清楚，固定良好，导线两端压冷压端子，并用记号管按图纸线号标示。</w:t>
      </w:r>
    </w:p>
    <w:p>
      <w:pPr>
        <w:tabs>
          <w:tab w:val="left" w:pos="1080"/>
        </w:tabs>
        <w:spacing w:line="360" w:lineRule="auto"/>
        <w:rPr>
          <w:rFonts w:hint="eastAsia" w:ascii="宋体" w:hAnsi="宋体"/>
          <w:sz w:val="24"/>
          <w:szCs w:val="24"/>
        </w:rPr>
      </w:pPr>
      <w:r>
        <w:rPr>
          <w:rFonts w:hint="eastAsia" w:ascii="宋体" w:hAnsi="宋体"/>
          <w:sz w:val="24"/>
          <w:szCs w:val="24"/>
        </w:rPr>
        <w:t>（4）除在箱体进出口可以用航空插头连接外，不可断线再搭接。插头采用直角转换卧式底座，并带卡扣。连接牢固，不易松动。</w:t>
      </w:r>
    </w:p>
    <w:p>
      <w:pPr>
        <w:tabs>
          <w:tab w:val="left" w:pos="1080"/>
        </w:tabs>
        <w:spacing w:line="360" w:lineRule="auto"/>
        <w:rPr>
          <w:rFonts w:hint="eastAsia" w:ascii="宋体" w:hAnsi="宋体"/>
          <w:sz w:val="24"/>
          <w:szCs w:val="24"/>
        </w:rPr>
      </w:pPr>
      <w:r>
        <w:rPr>
          <w:rFonts w:hint="eastAsia" w:ascii="宋体" w:hAnsi="宋体"/>
          <w:sz w:val="24"/>
          <w:szCs w:val="24"/>
        </w:rPr>
        <w:t>（5）设备PLC采用西门子S7-1500系列，设备采用TP1200触摸屏,其他电器元件均采用西门子最新产品，具体型号、规格、数量、需在标书中明确，所选PLC输出/输入点数应考虑20%的余量，控制电缆留有15％的备用线。电气控制程序应设计合理、互锁严密、安全可靠、逻辑清晰，确保没有安全事故发生。</w:t>
      </w:r>
    </w:p>
    <w:p>
      <w:pPr>
        <w:spacing w:line="360" w:lineRule="auto"/>
        <w:rPr>
          <w:rFonts w:hint="eastAsia" w:ascii="宋体" w:hAnsi="宋体"/>
          <w:sz w:val="24"/>
          <w:szCs w:val="24"/>
        </w:rPr>
      </w:pPr>
      <w:r>
        <w:rPr>
          <w:rFonts w:hint="eastAsia" w:ascii="宋体" w:hAnsi="宋体"/>
          <w:sz w:val="24"/>
          <w:szCs w:val="24"/>
        </w:rPr>
        <w:t>（6）加注设备选用原装进口Leybold真空泵、原装进口GRACO加注泵、原装进口传感器、原装进口ABB/KRACHT及E+H流量计品牌产品。加注枪要求使用国内知名品牌，投标方需在投标书中明确所用品牌、规格型号、精度等参数。</w:t>
      </w:r>
    </w:p>
    <w:p>
      <w:pPr>
        <w:spacing w:line="360" w:lineRule="auto"/>
        <w:rPr>
          <w:rFonts w:hint="eastAsia" w:ascii="宋体" w:hAnsi="宋体"/>
          <w:sz w:val="24"/>
          <w:szCs w:val="24"/>
        </w:rPr>
      </w:pPr>
      <w:r>
        <w:rPr>
          <w:rFonts w:hint="eastAsia" w:ascii="宋体" w:hAnsi="宋体"/>
          <w:sz w:val="24"/>
          <w:szCs w:val="24"/>
        </w:rPr>
        <w:t>（7）设备可以通过按钮选择所需加注的车型，每个车型也可以通过人机界面设置好加注参数，至少有10个车型选择按钮。车的所有加注参数均可通过人机界面可调。所有设备加注量档位满足现有工艺参数要求，档位全部预留20%余量。</w:t>
      </w:r>
    </w:p>
    <w:p>
      <w:pPr>
        <w:overflowPunct w:val="0"/>
        <w:autoSpaceDE w:val="0"/>
        <w:autoSpaceDN w:val="0"/>
        <w:adjustRightInd w:val="0"/>
        <w:spacing w:line="360" w:lineRule="auto"/>
        <w:textAlignment w:val="baseline"/>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15.4加注机控制系统通用技术要求</w:t>
      </w:r>
    </w:p>
    <w:p>
      <w:pPr>
        <w:tabs>
          <w:tab w:val="left" w:pos="1080"/>
        </w:tabs>
        <w:spacing w:line="360" w:lineRule="auto"/>
        <w:rPr>
          <w:rFonts w:hint="eastAsia" w:ascii="宋体" w:hAnsi="宋体"/>
          <w:sz w:val="24"/>
          <w:szCs w:val="24"/>
        </w:rPr>
      </w:pPr>
      <w:r>
        <w:rPr>
          <w:rFonts w:hint="eastAsia" w:ascii="宋体" w:hAnsi="宋体"/>
          <w:sz w:val="24"/>
          <w:szCs w:val="24"/>
        </w:rPr>
        <w:t>（1）系统可实现以与上位机进行通信/招标方信息化系统连接功能，实现加注信息的自动识别、存储、防错、监控等功能。</w:t>
      </w:r>
    </w:p>
    <w:p>
      <w:pPr>
        <w:tabs>
          <w:tab w:val="left" w:pos="1080"/>
        </w:tabs>
        <w:spacing w:line="360" w:lineRule="auto"/>
        <w:rPr>
          <w:rFonts w:hint="eastAsia" w:ascii="宋体" w:hAnsi="宋体"/>
          <w:sz w:val="24"/>
          <w:szCs w:val="24"/>
        </w:rPr>
      </w:pPr>
      <w:r>
        <w:rPr>
          <w:rFonts w:hint="eastAsia" w:ascii="宋体" w:hAnsi="宋体"/>
          <w:sz w:val="24"/>
          <w:szCs w:val="24"/>
        </w:rPr>
        <w:t>（2）系统采用PLC及触摸屏控制，要求良好的人机对话功能。</w:t>
      </w:r>
      <w:r>
        <w:rPr>
          <w:rFonts w:ascii="宋体" w:hAnsi="宋体"/>
          <w:sz w:val="24"/>
          <w:szCs w:val="24"/>
        </w:rPr>
        <w:t>显示屏要能显示每一加注步骤的数据及各种参数的变化</w:t>
      </w:r>
      <w:r>
        <w:rPr>
          <w:rFonts w:hint="eastAsia" w:ascii="宋体" w:hAnsi="宋体"/>
          <w:sz w:val="24"/>
          <w:szCs w:val="24"/>
        </w:rPr>
        <w:t>。车型加注选择按钮数量满足工艺要求，预留20%以上档位按钮备用点。</w:t>
      </w:r>
    </w:p>
    <w:p>
      <w:pPr>
        <w:tabs>
          <w:tab w:val="left" w:pos="1080"/>
        </w:tabs>
        <w:spacing w:line="360" w:lineRule="auto"/>
        <w:rPr>
          <w:rFonts w:hint="eastAsia" w:ascii="宋体" w:hAnsi="宋体"/>
          <w:sz w:val="24"/>
          <w:szCs w:val="24"/>
        </w:rPr>
      </w:pPr>
      <w:r>
        <w:rPr>
          <w:rFonts w:hint="eastAsia" w:ascii="宋体" w:hAnsi="宋体"/>
          <w:sz w:val="24"/>
          <w:szCs w:val="24"/>
        </w:rPr>
        <w:t>（4）系统设有相关信息的储存功能，包括每辆车的加注量、一天的累计加注量、一月的累计加注量、加注时间、加注压力、设备故障信息、底盘号等信息，信息存储时间6个月以上。每台设备至少可存储100000条车辆加注信息，包括加注车辆信息、实际加注数据等信息。</w:t>
      </w:r>
    </w:p>
    <w:p>
      <w:pPr>
        <w:tabs>
          <w:tab w:val="left" w:pos="1080"/>
        </w:tabs>
        <w:spacing w:line="360" w:lineRule="auto"/>
        <w:rPr>
          <w:rFonts w:hint="eastAsia" w:ascii="宋体" w:hAnsi="宋体"/>
          <w:sz w:val="24"/>
          <w:szCs w:val="24"/>
        </w:rPr>
      </w:pPr>
      <w:r>
        <w:rPr>
          <w:rFonts w:hint="eastAsia" w:ascii="宋体" w:hAnsi="宋体"/>
          <w:sz w:val="24"/>
          <w:szCs w:val="24"/>
        </w:rPr>
        <w:t>（5）所有设备配备无线二维码扫描枪，实现一维码、二维码均可扫描，满足所有车型加注扫描功能，具体品牌、数量、规格型号需在标书中明确。</w:t>
      </w:r>
    </w:p>
    <w:p>
      <w:pPr>
        <w:spacing w:line="360" w:lineRule="auto"/>
        <w:rPr>
          <w:rFonts w:hint="eastAsia" w:asciiTheme="majorEastAsia" w:hAnsiTheme="majorEastAsia" w:eastAsiaTheme="majorEastAsia"/>
          <w:sz w:val="24"/>
          <w:szCs w:val="24"/>
        </w:rPr>
      </w:pPr>
      <w:r>
        <w:rPr>
          <w:rFonts w:hint="eastAsia" w:ascii="宋体" w:hAnsi="宋体"/>
          <w:sz w:val="24"/>
          <w:szCs w:val="24"/>
        </w:rPr>
        <w:t>（6）加注操作流程：</w:t>
      </w:r>
      <w:r>
        <w:rPr>
          <w:rFonts w:asciiTheme="majorEastAsia" w:hAnsiTheme="majorEastAsia" w:eastAsiaTheme="majorEastAsia"/>
          <w:sz w:val="24"/>
          <w:szCs w:val="24"/>
        </w:rPr>
        <w:t>条码扫描，识别车型</w:t>
      </w:r>
      <w:r>
        <w:rPr>
          <w:rFonts w:hint="eastAsia" w:asciiTheme="majorEastAsia" w:hAnsiTheme="majorEastAsia" w:eastAsiaTheme="majorEastAsia"/>
          <w:sz w:val="24"/>
          <w:szCs w:val="24"/>
        </w:rPr>
        <w:t>。</w:t>
      </w:r>
      <w:r>
        <w:rPr>
          <w:rFonts w:asciiTheme="majorEastAsia" w:hAnsiTheme="majorEastAsia" w:eastAsiaTheme="majorEastAsia"/>
          <w:sz w:val="24"/>
          <w:szCs w:val="24"/>
        </w:rPr>
        <w:t>操作者将加注枪连接到加注罐口上，按下启动按钮，开始自动加注</w:t>
      </w:r>
      <w:r>
        <w:rPr>
          <w:rFonts w:hint="eastAsia" w:asciiTheme="majorEastAsia" w:hAnsiTheme="majorEastAsia" w:eastAsiaTheme="majorEastAsia"/>
          <w:sz w:val="24"/>
          <w:szCs w:val="24"/>
        </w:rPr>
        <w:t>。</w:t>
      </w:r>
      <w:r>
        <w:rPr>
          <w:rFonts w:asciiTheme="majorEastAsia" w:hAnsiTheme="majorEastAsia" w:eastAsiaTheme="majorEastAsia"/>
          <w:sz w:val="24"/>
          <w:szCs w:val="24"/>
        </w:rPr>
        <w:t>操作人员按下加注头上的停止按钮、加注头松开、管口真空倒吸</w:t>
      </w:r>
      <w:r>
        <w:rPr>
          <w:rFonts w:hint="eastAsia" w:asciiTheme="majorEastAsia" w:hAnsiTheme="majorEastAsia" w:eastAsiaTheme="majorEastAsia"/>
          <w:sz w:val="24"/>
          <w:szCs w:val="24"/>
        </w:rPr>
        <w:t>（真空设备）</w:t>
      </w:r>
      <w:r>
        <w:rPr>
          <w:rFonts w:asciiTheme="majorEastAsia" w:hAnsiTheme="majorEastAsia" w:eastAsiaTheme="majorEastAsia"/>
          <w:sz w:val="24"/>
          <w:szCs w:val="24"/>
        </w:rPr>
        <w:t>，将加注头放回托架</w:t>
      </w:r>
      <w:r>
        <w:rPr>
          <w:rFonts w:hint="eastAsia" w:asciiTheme="majorEastAsia" w:hAnsiTheme="majorEastAsia" w:eastAsiaTheme="majorEastAsia"/>
          <w:sz w:val="24"/>
          <w:szCs w:val="24"/>
        </w:rPr>
        <w:t>，加注枪返回初始位置。</w:t>
      </w:r>
    </w:p>
    <w:p>
      <w:pPr>
        <w:overflowPunct w:val="0"/>
        <w:autoSpaceDE w:val="0"/>
        <w:autoSpaceDN w:val="0"/>
        <w:adjustRightInd w:val="0"/>
        <w:spacing w:line="360" w:lineRule="auto"/>
        <w:textAlignment w:val="baseline"/>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 xml:space="preserve">15.5设备基本样式描述 </w:t>
      </w:r>
    </w:p>
    <w:p>
      <w:pPr>
        <w:pStyle w:val="144"/>
        <w:spacing w:line="360" w:lineRule="auto"/>
        <w:ind w:firstLine="0" w:firstLineChars="0"/>
        <w:rPr>
          <w:rFonts w:hint="eastAsia" w:asciiTheme="majorEastAsia" w:hAnsiTheme="majorEastAsia" w:eastAsiaTheme="majorEastAsia"/>
          <w:sz w:val="24"/>
        </w:rPr>
      </w:pPr>
      <w:r>
        <w:rPr>
          <w:rFonts w:hint="eastAsia" w:asciiTheme="majorEastAsia" w:hAnsiTheme="majorEastAsia" w:eastAsiaTheme="majorEastAsia"/>
          <w:sz w:val="24"/>
        </w:rPr>
        <w:t>（1）加注机通过条码或二维码扫描器读取车辆条码，通过上位系统获车型信息设备自动调取加注参数按流程对车辆进行加注，当出现故障时设备自动报警及退出加注。</w:t>
      </w:r>
    </w:p>
    <w:p>
      <w:pPr>
        <w:pStyle w:val="144"/>
        <w:spacing w:line="360" w:lineRule="auto"/>
        <w:ind w:firstLine="0" w:firstLineChars="0"/>
        <w:rPr>
          <w:rFonts w:hint="eastAsia" w:asciiTheme="majorEastAsia" w:hAnsiTheme="majorEastAsia" w:eastAsiaTheme="majorEastAsia"/>
          <w:sz w:val="24"/>
        </w:rPr>
      </w:pPr>
      <w:r>
        <w:rPr>
          <w:rFonts w:hint="eastAsia" w:asciiTheme="majorEastAsia" w:hAnsiTheme="majorEastAsia" w:eastAsiaTheme="majorEastAsia"/>
          <w:sz w:val="24"/>
        </w:rPr>
        <w:t>（2）设备设有自动/手动选择按钮，手动状态用于非常规生产状态下对车辆进行分步加注。</w:t>
      </w:r>
    </w:p>
    <w:p>
      <w:pPr>
        <w:pStyle w:val="144"/>
        <w:spacing w:line="360" w:lineRule="auto"/>
        <w:ind w:firstLine="0" w:firstLineChars="0"/>
        <w:rPr>
          <w:rFonts w:hint="eastAsia" w:asciiTheme="majorEastAsia" w:hAnsiTheme="majorEastAsia" w:eastAsiaTheme="majorEastAsia"/>
          <w:sz w:val="24"/>
        </w:rPr>
      </w:pPr>
      <w:r>
        <w:rPr>
          <w:rFonts w:hint="eastAsia" w:asciiTheme="majorEastAsia" w:hAnsiTheme="majorEastAsia" w:eastAsiaTheme="majorEastAsia"/>
          <w:sz w:val="24"/>
        </w:rPr>
        <w:t xml:space="preserve">（3）设备有急停、故障复位按钮，用于突发情况时对设备进行紧急停机操作，以及设备停机后的复位。 </w:t>
      </w:r>
    </w:p>
    <w:p>
      <w:pPr>
        <w:overflowPunct w:val="0"/>
        <w:autoSpaceDE w:val="0"/>
        <w:autoSpaceDN w:val="0"/>
        <w:adjustRightInd w:val="0"/>
        <w:spacing w:line="360" w:lineRule="auto"/>
        <w:textAlignment w:val="baseline"/>
        <w:rPr>
          <w:rFonts w:hint="eastAsia" w:asciiTheme="majorEastAsia" w:hAnsiTheme="majorEastAsia" w:eastAsiaTheme="majorEastAsia" w:cstheme="majorEastAsia"/>
          <w:b/>
          <w:bCs/>
          <w:color w:val="000000" w:themeColor="text1"/>
          <w:sz w:val="24"/>
          <w:szCs w:val="24"/>
          <w14:textFill>
            <w14:solidFill>
              <w14:schemeClr w14:val="tx1"/>
            </w14:solidFill>
          </w14:textFill>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15.6</w:t>
      </w:r>
      <w:r>
        <w:rPr>
          <w:rFonts w:hint="eastAsia" w:asciiTheme="majorEastAsia" w:hAnsiTheme="majorEastAsia" w:eastAsiaTheme="majorEastAsia" w:cstheme="majorEastAsia"/>
          <w:b/>
          <w:bCs/>
          <w:color w:val="000000" w:themeColor="text1"/>
          <w:sz w:val="24"/>
          <w:szCs w:val="24"/>
          <w:lang w:eastAsia="zh-CN"/>
          <w14:textFill>
            <w14:solidFill>
              <w14:schemeClr w14:val="tx1"/>
            </w14:solidFill>
          </w14:textFill>
        </w:rPr>
        <w:t>冷媒</w:t>
      </w:r>
      <w:r>
        <w:rPr>
          <w:rFonts w:hint="eastAsia" w:asciiTheme="majorEastAsia" w:hAnsiTheme="majorEastAsia" w:eastAsiaTheme="majorEastAsia" w:cstheme="majorEastAsia"/>
          <w:b/>
          <w:bCs/>
          <w:color w:val="000000" w:themeColor="text1"/>
          <w:sz w:val="24"/>
          <w:szCs w:val="24"/>
          <w14:textFill>
            <w14:solidFill>
              <w14:schemeClr w14:val="tx1"/>
            </w14:solidFill>
          </w14:textFill>
        </w:rPr>
        <w:t xml:space="preserve">真空加注机技术要求 </w:t>
      </w:r>
    </w:p>
    <w:p>
      <w:pPr>
        <w:spacing w:line="360" w:lineRule="auto"/>
        <w:rPr>
          <w:rFonts w:hint="eastAsia" w:asciiTheme="minorEastAsia" w:hAnsiTheme="minorEastAsia" w:cstheme="minorEastAsia"/>
        </w:rPr>
      </w:pPr>
      <w:r>
        <w:rPr>
          <w:rFonts w:hint="eastAsia" w:asciiTheme="minorEastAsia" w:hAnsiTheme="minorEastAsia" w:cstheme="minorEastAsia"/>
          <w:color w:val="000000" w:themeColor="text1"/>
          <w:kern w:val="0"/>
          <w:sz w:val="24"/>
          <w:szCs w:val="24"/>
          <w14:textFill>
            <w14:solidFill>
              <w14:schemeClr w14:val="tx1"/>
            </w14:solidFill>
          </w14:textFill>
        </w:rPr>
        <w:t>15.6.1设备工艺要求</w:t>
      </w:r>
    </w:p>
    <w:tbl>
      <w:tblPr>
        <w:tblStyle w:val="76"/>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376"/>
        <w:gridCol w:w="4730"/>
        <w:gridCol w:w="1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84" w:type="dxa"/>
            <w:gridSpan w:val="4"/>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lang w:eastAsia="zh-CN"/>
              </w:rPr>
              <w:t>冷媒</w:t>
            </w:r>
            <w:r>
              <w:rPr>
                <w:rFonts w:hint="eastAsia" w:asciiTheme="minorEastAsia" w:hAnsiTheme="minorEastAsia" w:cstheme="minorEastAsia"/>
                <w:sz w:val="18"/>
                <w:szCs w:val="18"/>
              </w:rPr>
              <w:t>真空加注机工艺要求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序号</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项目</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内容</w:t>
            </w:r>
          </w:p>
        </w:tc>
        <w:tc>
          <w:tcPr>
            <w:tcW w:w="1584"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加注介质/型号</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 xml:space="preserve">冷媒/R134a </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最大抽吸真空</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合理配置</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3</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加注枪端最低真空</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≤1mbar</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4</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加注方式</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定质量加注，任意加注质量连续可调</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5</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加注压力</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12-16bar</w:t>
            </w:r>
            <w:r>
              <w:rPr>
                <w:rFonts w:hint="eastAsia" w:eastAsia="宋体"/>
                <w:szCs w:val="21"/>
              </w:rPr>
              <w:t xml:space="preserve"> </w:t>
            </w:r>
            <w:r>
              <w:rPr>
                <w:rFonts w:hint="eastAsia" w:asciiTheme="minorEastAsia" w:hAnsiTheme="minorEastAsia" w:cstheme="minorEastAsia"/>
                <w:sz w:val="18"/>
                <w:szCs w:val="18"/>
              </w:rPr>
              <w:t>合理配置</w:t>
            </w:r>
          </w:p>
        </w:tc>
        <w:tc>
          <w:tcPr>
            <w:tcW w:w="1584"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6</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加注精度</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≤0.5%</w:t>
            </w:r>
          </w:p>
        </w:tc>
        <w:tc>
          <w:tcPr>
            <w:tcW w:w="1584"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全量程范围内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7</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加注量</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400g /台（可调）</w:t>
            </w:r>
          </w:p>
        </w:tc>
        <w:tc>
          <w:tcPr>
            <w:tcW w:w="1584"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8</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宋体" w:hAnsi="宋体"/>
                <w:sz w:val="18"/>
                <w:szCs w:val="18"/>
              </w:rPr>
              <w:t>流量计计量精度</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±0.5%，可以满足±5g</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9</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真空泵极限真空度</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≤0.5 mbar</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10</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加注枪头真空能力</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 mbar</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11</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传感器精度</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冷媒：0～250mbar，测量精度：±0.1%</w:t>
            </w:r>
          </w:p>
        </w:tc>
        <w:tc>
          <w:tcPr>
            <w:tcW w:w="1584" w:type="dxa"/>
            <w:vAlign w:val="center"/>
          </w:tcPr>
          <w:p>
            <w:pPr>
              <w:spacing w:line="240" w:lineRule="exact"/>
              <w:jc w:val="center"/>
              <w:rPr>
                <w:rFonts w:hint="eastAsia" w:ascii="宋体" w:hAnsi="宋体"/>
                <w:sz w:val="18"/>
                <w:szCs w:val="18"/>
              </w:rPr>
            </w:pPr>
            <w:r>
              <w:rPr>
                <w:rFonts w:hint="eastAsia" w:asciiTheme="minorEastAsia" w:hAnsiTheme="minorEastAsia" w:cstheme="minorEastAsia"/>
                <w:sz w:val="18"/>
                <w:szCs w:val="18"/>
              </w:rPr>
              <w:t>全量程范围内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12</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压力传感器测量范围</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0～25bar，测量精度：±0.1bar</w:t>
            </w:r>
          </w:p>
        </w:tc>
        <w:tc>
          <w:tcPr>
            <w:tcW w:w="1584" w:type="dxa"/>
            <w:vAlign w:val="center"/>
          </w:tcPr>
          <w:p>
            <w:pPr>
              <w:spacing w:line="240" w:lineRule="exact"/>
              <w:jc w:val="center"/>
              <w:rPr>
                <w:rFonts w:hint="eastAsia" w:ascii="宋体" w:hAnsi="宋体"/>
                <w:sz w:val="18"/>
                <w:szCs w:val="18"/>
              </w:rPr>
            </w:pPr>
            <w:r>
              <w:rPr>
                <w:rFonts w:hint="eastAsia" w:asciiTheme="minorEastAsia" w:hAnsiTheme="minorEastAsia" w:cstheme="minorEastAsia"/>
                <w:sz w:val="18"/>
                <w:szCs w:val="18"/>
              </w:rPr>
              <w:t>全量程范围内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13</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加注管路长度</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kern w:val="0"/>
                <w:sz w:val="18"/>
                <w:szCs w:val="18"/>
              </w:rPr>
              <w:t>≥</w:t>
            </w:r>
            <w:r>
              <w:rPr>
                <w:rFonts w:hint="eastAsia" w:asciiTheme="minorEastAsia" w:hAnsiTheme="minorEastAsia" w:cstheme="minorEastAsia"/>
                <w:sz w:val="18"/>
                <w:szCs w:val="18"/>
              </w:rPr>
              <w:t>20m（根据现场的工位和节拍最终确定）</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14</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生产噪声</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≤70dB</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15</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计量显示范围</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0.0-99.99L</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16</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加注枪形式/接口尺寸</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标准快速接头/ R134a接口，配做加注枪</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17</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补液形式</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线边补液</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18</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加注枪及管路安装形式</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管路随行</w:t>
            </w:r>
          </w:p>
        </w:tc>
        <w:tc>
          <w:tcPr>
            <w:tcW w:w="1584"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9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19</w:t>
            </w:r>
          </w:p>
        </w:tc>
        <w:tc>
          <w:tcPr>
            <w:tcW w:w="2376"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操作控制系统</w:t>
            </w:r>
          </w:p>
        </w:tc>
        <w:tc>
          <w:tcPr>
            <w:tcW w:w="473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PLC+LCD触摸屏，预留信息化连接接口</w:t>
            </w:r>
          </w:p>
        </w:tc>
        <w:tc>
          <w:tcPr>
            <w:tcW w:w="1584" w:type="dxa"/>
            <w:vAlign w:val="center"/>
          </w:tcPr>
          <w:p>
            <w:pPr>
              <w:spacing w:line="240" w:lineRule="exact"/>
              <w:jc w:val="center"/>
              <w:rPr>
                <w:rFonts w:hint="eastAsia" w:asciiTheme="minorEastAsia" w:hAnsiTheme="minorEastAsia" w:cstheme="minorEastAsia"/>
                <w:sz w:val="18"/>
                <w:szCs w:val="18"/>
              </w:rPr>
            </w:pPr>
          </w:p>
        </w:tc>
      </w:tr>
    </w:tbl>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 xml:space="preserve">15.6.2真空系统技术要求 </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（1）真空传感器采集来自加注枪末端的真空值，而不是测量靠近真空泵的真空管路的真空值，真空值能以数字形式在触摸屏上显示。</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 xml:space="preserve">（2）真空系统主要实现对空调系统的抽真空，通过高、低压端对空调系统进行抽真空。  </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（3）</w:t>
      </w:r>
      <w:r>
        <w:rPr>
          <w:rFonts w:hint="eastAsia" w:asciiTheme="minorEastAsia" w:hAnsiTheme="minorEastAsia" w:cstheme="minorEastAsia"/>
          <w:color w:val="000000" w:themeColor="text1"/>
          <w:sz w:val="24"/>
          <w:szCs w:val="24"/>
          <w14:textFill>
            <w14:solidFill>
              <w14:schemeClr w14:val="tx1"/>
            </w14:solidFill>
          </w14:textFill>
        </w:rPr>
        <w:t>真空系统不允许出现冷媒进入真空泵的风险。</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 xml:space="preserve">15.6.3加注系统技术要求 </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 xml:space="preserve">（1）空调系统加注采取质量流量计控制加注量，辅以加注压力、加注时间进行监测加注量的方式进行加注，通过高压端对空调系统进行加注。 </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 xml:space="preserve">（2）储液罐采用不锈钢材质，其有效工作储量≥20升，根据加注量合理配置,加注系统设有R134a专用干燥过滤器，过滤器使用不锈钢材质。 </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（3）加注头使用</w:t>
      </w:r>
      <w:r>
        <w:rPr>
          <w:rFonts w:hint="eastAsia" w:asciiTheme="minorEastAsia" w:hAnsiTheme="minorEastAsia" w:cstheme="minorEastAsia"/>
          <w:sz w:val="24"/>
          <w:szCs w:val="24"/>
        </w:rPr>
        <w:t>STAUBLI</w:t>
      </w:r>
      <w:r>
        <w:rPr>
          <w:rFonts w:hint="eastAsia" w:asciiTheme="minorEastAsia" w:hAnsiTheme="minorEastAsia" w:cstheme="minorEastAsia"/>
          <w:color w:val="000000" w:themeColor="text1"/>
          <w:kern w:val="0"/>
          <w:sz w:val="24"/>
          <w:szCs w:val="24"/>
          <w14:textFill>
            <w14:solidFill>
              <w14:schemeClr w14:val="tx1"/>
            </w14:solidFill>
          </w14:textFill>
        </w:rPr>
        <w:t>品牌。</w:t>
      </w:r>
    </w:p>
    <w:p>
      <w:pPr>
        <w:spacing w:line="360" w:lineRule="auto"/>
        <w:rPr>
          <w:rFonts w:hint="eastAsia" w:ascii="黑体" w:hAnsi="黑体" w:eastAsia="黑体" w:cs="宋体"/>
          <w:kern w:val="0"/>
        </w:rPr>
      </w:pPr>
      <w:r>
        <w:rPr>
          <w:rFonts w:hint="eastAsia" w:asciiTheme="majorEastAsia" w:hAnsiTheme="majorEastAsia" w:eastAsiaTheme="majorEastAsia" w:cstheme="majorEastAsia"/>
          <w:b/>
          <w:bCs/>
          <w:color w:val="000000" w:themeColor="text1"/>
          <w:sz w:val="24"/>
          <w:szCs w:val="24"/>
          <w14:textFill>
            <w14:solidFill>
              <w14:schemeClr w14:val="tx1"/>
            </w14:solidFill>
          </w14:textFill>
        </w:rPr>
        <w:t>15.7防冻液真空加注设备技术要求</w:t>
      </w:r>
      <w:r>
        <w:rPr>
          <w:rStyle w:val="157"/>
        </w:rPr>
        <w:t xml:space="preserve"> </w:t>
      </w:r>
      <w:r>
        <w:rPr>
          <w:rFonts w:ascii="黑体" w:hAnsi="黑体" w:eastAsia="黑体" w:cs="宋体"/>
          <w:kern w:val="0"/>
        </w:rPr>
        <w:tab/>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 xml:space="preserve">15.7.1设备工艺要求 </w:t>
      </w:r>
    </w:p>
    <w:tbl>
      <w:tblPr>
        <w:tblStyle w:val="76"/>
        <w:tblpPr w:leftFromText="180" w:rightFromText="180" w:vertAnchor="text" w:horzAnchor="margin" w:tblpXSpec="center" w:tblpY="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2410"/>
        <w:gridCol w:w="4950"/>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606" w:type="dxa"/>
            <w:gridSpan w:val="4"/>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防冻液真空加注工艺要求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序号</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项目</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内容</w:t>
            </w:r>
          </w:p>
        </w:tc>
        <w:tc>
          <w:tcPr>
            <w:tcW w:w="1362"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介质/型号</w:t>
            </w:r>
          </w:p>
        </w:tc>
        <w:tc>
          <w:tcPr>
            <w:tcW w:w="4950" w:type="dxa"/>
            <w:vAlign w:val="center"/>
          </w:tcPr>
          <w:p>
            <w:pPr>
              <w:spacing w:line="240" w:lineRule="exact"/>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cstheme="minorEastAsia"/>
                <w:sz w:val="18"/>
                <w:szCs w:val="18"/>
              </w:rPr>
              <w:t>乙二醇乙酯+水（不需要配比）/-40、BASF G48-24  -35℃</w:t>
            </w:r>
            <w:r>
              <w:rPr>
                <w:rFonts w:hint="eastAsia" w:asciiTheme="minorEastAsia" w:hAnsiTheme="minorEastAsia" w:cstheme="minorEastAsia"/>
                <w:sz w:val="18"/>
                <w:szCs w:val="18"/>
                <w:lang w:val="en-US" w:eastAsia="zh-CN"/>
              </w:rPr>
              <w:t>/-45℃</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最大抽吸真空</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合理配置</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3</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加注枪端最低真空</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≤20mbar</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4</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加注方式</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定流量加注，任意加注量连续可调</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5</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加注压力</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合理配置</w:t>
            </w:r>
          </w:p>
        </w:tc>
        <w:tc>
          <w:tcPr>
            <w:tcW w:w="1362"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6</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加注精度</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≤0.5%</w:t>
            </w:r>
          </w:p>
        </w:tc>
        <w:tc>
          <w:tcPr>
            <w:tcW w:w="1362"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全量程范围内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7</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宋体" w:hAnsi="宋体"/>
                <w:sz w:val="18"/>
                <w:szCs w:val="18"/>
              </w:rPr>
              <w:t>流量计计量精度</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±2.5%，2毫升/脉冲</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8</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液面控制</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刻度线±3 mm</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9</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真空泵极限真空度</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 mbar</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10</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加注枪头真空能力</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≤12 mbar</w:t>
            </w:r>
          </w:p>
        </w:tc>
        <w:tc>
          <w:tcPr>
            <w:tcW w:w="1362" w:type="dxa"/>
            <w:vAlign w:val="center"/>
          </w:tcPr>
          <w:p>
            <w:pPr>
              <w:spacing w:line="240" w:lineRule="exact"/>
              <w:jc w:val="center"/>
              <w:rPr>
                <w:rFonts w:hint="eastAsia" w:ascii="宋体" w:hAnsi="宋体"/>
                <w:sz w:val="18"/>
                <w:szCs w:val="18"/>
              </w:rPr>
            </w:pPr>
            <w:r>
              <w:rPr>
                <w:rFonts w:hint="eastAsia" w:asciiTheme="minorEastAsia" w:hAnsiTheme="minorEastAsia" w:cstheme="minorEastAsia"/>
                <w:sz w:val="18"/>
                <w:szCs w:val="18"/>
              </w:rPr>
              <w:t>全量程范围内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11</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真空传感器测量范围</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0～500mbar</w:t>
            </w:r>
          </w:p>
        </w:tc>
        <w:tc>
          <w:tcPr>
            <w:tcW w:w="1362" w:type="dxa"/>
            <w:vAlign w:val="center"/>
          </w:tcPr>
          <w:p>
            <w:pPr>
              <w:spacing w:line="240" w:lineRule="exact"/>
              <w:jc w:val="center"/>
              <w:rPr>
                <w:rFonts w:hint="eastAsia" w:ascii="宋体" w:hAnsi="宋体"/>
                <w:sz w:val="18"/>
                <w:szCs w:val="18"/>
              </w:rPr>
            </w:pPr>
            <w:r>
              <w:rPr>
                <w:rFonts w:hint="eastAsia" w:asciiTheme="minorEastAsia" w:hAnsiTheme="minorEastAsia" w:cstheme="minorEastAsia"/>
                <w:sz w:val="18"/>
                <w:szCs w:val="18"/>
              </w:rPr>
              <w:t>全量程范围内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12</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加注压力</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防冻液≤2bar 可调</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13</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加注量</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0-26L/台</w:t>
            </w:r>
          </w:p>
        </w:tc>
        <w:tc>
          <w:tcPr>
            <w:tcW w:w="1362"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14</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加注管路长度</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kern w:val="0"/>
                <w:sz w:val="18"/>
                <w:szCs w:val="18"/>
              </w:rPr>
              <w:t>≥</w:t>
            </w:r>
            <w:r>
              <w:rPr>
                <w:rFonts w:hint="eastAsia" w:asciiTheme="minorEastAsia" w:hAnsiTheme="minorEastAsia" w:cstheme="minorEastAsia"/>
                <w:sz w:val="18"/>
                <w:szCs w:val="18"/>
              </w:rPr>
              <w:t>20m（根据现场的工位和节拍最终确定）</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15</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生产噪声</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≤70dB</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16</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计量显示范围</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0.0-99.99L</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17</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加注枪形式/接口尺寸</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手动装夹、自动夹紧与油壶配做加注枪</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18</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补液形式</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集中补液、线边桶装</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19</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加注枪及管路安装形式</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管路随行</w:t>
            </w:r>
          </w:p>
        </w:tc>
        <w:tc>
          <w:tcPr>
            <w:tcW w:w="1362" w:type="dxa"/>
            <w:vAlign w:val="center"/>
          </w:tcPr>
          <w:p>
            <w:pPr>
              <w:spacing w:line="240" w:lineRule="exact"/>
              <w:jc w:val="center"/>
              <w:rPr>
                <w:rFonts w:hint="eastAsia" w:asciiTheme="minorEastAsia" w:hAnsiTheme="minorEastAsia" w:cs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4" w:type="dxa"/>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20</w:t>
            </w:r>
          </w:p>
        </w:tc>
        <w:tc>
          <w:tcPr>
            <w:tcW w:w="241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操作控制系统</w:t>
            </w:r>
          </w:p>
        </w:tc>
        <w:tc>
          <w:tcPr>
            <w:tcW w:w="4950" w:type="dxa"/>
            <w:vAlign w:val="center"/>
          </w:tcPr>
          <w:p>
            <w:pPr>
              <w:spacing w:line="240" w:lineRule="exact"/>
              <w:jc w:val="center"/>
              <w:rPr>
                <w:rFonts w:hint="eastAsia" w:asciiTheme="minorEastAsia" w:hAnsiTheme="minorEastAsia" w:cstheme="minorEastAsia"/>
                <w:sz w:val="18"/>
                <w:szCs w:val="18"/>
              </w:rPr>
            </w:pPr>
            <w:r>
              <w:rPr>
                <w:rFonts w:hint="eastAsia" w:asciiTheme="minorEastAsia" w:hAnsiTheme="minorEastAsia" w:cstheme="minorEastAsia"/>
                <w:sz w:val="18"/>
                <w:szCs w:val="18"/>
              </w:rPr>
              <w:t>PLC+LCD触摸屏，预留信息化连接接口</w:t>
            </w:r>
          </w:p>
        </w:tc>
        <w:tc>
          <w:tcPr>
            <w:tcW w:w="1362" w:type="dxa"/>
            <w:vAlign w:val="center"/>
          </w:tcPr>
          <w:p>
            <w:pPr>
              <w:spacing w:line="240" w:lineRule="exact"/>
              <w:jc w:val="center"/>
              <w:rPr>
                <w:rFonts w:hint="eastAsia" w:asciiTheme="minorEastAsia" w:hAnsiTheme="minorEastAsia" w:cstheme="minorEastAsia"/>
                <w:sz w:val="18"/>
                <w:szCs w:val="18"/>
              </w:rPr>
            </w:pPr>
          </w:p>
        </w:tc>
      </w:tr>
    </w:tbl>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15.7.2真空系统技术要求</w:t>
      </w:r>
    </w:p>
    <w:p>
      <w:pPr>
        <w:numPr>
          <w:ilvl w:val="0"/>
          <w:numId w:val="17"/>
        </w:num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真空传感器采集来自加注枪末端的真空值，而不是测量靠近真空泵的真空管路的真空值，真空值能以数字形式在触摸屏上显示。</w:t>
      </w:r>
    </w:p>
    <w:p>
      <w:pPr>
        <w:numPr>
          <w:ilvl w:val="0"/>
          <w:numId w:val="17"/>
        </w:num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sz w:val="24"/>
          <w:szCs w:val="24"/>
          <w14:textFill>
            <w14:solidFill>
              <w14:schemeClr w14:val="tx1"/>
            </w14:solidFill>
          </w14:textFill>
        </w:rPr>
        <w:t>真空系统不允许出现油液进入真空泵的现象。</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 xml:space="preserve">15.7.3加注系统技术要求 </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（1）储液罐采用不锈钢材质，有效工作储量≥60L，根据加注量合理配置。</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（2）储液罐设有液位高度传感器，用于自动补液、自动停止补液及液位高度指示，安装透明液位检查储存罐里液体的储存量。</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Theme="minorEastAsia" w:hAnsiTheme="minorEastAsia" w:cstheme="minorEastAsia"/>
          <w:color w:val="000000" w:themeColor="text1"/>
          <w:kern w:val="0"/>
          <w:sz w:val="24"/>
          <w:szCs w:val="24"/>
          <w14:textFill>
            <w14:solidFill>
              <w14:schemeClr w14:val="tx1"/>
            </w14:solidFill>
          </w14:textFill>
        </w:rPr>
        <w:t>15.7.4其他要求</w:t>
      </w:r>
    </w:p>
    <w:p>
      <w:pPr>
        <w:spacing w:line="360" w:lineRule="auto"/>
        <w:rPr>
          <w:rFonts w:hint="eastAsia" w:ascii="宋体" w:hAnsi="宋体" w:eastAsia="宋体" w:cs="宋体"/>
          <w:color w:val="000000"/>
          <w:kern w:val="0"/>
          <w:sz w:val="22"/>
        </w:rPr>
      </w:pPr>
      <w:r>
        <w:rPr>
          <w:rFonts w:hint="eastAsia" w:ascii="宋体" w:hAnsi="宋体" w:eastAsia="宋体" w:cs="宋体"/>
          <w:color w:val="000000"/>
          <w:kern w:val="0"/>
          <w:sz w:val="22"/>
        </w:rPr>
        <w:t>1）与油液直接接触部件不得含有铸铁和普通碳钢材料，需使用304及以上不锈钢；</w:t>
      </w:r>
    </w:p>
    <w:p>
      <w:pPr>
        <w:spacing w:line="360" w:lineRule="auto"/>
        <w:rPr>
          <w:rFonts w:hint="eastAsia" w:ascii="宋体" w:hAnsi="宋体" w:eastAsia="宋体" w:cs="宋体"/>
          <w:color w:val="000000"/>
          <w:kern w:val="0"/>
          <w:sz w:val="22"/>
        </w:rPr>
      </w:pPr>
      <w:r>
        <w:rPr>
          <w:rFonts w:hint="eastAsia" w:asciiTheme="minorEastAsia" w:hAnsiTheme="minorEastAsia" w:cstheme="minorEastAsia"/>
          <w:color w:val="000000" w:themeColor="text1"/>
          <w:kern w:val="0"/>
          <w:sz w:val="24"/>
          <w:szCs w:val="24"/>
          <w14:textFill>
            <w14:solidFill>
              <w14:schemeClr w14:val="tx1"/>
            </w14:solidFill>
          </w14:textFill>
        </w:rPr>
        <w:t>2）</w:t>
      </w:r>
      <w:r>
        <w:rPr>
          <w:rFonts w:hint="eastAsia" w:ascii="宋体" w:hAnsi="宋体" w:eastAsia="宋体" w:cs="宋体"/>
          <w:color w:val="000000"/>
          <w:kern w:val="0"/>
          <w:sz w:val="22"/>
        </w:rPr>
        <w:t>加注枪的头部必须由铝合金制作，并做表面涂层处理；</w:t>
      </w:r>
    </w:p>
    <w:p>
      <w:pPr>
        <w:spacing w:line="360" w:lineRule="auto"/>
        <w:rPr>
          <w:rFonts w:ascii="Arial"/>
        </w:rPr>
      </w:pPr>
      <w:r>
        <w:rPr>
          <w:rFonts w:hint="eastAsia" w:ascii="宋体" w:hAnsi="宋体" w:eastAsia="宋体" w:cs="宋体"/>
          <w:color w:val="000000"/>
          <w:kern w:val="0"/>
          <w:sz w:val="22"/>
        </w:rPr>
        <w:t>3）</w:t>
      </w:r>
      <w:r>
        <w:rPr>
          <w:rFonts w:hint="eastAsia" w:ascii="Arial"/>
        </w:rPr>
        <w:t>设备需根据现场加注需求配套专用转换接头；</w:t>
      </w:r>
    </w:p>
    <w:p>
      <w:pPr>
        <w:spacing w:line="360" w:lineRule="auto"/>
        <w:rPr>
          <w:rFonts w:hint="eastAsia" w:asciiTheme="minorEastAsia" w:hAnsiTheme="minorEastAsia" w:cstheme="minorEastAsia"/>
          <w:color w:val="000000" w:themeColor="text1"/>
          <w:kern w:val="0"/>
          <w:sz w:val="24"/>
          <w:szCs w:val="24"/>
          <w14:textFill>
            <w14:solidFill>
              <w14:schemeClr w14:val="tx1"/>
            </w14:solidFill>
          </w14:textFill>
        </w:rPr>
      </w:pPr>
      <w:r>
        <w:rPr>
          <w:rFonts w:hint="eastAsia" w:ascii="Arial"/>
        </w:rPr>
        <w:t>4）对同一车型，防冻液两加注枪加注量不同时亦可进行扫码加注</w:t>
      </w:r>
    </w:p>
    <w:p>
      <w:pPr>
        <w:pStyle w:val="7"/>
        <w:rPr>
          <w:rFonts w:hint="eastAsia" w:asciiTheme="majorEastAsia" w:hAnsiTheme="majorEastAsia" w:eastAsiaTheme="majorEastAsia" w:cstheme="majorEastAsia"/>
          <w:bCs/>
          <w:color w:val="000000" w:themeColor="text1"/>
          <w:szCs w:val="24"/>
          <w14:textFill>
            <w14:solidFill>
              <w14:schemeClr w14:val="tx1"/>
            </w14:solidFill>
          </w14:textFill>
        </w:rPr>
      </w:pPr>
      <w:r>
        <w:rPr>
          <w:rFonts w:hint="eastAsia" w:asciiTheme="majorEastAsia" w:hAnsiTheme="majorEastAsia" w:eastAsiaTheme="majorEastAsia" w:cstheme="majorEastAsia"/>
          <w:bCs/>
          <w:color w:val="000000" w:themeColor="text1"/>
          <w:szCs w:val="24"/>
          <w14:textFill>
            <w14:solidFill>
              <w14:schemeClr w14:val="tx1"/>
            </w14:solidFill>
          </w14:textFill>
        </w:rPr>
        <w:t xml:space="preserve">15.8标定装置技术要求 </w:t>
      </w:r>
    </w:p>
    <w:p>
      <w:pPr>
        <w:autoSpaceDE w:val="0"/>
        <w:autoSpaceDN w:val="0"/>
        <w:adjustRightInd w:val="0"/>
        <w:spacing w:line="360" w:lineRule="auto"/>
        <w:ind w:firstLine="480" w:firstLineChars="200"/>
        <w:jc w:val="left"/>
        <w:rPr>
          <w:rFonts w:hint="eastAsia" w:ascii="宋体" w:hAnsi="宋体" w:cs="宋体"/>
          <w:kern w:val="0"/>
        </w:rPr>
      </w:pPr>
      <w:r>
        <w:rPr>
          <w:rFonts w:hint="eastAsia" w:cs="Times New Roman" w:asciiTheme="minorEastAsia" w:hAnsiTheme="minorEastAsia"/>
          <w:color w:val="000000" w:themeColor="text1"/>
          <w:sz w:val="24"/>
          <w:szCs w:val="24"/>
          <w14:textFill>
            <w14:solidFill>
              <w14:schemeClr w14:val="tx1"/>
            </w14:solidFill>
          </w14:textFill>
        </w:rPr>
        <w:t>标定装置用于比较设备显示真空值、压力值、加注量与用外接数字真空表、压力表、电子秤测量值之间的差异。标定装置包括制动液、</w:t>
      </w:r>
      <w:r>
        <w:rPr>
          <w:rFonts w:hint="eastAsia" w:cs="Times New Roman" w:asciiTheme="minorEastAsia" w:hAnsiTheme="minorEastAsia"/>
          <w:color w:val="000000" w:themeColor="text1"/>
          <w:sz w:val="24"/>
          <w:szCs w:val="24"/>
          <w:lang w:eastAsia="zh-CN"/>
          <w14:textFill>
            <w14:solidFill>
              <w14:schemeClr w14:val="tx1"/>
            </w14:solidFill>
          </w14:textFill>
        </w:rPr>
        <w:t>冷媒</w:t>
      </w:r>
      <w:r>
        <w:rPr>
          <w:rFonts w:hint="eastAsia" w:cs="Times New Roman" w:asciiTheme="minorEastAsia" w:hAnsiTheme="minorEastAsia"/>
          <w:color w:val="000000" w:themeColor="text1"/>
          <w:sz w:val="24"/>
          <w:szCs w:val="24"/>
          <w14:textFill>
            <w14:solidFill>
              <w14:schemeClr w14:val="tx1"/>
            </w14:solidFill>
          </w14:textFill>
        </w:rPr>
        <w:t>、防冻液、助力转向液的标准瓶、数字真空表、压力表、电子秤、相关手动阀门以及相关的托架，托架带滚轮，能方便的移动。</w:t>
      </w:r>
    </w:p>
    <w:p>
      <w:pPr>
        <w:autoSpaceDE w:val="0"/>
        <w:autoSpaceDN w:val="0"/>
        <w:adjustRightInd w:val="0"/>
        <w:spacing w:line="360" w:lineRule="auto"/>
        <w:jc w:val="left"/>
        <w:rPr>
          <w:rFonts w:hint="eastAsia"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15.8.1标定装置参数要求</w:t>
      </w:r>
    </w:p>
    <w:tbl>
      <w:tblPr>
        <w:tblStyle w:val="7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名称</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最少测量单位</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数字真空表</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0.1mbar</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压力表（防冻液、</w:t>
            </w:r>
            <w:r>
              <w:rPr>
                <w:rFonts w:hint="eastAsia" w:ascii="宋体" w:hAnsi="宋体" w:eastAsia="宋体" w:cs="宋体"/>
                <w:sz w:val="18"/>
                <w:szCs w:val="18"/>
                <w:lang w:eastAsia="zh-CN"/>
              </w:rPr>
              <w:t>冷媒</w:t>
            </w:r>
            <w:r>
              <w:rPr>
                <w:rFonts w:hint="eastAsia" w:ascii="宋体" w:hAnsi="宋体" w:eastAsia="宋体" w:cs="宋体"/>
                <w:sz w:val="18"/>
                <w:szCs w:val="18"/>
              </w:rPr>
              <w:t>）</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0.1bar</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压力表（空调）</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0.1bar</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电子秤</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 xml:space="preserve">0.1g </w:t>
            </w:r>
          </w:p>
        </w:tc>
        <w:tc>
          <w:tcPr>
            <w:tcW w:w="2841"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空调标准瓶</w:t>
            </w:r>
          </w:p>
        </w:tc>
        <w:tc>
          <w:tcPr>
            <w:tcW w:w="5682" w:type="dxa"/>
            <w:gridSpan w:val="2"/>
            <w:vAlign w:val="center"/>
          </w:tcPr>
          <w:p>
            <w:pPr>
              <w:jc w:val="center"/>
              <w:rPr>
                <w:rFonts w:hint="eastAsia" w:ascii="宋体" w:hAnsi="宋体" w:eastAsia="宋体" w:cs="宋体"/>
                <w:sz w:val="18"/>
                <w:szCs w:val="18"/>
              </w:rPr>
            </w:pPr>
            <w:r>
              <w:rPr>
                <w:rFonts w:hint="eastAsia" w:ascii="宋体" w:hAnsi="宋体" w:eastAsia="宋体" w:cs="宋体"/>
                <w:sz w:val="18"/>
                <w:szCs w:val="18"/>
              </w:rPr>
              <w:t>容量：1L</w:t>
            </w:r>
          </w:p>
          <w:p>
            <w:pPr>
              <w:jc w:val="center"/>
              <w:rPr>
                <w:rFonts w:hint="eastAsia" w:cs="Times New Roman" w:asciiTheme="minorEastAsia" w:hAnsiTheme="minorEastAsia"/>
                <w:color w:val="000000" w:themeColor="text1"/>
                <w:sz w:val="24"/>
                <w:szCs w:val="24"/>
                <w:vertAlign w:val="baseline"/>
                <w14:textFill>
                  <w14:solidFill>
                    <w14:schemeClr w14:val="tx1"/>
                  </w14:solidFill>
                </w14:textFill>
              </w:rPr>
            </w:pPr>
            <w:r>
              <w:rPr>
                <w:rFonts w:hint="eastAsia" w:ascii="宋体" w:hAnsi="宋体" w:eastAsia="宋体" w:cs="宋体"/>
                <w:sz w:val="18"/>
                <w:szCs w:val="18"/>
              </w:rPr>
              <w:t>承受压力：＞25bar</w:t>
            </w:r>
          </w:p>
        </w:tc>
      </w:tr>
    </w:tbl>
    <w:p>
      <w:pPr>
        <w:autoSpaceDE w:val="0"/>
        <w:autoSpaceDN w:val="0"/>
        <w:adjustRightInd w:val="0"/>
        <w:spacing w:line="360" w:lineRule="auto"/>
        <w:jc w:val="left"/>
        <w:rPr>
          <w:rFonts w:hint="eastAsia"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15.8.2 标定装置技术要求</w:t>
      </w:r>
    </w:p>
    <w:p>
      <w:pPr>
        <w:autoSpaceDE w:val="0"/>
        <w:autoSpaceDN w:val="0"/>
        <w:adjustRightInd w:val="0"/>
        <w:spacing w:line="360" w:lineRule="auto"/>
        <w:jc w:val="left"/>
        <w:rPr>
          <w:rFonts w:hint="eastAsia"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 xml:space="preserve">（1）托架采用铝合金材质制作。 </w:t>
      </w:r>
    </w:p>
    <w:p>
      <w:pPr>
        <w:autoSpaceDE w:val="0"/>
        <w:autoSpaceDN w:val="0"/>
        <w:adjustRightInd w:val="0"/>
        <w:spacing w:line="360" w:lineRule="auto"/>
        <w:jc w:val="left"/>
        <w:rPr>
          <w:rFonts w:hint="eastAsia"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（2）防冻液、</w:t>
      </w:r>
      <w:r>
        <w:rPr>
          <w:rFonts w:hint="eastAsia" w:cs="Times New Roman" w:asciiTheme="minorEastAsia" w:hAnsiTheme="minorEastAsia"/>
          <w:color w:val="000000" w:themeColor="text1"/>
          <w:sz w:val="24"/>
          <w:szCs w:val="24"/>
          <w:lang w:eastAsia="zh-CN"/>
          <w14:textFill>
            <w14:solidFill>
              <w14:schemeClr w14:val="tx1"/>
            </w14:solidFill>
          </w14:textFill>
        </w:rPr>
        <w:t>冷媒</w:t>
      </w:r>
      <w:r>
        <w:rPr>
          <w:rFonts w:hint="eastAsia" w:cs="Times New Roman" w:asciiTheme="minorEastAsia" w:hAnsiTheme="minorEastAsia"/>
          <w:color w:val="000000" w:themeColor="text1"/>
          <w:sz w:val="24"/>
          <w:szCs w:val="24"/>
          <w14:textFill>
            <w14:solidFill>
              <w14:schemeClr w14:val="tx1"/>
            </w14:solidFill>
          </w14:textFill>
        </w:rPr>
        <w:t xml:space="preserve">标准瓶根据招标方车辆灌口尺寸制造，分为2套，其中1套仅用于真空测试，另外1套可以进行加注全过程的测试。用于真空测试的1套标准瓶设有数字真空表接口；用于加注全过程测试的标准瓶上连接有高精度压力表，并设有排液阀，用于加注后将标准瓶内的流体排出。 </w:t>
      </w:r>
    </w:p>
    <w:p>
      <w:pPr>
        <w:autoSpaceDE w:val="0"/>
        <w:autoSpaceDN w:val="0"/>
        <w:adjustRightInd w:val="0"/>
        <w:spacing w:line="360" w:lineRule="auto"/>
        <w:jc w:val="left"/>
        <w:rPr>
          <w:rFonts w:hint="eastAsia"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 xml:space="preserve">（3）空调标准瓶，设有高低压端（与车辆高低压端一致），标准瓶高低压端可与设备加注枪高低压端快速连接，并能进行抽真空和冷媒的加注。 </w:t>
      </w:r>
    </w:p>
    <w:p>
      <w:pPr>
        <w:autoSpaceDE w:val="0"/>
        <w:autoSpaceDN w:val="0"/>
        <w:adjustRightInd w:val="0"/>
        <w:spacing w:line="360" w:lineRule="auto"/>
        <w:jc w:val="left"/>
        <w:rPr>
          <w:rFonts w:hint="eastAsia"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 xml:space="preserve">（4）所有标准瓶采用不锈钢材质制作。 </w:t>
      </w:r>
    </w:p>
    <w:p>
      <w:pPr>
        <w:autoSpaceDE w:val="0"/>
        <w:autoSpaceDN w:val="0"/>
        <w:adjustRightInd w:val="0"/>
        <w:spacing w:line="360" w:lineRule="auto"/>
        <w:jc w:val="left"/>
        <w:rPr>
          <w:rFonts w:hint="eastAsia" w:ascii="仿宋_GB2312" w:hAnsi="宋体" w:eastAsia="仿宋_GB2312"/>
          <w:b/>
          <w:sz w:val="32"/>
          <w:szCs w:val="32"/>
        </w:rPr>
      </w:pPr>
      <w:r>
        <w:rPr>
          <w:rFonts w:hint="eastAsia" w:cs="Times New Roman" w:asciiTheme="minorEastAsia" w:hAnsiTheme="minorEastAsia"/>
          <w:color w:val="000000" w:themeColor="text1"/>
          <w:sz w:val="24"/>
          <w:szCs w:val="24"/>
          <w14:textFill>
            <w14:solidFill>
              <w14:schemeClr w14:val="tx1"/>
            </w14:solidFill>
          </w14:textFill>
        </w:rPr>
        <w:t>（5）所有和测量检测有关的元器件都需提供其校验合格证明，并贴有合格标签。</w:t>
      </w:r>
    </w:p>
    <w:p>
      <w:pPr>
        <w:pStyle w:val="7"/>
        <w:rPr>
          <w:rFonts w:hint="eastAsia" w:asciiTheme="majorEastAsia" w:hAnsiTheme="majorEastAsia" w:eastAsiaTheme="majorEastAsia" w:cstheme="majorEastAsia"/>
          <w:bCs/>
          <w:color w:val="000000" w:themeColor="text1"/>
          <w:szCs w:val="24"/>
          <w14:textFill>
            <w14:solidFill>
              <w14:schemeClr w14:val="tx1"/>
            </w14:solidFill>
          </w14:textFill>
        </w:rPr>
      </w:pPr>
      <w:r>
        <w:rPr>
          <w:rFonts w:hint="eastAsia" w:asciiTheme="majorEastAsia" w:hAnsiTheme="majorEastAsia" w:eastAsiaTheme="majorEastAsia" w:cstheme="majorEastAsia"/>
          <w:bCs/>
          <w:color w:val="000000" w:themeColor="text1"/>
          <w:szCs w:val="24"/>
          <w14:textFill>
            <w14:solidFill>
              <w14:schemeClr w14:val="tx1"/>
            </w14:solidFill>
          </w14:textFill>
        </w:rPr>
        <w:t>15.9特殊要求</w:t>
      </w:r>
    </w:p>
    <w:p>
      <w:pPr>
        <w:pStyle w:val="45"/>
        <w:spacing w:line="360" w:lineRule="auto"/>
        <w:ind w:left="0" w:leftChars="0" w:firstLine="480" w:firstLineChars="200"/>
        <w:rPr>
          <w:sz w:val="24"/>
          <w:szCs w:val="24"/>
          <w:lang w:eastAsia="zh-CN"/>
        </w:rPr>
      </w:pPr>
      <w:r>
        <w:rPr>
          <w:rFonts w:hint="eastAsia"/>
          <w:sz w:val="24"/>
          <w:szCs w:val="24"/>
          <w:lang w:eastAsia="zh-CN"/>
        </w:rPr>
        <w:t>为保证本技术规范书所列招标设备（或材料）的质量以及先进性、可靠性、经济性和实用性，要求投标单位在投标文件中，至少应具备以下资格证明文件或资料：</w:t>
      </w:r>
    </w:p>
    <w:p>
      <w:pPr>
        <w:spacing w:line="360" w:lineRule="auto"/>
        <w:rPr>
          <w:sz w:val="24"/>
          <w:szCs w:val="24"/>
        </w:rPr>
      </w:pPr>
      <w:r>
        <w:rPr>
          <w:rFonts w:hint="eastAsia" w:cs="Times New Roman" w:asciiTheme="minorEastAsia" w:hAnsiTheme="minorEastAsia"/>
          <w:color w:val="000000" w:themeColor="text1"/>
          <w:sz w:val="24"/>
          <w:szCs w:val="24"/>
          <w14:textFill>
            <w14:solidFill>
              <w14:schemeClr w14:val="tx1"/>
            </w14:solidFill>
          </w14:textFill>
        </w:rPr>
        <w:t>1.</w:t>
      </w:r>
      <w:r>
        <w:rPr>
          <w:rFonts w:hint="eastAsia"/>
          <w:sz w:val="24"/>
          <w:szCs w:val="24"/>
        </w:rPr>
        <w:t>投标方应是通过有关资格认证的单位，因此应附有有效期内的资格认证证书。</w:t>
      </w:r>
    </w:p>
    <w:p>
      <w:pPr>
        <w:spacing w:line="360" w:lineRule="auto"/>
        <w:rPr>
          <w:sz w:val="24"/>
          <w:szCs w:val="24"/>
        </w:rPr>
      </w:pPr>
      <w:r>
        <w:rPr>
          <w:rFonts w:hint="eastAsia" w:cs="Times New Roman" w:asciiTheme="minorEastAsia" w:hAnsiTheme="minorEastAsia"/>
          <w:color w:val="000000" w:themeColor="text1"/>
          <w:sz w:val="24"/>
          <w:szCs w:val="24"/>
          <w14:textFill>
            <w14:solidFill>
              <w14:schemeClr w14:val="tx1"/>
            </w14:solidFill>
          </w14:textFill>
        </w:rPr>
        <w:t>2.</w:t>
      </w:r>
      <w:r>
        <w:rPr>
          <w:rFonts w:hint="eastAsia"/>
          <w:sz w:val="24"/>
          <w:szCs w:val="24"/>
        </w:rPr>
        <w:t>必须附有与本招标设备（或材料）相同或相似技术规格、型号的设备（或材料）（已使用近三年以上）的市场销售业绩清单，清单中应具备：招标人单位名称、销售设备（或材料）的规格型号、数量、（交货）时间、联系人和联系电话（非移动通信号码）等条目内容。</w:t>
      </w:r>
    </w:p>
    <w:p>
      <w:pPr>
        <w:spacing w:line="360" w:lineRule="auto"/>
        <w:rPr>
          <w:sz w:val="24"/>
          <w:szCs w:val="24"/>
        </w:rPr>
      </w:pPr>
      <w:r>
        <w:rPr>
          <w:rFonts w:hint="eastAsia" w:cs="Times New Roman" w:asciiTheme="minorEastAsia" w:hAnsiTheme="minorEastAsia"/>
          <w:color w:val="000000" w:themeColor="text1"/>
          <w:sz w:val="24"/>
          <w:szCs w:val="24"/>
          <w14:textFill>
            <w14:solidFill>
              <w14:schemeClr w14:val="tx1"/>
            </w14:solidFill>
          </w14:textFill>
        </w:rPr>
        <w:t>3.</w:t>
      </w:r>
      <w:r>
        <w:rPr>
          <w:rFonts w:hint="eastAsia"/>
          <w:sz w:val="24"/>
          <w:szCs w:val="24"/>
        </w:rPr>
        <w:t>应附有其它与投标单位、投标设备（或材料）有关的荣誉证书或资料。</w:t>
      </w:r>
    </w:p>
    <w:p>
      <w:pPr>
        <w:spacing w:line="360" w:lineRule="auto"/>
        <w:rPr>
          <w:sz w:val="24"/>
          <w:szCs w:val="24"/>
        </w:rPr>
      </w:pPr>
      <w:r>
        <w:rPr>
          <w:rFonts w:hint="eastAsia" w:cs="Times New Roman" w:asciiTheme="minorEastAsia" w:hAnsiTheme="minorEastAsia"/>
          <w:color w:val="000000" w:themeColor="text1"/>
          <w:sz w:val="24"/>
          <w:szCs w:val="24"/>
          <w14:textFill>
            <w14:solidFill>
              <w14:schemeClr w14:val="tx1"/>
            </w14:solidFill>
          </w14:textFill>
        </w:rPr>
        <w:t>4.</w:t>
      </w:r>
      <w:r>
        <w:rPr>
          <w:rFonts w:hint="eastAsia"/>
          <w:sz w:val="24"/>
          <w:szCs w:val="24"/>
        </w:rPr>
        <w:t>应附有中国相关国家部委颁发的有效期之内所必需的《生产许可证》。</w:t>
      </w:r>
    </w:p>
    <w:p>
      <w:pPr>
        <w:spacing w:line="360" w:lineRule="auto"/>
      </w:pPr>
      <w:r>
        <w:rPr>
          <w:rFonts w:hint="eastAsia" w:cs="Times New Roman" w:asciiTheme="minorEastAsia" w:hAnsiTheme="minorEastAsia"/>
          <w:color w:val="000000" w:themeColor="text1"/>
          <w:sz w:val="24"/>
          <w:szCs w:val="24"/>
          <w14:textFill>
            <w14:solidFill>
              <w14:schemeClr w14:val="tx1"/>
            </w14:solidFill>
          </w14:textFill>
        </w:rPr>
        <w:t>5.</w:t>
      </w:r>
      <w:r>
        <w:rPr>
          <w:rFonts w:hint="eastAsia"/>
          <w:sz w:val="24"/>
          <w:szCs w:val="24"/>
        </w:rPr>
        <w:t>应附有必要的投标设备（或材料）的相关检验、试验报告，如：《型式试验的检验报告》、《产品鉴定证书》、《新技术成果证书》等。</w:t>
      </w:r>
    </w:p>
    <w:p>
      <w:pPr>
        <w:pStyle w:val="3"/>
      </w:pPr>
      <w:r>
        <w:rPr>
          <w:rFonts w:hint="eastAsia"/>
        </w:rPr>
        <w:t>六、备品、备件</w:t>
      </w:r>
    </w:p>
    <w:p>
      <w:pPr>
        <w:snapToGrid w:val="0"/>
        <w:spacing w:line="360" w:lineRule="auto"/>
        <w:ind w:firstLine="480" w:firstLineChars="200"/>
        <w:rPr>
          <w:rFonts w:hint="eastAsia" w:hAnsi="宋体"/>
          <w:sz w:val="24"/>
        </w:rPr>
      </w:pPr>
      <w:r>
        <w:rPr>
          <w:rFonts w:hint="eastAsia" w:hAnsi="宋体"/>
          <w:sz w:val="24"/>
        </w:rPr>
        <w:t>投标方向招标方提供备件清单，由招标方确认最终选择哪些作为备品备件，</w:t>
      </w:r>
      <w:r>
        <w:rPr>
          <w:rFonts w:hAnsi="宋体"/>
          <w:sz w:val="24"/>
        </w:rPr>
        <w:t xml:space="preserve"> </w:t>
      </w:r>
    </w:p>
    <w:p>
      <w:pPr>
        <w:pStyle w:val="3"/>
      </w:pPr>
      <w:r>
        <w:rPr>
          <w:rFonts w:hint="eastAsia"/>
        </w:rPr>
        <w:t>七、验收</w:t>
      </w:r>
    </w:p>
    <w:p>
      <w:pPr>
        <w:pStyle w:val="4"/>
      </w:pPr>
      <w:r>
        <w:rPr>
          <w:rFonts w:hint="eastAsia"/>
        </w:rPr>
        <w:t>1、预验收</w:t>
      </w:r>
    </w:p>
    <w:p>
      <w:pPr>
        <w:spacing w:line="360" w:lineRule="auto"/>
        <w:ind w:firstLine="480" w:firstLineChars="200"/>
        <w:rPr>
          <w:sz w:val="24"/>
          <w:szCs w:val="24"/>
        </w:rPr>
      </w:pPr>
      <w:r>
        <w:rPr>
          <w:rFonts w:hint="eastAsia" w:ascii="宋体" w:hAnsi="宋体"/>
          <w:sz w:val="24"/>
          <w:szCs w:val="24"/>
        </w:rPr>
        <w:t>1.1</w:t>
      </w:r>
      <w:r>
        <w:rPr>
          <w:rFonts w:hint="eastAsia"/>
          <w:sz w:val="24"/>
          <w:szCs w:val="24"/>
        </w:rPr>
        <w:t>设备制造完成后，投标方在设备制造地点进行自验收，验收通过后，通知招标方到制造地点进行项目预验收。</w:t>
      </w:r>
    </w:p>
    <w:p>
      <w:pPr>
        <w:spacing w:line="360" w:lineRule="auto"/>
        <w:ind w:firstLine="480" w:firstLineChars="200"/>
        <w:rPr>
          <w:sz w:val="24"/>
          <w:szCs w:val="24"/>
        </w:rPr>
      </w:pPr>
      <w:r>
        <w:rPr>
          <w:rFonts w:hint="eastAsia" w:ascii="宋体" w:hAnsi="宋体"/>
          <w:sz w:val="24"/>
          <w:szCs w:val="24"/>
        </w:rPr>
        <w:t>1.2</w:t>
      </w:r>
      <w:r>
        <w:rPr>
          <w:rFonts w:hint="eastAsia"/>
          <w:sz w:val="24"/>
          <w:szCs w:val="24"/>
        </w:rPr>
        <w:t>招标方负责提供相关产品件用于项目的预验收。</w:t>
      </w:r>
    </w:p>
    <w:p>
      <w:pPr>
        <w:spacing w:line="360" w:lineRule="auto"/>
        <w:ind w:firstLine="480" w:firstLineChars="200"/>
        <w:rPr>
          <w:sz w:val="24"/>
          <w:szCs w:val="24"/>
        </w:rPr>
      </w:pPr>
      <w:r>
        <w:rPr>
          <w:rFonts w:hint="eastAsia" w:ascii="宋体" w:hAnsi="宋体"/>
          <w:sz w:val="24"/>
          <w:szCs w:val="24"/>
        </w:rPr>
        <w:t>1.3</w:t>
      </w:r>
      <w:r>
        <w:rPr>
          <w:rFonts w:hint="eastAsia"/>
          <w:sz w:val="24"/>
          <w:szCs w:val="24"/>
        </w:rPr>
        <w:t>双方参加，检查线体设备各部件操作性、吊具的吊装操作性等。经招标方确认合格后方可包装、发运。</w:t>
      </w:r>
    </w:p>
    <w:p>
      <w:pPr>
        <w:spacing w:line="360" w:lineRule="auto"/>
        <w:ind w:firstLine="480" w:firstLineChars="200"/>
        <w:rPr>
          <w:sz w:val="24"/>
          <w:szCs w:val="24"/>
        </w:rPr>
      </w:pPr>
      <w:r>
        <w:rPr>
          <w:rFonts w:hint="eastAsia" w:ascii="宋体" w:hAnsi="宋体"/>
          <w:sz w:val="24"/>
          <w:szCs w:val="24"/>
        </w:rPr>
        <w:t>1.4</w:t>
      </w:r>
      <w:r>
        <w:rPr>
          <w:rFonts w:hint="eastAsia"/>
          <w:sz w:val="24"/>
          <w:szCs w:val="24"/>
        </w:rPr>
        <w:t>在线体设备的预验收过程中，由于投标方设计或制造等原因而出现的质量问题，招标方有权提出请投标方返修，然后再次检查直至合格。</w:t>
      </w:r>
    </w:p>
    <w:p>
      <w:pPr>
        <w:spacing w:line="360" w:lineRule="auto"/>
        <w:ind w:firstLine="480" w:firstLineChars="200"/>
        <w:rPr>
          <w:sz w:val="24"/>
          <w:szCs w:val="24"/>
        </w:rPr>
      </w:pPr>
      <w:r>
        <w:rPr>
          <w:rFonts w:hint="eastAsia" w:ascii="宋体" w:hAnsi="宋体"/>
          <w:sz w:val="24"/>
          <w:szCs w:val="24"/>
        </w:rPr>
        <w:t>1.5</w:t>
      </w:r>
      <w:r>
        <w:rPr>
          <w:rFonts w:hint="eastAsia"/>
          <w:sz w:val="24"/>
          <w:szCs w:val="24"/>
        </w:rPr>
        <w:t>预验收合格后，发运前双方需签署预验收记录，但预验收合格的记录不能替代最终验收报告。</w:t>
      </w:r>
    </w:p>
    <w:p>
      <w:pPr>
        <w:spacing w:line="360" w:lineRule="auto"/>
        <w:ind w:firstLine="480" w:firstLineChars="200"/>
        <w:rPr>
          <w:sz w:val="24"/>
          <w:szCs w:val="24"/>
        </w:rPr>
      </w:pPr>
      <w:r>
        <w:rPr>
          <w:rFonts w:hint="eastAsia" w:ascii="宋体" w:hAnsi="宋体"/>
          <w:sz w:val="24"/>
          <w:szCs w:val="24"/>
        </w:rPr>
        <w:t>1.6</w:t>
      </w:r>
      <w:r>
        <w:rPr>
          <w:rFonts w:hint="eastAsia"/>
          <w:sz w:val="24"/>
          <w:szCs w:val="24"/>
        </w:rPr>
        <w:t>预验收合格后的所有试件应经防腐处理后设备一起发交至招标方。</w:t>
      </w:r>
    </w:p>
    <w:p>
      <w:pPr>
        <w:pStyle w:val="4"/>
      </w:pPr>
      <w:r>
        <w:rPr>
          <w:rFonts w:hint="eastAsia"/>
        </w:rPr>
        <w:t>2、终验收</w:t>
      </w:r>
    </w:p>
    <w:p>
      <w:pPr>
        <w:spacing w:line="360" w:lineRule="auto"/>
        <w:ind w:firstLine="480" w:firstLineChars="200"/>
        <w:rPr>
          <w:sz w:val="24"/>
          <w:szCs w:val="24"/>
        </w:rPr>
      </w:pPr>
      <w:r>
        <w:rPr>
          <w:rFonts w:hint="eastAsia" w:ascii="宋体" w:hAnsi="宋体"/>
          <w:sz w:val="24"/>
          <w:szCs w:val="24"/>
        </w:rPr>
        <w:t>2.1</w:t>
      </w:r>
      <w:r>
        <w:rPr>
          <w:rFonts w:hint="eastAsia"/>
          <w:sz w:val="24"/>
          <w:szCs w:val="24"/>
        </w:rPr>
        <w:t>投标方派专家到招标方现场对线体设备进行安装调试和技术指导。所有设备由投标方负责安装、调试完成后，</w:t>
      </w:r>
      <w:r>
        <w:rPr>
          <w:rFonts w:hint="eastAsia" w:ascii="宋体" w:hAnsi="宋体"/>
          <w:sz w:val="24"/>
        </w:rPr>
        <w:t>整线连续运行无故障时间(MTBF)1200小时，</w:t>
      </w:r>
      <w:r>
        <w:rPr>
          <w:rFonts w:hint="eastAsia"/>
          <w:sz w:val="24"/>
          <w:szCs w:val="24"/>
        </w:rPr>
        <w:t>双方在生产地点进行最终验收。</w:t>
      </w:r>
    </w:p>
    <w:p>
      <w:pPr>
        <w:spacing w:line="360" w:lineRule="auto"/>
        <w:ind w:firstLine="480" w:firstLineChars="200"/>
        <w:rPr>
          <w:sz w:val="24"/>
          <w:szCs w:val="24"/>
        </w:rPr>
      </w:pPr>
      <w:r>
        <w:rPr>
          <w:rFonts w:hint="eastAsia" w:ascii="宋体" w:hAnsi="宋体"/>
          <w:sz w:val="24"/>
          <w:szCs w:val="24"/>
        </w:rPr>
        <w:t>2.2</w:t>
      </w:r>
      <w:r>
        <w:rPr>
          <w:rFonts w:hint="eastAsia"/>
          <w:sz w:val="24"/>
          <w:szCs w:val="24"/>
        </w:rPr>
        <w:t>最终验收期间若发现合同供货内容有质量问题或发现破损、缺陷和缺少零件，投标方应根据招标方要求免费更换零部件并解决问题，并且记录在终验收的报告中。</w:t>
      </w:r>
    </w:p>
    <w:p>
      <w:pPr>
        <w:spacing w:line="360" w:lineRule="auto"/>
        <w:ind w:firstLine="480" w:firstLineChars="200"/>
        <w:rPr>
          <w:sz w:val="24"/>
          <w:szCs w:val="24"/>
        </w:rPr>
      </w:pPr>
      <w:r>
        <w:rPr>
          <w:rFonts w:hint="eastAsia" w:ascii="宋体" w:hAnsi="宋体"/>
          <w:sz w:val="24"/>
          <w:szCs w:val="24"/>
        </w:rPr>
        <w:t>2.3</w:t>
      </w:r>
      <w:r>
        <w:rPr>
          <w:rFonts w:hint="eastAsia"/>
          <w:sz w:val="24"/>
          <w:szCs w:val="24"/>
        </w:rPr>
        <w:t>按合同要求验收，若投标方提供的标的内容、技术资料与合同中规定的内容有不符或缺少时，招标方有权要求更换及补偿。</w:t>
      </w:r>
    </w:p>
    <w:p>
      <w:pPr>
        <w:spacing w:line="360" w:lineRule="auto"/>
        <w:ind w:firstLine="480" w:firstLineChars="200"/>
        <w:rPr>
          <w:sz w:val="24"/>
          <w:szCs w:val="24"/>
        </w:rPr>
      </w:pPr>
      <w:r>
        <w:rPr>
          <w:rFonts w:hint="eastAsia" w:ascii="宋体" w:hAnsi="宋体"/>
          <w:sz w:val="24"/>
          <w:szCs w:val="24"/>
        </w:rPr>
        <w:t>2.4</w:t>
      </w:r>
      <w:r>
        <w:rPr>
          <w:rFonts w:hint="eastAsia"/>
          <w:sz w:val="24"/>
          <w:szCs w:val="24"/>
        </w:rPr>
        <w:t>检验线体设备的精度、线体设备运行的稳定程度，如发现与合同要求不符，投标方应负责解决。</w:t>
      </w:r>
    </w:p>
    <w:p>
      <w:pPr>
        <w:spacing w:line="360" w:lineRule="auto"/>
        <w:ind w:firstLine="480" w:firstLineChars="200"/>
        <w:rPr>
          <w:sz w:val="24"/>
          <w:szCs w:val="24"/>
        </w:rPr>
      </w:pPr>
      <w:r>
        <w:rPr>
          <w:rFonts w:hint="eastAsia" w:ascii="宋体" w:hAnsi="宋体"/>
          <w:sz w:val="24"/>
          <w:szCs w:val="24"/>
        </w:rPr>
        <w:t>2.5</w:t>
      </w:r>
      <w:r>
        <w:rPr>
          <w:rFonts w:hint="eastAsia"/>
          <w:sz w:val="24"/>
          <w:szCs w:val="24"/>
        </w:rPr>
        <w:t>终验收合格后，双方签署终验收合格报告。</w:t>
      </w:r>
    </w:p>
    <w:p>
      <w:pPr>
        <w:spacing w:line="360" w:lineRule="auto"/>
        <w:ind w:firstLine="480" w:firstLineChars="200"/>
        <w:rPr>
          <w:sz w:val="24"/>
          <w:szCs w:val="24"/>
        </w:rPr>
      </w:pPr>
      <w:r>
        <w:rPr>
          <w:rFonts w:hint="eastAsia" w:ascii="宋体" w:hAnsi="宋体"/>
          <w:sz w:val="24"/>
          <w:szCs w:val="24"/>
        </w:rPr>
        <w:t>2.6</w:t>
      </w:r>
      <w:r>
        <w:rPr>
          <w:rFonts w:hint="eastAsia"/>
          <w:sz w:val="24"/>
          <w:szCs w:val="24"/>
        </w:rPr>
        <w:t>投标方一旦中标，需向招标方提供的技术文件资料：</w:t>
      </w:r>
    </w:p>
    <w:p>
      <w:pPr>
        <w:spacing w:line="360" w:lineRule="auto"/>
        <w:ind w:firstLine="480" w:firstLineChars="200"/>
        <w:rPr>
          <w:sz w:val="24"/>
          <w:szCs w:val="24"/>
        </w:rPr>
      </w:pPr>
      <w:r>
        <w:rPr>
          <w:rFonts w:hint="eastAsia"/>
          <w:sz w:val="24"/>
          <w:szCs w:val="24"/>
        </w:rPr>
        <w:t>所有技术文件资料均为纸质文件2套和电子版文件（含3D和2D）1套，其中所有电子版文件必须使用国际通用软件以确保能在招标方的计算机中打开并进行编辑和修改。</w:t>
      </w:r>
    </w:p>
    <w:p>
      <w:pPr>
        <w:spacing w:line="360" w:lineRule="auto"/>
        <w:ind w:firstLine="480" w:firstLineChars="200"/>
        <w:rPr>
          <w:sz w:val="24"/>
          <w:szCs w:val="24"/>
        </w:rPr>
      </w:pPr>
      <w:r>
        <w:rPr>
          <w:rFonts w:hint="eastAsia" w:ascii="宋体" w:hAnsi="宋体"/>
          <w:sz w:val="24"/>
          <w:szCs w:val="24"/>
        </w:rPr>
        <w:t>2.6.1</w:t>
      </w:r>
      <w:r>
        <w:rPr>
          <w:rFonts w:hint="eastAsia"/>
          <w:sz w:val="24"/>
          <w:szCs w:val="24"/>
        </w:rPr>
        <w:t>工艺部分</w:t>
      </w:r>
    </w:p>
    <w:p>
      <w:pPr>
        <w:spacing w:line="360" w:lineRule="auto"/>
        <w:ind w:firstLine="480" w:firstLineChars="200"/>
        <w:rPr>
          <w:sz w:val="24"/>
          <w:szCs w:val="24"/>
        </w:rPr>
      </w:pPr>
      <w:r>
        <w:rPr>
          <w:rFonts w:hint="eastAsia" w:ascii="宋体" w:hAnsi="宋体"/>
          <w:sz w:val="24"/>
          <w:szCs w:val="24"/>
        </w:rPr>
        <w:t>A.</w:t>
      </w:r>
      <w:r>
        <w:rPr>
          <w:rFonts w:hint="eastAsia"/>
          <w:sz w:val="24"/>
          <w:szCs w:val="24"/>
        </w:rPr>
        <w:t>工艺方案及相应的作业指导书；</w:t>
      </w:r>
    </w:p>
    <w:p>
      <w:pPr>
        <w:spacing w:line="360" w:lineRule="auto"/>
        <w:ind w:firstLine="480" w:firstLineChars="200"/>
        <w:rPr>
          <w:sz w:val="24"/>
          <w:szCs w:val="24"/>
        </w:rPr>
      </w:pPr>
      <w:r>
        <w:rPr>
          <w:rFonts w:hint="eastAsia" w:ascii="宋体" w:hAnsi="宋体"/>
          <w:sz w:val="24"/>
          <w:szCs w:val="24"/>
        </w:rPr>
        <w:t>B.</w:t>
      </w:r>
      <w:r>
        <w:rPr>
          <w:rFonts w:hint="eastAsia"/>
          <w:sz w:val="24"/>
          <w:szCs w:val="24"/>
        </w:rPr>
        <w:t>质量检验方案及相应的作业指导书；</w:t>
      </w:r>
    </w:p>
    <w:p>
      <w:pPr>
        <w:spacing w:line="360" w:lineRule="auto"/>
        <w:ind w:firstLine="480" w:firstLineChars="200"/>
        <w:rPr>
          <w:sz w:val="24"/>
          <w:szCs w:val="24"/>
        </w:rPr>
      </w:pPr>
      <w:r>
        <w:rPr>
          <w:rFonts w:hint="eastAsia" w:ascii="宋体" w:hAnsi="宋体"/>
          <w:sz w:val="24"/>
          <w:szCs w:val="24"/>
        </w:rPr>
        <w:t>C.</w:t>
      </w:r>
      <w:r>
        <w:rPr>
          <w:rFonts w:hint="eastAsia"/>
          <w:sz w:val="24"/>
          <w:szCs w:val="24"/>
        </w:rPr>
        <w:t>各线体设备附件的数量、规格明细及可供制造或采购的图纸、标准；</w:t>
      </w:r>
    </w:p>
    <w:p>
      <w:pPr>
        <w:spacing w:line="360" w:lineRule="auto"/>
        <w:ind w:firstLine="480" w:firstLineChars="200"/>
        <w:rPr>
          <w:sz w:val="24"/>
          <w:szCs w:val="24"/>
        </w:rPr>
      </w:pPr>
      <w:r>
        <w:rPr>
          <w:rFonts w:hint="eastAsia" w:ascii="宋体" w:hAnsi="宋体"/>
          <w:sz w:val="24"/>
          <w:szCs w:val="24"/>
        </w:rPr>
        <w:t>D.</w:t>
      </w:r>
      <w:r>
        <w:rPr>
          <w:rFonts w:hint="eastAsia"/>
          <w:sz w:val="24"/>
          <w:szCs w:val="24"/>
        </w:rPr>
        <w:t>标的物的操作、使用和维修手册，以及液压、电气、润滑（气动）原理图；</w:t>
      </w:r>
    </w:p>
    <w:p>
      <w:pPr>
        <w:spacing w:line="360" w:lineRule="auto"/>
        <w:ind w:firstLine="480" w:firstLineChars="200"/>
        <w:rPr>
          <w:sz w:val="24"/>
          <w:szCs w:val="24"/>
        </w:rPr>
      </w:pPr>
      <w:r>
        <w:rPr>
          <w:rFonts w:hint="eastAsia" w:ascii="宋体" w:hAnsi="宋体"/>
          <w:sz w:val="24"/>
          <w:szCs w:val="24"/>
        </w:rPr>
        <w:t>E.</w:t>
      </w:r>
      <w:r>
        <w:rPr>
          <w:rFonts w:hint="eastAsia"/>
          <w:sz w:val="24"/>
          <w:szCs w:val="24"/>
        </w:rPr>
        <w:t>提供设施消耗水、电、气的详细资料。保证设施正常运行、维护和保养所必需的其它参数和资料；</w:t>
      </w:r>
    </w:p>
    <w:p>
      <w:pPr>
        <w:spacing w:line="360" w:lineRule="auto"/>
        <w:ind w:firstLine="480" w:firstLineChars="200"/>
        <w:rPr>
          <w:sz w:val="24"/>
          <w:szCs w:val="24"/>
        </w:rPr>
      </w:pPr>
      <w:r>
        <w:rPr>
          <w:rFonts w:hint="eastAsia" w:ascii="宋体" w:hAnsi="宋体"/>
          <w:sz w:val="24"/>
          <w:szCs w:val="24"/>
        </w:rPr>
        <w:t>F.</w:t>
      </w:r>
      <w:r>
        <w:rPr>
          <w:rFonts w:hint="eastAsia"/>
          <w:sz w:val="24"/>
          <w:szCs w:val="24"/>
        </w:rPr>
        <w:t>水、电、气的位置图及接点、接口指示图。</w:t>
      </w:r>
    </w:p>
    <w:p>
      <w:pPr>
        <w:spacing w:line="360" w:lineRule="auto"/>
        <w:ind w:firstLine="480" w:firstLineChars="200"/>
        <w:rPr>
          <w:sz w:val="24"/>
          <w:szCs w:val="24"/>
        </w:rPr>
      </w:pPr>
      <w:r>
        <w:rPr>
          <w:rFonts w:hint="eastAsia" w:ascii="宋体" w:hAnsi="宋体"/>
          <w:sz w:val="24"/>
          <w:szCs w:val="24"/>
        </w:rPr>
        <w:t>2.6.2</w:t>
      </w:r>
      <w:r>
        <w:rPr>
          <w:rFonts w:hint="eastAsia"/>
          <w:sz w:val="24"/>
          <w:szCs w:val="24"/>
        </w:rPr>
        <w:t>工装部分</w:t>
      </w:r>
    </w:p>
    <w:p>
      <w:pPr>
        <w:spacing w:line="360" w:lineRule="auto"/>
        <w:ind w:firstLine="480" w:firstLineChars="200"/>
        <w:rPr>
          <w:sz w:val="24"/>
          <w:szCs w:val="24"/>
        </w:rPr>
      </w:pPr>
      <w:r>
        <w:rPr>
          <w:rFonts w:hint="eastAsia" w:ascii="宋体" w:hAnsi="宋体"/>
          <w:sz w:val="24"/>
          <w:szCs w:val="24"/>
        </w:rPr>
        <w:t>A.</w:t>
      </w:r>
      <w:r>
        <w:rPr>
          <w:rFonts w:hint="eastAsia"/>
          <w:sz w:val="24"/>
          <w:szCs w:val="24"/>
        </w:rPr>
        <w:t>工装图纸（包括总成图、分总成图、部件图、零件图、基础图以及适用的标准等技术文件），投标方专利部分图纸，可提供简图；工装图中的各定位孔应有坐标数据表；</w:t>
      </w:r>
    </w:p>
    <w:p>
      <w:pPr>
        <w:spacing w:line="360" w:lineRule="auto"/>
        <w:ind w:firstLine="480" w:firstLineChars="200"/>
        <w:rPr>
          <w:sz w:val="24"/>
          <w:szCs w:val="24"/>
        </w:rPr>
      </w:pPr>
      <w:r>
        <w:rPr>
          <w:rFonts w:hint="eastAsia" w:ascii="宋体" w:hAnsi="宋体"/>
          <w:sz w:val="24"/>
          <w:szCs w:val="24"/>
        </w:rPr>
        <w:t>B.</w:t>
      </w:r>
      <w:r>
        <w:rPr>
          <w:rFonts w:hint="eastAsia"/>
          <w:sz w:val="24"/>
          <w:szCs w:val="24"/>
        </w:rPr>
        <w:t>线体设备附件等明细表、外购件明细表及相应的供应商联系地址和使用、维修说明书；</w:t>
      </w:r>
    </w:p>
    <w:p>
      <w:pPr>
        <w:spacing w:line="360" w:lineRule="auto"/>
        <w:ind w:firstLine="480" w:firstLineChars="200"/>
        <w:rPr>
          <w:sz w:val="24"/>
          <w:szCs w:val="24"/>
        </w:rPr>
      </w:pPr>
      <w:r>
        <w:rPr>
          <w:rFonts w:hint="eastAsia" w:ascii="宋体" w:hAnsi="宋体"/>
          <w:sz w:val="24"/>
          <w:szCs w:val="24"/>
        </w:rPr>
        <w:t>C.</w:t>
      </w:r>
      <w:r>
        <w:rPr>
          <w:rFonts w:hint="eastAsia"/>
          <w:sz w:val="24"/>
          <w:szCs w:val="24"/>
        </w:rPr>
        <w:t>电器、压缩空气、循环水、润滑系统原理图，润滑点及相应的维护使用说明书（图）；</w:t>
      </w:r>
    </w:p>
    <w:p>
      <w:pPr>
        <w:spacing w:line="360" w:lineRule="auto"/>
        <w:ind w:firstLine="480" w:firstLineChars="200"/>
        <w:rPr>
          <w:sz w:val="24"/>
          <w:szCs w:val="24"/>
        </w:rPr>
      </w:pPr>
      <w:r>
        <w:rPr>
          <w:rFonts w:hint="eastAsia" w:ascii="宋体" w:hAnsi="宋体"/>
          <w:sz w:val="24"/>
          <w:szCs w:val="24"/>
        </w:rPr>
        <w:t>D.</w:t>
      </w:r>
      <w:r>
        <w:rPr>
          <w:rFonts w:hint="eastAsia"/>
          <w:sz w:val="24"/>
          <w:szCs w:val="24"/>
        </w:rPr>
        <w:t>工装使用说明书；</w:t>
      </w:r>
    </w:p>
    <w:p>
      <w:pPr>
        <w:spacing w:line="360" w:lineRule="auto"/>
        <w:ind w:firstLine="480" w:firstLineChars="200"/>
        <w:rPr>
          <w:sz w:val="24"/>
          <w:szCs w:val="24"/>
        </w:rPr>
      </w:pPr>
      <w:r>
        <w:rPr>
          <w:rFonts w:hint="eastAsia" w:ascii="宋体" w:hAnsi="宋体"/>
          <w:sz w:val="24"/>
          <w:szCs w:val="24"/>
        </w:rPr>
        <w:t>E.</w:t>
      </w:r>
      <w:r>
        <w:rPr>
          <w:rFonts w:hint="eastAsia"/>
          <w:sz w:val="24"/>
          <w:szCs w:val="24"/>
        </w:rPr>
        <w:t>线体设备附件检测数据记录，终验收前需再次进行全线工装检测，并提供相关记录；</w:t>
      </w:r>
    </w:p>
    <w:p>
      <w:pPr>
        <w:spacing w:line="360" w:lineRule="auto"/>
        <w:ind w:firstLine="480" w:firstLineChars="200"/>
        <w:rPr>
          <w:sz w:val="24"/>
          <w:szCs w:val="24"/>
        </w:rPr>
      </w:pPr>
      <w:r>
        <w:rPr>
          <w:rFonts w:hint="eastAsia" w:ascii="宋体" w:hAnsi="宋体"/>
          <w:sz w:val="24"/>
          <w:szCs w:val="24"/>
        </w:rPr>
        <w:t>F.</w:t>
      </w:r>
      <w:r>
        <w:rPr>
          <w:rFonts w:hint="eastAsia"/>
          <w:sz w:val="24"/>
          <w:szCs w:val="24"/>
        </w:rPr>
        <w:t>线体设备所生产产品的检测记录（包括检测数据记录并进行说明）。</w:t>
      </w:r>
    </w:p>
    <w:p>
      <w:pPr>
        <w:pStyle w:val="3"/>
      </w:pPr>
      <w:r>
        <w:rPr>
          <w:rFonts w:hint="eastAsia"/>
        </w:rPr>
        <w:t>八、服务</w:t>
      </w:r>
    </w:p>
    <w:p>
      <w:pPr>
        <w:pStyle w:val="4"/>
      </w:pPr>
      <w:r>
        <w:rPr>
          <w:rFonts w:hint="eastAsia"/>
        </w:rPr>
        <w:t>1.</w:t>
      </w:r>
      <w:r>
        <w:rPr>
          <w:rFonts w:hint="eastAsia"/>
        </w:rPr>
        <w:tab/>
      </w:r>
      <w:r>
        <w:rPr>
          <w:rFonts w:hint="eastAsia"/>
        </w:rPr>
        <w:t>技术培训</w:t>
      </w:r>
    </w:p>
    <w:p>
      <w:pPr>
        <w:spacing w:line="360" w:lineRule="auto"/>
        <w:ind w:firstLine="480" w:firstLineChars="200"/>
        <w:rPr>
          <w:sz w:val="24"/>
          <w:szCs w:val="24"/>
        </w:rPr>
      </w:pPr>
      <w:r>
        <w:rPr>
          <w:rFonts w:hint="eastAsia" w:ascii="宋体" w:hAnsi="宋体"/>
          <w:sz w:val="24"/>
          <w:szCs w:val="24"/>
        </w:rPr>
        <w:t>1.1</w:t>
      </w:r>
      <w:r>
        <w:rPr>
          <w:rFonts w:hint="eastAsia"/>
          <w:sz w:val="24"/>
          <w:szCs w:val="24"/>
        </w:rPr>
        <w:t>在预验收和终验收期间，投标方应派有经验的专家对招标方相关人员进行理论和实际操作的培训，并提供成套培训资料，所有培训应是免费的。</w:t>
      </w:r>
    </w:p>
    <w:p>
      <w:pPr>
        <w:spacing w:line="360" w:lineRule="auto"/>
        <w:ind w:firstLine="480" w:firstLineChars="200"/>
        <w:rPr>
          <w:sz w:val="24"/>
          <w:szCs w:val="24"/>
        </w:rPr>
      </w:pPr>
      <w:r>
        <w:rPr>
          <w:rFonts w:hint="eastAsia" w:ascii="宋体" w:hAnsi="宋体"/>
          <w:sz w:val="24"/>
          <w:szCs w:val="24"/>
        </w:rPr>
        <w:t>1.2</w:t>
      </w:r>
      <w:r>
        <w:rPr>
          <w:rFonts w:hint="eastAsia"/>
          <w:sz w:val="24"/>
          <w:szCs w:val="24"/>
        </w:rPr>
        <w:t>培训结束后，投标方应保证招标方相关人员能正确、熟练地掌握标的物的操作和维护，并在各条线体正常运行时，能排除一般性故障。</w:t>
      </w:r>
    </w:p>
    <w:p>
      <w:pPr>
        <w:spacing w:line="360" w:lineRule="auto"/>
        <w:ind w:firstLine="480" w:firstLineChars="200"/>
        <w:rPr>
          <w:sz w:val="24"/>
          <w:szCs w:val="24"/>
        </w:rPr>
      </w:pPr>
      <w:r>
        <w:rPr>
          <w:rFonts w:hint="eastAsia" w:ascii="宋体" w:hAnsi="宋体"/>
          <w:sz w:val="24"/>
          <w:szCs w:val="24"/>
        </w:rPr>
        <w:t>1.3</w:t>
      </w:r>
      <w:r>
        <w:rPr>
          <w:rFonts w:hint="eastAsia"/>
          <w:sz w:val="24"/>
          <w:szCs w:val="24"/>
        </w:rPr>
        <w:t>培训期间的交流语言为中文，当采用其他语言时投标方应提供翻译。</w:t>
      </w:r>
    </w:p>
    <w:p>
      <w:pPr>
        <w:pStyle w:val="4"/>
      </w:pPr>
      <w:r>
        <w:rPr>
          <w:rFonts w:hint="eastAsia"/>
        </w:rPr>
        <w:t>2.</w:t>
      </w:r>
      <w:r>
        <w:rPr>
          <w:rFonts w:hint="eastAsia"/>
        </w:rPr>
        <w:tab/>
      </w:r>
      <w:r>
        <w:rPr>
          <w:rFonts w:hint="eastAsia"/>
        </w:rPr>
        <w:t>质量保证期及售后服务</w:t>
      </w:r>
    </w:p>
    <w:p>
      <w:pPr>
        <w:spacing w:line="360" w:lineRule="auto"/>
        <w:ind w:firstLine="480" w:firstLineChars="200"/>
        <w:rPr>
          <w:sz w:val="24"/>
          <w:szCs w:val="24"/>
        </w:rPr>
      </w:pPr>
      <w:r>
        <w:rPr>
          <w:rFonts w:hint="eastAsia" w:ascii="宋体" w:hAnsi="宋体"/>
          <w:sz w:val="24"/>
          <w:szCs w:val="24"/>
        </w:rPr>
        <w:t>2.1</w:t>
      </w:r>
      <w:r>
        <w:rPr>
          <w:rFonts w:hint="eastAsia"/>
          <w:sz w:val="24"/>
          <w:szCs w:val="24"/>
        </w:rPr>
        <w:t>质量保证期为标的最终验收合格后12个月。</w:t>
      </w:r>
    </w:p>
    <w:p>
      <w:pPr>
        <w:spacing w:line="360" w:lineRule="auto"/>
        <w:ind w:firstLine="480" w:firstLineChars="200"/>
        <w:rPr>
          <w:sz w:val="24"/>
          <w:szCs w:val="24"/>
        </w:rPr>
      </w:pPr>
      <w:r>
        <w:rPr>
          <w:rFonts w:hint="eastAsia" w:ascii="宋体" w:hAnsi="宋体"/>
          <w:sz w:val="24"/>
          <w:szCs w:val="24"/>
        </w:rPr>
        <w:t>2.2</w:t>
      </w:r>
      <w:r>
        <w:rPr>
          <w:rFonts w:hint="eastAsia"/>
          <w:sz w:val="24"/>
          <w:szCs w:val="24"/>
        </w:rPr>
        <w:t>在设备终验收后，投标方应派专业人员到招标方现场陪产6个月，提供技术服务，以确保各线体线稳定运行以及生产节拍、产品质量和精度，如生产线在陪产期间有重大故障发生，陪产看护期顺延，以故障排除之日起重新计算6个月陪产期。</w:t>
      </w:r>
    </w:p>
    <w:p>
      <w:pPr>
        <w:spacing w:line="360" w:lineRule="auto"/>
        <w:ind w:firstLine="480" w:firstLineChars="200"/>
        <w:rPr>
          <w:sz w:val="24"/>
          <w:szCs w:val="24"/>
        </w:rPr>
      </w:pPr>
      <w:r>
        <w:rPr>
          <w:rFonts w:hint="eastAsia" w:ascii="宋体" w:hAnsi="宋体"/>
          <w:sz w:val="24"/>
          <w:szCs w:val="24"/>
        </w:rPr>
        <w:t>2.3</w:t>
      </w:r>
      <w:r>
        <w:rPr>
          <w:rFonts w:hint="eastAsia"/>
          <w:sz w:val="24"/>
          <w:szCs w:val="24"/>
        </w:rPr>
        <w:t>质保期内维修使用的备品备件由投标方提供。</w:t>
      </w:r>
    </w:p>
    <w:p>
      <w:pPr>
        <w:spacing w:line="360" w:lineRule="auto"/>
        <w:ind w:firstLine="480" w:firstLineChars="200"/>
        <w:rPr>
          <w:sz w:val="24"/>
          <w:szCs w:val="24"/>
        </w:rPr>
      </w:pPr>
      <w:r>
        <w:rPr>
          <w:rFonts w:hint="eastAsia" w:ascii="宋体" w:hAnsi="宋体"/>
          <w:sz w:val="24"/>
          <w:szCs w:val="24"/>
        </w:rPr>
        <w:t>2.4</w:t>
      </w:r>
      <w:r>
        <w:rPr>
          <w:rFonts w:hint="eastAsia"/>
          <w:sz w:val="24"/>
          <w:szCs w:val="24"/>
        </w:rPr>
        <w:t>质保期过后，投标方提供备品备件的明细、品牌和参数，招标方根据实际需求采购。</w:t>
      </w:r>
    </w:p>
    <w:p>
      <w:pPr>
        <w:pStyle w:val="3"/>
      </w:pPr>
      <w:r>
        <w:rPr>
          <w:rFonts w:hint="eastAsia"/>
        </w:rPr>
        <w:t>九、交货期</w:t>
      </w:r>
    </w:p>
    <w:p>
      <w:pPr>
        <w:spacing w:line="360" w:lineRule="auto"/>
        <w:ind w:firstLine="480" w:firstLineChars="200"/>
        <w:rPr>
          <w:sz w:val="24"/>
          <w:szCs w:val="24"/>
        </w:rPr>
      </w:pPr>
      <w:r>
        <w:rPr>
          <w:rFonts w:hint="eastAsia"/>
          <w:sz w:val="24"/>
          <w:szCs w:val="24"/>
        </w:rPr>
        <w:t>投标方收到中标通知书后120个日历日内所有设备完成预验收并发运至招标方指定地点。</w:t>
      </w:r>
    </w:p>
    <w:p>
      <w:pPr>
        <w:spacing w:line="360" w:lineRule="auto"/>
        <w:ind w:firstLine="480" w:firstLineChars="200"/>
        <w:rPr>
          <w:sz w:val="24"/>
          <w:szCs w:val="24"/>
        </w:rPr>
        <w:sectPr>
          <w:pgSz w:w="11906" w:h="16838"/>
          <w:pgMar w:top="1440" w:right="1800" w:bottom="1440" w:left="1800" w:header="851" w:footer="992" w:gutter="0"/>
          <w:cols w:space="425" w:num="1"/>
          <w:docGrid w:type="lines" w:linePitch="312" w:charSpace="0"/>
        </w:sectPr>
      </w:pPr>
    </w:p>
    <w:p>
      <w:pPr>
        <w:spacing w:line="360" w:lineRule="auto"/>
        <w:jc w:val="center"/>
        <w:outlineLvl w:val="0"/>
        <w:rPr>
          <w:rFonts w:ascii="宋体" w:hAnsi="Calibri" w:eastAsia="宋体" w:cs="Times New Roman"/>
          <w:b/>
          <w:sz w:val="36"/>
          <w:szCs w:val="36"/>
        </w:rPr>
      </w:pPr>
      <w:bookmarkStart w:id="30"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0"/>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b/>
          <w:sz w:val="36"/>
          <w:szCs w:val="36"/>
        </w:rPr>
      </w:pPr>
    </w:p>
    <w:p>
      <w:pPr>
        <w:adjustRightInd w:val="0"/>
        <w:snapToGrid w:val="0"/>
        <w:spacing w:line="360" w:lineRule="auto"/>
        <w:jc w:val="center"/>
        <w:rPr>
          <w:rFonts w:ascii="方正小标宋简体" w:hAnsi="宋体" w:eastAsia="方正小标宋简体"/>
          <w:bCs/>
          <w:sz w:val="52"/>
          <w:szCs w:val="36"/>
        </w:rPr>
      </w:pPr>
      <w:bookmarkStart w:id="31"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pPr>
        <w:pStyle w:val="40"/>
        <w:jc w:val="center"/>
      </w:pPr>
      <w:r>
        <w:rPr>
          <w:rFonts w:hint="eastAsia" w:hAnsi="宋体" w:eastAsia="宋体" w:cs="宋体"/>
          <w:b/>
          <w:sz w:val="24"/>
          <w:szCs w:val="24"/>
        </w:rPr>
        <w:t>（合同以双方最终签署的版本为准）</w:t>
      </w:r>
    </w:p>
    <w:p>
      <w:pPr>
        <w:spacing w:line="360" w:lineRule="auto"/>
        <w:jc w:val="center"/>
        <w:rPr>
          <w:rFonts w:hint="eastAsia" w:ascii="方正小标宋简体" w:hAnsi="方正小标宋简体" w:eastAsia="方正小标宋简体" w:cs="方正小标宋简体"/>
          <w:w w:val="90"/>
          <w:sz w:val="56"/>
          <w:szCs w:val="56"/>
        </w:rPr>
      </w:pPr>
    </w:p>
    <w:p>
      <w:pPr>
        <w:spacing w:line="360" w:lineRule="auto"/>
        <w:jc w:val="center"/>
        <w:rPr>
          <w:rFonts w:hint="eastAsia" w:ascii="方正小标宋简体" w:hAnsi="方正小标宋简体" w:eastAsia="方正小标宋简体" w:cs="方正小标宋简体"/>
          <w:w w:val="90"/>
          <w:sz w:val="56"/>
          <w:szCs w:val="56"/>
          <w:lang w:eastAsia="zh-CN"/>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pPr>
        <w:pStyle w:val="25"/>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7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pPr>
        <w:spacing w:line="360" w:lineRule="auto"/>
        <w:rPr>
          <w:rFonts w:hint="eastAsia" w:ascii="宋体" w:hAnsi="宋体"/>
          <w:snapToGrid w:val="0"/>
          <w:kern w:val="0"/>
          <w:sz w:val="20"/>
          <w:szCs w:val="20"/>
          <w:lang w:val="en-US" w:eastAsia="zh-CN"/>
        </w:rPr>
      </w:pPr>
    </w:p>
    <w:p>
      <w:pPr>
        <w:spacing w:line="360" w:lineRule="auto"/>
        <w:rPr>
          <w:rFonts w:ascii="宋体" w:hAnsi="宋体"/>
          <w:snapToGrid w:val="0"/>
          <w:kern w:val="0"/>
          <w:sz w:val="20"/>
          <w:szCs w:val="20"/>
          <w:lang w:eastAsia="zh-Hans"/>
        </w:rPr>
      </w:pPr>
    </w:p>
    <w:p>
      <w:pPr>
        <w:spacing w:line="360" w:lineRule="auto"/>
        <w:rPr>
          <w:rFonts w:ascii="宋体" w:hAnsi="宋体"/>
          <w:snapToGrid w:val="0"/>
          <w:kern w:val="0"/>
          <w:sz w:val="20"/>
          <w:szCs w:val="20"/>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3"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pStyle w:val="2"/>
        <w:tabs>
          <w:tab w:val="right" w:leader="dot" w:pos="9061"/>
        </w:tabs>
        <w:ind w:left="0" w:firstLine="480" w:firstLineChars="200"/>
        <w:jc w:val="both"/>
        <w:rPr>
          <w:rFonts w:ascii="黑体" w:hAnsi="黑体" w:eastAsia="黑体" w:cs="黑体"/>
          <w:b w:val="0"/>
          <w:sz w:val="24"/>
          <w:szCs w:val="24"/>
        </w:rPr>
      </w:pPr>
      <w:bookmarkStart w:id="32" w:name="_Toc16330018"/>
      <w:bookmarkStart w:id="33" w:name="_Toc17619"/>
      <w:bookmarkStart w:id="34" w:name="_Toc11930"/>
      <w:bookmarkStart w:id="35" w:name="_Toc11823"/>
      <w:r>
        <w:rPr>
          <w:rFonts w:hint="eastAsia" w:ascii="黑体" w:hAnsi="黑体" w:eastAsia="黑体" w:cs="黑体"/>
          <w:b w:val="0"/>
          <w:sz w:val="24"/>
          <w:szCs w:val="24"/>
        </w:rPr>
        <w:t>1 合同设备</w:t>
      </w:r>
      <w:bookmarkEnd w:id="32"/>
      <w:bookmarkEnd w:id="33"/>
      <w:bookmarkEnd w:id="34"/>
      <w:bookmarkEnd w:id="35"/>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36" w:name="_Toc32510"/>
      <w:bookmarkStart w:id="37" w:name="_Toc29026"/>
      <w:bookmarkStart w:id="38" w:name="_Toc22800"/>
      <w:r>
        <w:rPr>
          <w:rFonts w:hint="eastAsia" w:ascii="仿宋_GB2312" w:hAnsi="仿宋_GB2312" w:eastAsia="仿宋_GB2312" w:cs="仿宋_GB2312"/>
          <w:sz w:val="24"/>
          <w:szCs w:val="24"/>
        </w:rPr>
        <w:t>本合同约定设备的技术规格详见附件二《技术协议书》。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pStyle w:val="2"/>
        <w:tabs>
          <w:tab w:val="right" w:leader="dot" w:pos="9061"/>
        </w:tabs>
        <w:ind w:left="0" w:firstLine="480" w:firstLineChars="200"/>
        <w:jc w:val="both"/>
        <w:rPr>
          <w:rFonts w:ascii="黑体" w:hAnsi="黑体" w:eastAsia="黑体" w:cs="黑体"/>
          <w:b w:val="0"/>
          <w:sz w:val="24"/>
          <w:szCs w:val="24"/>
        </w:rPr>
      </w:pPr>
      <w:bookmarkStart w:id="39" w:name="_Toc16330019"/>
      <w:r>
        <w:rPr>
          <w:rFonts w:hint="eastAsia" w:ascii="黑体" w:hAnsi="黑体" w:eastAsia="黑体" w:cs="黑体"/>
          <w:b w:val="0"/>
          <w:sz w:val="24"/>
          <w:szCs w:val="24"/>
        </w:rPr>
        <w:t>2 包装</w:t>
      </w:r>
      <w:bookmarkEnd w:id="36"/>
      <w:bookmarkEnd w:id="37"/>
      <w:bookmarkEnd w:id="38"/>
      <w:bookmarkEnd w:id="39"/>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pStyle w:val="2"/>
        <w:tabs>
          <w:tab w:val="right" w:leader="dot" w:pos="9061"/>
        </w:tabs>
        <w:ind w:left="0" w:firstLine="480" w:firstLineChars="200"/>
        <w:jc w:val="both"/>
        <w:rPr>
          <w:rFonts w:ascii="黑体" w:hAnsi="黑体" w:eastAsia="黑体" w:cs="黑体"/>
          <w:b w:val="0"/>
          <w:sz w:val="24"/>
          <w:szCs w:val="24"/>
        </w:rPr>
      </w:pPr>
      <w:bookmarkStart w:id="40" w:name="_Toc16330020"/>
      <w:bookmarkStart w:id="41" w:name="_Toc2833"/>
      <w:bookmarkStart w:id="42" w:name="_Toc27453"/>
      <w:bookmarkStart w:id="43" w:name="_Toc27144"/>
      <w:r>
        <w:rPr>
          <w:rFonts w:hint="eastAsia" w:ascii="黑体" w:hAnsi="黑体" w:eastAsia="黑体" w:cs="黑体"/>
          <w:b w:val="0"/>
          <w:sz w:val="24"/>
          <w:szCs w:val="24"/>
        </w:rPr>
        <w:t>3 运输标记</w:t>
      </w:r>
      <w:bookmarkEnd w:id="40"/>
      <w:bookmarkEnd w:id="41"/>
      <w:bookmarkEnd w:id="42"/>
      <w:bookmarkEnd w:id="43"/>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ind w:left="0" w:firstLine="480" w:firstLineChars="200"/>
        <w:jc w:val="both"/>
        <w:rPr>
          <w:rFonts w:ascii="黑体" w:hAnsi="黑体" w:eastAsia="黑体" w:cs="黑体"/>
          <w:b w:val="0"/>
          <w:sz w:val="24"/>
          <w:szCs w:val="24"/>
        </w:rPr>
      </w:pPr>
      <w:bookmarkStart w:id="44" w:name="_Toc7431"/>
      <w:bookmarkStart w:id="45" w:name="_Toc16133"/>
      <w:bookmarkStart w:id="46" w:name="_Toc16330021"/>
      <w:bookmarkStart w:id="47" w:name="_Toc10630"/>
      <w:r>
        <w:rPr>
          <w:rFonts w:hint="eastAsia" w:ascii="黑体" w:hAnsi="黑体" w:eastAsia="黑体" w:cs="黑体"/>
          <w:b w:val="0"/>
          <w:sz w:val="24"/>
          <w:szCs w:val="24"/>
        </w:rPr>
        <w:t>4 检验</w:t>
      </w:r>
      <w:bookmarkEnd w:id="44"/>
      <w:bookmarkEnd w:id="45"/>
      <w:bookmarkEnd w:id="46"/>
      <w:bookmarkEnd w:id="47"/>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pStyle w:val="2"/>
        <w:tabs>
          <w:tab w:val="right" w:leader="dot" w:pos="9061"/>
        </w:tabs>
        <w:ind w:left="0" w:firstLine="480" w:firstLineChars="200"/>
        <w:jc w:val="both"/>
        <w:rPr>
          <w:rFonts w:ascii="黑体" w:hAnsi="黑体" w:eastAsia="黑体" w:cs="黑体"/>
          <w:b w:val="0"/>
          <w:sz w:val="24"/>
          <w:szCs w:val="24"/>
        </w:rPr>
      </w:pPr>
      <w:bookmarkStart w:id="48" w:name="_Toc24467"/>
      <w:bookmarkStart w:id="49" w:name="_Toc11217"/>
      <w:bookmarkStart w:id="50" w:name="_Toc16330022"/>
      <w:bookmarkStart w:id="51" w:name="_Toc19850"/>
      <w:r>
        <w:rPr>
          <w:rFonts w:hint="eastAsia" w:ascii="黑体" w:hAnsi="黑体" w:eastAsia="黑体" w:cs="黑体"/>
          <w:b w:val="0"/>
          <w:sz w:val="24"/>
          <w:szCs w:val="24"/>
        </w:rPr>
        <w:t>5 权利担保</w:t>
      </w:r>
      <w:bookmarkEnd w:id="48"/>
      <w:bookmarkEnd w:id="49"/>
      <w:bookmarkEnd w:id="50"/>
      <w:bookmarkEnd w:id="51"/>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ind w:left="0" w:firstLine="480" w:firstLineChars="200"/>
        <w:jc w:val="both"/>
        <w:rPr>
          <w:rFonts w:ascii="黑体" w:hAnsi="黑体" w:eastAsia="黑体" w:cs="黑体"/>
          <w:b w:val="0"/>
          <w:sz w:val="24"/>
          <w:szCs w:val="24"/>
        </w:rPr>
      </w:pPr>
      <w:bookmarkStart w:id="52" w:name="_Toc16330023"/>
      <w:bookmarkStart w:id="53" w:name="_Toc11759"/>
      <w:bookmarkStart w:id="54" w:name="_Toc27500"/>
      <w:bookmarkStart w:id="55" w:name="_Toc14809"/>
      <w:r>
        <w:rPr>
          <w:rFonts w:hint="eastAsia" w:ascii="黑体" w:hAnsi="黑体" w:eastAsia="黑体" w:cs="黑体"/>
          <w:b w:val="0"/>
          <w:sz w:val="24"/>
          <w:szCs w:val="24"/>
        </w:rPr>
        <w:t>6 交货</w:t>
      </w:r>
      <w:bookmarkEnd w:id="52"/>
      <w:bookmarkEnd w:id="53"/>
      <w:bookmarkEnd w:id="54"/>
      <w:bookmarkEnd w:id="55"/>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tabs>
          <w:tab w:val="right" w:leader="dot" w:pos="9061"/>
        </w:tabs>
        <w:ind w:left="0" w:firstLine="480" w:firstLineChars="200"/>
        <w:jc w:val="both"/>
        <w:rPr>
          <w:rFonts w:ascii="黑体" w:hAnsi="黑体" w:eastAsia="黑体" w:cs="黑体"/>
          <w:b w:val="0"/>
          <w:sz w:val="24"/>
          <w:szCs w:val="24"/>
        </w:rPr>
      </w:pPr>
      <w:bookmarkStart w:id="56" w:name="_Toc2984"/>
      <w:bookmarkStart w:id="57" w:name="_Toc8024"/>
      <w:bookmarkStart w:id="58" w:name="_Toc25510"/>
      <w:bookmarkStart w:id="59" w:name="_Toc16330024"/>
      <w:r>
        <w:rPr>
          <w:rFonts w:hint="eastAsia" w:ascii="黑体" w:hAnsi="黑体" w:eastAsia="黑体" w:cs="黑体"/>
          <w:b w:val="0"/>
          <w:sz w:val="24"/>
          <w:szCs w:val="24"/>
        </w:rPr>
        <w:t>7 安装、调试</w:t>
      </w:r>
      <w:bookmarkEnd w:id="56"/>
      <w:bookmarkEnd w:id="57"/>
      <w:bookmarkEnd w:id="58"/>
      <w:bookmarkEnd w:id="59"/>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pStyle w:val="2"/>
        <w:tabs>
          <w:tab w:val="right" w:leader="dot" w:pos="9061"/>
        </w:tabs>
        <w:ind w:left="0" w:firstLine="480" w:firstLineChars="200"/>
        <w:jc w:val="both"/>
        <w:rPr>
          <w:rFonts w:ascii="黑体" w:hAnsi="黑体" w:eastAsia="黑体" w:cs="黑体"/>
          <w:b w:val="0"/>
          <w:sz w:val="24"/>
          <w:szCs w:val="24"/>
        </w:rPr>
      </w:pPr>
      <w:bookmarkStart w:id="60" w:name="_Toc16330025"/>
      <w:bookmarkStart w:id="61" w:name="_Toc6350"/>
      <w:bookmarkStart w:id="62" w:name="_Toc14260"/>
      <w:bookmarkStart w:id="63" w:name="_Toc14098"/>
      <w:r>
        <w:rPr>
          <w:rFonts w:hint="eastAsia" w:ascii="黑体" w:hAnsi="黑体" w:eastAsia="黑体" w:cs="黑体"/>
          <w:b w:val="0"/>
          <w:sz w:val="24"/>
          <w:szCs w:val="24"/>
        </w:rPr>
        <w:t>8 价款与支付</w:t>
      </w:r>
      <w:bookmarkEnd w:id="60"/>
      <w:bookmarkEnd w:id="61"/>
      <w:bookmarkEnd w:id="62"/>
      <w:bookmarkEnd w:id="63"/>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pStyle w:val="2"/>
        <w:tabs>
          <w:tab w:val="right" w:leader="dot" w:pos="9061"/>
        </w:tabs>
        <w:ind w:left="0" w:firstLine="480" w:firstLineChars="200"/>
        <w:jc w:val="both"/>
        <w:rPr>
          <w:rFonts w:ascii="黑体" w:hAnsi="黑体" w:eastAsia="黑体" w:cs="黑体"/>
          <w:b w:val="0"/>
          <w:sz w:val="24"/>
          <w:szCs w:val="24"/>
        </w:rPr>
      </w:pPr>
      <w:bookmarkStart w:id="64" w:name="_Toc25708"/>
      <w:bookmarkStart w:id="65" w:name="_Toc6726"/>
      <w:bookmarkStart w:id="66" w:name="_Toc16330026"/>
      <w:bookmarkStart w:id="67" w:name="_Toc24085"/>
      <w:r>
        <w:rPr>
          <w:rFonts w:hint="eastAsia" w:ascii="黑体" w:hAnsi="黑体" w:eastAsia="黑体" w:cs="黑体"/>
          <w:b w:val="0"/>
          <w:sz w:val="24"/>
          <w:szCs w:val="24"/>
        </w:rPr>
        <w:t>9 质量保证及售后服务</w:t>
      </w:r>
      <w:bookmarkEnd w:id="64"/>
      <w:bookmarkEnd w:id="65"/>
      <w:bookmarkEnd w:id="66"/>
      <w:bookmarkEnd w:id="67"/>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68" w:name="_Toc16330027"/>
      <w:bookmarkStart w:id="69" w:name="_Toc15570"/>
      <w:bookmarkStart w:id="70" w:name="_Toc12927"/>
      <w:bookmarkStart w:id="71" w:name="_Toc10359"/>
      <w:r>
        <w:rPr>
          <w:rFonts w:hint="eastAsia" w:ascii="黑体" w:hAnsi="黑体" w:eastAsia="黑体" w:cs="黑体"/>
          <w:b w:val="0"/>
          <w:sz w:val="24"/>
          <w:szCs w:val="24"/>
        </w:rPr>
        <w:t>10法定责任</w:t>
      </w:r>
      <w:bookmarkEnd w:id="68"/>
      <w:bookmarkEnd w:id="69"/>
      <w:bookmarkEnd w:id="70"/>
      <w:bookmarkEnd w:id="71"/>
      <w:r>
        <w:rPr>
          <w:rFonts w:hint="eastAsia" w:ascii="黑体" w:hAnsi="黑体" w:eastAsia="黑体" w:cs="黑体"/>
          <w:b w:val="0"/>
          <w:sz w:val="24"/>
          <w:szCs w:val="24"/>
          <w:lang w:val="en-US" w:eastAsia="zh-CN"/>
        </w:rPr>
        <w:t>及合规责任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pPr>
        <w:pStyle w:val="2"/>
        <w:tabs>
          <w:tab w:val="right" w:leader="dot" w:pos="9061"/>
        </w:tabs>
        <w:ind w:left="0" w:firstLine="480" w:firstLineChars="200"/>
        <w:jc w:val="both"/>
        <w:rPr>
          <w:rFonts w:ascii="黑体" w:hAnsi="黑体" w:eastAsia="黑体" w:cs="黑体"/>
          <w:b w:val="0"/>
          <w:sz w:val="24"/>
          <w:szCs w:val="24"/>
        </w:rPr>
      </w:pPr>
      <w:bookmarkStart w:id="72" w:name="_Toc9708"/>
      <w:bookmarkStart w:id="73" w:name="_Toc16330028"/>
      <w:bookmarkStart w:id="74" w:name="_Toc30381"/>
      <w:bookmarkStart w:id="75" w:name="_Toc27314"/>
      <w:r>
        <w:rPr>
          <w:rFonts w:hint="eastAsia" w:ascii="黑体" w:hAnsi="黑体" w:eastAsia="黑体" w:cs="黑体"/>
          <w:b w:val="0"/>
          <w:sz w:val="24"/>
          <w:szCs w:val="24"/>
        </w:rPr>
        <w:t>11 违约责任</w:t>
      </w:r>
      <w:bookmarkEnd w:id="72"/>
      <w:bookmarkEnd w:id="73"/>
      <w:bookmarkEnd w:id="74"/>
      <w:bookmarkEnd w:id="75"/>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pPr>
        <w:pStyle w:val="2"/>
        <w:tabs>
          <w:tab w:val="right" w:leader="dot" w:pos="9061"/>
        </w:tabs>
        <w:ind w:left="0" w:firstLine="480" w:firstLineChars="200"/>
        <w:jc w:val="both"/>
        <w:rPr>
          <w:rFonts w:ascii="黑体" w:hAnsi="黑体" w:eastAsia="黑体" w:cs="黑体"/>
          <w:b w:val="0"/>
          <w:sz w:val="24"/>
          <w:szCs w:val="24"/>
        </w:rPr>
      </w:pPr>
      <w:bookmarkStart w:id="76" w:name="_Toc9172"/>
      <w:bookmarkStart w:id="77" w:name="_Toc31554"/>
      <w:bookmarkStart w:id="78" w:name="_Toc16330029"/>
      <w:bookmarkStart w:id="79" w:name="_Toc1827"/>
      <w:r>
        <w:rPr>
          <w:rFonts w:hint="eastAsia" w:ascii="黑体" w:hAnsi="黑体" w:eastAsia="黑体" w:cs="黑体"/>
          <w:b w:val="0"/>
          <w:sz w:val="24"/>
          <w:szCs w:val="24"/>
        </w:rPr>
        <w:t>12 合同的终止与解除</w:t>
      </w:r>
      <w:bookmarkEnd w:id="76"/>
      <w:bookmarkEnd w:id="77"/>
      <w:bookmarkEnd w:id="78"/>
      <w:bookmarkEnd w:id="79"/>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pStyle w:val="2"/>
        <w:tabs>
          <w:tab w:val="right" w:leader="dot" w:pos="9061"/>
        </w:tabs>
        <w:ind w:left="0" w:firstLine="480" w:firstLineChars="200"/>
        <w:jc w:val="both"/>
        <w:rPr>
          <w:rFonts w:ascii="黑体" w:hAnsi="黑体" w:eastAsia="黑体" w:cs="黑体"/>
          <w:b w:val="0"/>
          <w:sz w:val="24"/>
          <w:szCs w:val="24"/>
        </w:rPr>
      </w:pPr>
      <w:bookmarkStart w:id="80" w:name="_Toc8620"/>
      <w:bookmarkStart w:id="81" w:name="_Toc16330030"/>
      <w:bookmarkStart w:id="82" w:name="_Toc31945"/>
      <w:bookmarkStart w:id="83" w:name="_Toc13671"/>
      <w:r>
        <w:rPr>
          <w:rFonts w:hint="eastAsia" w:ascii="黑体" w:hAnsi="黑体" w:eastAsia="黑体" w:cs="黑体"/>
          <w:b w:val="0"/>
          <w:sz w:val="24"/>
          <w:szCs w:val="24"/>
        </w:rPr>
        <w:t>13 不可抗力</w:t>
      </w:r>
      <w:bookmarkEnd w:id="80"/>
      <w:bookmarkEnd w:id="81"/>
      <w:bookmarkEnd w:id="82"/>
      <w:bookmarkEnd w:id="83"/>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pStyle w:val="2"/>
        <w:tabs>
          <w:tab w:val="right" w:leader="dot" w:pos="9061"/>
        </w:tabs>
        <w:ind w:left="0" w:firstLine="480" w:firstLineChars="200"/>
        <w:jc w:val="both"/>
        <w:rPr>
          <w:rFonts w:ascii="黑体" w:hAnsi="黑体" w:eastAsia="黑体" w:cs="黑体"/>
          <w:b w:val="0"/>
          <w:sz w:val="24"/>
          <w:szCs w:val="24"/>
        </w:rPr>
      </w:pPr>
      <w:bookmarkStart w:id="84" w:name="_Toc30389"/>
      <w:bookmarkStart w:id="85" w:name="_Toc637"/>
      <w:bookmarkStart w:id="86" w:name="_Toc16330031"/>
      <w:bookmarkStart w:id="87" w:name="_Toc31243"/>
      <w:r>
        <w:rPr>
          <w:rFonts w:hint="eastAsia" w:ascii="黑体" w:hAnsi="黑体" w:eastAsia="黑体" w:cs="黑体"/>
          <w:b w:val="0"/>
          <w:sz w:val="24"/>
          <w:szCs w:val="24"/>
        </w:rPr>
        <w:t>14 通讯</w:t>
      </w:r>
      <w:bookmarkEnd w:id="84"/>
      <w:bookmarkEnd w:id="85"/>
      <w:bookmarkEnd w:id="86"/>
      <w:bookmarkEnd w:id="87"/>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pStyle w:val="2"/>
        <w:tabs>
          <w:tab w:val="right" w:leader="dot" w:pos="9061"/>
        </w:tabs>
        <w:ind w:left="0" w:firstLine="480" w:firstLineChars="200"/>
        <w:jc w:val="both"/>
        <w:rPr>
          <w:rFonts w:ascii="黑体" w:hAnsi="黑体" w:eastAsia="黑体" w:cs="黑体"/>
          <w:b w:val="0"/>
          <w:sz w:val="24"/>
          <w:szCs w:val="24"/>
        </w:rPr>
      </w:pPr>
      <w:bookmarkStart w:id="88" w:name="_Toc16330032"/>
      <w:bookmarkStart w:id="89" w:name="_Toc9915"/>
      <w:bookmarkStart w:id="90" w:name="_Toc12984"/>
      <w:bookmarkStart w:id="91" w:name="_Toc11290"/>
      <w:r>
        <w:rPr>
          <w:rFonts w:hint="eastAsia" w:ascii="黑体" w:hAnsi="黑体" w:eastAsia="黑体" w:cs="黑体"/>
          <w:b w:val="0"/>
          <w:sz w:val="24"/>
          <w:szCs w:val="24"/>
        </w:rPr>
        <w:t>15 适用法律及争议解决</w:t>
      </w:r>
      <w:bookmarkEnd w:id="88"/>
      <w:bookmarkEnd w:id="89"/>
      <w:bookmarkEnd w:id="90"/>
      <w:bookmarkEnd w:id="91"/>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ind w:left="0" w:firstLine="480" w:firstLineChars="200"/>
        <w:jc w:val="both"/>
        <w:rPr>
          <w:rFonts w:ascii="黑体" w:hAnsi="黑体" w:eastAsia="黑体" w:cs="黑体"/>
          <w:b w:val="0"/>
          <w:sz w:val="24"/>
          <w:szCs w:val="24"/>
        </w:rPr>
      </w:pPr>
      <w:bookmarkStart w:id="92" w:name="_Toc23765"/>
      <w:bookmarkStart w:id="93" w:name="_Toc23906"/>
      <w:bookmarkStart w:id="94" w:name="_Toc16330033"/>
      <w:bookmarkStart w:id="95" w:name="_Toc18207"/>
      <w:r>
        <w:rPr>
          <w:rFonts w:hint="eastAsia" w:ascii="黑体" w:hAnsi="黑体" w:eastAsia="黑体" w:cs="黑体"/>
          <w:b w:val="0"/>
          <w:sz w:val="24"/>
          <w:szCs w:val="24"/>
        </w:rPr>
        <w:t>16 附件</w:t>
      </w:r>
      <w:bookmarkEnd w:id="92"/>
      <w:bookmarkEnd w:id="93"/>
      <w:bookmarkEnd w:id="94"/>
      <w:bookmarkEnd w:id="95"/>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pStyle w:val="2"/>
        <w:tabs>
          <w:tab w:val="right" w:leader="dot" w:pos="9061"/>
        </w:tabs>
        <w:ind w:left="0" w:firstLine="480" w:firstLineChars="200"/>
        <w:jc w:val="both"/>
        <w:rPr>
          <w:rFonts w:ascii="黑体" w:hAnsi="黑体" w:eastAsia="黑体" w:cs="黑体"/>
          <w:b w:val="0"/>
          <w:sz w:val="24"/>
          <w:szCs w:val="24"/>
        </w:rPr>
      </w:pPr>
      <w:bookmarkStart w:id="96" w:name="_Toc27202"/>
      <w:bookmarkStart w:id="97" w:name="_Toc16330034"/>
      <w:bookmarkStart w:id="98" w:name="_Toc17656"/>
      <w:bookmarkStart w:id="99" w:name="_Toc31331"/>
      <w:r>
        <w:rPr>
          <w:rFonts w:hint="eastAsia" w:ascii="黑体" w:hAnsi="黑体" w:eastAsia="黑体" w:cs="黑体"/>
          <w:b w:val="0"/>
          <w:sz w:val="24"/>
          <w:szCs w:val="24"/>
        </w:rPr>
        <w:t>17 其他规定</w:t>
      </w:r>
      <w:bookmarkEnd w:id="96"/>
      <w:bookmarkEnd w:id="97"/>
      <w:bookmarkEnd w:id="98"/>
      <w:bookmarkEnd w:id="99"/>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ascii="仿宋_GB2312" w:hAnsi="仿宋_GB2312" w:eastAsia="仿宋_GB2312" w:cs="仿宋_GB2312"/>
          <w:sz w:val="24"/>
          <w:szCs w:val="24"/>
        </w:rPr>
      </w:pPr>
      <w:bookmarkStart w:id="100" w:name="_Toc29136"/>
      <w:bookmarkStart w:id="101" w:name="_Toc16330035"/>
      <w:bookmarkStart w:id="102" w:name="_Toc17952"/>
      <w:bookmarkStart w:id="103" w:name="_Toc19077"/>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00"/>
      <w:bookmarkEnd w:id="101"/>
      <w:bookmarkEnd w:id="102"/>
      <w:bookmarkEnd w:id="103"/>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rPr>
          <w:highlight w:val="yellow"/>
        </w:rPr>
      </w:pPr>
      <w:r>
        <w:rPr>
          <w:rFonts w:hint="eastAsia" w:ascii="黑体" w:hAnsi="黑体" w:eastAsia="黑体" w:cstheme="minorEastAsia"/>
          <w:sz w:val="28"/>
          <w:szCs w:val="28"/>
        </w:rPr>
        <w:t>附件一：设备清单明细表【作为附件另附】</w:t>
      </w:r>
    </w:p>
    <w:tbl>
      <w:tblPr>
        <w:tblStyle w:val="7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pPr>
              <w:pStyle w:val="57"/>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57"/>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57"/>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57"/>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57"/>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57"/>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104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97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881"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99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677" w:type="dxa"/>
            <w:vAlign w:val="center"/>
          </w:tcPr>
          <w:p>
            <w:pPr>
              <w:pStyle w:val="57"/>
              <w:spacing w:line="360" w:lineRule="auto"/>
              <w:ind w:left="0" w:firstLine="0" w:firstLineChars="0"/>
              <w:jc w:val="center"/>
              <w:rPr>
                <w:rFonts w:ascii="仿宋_GB2312" w:eastAsia="仿宋_GB2312" w:hAnsi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57"/>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790"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701"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1066" w:type="dxa"/>
            <w:vAlign w:val="center"/>
          </w:tcPr>
          <w:p>
            <w:pPr>
              <w:pStyle w:val="57"/>
              <w:spacing w:line="360" w:lineRule="auto"/>
              <w:ind w:left="0" w:firstLine="0" w:firstLineChars="0"/>
              <w:jc w:val="center"/>
              <w:rPr>
                <w:rFonts w:ascii="仿宋_GB2312" w:eastAsia="仿宋_GB2312" w:hAnsiTheme="minorEastAsia" w:cstheme="minorEastAsia"/>
              </w:rPr>
            </w:pPr>
          </w:p>
        </w:tc>
        <w:tc>
          <w:tcPr>
            <w:tcW w:w="1046" w:type="dxa"/>
            <w:vAlign w:val="center"/>
          </w:tcPr>
          <w:p>
            <w:pPr>
              <w:spacing w:line="360" w:lineRule="auto"/>
              <w:jc w:val="center"/>
              <w:rPr>
                <w:rFonts w:ascii="仿宋_GB2312" w:eastAsia="仿宋_GB2312" w:hAnsiTheme="minorEastAsia" w:cstheme="minorEastAsia"/>
              </w:rPr>
            </w:pPr>
          </w:p>
        </w:tc>
        <w:tc>
          <w:tcPr>
            <w:tcW w:w="977" w:type="dxa"/>
            <w:vAlign w:val="center"/>
          </w:tcPr>
          <w:p>
            <w:pPr>
              <w:spacing w:line="360" w:lineRule="auto"/>
              <w:jc w:val="center"/>
              <w:rPr>
                <w:rFonts w:ascii="仿宋_GB2312" w:eastAsia="仿宋_GB2312" w:hAnsiTheme="minorEastAsia" w:cstheme="minorEastAsia"/>
              </w:rPr>
            </w:pPr>
          </w:p>
        </w:tc>
        <w:tc>
          <w:tcPr>
            <w:tcW w:w="881" w:type="dxa"/>
            <w:vAlign w:val="center"/>
          </w:tcPr>
          <w:p>
            <w:pPr>
              <w:spacing w:line="360" w:lineRule="auto"/>
              <w:jc w:val="center"/>
              <w:rPr>
                <w:rFonts w:ascii="仿宋_GB2312" w:eastAsia="仿宋_GB2312" w:hAnsiTheme="minorEastAsia" w:cstheme="minorEastAsia"/>
              </w:rPr>
            </w:pPr>
          </w:p>
        </w:tc>
        <w:tc>
          <w:tcPr>
            <w:tcW w:w="99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c>
          <w:tcPr>
            <w:tcW w:w="677" w:type="dxa"/>
            <w:vAlign w:val="center"/>
          </w:tcPr>
          <w:p>
            <w:pPr>
              <w:spacing w:line="360" w:lineRule="auto"/>
              <w:jc w:val="center"/>
              <w:rPr>
                <w:rFonts w:ascii="仿宋_GB2312" w:eastAsia="仿宋_GB2312" w:hAnsiTheme="minorEastAsia" w:cstheme="minorEastAsia"/>
              </w:rPr>
            </w:pPr>
          </w:p>
        </w:tc>
      </w:tr>
    </w:tbl>
    <w:p>
      <w:pPr>
        <w:pStyle w:val="2"/>
        <w:tabs>
          <w:tab w:val="right" w:leader="dot" w:pos="9061"/>
        </w:tabs>
        <w:ind w:left="0"/>
        <w:jc w:val="both"/>
        <w:rPr>
          <w:rFonts w:asciiTheme="minorEastAsia" w:hAnsiTheme="minorEastAsia" w:eastAsiaTheme="minorEastAsia" w:cstheme="minorEastAsia"/>
          <w:sz w:val="20"/>
        </w:rPr>
      </w:pPr>
    </w:p>
    <w:p>
      <w:pPr>
        <w:rPr>
          <w:rFonts w:asciiTheme="minorEastAsia" w:hAnsiTheme="minorEastAsia" w:eastAsia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pPr>
        <w:spacing w:before="118"/>
        <w:ind w:right="30"/>
        <w:jc w:val="center"/>
        <w:outlineLvl w:val="0"/>
        <w:rPr>
          <w:rFonts w:hint="eastAsia" w:ascii="方正小标宋简体" w:hAnsi="方正小标宋简体" w:eastAsia="方正小标宋简体" w:cs="方正小标宋简体"/>
          <w:sz w:val="40"/>
          <w:szCs w:val="21"/>
        </w:rPr>
      </w:pPr>
    </w:p>
    <w:p>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30"/>
        <w:spacing w:before="8" w:after="156"/>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pPr>
        <w:pStyle w:val="353"/>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353"/>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30"/>
        <w:spacing w:before="9" w:after="156"/>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30"/>
        <w:spacing w:after="156"/>
        <w:rPr>
          <w:rFonts w:ascii="楷体" w:hAnsi="楷体" w:eastAsia="楷体" w:cs="楷体"/>
          <w:b/>
          <w:sz w:val="24"/>
          <w:szCs w:val="28"/>
        </w:rPr>
      </w:pPr>
    </w:p>
    <w:p>
      <w:pPr>
        <w:pStyle w:val="30"/>
        <w:spacing w:before="1"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30"/>
        <w:spacing w:after="156"/>
        <w:rPr>
          <w:rFonts w:ascii="楷体" w:hAnsi="楷体" w:eastAsia="楷体" w:cs="楷体"/>
          <w:b/>
          <w:sz w:val="24"/>
          <w:szCs w:val="28"/>
        </w:rPr>
      </w:pPr>
    </w:p>
    <w:p>
      <w:pPr>
        <w:pStyle w:val="30"/>
        <w:spacing w:before="4" w:after="156"/>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1"/>
    </w:p>
    <w:p>
      <w:pPr>
        <w:keepNext/>
        <w:keepLines/>
        <w:rPr>
          <w:rFonts w:ascii="Times New Roman" w:hAnsi="Times New Roman" w:eastAsia="宋体" w:cs="Times New Roman"/>
          <w:b/>
          <w:bCs/>
          <w:color w:val="000000"/>
          <w:sz w:val="24"/>
          <w:szCs w:val="24"/>
        </w:rPr>
      </w:pPr>
    </w:p>
    <w:p>
      <w:pPr>
        <w:pStyle w:val="40"/>
        <w:rPr>
          <w:rFonts w:ascii="Times New Roman" w:hAnsi="Times New Roman" w:eastAsia="宋体" w:cs="Times New Roman"/>
          <w:b/>
          <w:bCs/>
          <w:color w:val="000000"/>
          <w:sz w:val="24"/>
          <w:szCs w:val="24"/>
        </w:rPr>
      </w:pP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40"/>
        <w:rPr>
          <w:rFonts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04" w:name="_Toc212369550"/>
      <w:bookmarkStart w:id="105" w:name="_Toc353881012"/>
      <w:bookmarkStart w:id="106" w:name="_Toc25811"/>
      <w:bookmarkStart w:id="107"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04"/>
      <w:bookmarkEnd w:id="105"/>
      <w:bookmarkEnd w:id="106"/>
      <w:bookmarkEnd w:id="107"/>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中国重汽集团济南商用车有限公司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val="0"/>
          <w:bCs w:val="0"/>
          <w:sz w:val="24"/>
          <w:szCs w:val="24"/>
          <w:u w:val="single"/>
        </w:rPr>
        <w:t>济南轻卡制造公司新能源加注机技改项目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提交纸质投标文件：资质证明文件、商务文件和技术文件正本五份；电子版投标文件一份。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40"/>
        <w:rPr>
          <w:rFonts w:ascii="黑体" w:hAnsi="Calibri" w:eastAsia="黑体" w:cs="Times New Roman"/>
          <w:color w:val="000000"/>
          <w:sz w:val="24"/>
          <w:szCs w:val="24"/>
        </w:rPr>
      </w:pPr>
    </w:p>
    <w:p>
      <w:pPr>
        <w:pStyle w:val="40"/>
        <w:rPr>
          <w:rFonts w:ascii="黑体" w:hAnsi="Calibri" w:eastAsia="黑体" w:cs="Times New Roman"/>
          <w:color w:val="000000"/>
          <w:sz w:val="24"/>
          <w:szCs w:val="24"/>
        </w:rPr>
      </w:pPr>
    </w:p>
    <w:p>
      <w:pPr>
        <w:pStyle w:val="40"/>
        <w:rPr>
          <w:rFonts w:ascii="黑体" w:hAnsi="Calibri" w:eastAsia="黑体" w:cs="Times New Roman"/>
          <w:color w:val="000000"/>
          <w:sz w:val="24"/>
          <w:szCs w:val="24"/>
        </w:rPr>
      </w:pPr>
    </w:p>
    <w:p>
      <w:pPr>
        <w:pStyle w:val="4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lang w:val="en-US" w:eastAsia="zh-CN"/>
        </w:rPr>
        <w:t>济南轻卡制造公司</w:t>
      </w:r>
      <w:r>
        <w:rPr>
          <w:rFonts w:hint="eastAsia" w:ascii="宋体" w:hAnsi="宋体" w:eastAsia="宋体" w:cs="Times New Roman"/>
          <w:b/>
          <w:bCs/>
          <w:color w:val="000000"/>
          <w:sz w:val="24"/>
          <w:szCs w:val="24"/>
          <w:u w:val="single"/>
          <w:lang w:eastAsia="zh-CN"/>
        </w:rPr>
        <w:t>新能源加注机技改项目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highlight w:val="none"/>
        </w:rPr>
        <w:t>（CGZX2025080071）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7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4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340"/>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76"/>
              <w:spacing w:before="114"/>
              <w:ind w:left="720"/>
            </w:pPr>
            <w:r>
              <w:t xml:space="preserve">企业名称 </w:t>
            </w:r>
          </w:p>
        </w:tc>
        <w:tc>
          <w:tcPr>
            <w:tcW w:w="4680" w:type="dxa"/>
            <w:gridSpan w:val="4"/>
            <w:vAlign w:val="center"/>
          </w:tcPr>
          <w:p>
            <w:pPr>
              <w:widowControl/>
              <w:autoSpaceDE w:val="0"/>
              <w:autoSpaceDN w:val="0"/>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7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autoSpaceDE w:val="0"/>
              <w:autoSpaceDN w:val="0"/>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76"/>
              <w:spacing w:before="114"/>
              <w:ind w:left="720"/>
            </w:pPr>
            <w:r>
              <w:t xml:space="preserve">企业地址 </w:t>
            </w:r>
          </w:p>
        </w:tc>
        <w:tc>
          <w:tcPr>
            <w:tcW w:w="4680" w:type="dxa"/>
            <w:gridSpan w:val="4"/>
            <w:vAlign w:val="center"/>
          </w:tcPr>
          <w:p>
            <w:pPr>
              <w:widowControl/>
              <w:autoSpaceDE w:val="0"/>
              <w:autoSpaceDN w:val="0"/>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7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autoSpaceDE w:val="0"/>
              <w:autoSpaceDN w:val="0"/>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76"/>
              <w:spacing w:before="111"/>
              <w:ind w:left="720"/>
            </w:pPr>
            <w:r>
              <w:t xml:space="preserve">企业性质 </w:t>
            </w:r>
          </w:p>
        </w:tc>
        <w:tc>
          <w:tcPr>
            <w:tcW w:w="4680" w:type="dxa"/>
            <w:gridSpan w:val="4"/>
            <w:vAlign w:val="center"/>
          </w:tcPr>
          <w:p>
            <w:pPr>
              <w:widowControl/>
              <w:autoSpaceDE w:val="0"/>
              <w:autoSpaceDN w:val="0"/>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276"/>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autoSpaceDE w:val="0"/>
              <w:autoSpaceDN w:val="0"/>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pPr>
              <w:pStyle w:val="276"/>
              <w:spacing w:before="111"/>
              <w:ind w:left="509"/>
            </w:pPr>
            <w:r>
              <w:t xml:space="preserve">企业法人代表  </w:t>
            </w:r>
          </w:p>
        </w:tc>
        <w:tc>
          <w:tcPr>
            <w:tcW w:w="4680" w:type="dxa"/>
            <w:gridSpan w:val="4"/>
          </w:tcPr>
          <w:p>
            <w:pPr>
              <w:pStyle w:val="4"/>
              <w:keepNext w:val="0"/>
              <w:keepLines w:val="0"/>
              <w:widowControl/>
              <w:shd w:val="clear" w:color="auto" w:fill="FFFFFF"/>
              <w:autoSpaceDE w:val="0"/>
              <w:autoSpaceDN w:val="0"/>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276"/>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autoSpaceDE w:val="0"/>
              <w:autoSpaceDN w:val="0"/>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76"/>
              <w:spacing w:before="114"/>
              <w:ind w:left="720"/>
            </w:pPr>
            <w:r>
              <w:t xml:space="preserve">品牌区分 </w:t>
            </w:r>
          </w:p>
        </w:tc>
        <w:tc>
          <w:tcPr>
            <w:tcW w:w="7500" w:type="dxa"/>
            <w:gridSpan w:val="6"/>
          </w:tcPr>
          <w:p>
            <w:pPr>
              <w:pStyle w:val="276"/>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76"/>
              <w:spacing w:before="178"/>
              <w:ind w:left="720"/>
            </w:pPr>
            <w:r>
              <w:t xml:space="preserve">品牌名称 </w:t>
            </w:r>
          </w:p>
        </w:tc>
        <w:tc>
          <w:tcPr>
            <w:tcW w:w="3583" w:type="dxa"/>
            <w:gridSpan w:val="3"/>
            <w:vAlign w:val="center"/>
          </w:tcPr>
          <w:p>
            <w:pPr>
              <w:widowControl/>
              <w:autoSpaceDE w:val="0"/>
              <w:autoSpaceDN w:val="0"/>
              <w:rPr>
                <w:rFonts w:ascii="宋体" w:hAnsi="宋体" w:eastAsia="仿宋_GB2312"/>
                <w:kern w:val="0"/>
                <w:szCs w:val="21"/>
                <w:lang w:bidi="ar"/>
              </w:rPr>
            </w:pPr>
          </w:p>
        </w:tc>
        <w:tc>
          <w:tcPr>
            <w:tcW w:w="1097" w:type="dxa"/>
          </w:tcPr>
          <w:p>
            <w:pPr>
              <w:pStyle w:val="276"/>
              <w:spacing w:before="15"/>
              <w:ind w:left="279"/>
            </w:pPr>
            <w:r>
              <w:rPr>
                <w:spacing w:val="-2"/>
              </w:rPr>
              <w:t>质量</w:t>
            </w:r>
            <w:r>
              <w:t xml:space="preserve"> </w:t>
            </w:r>
          </w:p>
          <w:p>
            <w:pPr>
              <w:pStyle w:val="276"/>
              <w:spacing w:before="30" w:line="277" w:lineRule="exact"/>
              <w:ind w:left="279"/>
            </w:pPr>
            <w:r>
              <w:rPr>
                <w:rFonts w:hint="eastAsia"/>
              </w:rPr>
              <w:t>体系</w:t>
            </w:r>
          </w:p>
        </w:tc>
        <w:tc>
          <w:tcPr>
            <w:tcW w:w="2820" w:type="dxa"/>
            <w:gridSpan w:val="2"/>
          </w:tcPr>
          <w:p>
            <w:pPr>
              <w:pStyle w:val="276"/>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76"/>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autoSpaceDE w:val="0"/>
              <w:autoSpaceDN w:val="0"/>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autoSpaceDE w:val="0"/>
              <w:autoSpaceDN w:val="0"/>
              <w:textAlignment w:val="center"/>
              <w:rPr>
                <w:rFonts w:ascii="宋体" w:hAnsi="宋体" w:eastAsia="宋体" w:cs="宋体"/>
                <w:szCs w:val="21"/>
              </w:rPr>
            </w:pPr>
          </w:p>
        </w:tc>
        <w:tc>
          <w:tcPr>
            <w:tcW w:w="1530" w:type="dxa"/>
            <w:vAlign w:val="center"/>
          </w:tcPr>
          <w:p>
            <w:pPr>
              <w:widowControl/>
              <w:autoSpaceDE w:val="0"/>
              <w:autoSpaceDN w:val="0"/>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autoSpaceDE w:val="0"/>
              <w:autoSpaceDN w:val="0"/>
              <w:jc w:val="center"/>
              <w:textAlignment w:val="center"/>
              <w:rPr>
                <w:rFonts w:ascii="宋体" w:hAnsi="宋体" w:eastAsia="宋体" w:cs="宋体"/>
                <w:szCs w:val="21"/>
              </w:rPr>
            </w:pPr>
          </w:p>
        </w:tc>
        <w:tc>
          <w:tcPr>
            <w:tcW w:w="1097" w:type="dxa"/>
            <w:vAlign w:val="center"/>
          </w:tcPr>
          <w:p>
            <w:pPr>
              <w:widowControl/>
              <w:autoSpaceDE w:val="0"/>
              <w:autoSpaceDN w:val="0"/>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autoSpaceDE w:val="0"/>
              <w:autoSpaceDN w:val="0"/>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autoSpaceDE w:val="0"/>
              <w:autoSpaceDN w:val="0"/>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autoSpaceDE w:val="0"/>
              <w:autoSpaceDN w:val="0"/>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autoSpaceDE w:val="0"/>
              <w:autoSpaceDN w:val="0"/>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autoSpaceDE w:val="0"/>
              <w:autoSpaceDN w:val="0"/>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autoSpaceDE w:val="0"/>
              <w:autoSpaceDN w:val="0"/>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autoSpaceDE w:val="0"/>
              <w:autoSpaceDN w:val="0"/>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autoSpaceDE w:val="0"/>
              <w:autoSpaceDN w:val="0"/>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autoSpaceDE w:val="0"/>
              <w:autoSpaceDN w:val="0"/>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autoSpaceDE w:val="0"/>
              <w:autoSpaceDN w:val="0"/>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autoSpaceDE w:val="0"/>
              <w:autoSpaceDN w:val="0"/>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autoSpaceDE w:val="0"/>
              <w:autoSpaceDN w:val="0"/>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autoSpaceDE w:val="0"/>
              <w:autoSpaceDN w:val="0"/>
              <w:jc w:val="left"/>
              <w:rPr>
                <w:rFonts w:ascii="宋体" w:hAnsi="宋体" w:eastAsia="宋体" w:cs="宋体"/>
                <w:kern w:val="0"/>
                <w:szCs w:val="21"/>
                <w:lang w:bidi="ar"/>
              </w:rPr>
            </w:pPr>
          </w:p>
        </w:tc>
      </w:tr>
    </w:tbl>
    <w:p>
      <w:pPr>
        <w:pStyle w:val="40"/>
        <w:rPr>
          <w:rFonts w:ascii="Times New Roman" w:hAnsi="Times New Roman" w:eastAsia="宋体" w:cs="Times New Roman"/>
          <w:b/>
          <w:bCs/>
          <w:color w:val="000000"/>
          <w:sz w:val="24"/>
          <w:szCs w:val="24"/>
        </w:rPr>
      </w:pPr>
    </w:p>
    <w:p>
      <w:pPr>
        <w:pStyle w:val="40"/>
        <w:rPr>
          <w:rFonts w:ascii="Times New Roman" w:hAnsi="Times New Roman" w:eastAsia="宋体" w:cs="Times New Roman"/>
          <w:b/>
          <w:bCs/>
          <w:color w:val="000000"/>
          <w:sz w:val="24"/>
          <w:szCs w:val="24"/>
        </w:rPr>
      </w:pPr>
    </w:p>
    <w:p>
      <w:pPr>
        <w:pStyle w:val="40"/>
        <w:rPr>
          <w:rFonts w:ascii="Times New Roman" w:hAnsi="Times New Roman" w:eastAsia="宋体" w:cs="Times New Roman"/>
          <w:b/>
          <w:bCs/>
          <w:color w:val="000000"/>
          <w:sz w:val="24"/>
          <w:szCs w:val="24"/>
        </w:rPr>
      </w:pPr>
    </w:p>
    <w:p>
      <w:pPr>
        <w:pStyle w:val="40"/>
        <w:rPr>
          <w:rFonts w:ascii="Times New Roman" w:hAnsi="Times New Roman" w:eastAsia="宋体" w:cs="Times New Roman"/>
          <w:b/>
          <w:bCs/>
          <w:color w:val="000000"/>
          <w:sz w:val="24"/>
          <w:szCs w:val="24"/>
        </w:rPr>
      </w:pPr>
    </w:p>
    <w:p>
      <w:pPr>
        <w:pStyle w:val="40"/>
        <w:rPr>
          <w:rFonts w:ascii="Times New Roman" w:hAnsi="Times New Roman" w:eastAsia="宋体" w:cs="Times New Roman"/>
          <w:b/>
          <w:bCs/>
          <w:color w:val="000000"/>
          <w:sz w:val="24"/>
          <w:szCs w:val="24"/>
        </w:rPr>
      </w:pPr>
    </w:p>
    <w:p>
      <w:pPr>
        <w:pStyle w:val="40"/>
        <w:rPr>
          <w:rFonts w:ascii="Times New Roman" w:hAnsi="Times New Roman" w:eastAsia="宋体" w:cs="Times New Roman"/>
          <w:b/>
          <w:bCs/>
          <w:color w:val="000000"/>
          <w:sz w:val="24"/>
          <w:szCs w:val="24"/>
        </w:rPr>
      </w:pPr>
    </w:p>
    <w:p>
      <w:pPr>
        <w:pStyle w:val="40"/>
        <w:rPr>
          <w:rFonts w:ascii="Times New Roman" w:hAnsi="Times New Roman" w:eastAsia="宋体" w:cs="Times New Roman"/>
          <w:b/>
          <w:bCs/>
          <w:color w:val="000000"/>
          <w:sz w:val="24"/>
          <w:szCs w:val="24"/>
        </w:rPr>
      </w:pPr>
    </w:p>
    <w:p>
      <w:pPr>
        <w:pStyle w:val="40"/>
        <w:rPr>
          <w:rFonts w:ascii="Times New Roman" w:hAnsi="Times New Roman" w:eastAsia="宋体" w:cs="Times New Roman"/>
          <w:b/>
          <w:bCs/>
          <w:color w:val="000000"/>
          <w:sz w:val="24"/>
          <w:szCs w:val="24"/>
        </w:rPr>
      </w:pPr>
    </w:p>
    <w:p>
      <w:pPr>
        <w:pStyle w:val="4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40"/>
        <w:rPr>
          <w:rFonts w:ascii="Times New Roman" w:hAnsi="Times New Roman" w:eastAsia="宋体" w:cs="Times New Roman"/>
          <w:b/>
          <w:bCs/>
          <w:color w:val="000000"/>
          <w:sz w:val="24"/>
          <w:szCs w:val="24"/>
        </w:rPr>
      </w:pP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Calibri" w:eastAsia="宋体" w:cs="Times New Roman"/>
          <w:sz w:val="24"/>
          <w:szCs w:val="20"/>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r>
        <w:rPr>
          <w:rFonts w:ascii="宋体" w:hAnsi="宋体" w:eastAsia="宋体" w:cs="Times New Roman"/>
          <w:color w:val="000000"/>
          <w:sz w:val="24"/>
          <w:szCs w:val="24"/>
        </w:rPr>
        <w:t xml:space="preserve">                                                          </w:t>
      </w:r>
    </w:p>
    <w:tbl>
      <w:tblPr>
        <w:tblStyle w:val="7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76"/>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7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新能源加注机技改项目</w:t>
            </w:r>
          </w:p>
        </w:tc>
        <w:tc>
          <w:tcPr>
            <w:tcW w:w="84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40"/>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40"/>
        <w:sectPr>
          <w:pgSz w:w="11906" w:h="16838"/>
          <w:pgMar w:top="1588" w:right="1418" w:bottom="1134" w:left="1418" w:header="851" w:footer="992" w:gutter="0"/>
          <w:cols w:space="720" w:num="1"/>
          <w:titlePg/>
          <w:docGrid w:type="lines" w:linePitch="312" w:charSpace="0"/>
        </w:sectPr>
      </w:pPr>
    </w:p>
    <w:p>
      <w:pPr>
        <w:rPr>
          <w:rFonts w:ascii="宋体" w:hAnsi="宋体" w:cs="宋体"/>
          <w:color w:val="000000"/>
          <w:sz w:val="24"/>
          <w:szCs w:val="24"/>
        </w:rPr>
      </w:pPr>
    </w:p>
    <w:p>
      <w:pPr>
        <w:pStyle w:val="4"/>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340"/>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pPr>
              <w:autoSpaceDE w:val="0"/>
              <w:autoSpaceDN w:val="0"/>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pPr>
              <w:autoSpaceDE w:val="0"/>
              <w:autoSpaceDN w:val="0"/>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pPr>
              <w:autoSpaceDE w:val="0"/>
              <w:autoSpaceDN w:val="0"/>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pPr>
              <w:autoSpaceDE w:val="0"/>
              <w:autoSpaceDN w:val="0"/>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pPr>
              <w:autoSpaceDE w:val="0"/>
              <w:autoSpaceDN w:val="0"/>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pPr>
              <w:autoSpaceDE w:val="0"/>
              <w:autoSpaceDN w:val="0"/>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pPr>
              <w:autoSpaceDE w:val="0"/>
              <w:autoSpaceDN w:val="0"/>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pPr>
              <w:autoSpaceDE w:val="0"/>
              <w:autoSpaceDN w:val="0"/>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pPr>
              <w:autoSpaceDE w:val="0"/>
              <w:autoSpaceDN w:val="0"/>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pPr>
              <w:autoSpaceDE w:val="0"/>
              <w:autoSpaceDN w:val="0"/>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353"/>
              <w:autoSpaceDE w:val="0"/>
              <w:autoSpaceDN w:val="0"/>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pPr>
              <w:autoSpaceDE w:val="0"/>
              <w:autoSpaceDN w:val="0"/>
              <w:jc w:val="center"/>
              <w:rPr>
                <w:rFonts w:ascii="宋体" w:hAnsi="宋体" w:eastAsia="宋体" w:cs="宋体"/>
                <w:szCs w:val="21"/>
              </w:rPr>
            </w:pPr>
          </w:p>
        </w:tc>
        <w:tc>
          <w:tcPr>
            <w:tcW w:w="1722" w:type="dxa"/>
          </w:tcPr>
          <w:p>
            <w:pPr>
              <w:autoSpaceDE w:val="0"/>
              <w:autoSpaceDN w:val="0"/>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550"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2550" w:type="dxa"/>
          </w:tcPr>
          <w:p>
            <w:pPr>
              <w:autoSpaceDE w:val="0"/>
              <w:autoSpaceDN w:val="0"/>
              <w:rPr>
                <w:rFonts w:ascii="宋体" w:hAnsi="宋体" w:eastAsia="宋体" w:cs="宋体"/>
                <w:szCs w:val="21"/>
              </w:rPr>
            </w:pPr>
          </w:p>
        </w:tc>
        <w:tc>
          <w:tcPr>
            <w:tcW w:w="2510" w:type="dxa"/>
            <w:tcBorders>
              <w:right w:val="single" w:color="000000" w:sz="4" w:space="0"/>
            </w:tcBorders>
          </w:tcPr>
          <w:p>
            <w:pPr>
              <w:autoSpaceDE w:val="0"/>
              <w:autoSpaceDN w:val="0"/>
              <w:ind w:left="105" w:leftChars="50"/>
              <w:jc w:val="left"/>
              <w:rPr>
                <w:rFonts w:ascii="宋体" w:hAnsi="宋体" w:eastAsia="宋体" w:cs="宋体"/>
                <w:szCs w:val="21"/>
              </w:rPr>
            </w:pPr>
          </w:p>
        </w:tc>
        <w:tc>
          <w:tcPr>
            <w:tcW w:w="2196" w:type="dxa"/>
            <w:tcBorders>
              <w:left w:val="single" w:color="000000" w:sz="4" w:space="0"/>
            </w:tcBorders>
          </w:tcPr>
          <w:p>
            <w:pPr>
              <w:autoSpaceDE w:val="0"/>
              <w:autoSpaceDN w:val="0"/>
              <w:ind w:left="105" w:leftChars="50"/>
              <w:jc w:val="left"/>
              <w:rPr>
                <w:rFonts w:ascii="宋体" w:hAnsi="宋体" w:eastAsia="宋体" w:cs="宋体"/>
                <w:szCs w:val="21"/>
              </w:rPr>
            </w:pPr>
          </w:p>
        </w:tc>
        <w:tc>
          <w:tcPr>
            <w:tcW w:w="964" w:type="dxa"/>
          </w:tcPr>
          <w:p>
            <w:pPr>
              <w:autoSpaceDE w:val="0"/>
              <w:autoSpaceDN w:val="0"/>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353"/>
              <w:autoSpaceDE w:val="0"/>
              <w:autoSpaceDN w:val="0"/>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pPr>
              <w:autoSpaceDE w:val="0"/>
              <w:autoSpaceDN w:val="0"/>
              <w:jc w:val="center"/>
              <w:rPr>
                <w:rFonts w:ascii="宋体" w:hAnsi="宋体" w:eastAsia="宋体" w:cs="宋体"/>
                <w:szCs w:val="21"/>
              </w:rPr>
            </w:pPr>
          </w:p>
        </w:tc>
        <w:tc>
          <w:tcPr>
            <w:tcW w:w="1722" w:type="dxa"/>
          </w:tcPr>
          <w:p>
            <w:pPr>
              <w:autoSpaceDE w:val="0"/>
              <w:autoSpaceDN w:val="0"/>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550"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2550" w:type="dxa"/>
          </w:tcPr>
          <w:p>
            <w:pPr>
              <w:autoSpaceDE w:val="0"/>
              <w:autoSpaceDN w:val="0"/>
              <w:rPr>
                <w:rFonts w:ascii="宋体" w:hAnsi="宋体" w:eastAsia="宋体" w:cs="宋体"/>
                <w:szCs w:val="21"/>
              </w:rPr>
            </w:pPr>
          </w:p>
        </w:tc>
        <w:tc>
          <w:tcPr>
            <w:tcW w:w="2510" w:type="dxa"/>
            <w:tcBorders>
              <w:right w:val="single" w:color="000000" w:sz="4" w:space="0"/>
            </w:tcBorders>
          </w:tcPr>
          <w:p>
            <w:pPr>
              <w:autoSpaceDE w:val="0"/>
              <w:autoSpaceDN w:val="0"/>
              <w:ind w:left="105" w:leftChars="50"/>
              <w:jc w:val="left"/>
              <w:rPr>
                <w:rFonts w:ascii="宋体" w:hAnsi="宋体" w:eastAsia="宋体" w:cs="宋体"/>
                <w:szCs w:val="21"/>
              </w:rPr>
            </w:pPr>
          </w:p>
        </w:tc>
        <w:tc>
          <w:tcPr>
            <w:tcW w:w="2196" w:type="dxa"/>
            <w:tcBorders>
              <w:left w:val="single" w:color="000000" w:sz="4" w:space="0"/>
            </w:tcBorders>
          </w:tcPr>
          <w:p>
            <w:pPr>
              <w:autoSpaceDE w:val="0"/>
              <w:autoSpaceDN w:val="0"/>
              <w:ind w:left="105" w:leftChars="50"/>
              <w:jc w:val="left"/>
              <w:rPr>
                <w:rFonts w:ascii="宋体" w:hAnsi="宋体" w:eastAsia="宋体" w:cs="宋体"/>
                <w:szCs w:val="21"/>
              </w:rPr>
            </w:pPr>
          </w:p>
        </w:tc>
        <w:tc>
          <w:tcPr>
            <w:tcW w:w="964" w:type="dxa"/>
          </w:tcPr>
          <w:p>
            <w:pPr>
              <w:autoSpaceDE w:val="0"/>
              <w:autoSpaceDN w:val="0"/>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353"/>
              <w:autoSpaceDE w:val="0"/>
              <w:autoSpaceDN w:val="0"/>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pPr>
              <w:autoSpaceDE w:val="0"/>
              <w:autoSpaceDN w:val="0"/>
              <w:jc w:val="center"/>
              <w:rPr>
                <w:rFonts w:ascii="宋体" w:hAnsi="宋体" w:eastAsia="宋体" w:cs="宋体"/>
                <w:szCs w:val="21"/>
              </w:rPr>
            </w:pPr>
          </w:p>
        </w:tc>
        <w:tc>
          <w:tcPr>
            <w:tcW w:w="1722" w:type="dxa"/>
          </w:tcPr>
          <w:p>
            <w:pPr>
              <w:autoSpaceDE w:val="0"/>
              <w:autoSpaceDN w:val="0"/>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550"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2550" w:type="dxa"/>
          </w:tcPr>
          <w:p>
            <w:pPr>
              <w:autoSpaceDE w:val="0"/>
              <w:autoSpaceDN w:val="0"/>
              <w:rPr>
                <w:rFonts w:ascii="宋体" w:hAnsi="宋体" w:eastAsia="宋体" w:cs="宋体"/>
                <w:szCs w:val="21"/>
              </w:rPr>
            </w:pPr>
          </w:p>
        </w:tc>
        <w:tc>
          <w:tcPr>
            <w:tcW w:w="2510" w:type="dxa"/>
            <w:tcBorders>
              <w:right w:val="single" w:color="000000" w:sz="4" w:space="0"/>
            </w:tcBorders>
          </w:tcPr>
          <w:p>
            <w:pPr>
              <w:autoSpaceDE w:val="0"/>
              <w:autoSpaceDN w:val="0"/>
              <w:ind w:left="105" w:leftChars="50"/>
              <w:jc w:val="left"/>
              <w:rPr>
                <w:rFonts w:ascii="宋体" w:hAnsi="宋体" w:eastAsia="宋体" w:cs="宋体"/>
                <w:szCs w:val="21"/>
              </w:rPr>
            </w:pPr>
          </w:p>
        </w:tc>
        <w:tc>
          <w:tcPr>
            <w:tcW w:w="2196" w:type="dxa"/>
            <w:tcBorders>
              <w:left w:val="single" w:color="000000" w:sz="4" w:space="0"/>
            </w:tcBorders>
          </w:tcPr>
          <w:p>
            <w:pPr>
              <w:autoSpaceDE w:val="0"/>
              <w:autoSpaceDN w:val="0"/>
              <w:ind w:left="105" w:leftChars="50"/>
              <w:jc w:val="left"/>
              <w:rPr>
                <w:rFonts w:ascii="宋体" w:hAnsi="宋体" w:eastAsia="宋体" w:cs="宋体"/>
                <w:szCs w:val="21"/>
              </w:rPr>
            </w:pPr>
          </w:p>
        </w:tc>
        <w:tc>
          <w:tcPr>
            <w:tcW w:w="964" w:type="dxa"/>
          </w:tcPr>
          <w:p>
            <w:pPr>
              <w:autoSpaceDE w:val="0"/>
              <w:autoSpaceDN w:val="0"/>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pPr>
              <w:pStyle w:val="353"/>
              <w:autoSpaceDE w:val="0"/>
              <w:autoSpaceDN w:val="0"/>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pPr>
              <w:autoSpaceDE w:val="0"/>
              <w:autoSpaceDN w:val="0"/>
              <w:jc w:val="center"/>
              <w:rPr>
                <w:rFonts w:ascii="宋体" w:hAnsi="宋体" w:eastAsia="宋体" w:cs="宋体"/>
                <w:szCs w:val="21"/>
              </w:rPr>
            </w:pPr>
          </w:p>
        </w:tc>
        <w:tc>
          <w:tcPr>
            <w:tcW w:w="1722" w:type="dxa"/>
          </w:tcPr>
          <w:p>
            <w:pPr>
              <w:autoSpaceDE w:val="0"/>
              <w:autoSpaceDN w:val="0"/>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550"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2550" w:type="dxa"/>
          </w:tcPr>
          <w:p>
            <w:pPr>
              <w:autoSpaceDE w:val="0"/>
              <w:autoSpaceDN w:val="0"/>
              <w:rPr>
                <w:rFonts w:ascii="宋体" w:hAnsi="宋体" w:eastAsia="宋体" w:cs="宋体"/>
                <w:szCs w:val="21"/>
              </w:rPr>
            </w:pPr>
          </w:p>
        </w:tc>
        <w:tc>
          <w:tcPr>
            <w:tcW w:w="2510" w:type="dxa"/>
            <w:tcBorders>
              <w:right w:val="single" w:color="000000" w:sz="4" w:space="0"/>
            </w:tcBorders>
          </w:tcPr>
          <w:p>
            <w:pPr>
              <w:autoSpaceDE w:val="0"/>
              <w:autoSpaceDN w:val="0"/>
              <w:ind w:left="105" w:leftChars="50"/>
              <w:jc w:val="left"/>
              <w:rPr>
                <w:rFonts w:ascii="宋体" w:hAnsi="宋体" w:eastAsia="宋体" w:cs="宋体"/>
                <w:szCs w:val="21"/>
              </w:rPr>
            </w:pPr>
          </w:p>
        </w:tc>
        <w:tc>
          <w:tcPr>
            <w:tcW w:w="2196" w:type="dxa"/>
            <w:tcBorders>
              <w:left w:val="single" w:color="000000" w:sz="4" w:space="0"/>
            </w:tcBorders>
          </w:tcPr>
          <w:p>
            <w:pPr>
              <w:autoSpaceDE w:val="0"/>
              <w:autoSpaceDN w:val="0"/>
              <w:ind w:left="105" w:leftChars="50"/>
              <w:jc w:val="left"/>
              <w:rPr>
                <w:rFonts w:ascii="宋体" w:hAnsi="宋体" w:eastAsia="宋体" w:cs="宋体"/>
                <w:szCs w:val="21"/>
              </w:rPr>
            </w:pPr>
          </w:p>
        </w:tc>
        <w:tc>
          <w:tcPr>
            <w:tcW w:w="964" w:type="dxa"/>
          </w:tcPr>
          <w:p>
            <w:pPr>
              <w:autoSpaceDE w:val="0"/>
              <w:autoSpaceDN w:val="0"/>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353"/>
              <w:autoSpaceDE w:val="0"/>
              <w:autoSpaceDN w:val="0"/>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pPr>
              <w:autoSpaceDE w:val="0"/>
              <w:autoSpaceDN w:val="0"/>
              <w:jc w:val="center"/>
              <w:rPr>
                <w:rFonts w:ascii="宋体" w:hAnsi="宋体" w:eastAsia="宋体" w:cs="宋体"/>
                <w:szCs w:val="21"/>
              </w:rPr>
            </w:pPr>
          </w:p>
        </w:tc>
        <w:tc>
          <w:tcPr>
            <w:tcW w:w="1722" w:type="dxa"/>
          </w:tcPr>
          <w:p>
            <w:pPr>
              <w:autoSpaceDE w:val="0"/>
              <w:autoSpaceDN w:val="0"/>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550" w:type="dxa"/>
            <w:shd w:val="clear" w:color="auto" w:fill="auto"/>
            <w:vAlign w:val="center"/>
          </w:tcPr>
          <w:p>
            <w:pPr>
              <w:autoSpaceDE w:val="0"/>
              <w:autoSpaceDN w:val="0"/>
              <w:jc w:val="center"/>
              <w:rPr>
                <w:rFonts w:ascii="Times New Roman" w:hAnsi="Times New Roman" w:eastAsia="宋体" w:cs="Times New Roman"/>
                <w:sz w:val="18"/>
                <w:szCs w:val="18"/>
              </w:rPr>
            </w:pPr>
          </w:p>
        </w:tc>
        <w:tc>
          <w:tcPr>
            <w:tcW w:w="2550" w:type="dxa"/>
          </w:tcPr>
          <w:p>
            <w:pPr>
              <w:autoSpaceDE w:val="0"/>
              <w:autoSpaceDN w:val="0"/>
              <w:rPr>
                <w:rFonts w:ascii="宋体" w:hAnsi="宋体" w:eastAsia="宋体" w:cs="宋体"/>
                <w:szCs w:val="21"/>
              </w:rPr>
            </w:pPr>
          </w:p>
        </w:tc>
        <w:tc>
          <w:tcPr>
            <w:tcW w:w="2510" w:type="dxa"/>
            <w:tcBorders>
              <w:right w:val="single" w:color="000000" w:sz="4" w:space="0"/>
            </w:tcBorders>
          </w:tcPr>
          <w:p>
            <w:pPr>
              <w:autoSpaceDE w:val="0"/>
              <w:autoSpaceDN w:val="0"/>
              <w:ind w:left="105" w:leftChars="50"/>
              <w:jc w:val="left"/>
              <w:rPr>
                <w:rFonts w:ascii="宋体" w:hAnsi="宋体" w:eastAsia="宋体" w:cs="宋体"/>
                <w:szCs w:val="21"/>
              </w:rPr>
            </w:pPr>
          </w:p>
        </w:tc>
        <w:tc>
          <w:tcPr>
            <w:tcW w:w="2196" w:type="dxa"/>
            <w:tcBorders>
              <w:left w:val="single" w:color="000000" w:sz="4" w:space="0"/>
            </w:tcBorders>
          </w:tcPr>
          <w:p>
            <w:pPr>
              <w:autoSpaceDE w:val="0"/>
              <w:autoSpaceDN w:val="0"/>
              <w:ind w:left="105" w:leftChars="50"/>
              <w:jc w:val="left"/>
              <w:rPr>
                <w:rFonts w:ascii="宋体" w:hAnsi="宋体" w:eastAsia="宋体" w:cs="宋体"/>
                <w:szCs w:val="21"/>
              </w:rPr>
            </w:pPr>
          </w:p>
        </w:tc>
        <w:tc>
          <w:tcPr>
            <w:tcW w:w="964" w:type="dxa"/>
          </w:tcPr>
          <w:p>
            <w:pPr>
              <w:autoSpaceDE w:val="0"/>
              <w:autoSpaceDN w:val="0"/>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pPr>
              <w:autoSpaceDE w:val="0"/>
              <w:autoSpaceDN w:val="0"/>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pPr>
              <w:autoSpaceDE w:val="0"/>
              <w:autoSpaceDN w:val="0"/>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pPr>
              <w:autoSpaceDE w:val="0"/>
              <w:autoSpaceDN w:val="0"/>
              <w:rPr>
                <w:rFonts w:ascii="Arial"/>
              </w:rPr>
            </w:pPr>
            <w:r>
              <w:rPr>
                <w:rFonts w:hint="eastAsia" w:ascii="宋体" w:hAnsi="宋体" w:eastAsia="宋体" w:cs="宋体"/>
                <w:szCs w:val="21"/>
              </w:rPr>
              <w:t xml:space="preserve"> </w:t>
            </w:r>
          </w:p>
        </w:tc>
        <w:tc>
          <w:tcPr>
            <w:tcW w:w="703" w:type="dxa"/>
          </w:tcPr>
          <w:p>
            <w:pPr>
              <w:autoSpaceDE w:val="0"/>
              <w:autoSpaceDN w:val="0"/>
              <w:rPr>
                <w:rFonts w:ascii="Arial"/>
              </w:rPr>
            </w:pPr>
            <w:r>
              <w:rPr>
                <w:rFonts w:hint="eastAsia" w:ascii="宋体" w:hAnsi="宋体" w:eastAsia="宋体" w:cs="宋体"/>
                <w:szCs w:val="21"/>
              </w:rPr>
              <w:t xml:space="preserve"> </w:t>
            </w:r>
          </w:p>
        </w:tc>
        <w:tc>
          <w:tcPr>
            <w:tcW w:w="550" w:type="dxa"/>
          </w:tcPr>
          <w:p>
            <w:pPr>
              <w:autoSpaceDE w:val="0"/>
              <w:autoSpaceDN w:val="0"/>
              <w:rPr>
                <w:rFonts w:ascii="Arial"/>
              </w:rPr>
            </w:pPr>
            <w:r>
              <w:rPr>
                <w:rFonts w:hint="eastAsia" w:ascii="宋体" w:hAnsi="宋体" w:eastAsia="宋体" w:cs="宋体"/>
                <w:szCs w:val="21"/>
              </w:rPr>
              <w:t xml:space="preserve"> </w:t>
            </w:r>
          </w:p>
        </w:tc>
        <w:tc>
          <w:tcPr>
            <w:tcW w:w="2550" w:type="dxa"/>
          </w:tcPr>
          <w:p>
            <w:pPr>
              <w:autoSpaceDE w:val="0"/>
              <w:autoSpaceDN w:val="0"/>
              <w:rPr>
                <w:rFonts w:ascii="Arial"/>
              </w:rPr>
            </w:pPr>
          </w:p>
        </w:tc>
        <w:tc>
          <w:tcPr>
            <w:tcW w:w="2510" w:type="dxa"/>
            <w:tcBorders>
              <w:right w:val="single" w:color="000000" w:sz="4" w:space="0"/>
            </w:tcBorders>
          </w:tcPr>
          <w:p>
            <w:pPr>
              <w:autoSpaceDE w:val="0"/>
              <w:autoSpaceDN w:val="0"/>
              <w:rPr>
                <w:rFonts w:ascii="Arial"/>
              </w:rPr>
            </w:pPr>
          </w:p>
        </w:tc>
        <w:tc>
          <w:tcPr>
            <w:tcW w:w="2196" w:type="dxa"/>
            <w:tcBorders>
              <w:left w:val="single" w:color="000000" w:sz="4" w:space="0"/>
            </w:tcBorders>
          </w:tcPr>
          <w:p>
            <w:pPr>
              <w:autoSpaceDE w:val="0"/>
              <w:autoSpaceDN w:val="0"/>
              <w:rPr>
                <w:rFonts w:ascii="Arial"/>
              </w:rPr>
            </w:pPr>
          </w:p>
        </w:tc>
        <w:tc>
          <w:tcPr>
            <w:tcW w:w="964"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pPr>
              <w:autoSpaceDE w:val="0"/>
              <w:autoSpaceDN w:val="0"/>
              <w:jc w:val="center"/>
              <w:rPr>
                <w:rFonts w:ascii="宋体" w:hAnsi="宋体" w:eastAsia="宋体" w:cs="宋体"/>
                <w:spacing w:val="-6"/>
                <w:szCs w:val="21"/>
              </w:rPr>
            </w:pPr>
          </w:p>
        </w:tc>
        <w:tc>
          <w:tcPr>
            <w:tcW w:w="9440" w:type="dxa"/>
            <w:gridSpan w:val="6"/>
            <w:tcBorders>
              <w:right w:val="single" w:color="000000" w:sz="4" w:space="0"/>
            </w:tcBorders>
          </w:tcPr>
          <w:p>
            <w:pPr>
              <w:autoSpaceDE w:val="0"/>
              <w:autoSpaceDN w:val="0"/>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pPr>
              <w:autoSpaceDE w:val="0"/>
              <w:autoSpaceDN w:val="0"/>
              <w:rPr>
                <w:rFonts w:ascii="Arial"/>
              </w:rPr>
            </w:pPr>
          </w:p>
        </w:tc>
        <w:tc>
          <w:tcPr>
            <w:tcW w:w="964" w:type="dxa"/>
          </w:tcPr>
          <w:p>
            <w:pPr>
              <w:autoSpaceDE w:val="0"/>
              <w:autoSpaceDN w:val="0"/>
              <w:rPr>
                <w:rFonts w:ascii="Arial"/>
              </w:rPr>
            </w:pP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ascii="宋体" w:hAnsi="宋体" w:eastAsia="宋体" w:cs="宋体"/>
          <w:spacing w:val="-6"/>
          <w:szCs w:val="21"/>
        </w:rPr>
      </w:pPr>
    </w:p>
    <w:p>
      <w:pPr>
        <w:spacing w:before="78" w:line="219" w:lineRule="auto"/>
        <w:ind w:left="431"/>
        <w:rPr>
          <w:rFonts w:ascii="宋体" w:hAnsi="宋体" w:eastAsia="宋体" w:cs="宋体"/>
          <w:spacing w:val="-6"/>
          <w:szCs w:val="21"/>
        </w:rPr>
      </w:pPr>
    </w:p>
    <w:p>
      <w:pPr>
        <w:spacing w:before="78" w:line="219" w:lineRule="auto"/>
        <w:ind w:left="431"/>
        <w:rPr>
          <w:rFonts w:ascii="宋体" w:hAnsi="宋体" w:eastAsia="宋体" w:cs="宋体"/>
          <w:spacing w:val="-6"/>
          <w:szCs w:val="21"/>
        </w:rPr>
      </w:pPr>
    </w:p>
    <w:p>
      <w:pPr>
        <w:spacing w:before="78" w:line="219" w:lineRule="auto"/>
        <w:ind w:left="431"/>
        <w:rPr>
          <w:rFonts w:ascii="宋体" w:hAnsi="宋体" w:eastAsia="宋体" w:cs="宋体"/>
          <w:spacing w:val="-6"/>
          <w:szCs w:val="21"/>
        </w:rPr>
      </w:pPr>
    </w:p>
    <w:p>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pPr>
        <w:rPr>
          <w:rFonts w:ascii="宋体" w:hAnsi="宋体" w:eastAsia="宋体" w:cs="宋体"/>
          <w:sz w:val="24"/>
          <w:szCs w:val="24"/>
        </w:r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340"/>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autoSpaceDE w:val="0"/>
              <w:autoSpaceDN w:val="0"/>
              <w:spacing w:line="296" w:lineRule="auto"/>
              <w:rPr>
                <w:rFonts w:ascii="Arial"/>
              </w:rPr>
            </w:pPr>
          </w:p>
          <w:p>
            <w:pPr>
              <w:autoSpaceDE w:val="0"/>
              <w:autoSpaceDN w:val="0"/>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pPr>
              <w:autoSpaceDE w:val="0"/>
              <w:autoSpaceDN w:val="0"/>
              <w:spacing w:line="295" w:lineRule="auto"/>
              <w:rPr>
                <w:rFonts w:ascii="Arial"/>
              </w:rPr>
            </w:pPr>
          </w:p>
          <w:p>
            <w:pPr>
              <w:autoSpaceDE w:val="0"/>
              <w:autoSpaceDN w:val="0"/>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pPr>
              <w:autoSpaceDE w:val="0"/>
              <w:autoSpaceDN w:val="0"/>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pPr>
              <w:autoSpaceDE w:val="0"/>
              <w:autoSpaceDN w:val="0"/>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pPr>
              <w:autoSpaceDE w:val="0"/>
              <w:autoSpaceDN w:val="0"/>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pPr>
              <w:autoSpaceDE w:val="0"/>
              <w:autoSpaceDN w:val="0"/>
              <w:spacing w:before="130" w:line="222" w:lineRule="auto"/>
              <w:ind w:left="770"/>
              <w:rPr>
                <w:rFonts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autoSpaceDE w:val="0"/>
              <w:autoSpaceDN w:val="0"/>
              <w:rPr>
                <w:rFonts w:ascii="Arial"/>
              </w:rPr>
            </w:pPr>
          </w:p>
        </w:tc>
        <w:tc>
          <w:tcPr>
            <w:tcW w:w="3530" w:type="dxa"/>
            <w:vMerge w:val="continue"/>
            <w:tcBorders>
              <w:top w:val="nil"/>
            </w:tcBorders>
          </w:tcPr>
          <w:p>
            <w:pPr>
              <w:autoSpaceDE w:val="0"/>
              <w:autoSpaceDN w:val="0"/>
              <w:rPr>
                <w:rFonts w:ascii="Arial"/>
              </w:rPr>
            </w:pPr>
          </w:p>
        </w:tc>
        <w:tc>
          <w:tcPr>
            <w:tcW w:w="2159" w:type="dxa"/>
          </w:tcPr>
          <w:p>
            <w:pPr>
              <w:autoSpaceDE w:val="0"/>
              <w:autoSpaceDN w:val="0"/>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autoSpaceDE w:val="0"/>
              <w:autoSpaceDN w:val="0"/>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autoSpaceDE w:val="0"/>
              <w:autoSpaceDN w:val="0"/>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autoSpaceDE w:val="0"/>
              <w:autoSpaceDN w:val="0"/>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autoSpaceDE w:val="0"/>
              <w:autoSpaceDN w:val="0"/>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pPr>
              <w:autoSpaceDE w:val="0"/>
              <w:autoSpaceDN w:val="0"/>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autoSpaceDE w:val="0"/>
              <w:autoSpaceDN w:val="0"/>
              <w:rPr>
                <w:rFonts w:ascii="Arial"/>
              </w:rPr>
            </w:pPr>
          </w:p>
        </w:tc>
        <w:tc>
          <w:tcPr>
            <w:tcW w:w="2186" w:type="dxa"/>
          </w:tcPr>
          <w:p>
            <w:pPr>
              <w:autoSpaceDE w:val="0"/>
              <w:autoSpaceDN w:val="0"/>
              <w:rPr>
                <w:rFonts w:ascii="Arial"/>
              </w:rPr>
            </w:pPr>
          </w:p>
        </w:tc>
        <w:tc>
          <w:tcPr>
            <w:tcW w:w="2596" w:type="dxa"/>
          </w:tcPr>
          <w:p>
            <w:pPr>
              <w:autoSpaceDE w:val="0"/>
              <w:autoSpaceDN w:val="0"/>
              <w:rPr>
                <w:rFonts w:ascii="Arial"/>
              </w:rPr>
            </w:pPr>
          </w:p>
        </w:tc>
        <w:tc>
          <w:tcPr>
            <w:tcW w:w="2164"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autoSpaceDE w:val="0"/>
              <w:autoSpaceDN w:val="0"/>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pPr>
              <w:autoSpaceDE w:val="0"/>
              <w:autoSpaceDN w:val="0"/>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autoSpaceDE w:val="0"/>
              <w:autoSpaceDN w:val="0"/>
              <w:rPr>
                <w:rFonts w:ascii="Arial"/>
              </w:rPr>
            </w:pPr>
          </w:p>
        </w:tc>
        <w:tc>
          <w:tcPr>
            <w:tcW w:w="2186" w:type="dxa"/>
          </w:tcPr>
          <w:p>
            <w:pPr>
              <w:autoSpaceDE w:val="0"/>
              <w:autoSpaceDN w:val="0"/>
              <w:rPr>
                <w:rFonts w:ascii="Arial"/>
              </w:rPr>
            </w:pPr>
          </w:p>
        </w:tc>
        <w:tc>
          <w:tcPr>
            <w:tcW w:w="2596" w:type="dxa"/>
          </w:tcPr>
          <w:p>
            <w:pPr>
              <w:autoSpaceDE w:val="0"/>
              <w:autoSpaceDN w:val="0"/>
              <w:rPr>
                <w:rFonts w:ascii="Arial"/>
              </w:rPr>
            </w:pPr>
          </w:p>
        </w:tc>
        <w:tc>
          <w:tcPr>
            <w:tcW w:w="2164" w:type="dxa"/>
            <w:vMerge w:val="restart"/>
            <w:tcBorders>
              <w:bottom w:val="nil"/>
            </w:tcBorders>
          </w:tcPr>
          <w:p>
            <w:pPr>
              <w:autoSpaceDE w:val="0"/>
              <w:autoSpaceDN w:val="0"/>
              <w:spacing w:line="295" w:lineRule="auto"/>
              <w:rPr>
                <w:rFonts w:ascii="Arial"/>
              </w:rPr>
            </w:pPr>
          </w:p>
          <w:p>
            <w:pPr>
              <w:autoSpaceDE w:val="0"/>
              <w:autoSpaceDN w:val="0"/>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autoSpaceDE w:val="0"/>
              <w:autoSpaceDN w:val="0"/>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pPr>
              <w:autoSpaceDE w:val="0"/>
              <w:autoSpaceDN w:val="0"/>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autoSpaceDE w:val="0"/>
              <w:autoSpaceDN w:val="0"/>
              <w:rPr>
                <w:rFonts w:ascii="Arial"/>
              </w:rPr>
            </w:pPr>
          </w:p>
        </w:tc>
        <w:tc>
          <w:tcPr>
            <w:tcW w:w="2186" w:type="dxa"/>
          </w:tcPr>
          <w:p>
            <w:pPr>
              <w:autoSpaceDE w:val="0"/>
              <w:autoSpaceDN w:val="0"/>
              <w:rPr>
                <w:rFonts w:ascii="Arial"/>
              </w:rPr>
            </w:pPr>
          </w:p>
        </w:tc>
        <w:tc>
          <w:tcPr>
            <w:tcW w:w="2596" w:type="dxa"/>
          </w:tcPr>
          <w:p>
            <w:pPr>
              <w:autoSpaceDE w:val="0"/>
              <w:autoSpaceDN w:val="0"/>
              <w:rPr>
                <w:rFonts w:ascii="Arial"/>
              </w:rPr>
            </w:pPr>
          </w:p>
        </w:tc>
        <w:tc>
          <w:tcPr>
            <w:tcW w:w="2164" w:type="dxa"/>
            <w:vMerge w:val="continue"/>
            <w:tcBorders>
              <w:top w:val="nil"/>
            </w:tcBorders>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autoSpaceDE w:val="0"/>
              <w:autoSpaceDN w:val="0"/>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pPr>
              <w:autoSpaceDE w:val="0"/>
              <w:autoSpaceDN w:val="0"/>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autoSpaceDE w:val="0"/>
              <w:autoSpaceDN w:val="0"/>
              <w:rPr>
                <w:rFonts w:ascii="Arial"/>
              </w:rPr>
            </w:pPr>
          </w:p>
        </w:tc>
        <w:tc>
          <w:tcPr>
            <w:tcW w:w="2186" w:type="dxa"/>
          </w:tcPr>
          <w:p>
            <w:pPr>
              <w:autoSpaceDE w:val="0"/>
              <w:autoSpaceDN w:val="0"/>
              <w:rPr>
                <w:rFonts w:ascii="Arial"/>
              </w:rPr>
            </w:pPr>
          </w:p>
        </w:tc>
        <w:tc>
          <w:tcPr>
            <w:tcW w:w="2596" w:type="dxa"/>
          </w:tcPr>
          <w:p>
            <w:pPr>
              <w:autoSpaceDE w:val="0"/>
              <w:autoSpaceDN w:val="0"/>
              <w:rPr>
                <w:rFonts w:ascii="Arial"/>
              </w:rPr>
            </w:pPr>
          </w:p>
        </w:tc>
        <w:tc>
          <w:tcPr>
            <w:tcW w:w="2164" w:type="dxa"/>
          </w:tcPr>
          <w:p>
            <w:pPr>
              <w:autoSpaceDE w:val="0"/>
              <w:autoSpaceDN w:val="0"/>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autoSpaceDE w:val="0"/>
              <w:autoSpaceDN w:val="0"/>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pPr>
              <w:autoSpaceDE w:val="0"/>
              <w:autoSpaceDN w:val="0"/>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pPr>
              <w:autoSpaceDE w:val="0"/>
              <w:autoSpaceDN w:val="0"/>
              <w:rPr>
                <w:rFonts w:ascii="Arial"/>
              </w:rPr>
            </w:pPr>
          </w:p>
        </w:tc>
        <w:tc>
          <w:tcPr>
            <w:tcW w:w="2186" w:type="dxa"/>
          </w:tcPr>
          <w:p>
            <w:pPr>
              <w:autoSpaceDE w:val="0"/>
              <w:autoSpaceDN w:val="0"/>
              <w:rPr>
                <w:rFonts w:ascii="Arial"/>
              </w:rPr>
            </w:pPr>
          </w:p>
        </w:tc>
        <w:tc>
          <w:tcPr>
            <w:tcW w:w="2596" w:type="dxa"/>
          </w:tcPr>
          <w:p>
            <w:pPr>
              <w:autoSpaceDE w:val="0"/>
              <w:autoSpaceDN w:val="0"/>
              <w:rPr>
                <w:rFonts w:ascii="Arial"/>
              </w:rPr>
            </w:pPr>
          </w:p>
        </w:tc>
        <w:tc>
          <w:tcPr>
            <w:tcW w:w="2164" w:type="dxa"/>
          </w:tcPr>
          <w:p>
            <w:pPr>
              <w:autoSpaceDE w:val="0"/>
              <w:autoSpaceDN w:val="0"/>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autoSpaceDE w:val="0"/>
              <w:autoSpaceDN w:val="0"/>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pPr>
              <w:autoSpaceDE w:val="0"/>
              <w:autoSpaceDN w:val="0"/>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pPr>
              <w:autoSpaceDE w:val="0"/>
              <w:autoSpaceDN w:val="0"/>
              <w:rPr>
                <w:rFonts w:ascii="Arial"/>
              </w:rPr>
            </w:pPr>
          </w:p>
        </w:tc>
        <w:tc>
          <w:tcPr>
            <w:tcW w:w="2186" w:type="dxa"/>
          </w:tcPr>
          <w:p>
            <w:pPr>
              <w:autoSpaceDE w:val="0"/>
              <w:autoSpaceDN w:val="0"/>
              <w:rPr>
                <w:rFonts w:ascii="Arial"/>
              </w:rPr>
            </w:pPr>
          </w:p>
        </w:tc>
        <w:tc>
          <w:tcPr>
            <w:tcW w:w="2596" w:type="dxa"/>
          </w:tcPr>
          <w:p>
            <w:pPr>
              <w:autoSpaceDE w:val="0"/>
              <w:autoSpaceDN w:val="0"/>
              <w:rPr>
                <w:rFonts w:ascii="Arial"/>
              </w:rPr>
            </w:pPr>
          </w:p>
        </w:tc>
        <w:tc>
          <w:tcPr>
            <w:tcW w:w="2164" w:type="dxa"/>
          </w:tcPr>
          <w:p>
            <w:pPr>
              <w:autoSpaceDE w:val="0"/>
              <w:autoSpaceDN w:val="0"/>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autoSpaceDE w:val="0"/>
              <w:autoSpaceDN w:val="0"/>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autoSpaceDE w:val="0"/>
              <w:autoSpaceDN w:val="0"/>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line="172" w:lineRule="exact"/>
      </w:pPr>
    </w:p>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headerReference r:id="rId29" w:type="default"/>
          <w:footerReference r:id="rId30" w:type="default"/>
          <w:pgSz w:w="16841" w:h="11907"/>
          <w:pgMar w:top="400" w:right="1699" w:bottom="1184" w:left="1481"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340"/>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autoSpaceDE w:val="0"/>
              <w:autoSpaceDN w:val="0"/>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autoSpaceDE w:val="0"/>
              <w:autoSpaceDN w:val="0"/>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pPr>
              <w:autoSpaceDE w:val="0"/>
              <w:autoSpaceDN w:val="0"/>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tcPr>
          <w:p>
            <w:pPr>
              <w:autoSpaceDE w:val="0"/>
              <w:autoSpaceDN w:val="0"/>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autoSpaceDE w:val="0"/>
              <w:autoSpaceDN w:val="0"/>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autoSpaceDE w:val="0"/>
              <w:autoSpaceDN w:val="0"/>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tcPr>
          <w:p>
            <w:pPr>
              <w:autoSpaceDE w:val="0"/>
              <w:autoSpaceDN w:val="0"/>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autoSpaceDE w:val="0"/>
              <w:autoSpaceDN w:val="0"/>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autoSpaceDE w:val="0"/>
              <w:autoSpaceDN w:val="0"/>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autoSpaceDE w:val="0"/>
              <w:autoSpaceDN w:val="0"/>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tcPr>
          <w:p>
            <w:pPr>
              <w:autoSpaceDE w:val="0"/>
              <w:autoSpaceDN w:val="0"/>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autoSpaceDE w:val="0"/>
              <w:autoSpaceDN w:val="0"/>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pPr>
              <w:autoSpaceDE w:val="0"/>
              <w:autoSpaceDN w:val="0"/>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1138" w:type="dxa"/>
          </w:tcPr>
          <w:p>
            <w:pPr>
              <w:autoSpaceDE w:val="0"/>
              <w:autoSpaceDN w:val="0"/>
              <w:spacing w:before="266" w:line="221" w:lineRule="auto"/>
              <w:jc w:val="center"/>
              <w:rPr>
                <w:rFonts w:ascii="宋体" w:hAnsi="宋体" w:eastAsia="宋体" w:cs="宋体"/>
                <w:spacing w:val="-2"/>
                <w:szCs w:val="21"/>
              </w:rPr>
            </w:pPr>
          </w:p>
        </w:tc>
        <w:tc>
          <w:tcPr>
            <w:tcW w:w="2449" w:type="dxa"/>
          </w:tcPr>
          <w:p>
            <w:pPr>
              <w:autoSpaceDE w:val="0"/>
              <w:autoSpaceDN w:val="0"/>
              <w:rPr>
                <w:rFonts w:ascii="Arial"/>
              </w:rPr>
            </w:pPr>
          </w:p>
        </w:tc>
        <w:tc>
          <w:tcPr>
            <w:tcW w:w="3328" w:type="dxa"/>
          </w:tcPr>
          <w:p>
            <w:pPr>
              <w:autoSpaceDE w:val="0"/>
              <w:autoSpaceDN w:val="0"/>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4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340"/>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autoSpaceDE w:val="0"/>
              <w:autoSpaceDN w:val="0"/>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autoSpaceDE w:val="0"/>
              <w:autoSpaceDN w:val="0"/>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autoSpaceDE w:val="0"/>
              <w:autoSpaceDN w:val="0"/>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autoSpaceDE w:val="0"/>
              <w:autoSpaceDN w:val="0"/>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autoSpaceDE w:val="0"/>
              <w:autoSpaceDN w:val="0"/>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autoSpaceDE w:val="0"/>
              <w:autoSpaceDN w:val="0"/>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autoSpaceDE w:val="0"/>
              <w:autoSpaceDN w:val="0"/>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autoSpaceDE w:val="0"/>
              <w:autoSpaceDN w:val="0"/>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autoSpaceDE w:val="0"/>
              <w:autoSpaceDN w:val="0"/>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autoSpaceDE w:val="0"/>
              <w:autoSpaceDN w:val="0"/>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autoSpaceDE w:val="0"/>
              <w:autoSpaceDN w:val="0"/>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autoSpaceDE w:val="0"/>
              <w:autoSpaceDN w:val="0"/>
              <w:rPr>
                <w:rFonts w:ascii="Arial"/>
              </w:rPr>
            </w:pPr>
          </w:p>
        </w:tc>
        <w:tc>
          <w:tcPr>
            <w:tcW w:w="2100" w:type="dxa"/>
          </w:tcPr>
          <w:p>
            <w:pPr>
              <w:autoSpaceDE w:val="0"/>
              <w:autoSpaceDN w:val="0"/>
              <w:rPr>
                <w:rFonts w:ascii="Arial"/>
              </w:rPr>
            </w:pPr>
          </w:p>
        </w:tc>
        <w:tc>
          <w:tcPr>
            <w:tcW w:w="840" w:type="dxa"/>
          </w:tcPr>
          <w:p>
            <w:pPr>
              <w:autoSpaceDE w:val="0"/>
              <w:autoSpaceDN w:val="0"/>
              <w:rPr>
                <w:rFonts w:ascii="Arial"/>
              </w:rPr>
            </w:pPr>
          </w:p>
        </w:tc>
        <w:tc>
          <w:tcPr>
            <w:tcW w:w="2239" w:type="dxa"/>
          </w:tcPr>
          <w:p>
            <w:pPr>
              <w:autoSpaceDE w:val="0"/>
              <w:autoSpaceDN w:val="0"/>
              <w:rPr>
                <w:rFonts w:ascii="Arial"/>
              </w:rPr>
            </w:pPr>
          </w:p>
        </w:tc>
        <w:tc>
          <w:tcPr>
            <w:tcW w:w="1498" w:type="dxa"/>
          </w:tcPr>
          <w:p>
            <w:pPr>
              <w:autoSpaceDE w:val="0"/>
              <w:autoSpaceDN w:val="0"/>
              <w:rPr>
                <w:rFonts w:ascii="Arial"/>
              </w:rPr>
            </w:pPr>
          </w:p>
        </w:tc>
        <w:tc>
          <w:tcPr>
            <w:tcW w:w="1861" w:type="dxa"/>
          </w:tcPr>
          <w:p>
            <w:pPr>
              <w:autoSpaceDE w:val="0"/>
              <w:autoSpaceDN w:val="0"/>
              <w:rPr>
                <w:rFonts w:ascii="Arial"/>
              </w:rPr>
            </w:pPr>
          </w:p>
        </w:tc>
        <w:tc>
          <w:tcPr>
            <w:tcW w:w="1120" w:type="dxa"/>
          </w:tcPr>
          <w:p>
            <w:pPr>
              <w:autoSpaceDE w:val="0"/>
              <w:autoSpaceDN w:val="0"/>
              <w:rPr>
                <w:rFonts w:ascii="Arial"/>
              </w:rPr>
            </w:pPr>
          </w:p>
        </w:tc>
        <w:tc>
          <w:tcPr>
            <w:tcW w:w="1125"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autoSpaceDE w:val="0"/>
              <w:autoSpaceDN w:val="0"/>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autoSpaceDE w:val="0"/>
              <w:autoSpaceDN w:val="0"/>
              <w:rPr>
                <w:rFonts w:ascii="Arial"/>
              </w:rPr>
            </w:pPr>
          </w:p>
        </w:tc>
        <w:tc>
          <w:tcPr>
            <w:tcW w:w="2100" w:type="dxa"/>
          </w:tcPr>
          <w:p>
            <w:pPr>
              <w:autoSpaceDE w:val="0"/>
              <w:autoSpaceDN w:val="0"/>
              <w:rPr>
                <w:rFonts w:ascii="Arial"/>
              </w:rPr>
            </w:pPr>
          </w:p>
        </w:tc>
        <w:tc>
          <w:tcPr>
            <w:tcW w:w="840" w:type="dxa"/>
          </w:tcPr>
          <w:p>
            <w:pPr>
              <w:autoSpaceDE w:val="0"/>
              <w:autoSpaceDN w:val="0"/>
              <w:rPr>
                <w:rFonts w:ascii="Arial"/>
              </w:rPr>
            </w:pPr>
          </w:p>
        </w:tc>
        <w:tc>
          <w:tcPr>
            <w:tcW w:w="2239" w:type="dxa"/>
          </w:tcPr>
          <w:p>
            <w:pPr>
              <w:autoSpaceDE w:val="0"/>
              <w:autoSpaceDN w:val="0"/>
              <w:rPr>
                <w:rFonts w:ascii="Arial"/>
              </w:rPr>
            </w:pPr>
          </w:p>
        </w:tc>
        <w:tc>
          <w:tcPr>
            <w:tcW w:w="1498" w:type="dxa"/>
          </w:tcPr>
          <w:p>
            <w:pPr>
              <w:autoSpaceDE w:val="0"/>
              <w:autoSpaceDN w:val="0"/>
              <w:rPr>
                <w:rFonts w:ascii="Arial"/>
              </w:rPr>
            </w:pPr>
          </w:p>
        </w:tc>
        <w:tc>
          <w:tcPr>
            <w:tcW w:w="1861" w:type="dxa"/>
          </w:tcPr>
          <w:p>
            <w:pPr>
              <w:autoSpaceDE w:val="0"/>
              <w:autoSpaceDN w:val="0"/>
              <w:rPr>
                <w:rFonts w:ascii="Arial"/>
              </w:rPr>
            </w:pPr>
          </w:p>
        </w:tc>
        <w:tc>
          <w:tcPr>
            <w:tcW w:w="1120" w:type="dxa"/>
          </w:tcPr>
          <w:p>
            <w:pPr>
              <w:autoSpaceDE w:val="0"/>
              <w:autoSpaceDN w:val="0"/>
              <w:rPr>
                <w:rFonts w:ascii="Arial"/>
              </w:rPr>
            </w:pPr>
          </w:p>
        </w:tc>
        <w:tc>
          <w:tcPr>
            <w:tcW w:w="1125"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autoSpaceDE w:val="0"/>
              <w:autoSpaceDN w:val="0"/>
              <w:rPr>
                <w:rFonts w:ascii="Arial"/>
              </w:rPr>
            </w:pPr>
          </w:p>
        </w:tc>
        <w:tc>
          <w:tcPr>
            <w:tcW w:w="2543" w:type="dxa"/>
          </w:tcPr>
          <w:p>
            <w:pPr>
              <w:autoSpaceDE w:val="0"/>
              <w:autoSpaceDN w:val="0"/>
              <w:rPr>
                <w:rFonts w:ascii="Arial"/>
              </w:rPr>
            </w:pPr>
          </w:p>
        </w:tc>
        <w:tc>
          <w:tcPr>
            <w:tcW w:w="2100" w:type="dxa"/>
          </w:tcPr>
          <w:p>
            <w:pPr>
              <w:autoSpaceDE w:val="0"/>
              <w:autoSpaceDN w:val="0"/>
              <w:rPr>
                <w:rFonts w:ascii="Arial"/>
              </w:rPr>
            </w:pPr>
          </w:p>
        </w:tc>
        <w:tc>
          <w:tcPr>
            <w:tcW w:w="840" w:type="dxa"/>
          </w:tcPr>
          <w:p>
            <w:pPr>
              <w:autoSpaceDE w:val="0"/>
              <w:autoSpaceDN w:val="0"/>
              <w:rPr>
                <w:rFonts w:ascii="Arial"/>
              </w:rPr>
            </w:pPr>
          </w:p>
        </w:tc>
        <w:tc>
          <w:tcPr>
            <w:tcW w:w="2239" w:type="dxa"/>
          </w:tcPr>
          <w:p>
            <w:pPr>
              <w:autoSpaceDE w:val="0"/>
              <w:autoSpaceDN w:val="0"/>
              <w:rPr>
                <w:rFonts w:ascii="Arial"/>
              </w:rPr>
            </w:pPr>
          </w:p>
        </w:tc>
        <w:tc>
          <w:tcPr>
            <w:tcW w:w="1498" w:type="dxa"/>
          </w:tcPr>
          <w:p>
            <w:pPr>
              <w:autoSpaceDE w:val="0"/>
              <w:autoSpaceDN w:val="0"/>
              <w:rPr>
                <w:rFonts w:ascii="Arial"/>
              </w:rPr>
            </w:pPr>
          </w:p>
        </w:tc>
        <w:tc>
          <w:tcPr>
            <w:tcW w:w="1861" w:type="dxa"/>
          </w:tcPr>
          <w:p>
            <w:pPr>
              <w:autoSpaceDE w:val="0"/>
              <w:autoSpaceDN w:val="0"/>
              <w:rPr>
                <w:rFonts w:ascii="Arial"/>
              </w:rPr>
            </w:pPr>
          </w:p>
        </w:tc>
        <w:tc>
          <w:tcPr>
            <w:tcW w:w="1120" w:type="dxa"/>
          </w:tcPr>
          <w:p>
            <w:pPr>
              <w:autoSpaceDE w:val="0"/>
              <w:autoSpaceDN w:val="0"/>
              <w:rPr>
                <w:rFonts w:ascii="Arial"/>
              </w:rPr>
            </w:pPr>
          </w:p>
        </w:tc>
        <w:tc>
          <w:tcPr>
            <w:tcW w:w="1125"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autoSpaceDE w:val="0"/>
              <w:autoSpaceDN w:val="0"/>
              <w:rPr>
                <w:rFonts w:ascii="Arial"/>
              </w:rPr>
            </w:pPr>
          </w:p>
        </w:tc>
        <w:tc>
          <w:tcPr>
            <w:tcW w:w="2543" w:type="dxa"/>
          </w:tcPr>
          <w:p>
            <w:pPr>
              <w:autoSpaceDE w:val="0"/>
              <w:autoSpaceDN w:val="0"/>
              <w:rPr>
                <w:rFonts w:ascii="Arial"/>
              </w:rPr>
            </w:pPr>
          </w:p>
        </w:tc>
        <w:tc>
          <w:tcPr>
            <w:tcW w:w="2100" w:type="dxa"/>
          </w:tcPr>
          <w:p>
            <w:pPr>
              <w:autoSpaceDE w:val="0"/>
              <w:autoSpaceDN w:val="0"/>
              <w:rPr>
                <w:rFonts w:ascii="Arial"/>
              </w:rPr>
            </w:pPr>
          </w:p>
        </w:tc>
        <w:tc>
          <w:tcPr>
            <w:tcW w:w="840" w:type="dxa"/>
          </w:tcPr>
          <w:p>
            <w:pPr>
              <w:autoSpaceDE w:val="0"/>
              <w:autoSpaceDN w:val="0"/>
              <w:rPr>
                <w:rFonts w:ascii="Arial"/>
              </w:rPr>
            </w:pPr>
          </w:p>
        </w:tc>
        <w:tc>
          <w:tcPr>
            <w:tcW w:w="2239" w:type="dxa"/>
          </w:tcPr>
          <w:p>
            <w:pPr>
              <w:autoSpaceDE w:val="0"/>
              <w:autoSpaceDN w:val="0"/>
              <w:rPr>
                <w:rFonts w:ascii="Arial"/>
              </w:rPr>
            </w:pPr>
          </w:p>
        </w:tc>
        <w:tc>
          <w:tcPr>
            <w:tcW w:w="1498" w:type="dxa"/>
          </w:tcPr>
          <w:p>
            <w:pPr>
              <w:autoSpaceDE w:val="0"/>
              <w:autoSpaceDN w:val="0"/>
              <w:rPr>
                <w:rFonts w:ascii="Arial"/>
              </w:rPr>
            </w:pPr>
          </w:p>
        </w:tc>
        <w:tc>
          <w:tcPr>
            <w:tcW w:w="1861" w:type="dxa"/>
          </w:tcPr>
          <w:p>
            <w:pPr>
              <w:autoSpaceDE w:val="0"/>
              <w:autoSpaceDN w:val="0"/>
              <w:rPr>
                <w:rFonts w:ascii="Arial"/>
              </w:rPr>
            </w:pPr>
          </w:p>
        </w:tc>
        <w:tc>
          <w:tcPr>
            <w:tcW w:w="1120" w:type="dxa"/>
          </w:tcPr>
          <w:p>
            <w:pPr>
              <w:autoSpaceDE w:val="0"/>
              <w:autoSpaceDN w:val="0"/>
              <w:rPr>
                <w:rFonts w:ascii="Arial"/>
              </w:rPr>
            </w:pPr>
          </w:p>
        </w:tc>
        <w:tc>
          <w:tcPr>
            <w:tcW w:w="1125"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autoSpaceDE w:val="0"/>
              <w:autoSpaceDN w:val="0"/>
              <w:rPr>
                <w:rFonts w:ascii="Arial"/>
              </w:rPr>
            </w:pPr>
          </w:p>
        </w:tc>
        <w:tc>
          <w:tcPr>
            <w:tcW w:w="2543" w:type="dxa"/>
          </w:tcPr>
          <w:p>
            <w:pPr>
              <w:autoSpaceDE w:val="0"/>
              <w:autoSpaceDN w:val="0"/>
              <w:rPr>
                <w:rFonts w:ascii="Arial"/>
              </w:rPr>
            </w:pPr>
          </w:p>
        </w:tc>
        <w:tc>
          <w:tcPr>
            <w:tcW w:w="2100" w:type="dxa"/>
          </w:tcPr>
          <w:p>
            <w:pPr>
              <w:autoSpaceDE w:val="0"/>
              <w:autoSpaceDN w:val="0"/>
              <w:rPr>
                <w:rFonts w:ascii="Arial"/>
              </w:rPr>
            </w:pPr>
          </w:p>
        </w:tc>
        <w:tc>
          <w:tcPr>
            <w:tcW w:w="840" w:type="dxa"/>
          </w:tcPr>
          <w:p>
            <w:pPr>
              <w:autoSpaceDE w:val="0"/>
              <w:autoSpaceDN w:val="0"/>
              <w:rPr>
                <w:rFonts w:ascii="Arial"/>
              </w:rPr>
            </w:pPr>
          </w:p>
        </w:tc>
        <w:tc>
          <w:tcPr>
            <w:tcW w:w="2239" w:type="dxa"/>
          </w:tcPr>
          <w:p>
            <w:pPr>
              <w:autoSpaceDE w:val="0"/>
              <w:autoSpaceDN w:val="0"/>
              <w:rPr>
                <w:rFonts w:ascii="Arial"/>
              </w:rPr>
            </w:pPr>
          </w:p>
        </w:tc>
        <w:tc>
          <w:tcPr>
            <w:tcW w:w="1498" w:type="dxa"/>
          </w:tcPr>
          <w:p>
            <w:pPr>
              <w:autoSpaceDE w:val="0"/>
              <w:autoSpaceDN w:val="0"/>
              <w:rPr>
                <w:rFonts w:ascii="Arial"/>
              </w:rPr>
            </w:pPr>
          </w:p>
        </w:tc>
        <w:tc>
          <w:tcPr>
            <w:tcW w:w="1861" w:type="dxa"/>
          </w:tcPr>
          <w:p>
            <w:pPr>
              <w:autoSpaceDE w:val="0"/>
              <w:autoSpaceDN w:val="0"/>
              <w:rPr>
                <w:rFonts w:ascii="Arial"/>
              </w:rPr>
            </w:pPr>
          </w:p>
        </w:tc>
        <w:tc>
          <w:tcPr>
            <w:tcW w:w="1120" w:type="dxa"/>
          </w:tcPr>
          <w:p>
            <w:pPr>
              <w:autoSpaceDE w:val="0"/>
              <w:autoSpaceDN w:val="0"/>
              <w:rPr>
                <w:rFonts w:ascii="Arial"/>
              </w:rPr>
            </w:pPr>
          </w:p>
        </w:tc>
        <w:tc>
          <w:tcPr>
            <w:tcW w:w="1125"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autoSpaceDE w:val="0"/>
              <w:autoSpaceDN w:val="0"/>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autoSpaceDE w:val="0"/>
              <w:autoSpaceDN w:val="0"/>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340"/>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autoSpaceDE w:val="0"/>
              <w:autoSpaceDN w:val="0"/>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autoSpaceDE w:val="0"/>
              <w:autoSpaceDN w:val="0"/>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autoSpaceDE w:val="0"/>
              <w:autoSpaceDN w:val="0"/>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autoSpaceDE w:val="0"/>
              <w:autoSpaceDN w:val="0"/>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autoSpaceDE w:val="0"/>
              <w:autoSpaceDN w:val="0"/>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autoSpaceDE w:val="0"/>
              <w:autoSpaceDN w:val="0"/>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autoSpaceDE w:val="0"/>
              <w:autoSpaceDN w:val="0"/>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autoSpaceDE w:val="0"/>
              <w:autoSpaceDN w:val="0"/>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autoSpaceDE w:val="0"/>
              <w:autoSpaceDN w:val="0"/>
              <w:rPr>
                <w:rFonts w:ascii="Arial"/>
              </w:rPr>
            </w:pPr>
          </w:p>
          <w:p>
            <w:pPr>
              <w:autoSpaceDE w:val="0"/>
              <w:autoSpaceDN w:val="0"/>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autoSpaceDE w:val="0"/>
              <w:autoSpaceDN w:val="0"/>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autoSpaceDE w:val="0"/>
              <w:autoSpaceDN w:val="0"/>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autoSpaceDE w:val="0"/>
              <w:autoSpaceDN w:val="0"/>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autoSpaceDE w:val="0"/>
              <w:autoSpaceDN w:val="0"/>
              <w:rPr>
                <w:rFonts w:ascii="Arial"/>
              </w:rPr>
            </w:pPr>
          </w:p>
        </w:tc>
        <w:tc>
          <w:tcPr>
            <w:tcW w:w="3362" w:type="dxa"/>
          </w:tcPr>
          <w:p>
            <w:pPr>
              <w:autoSpaceDE w:val="0"/>
              <w:autoSpaceDN w:val="0"/>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autoSpaceDE w:val="0"/>
              <w:autoSpaceDN w:val="0"/>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autoSpaceDE w:val="0"/>
              <w:autoSpaceDN w:val="0"/>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autoSpaceDE w:val="0"/>
              <w:autoSpaceDN w:val="0"/>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autoSpaceDE w:val="0"/>
              <w:autoSpaceDN w:val="0"/>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40"/>
      </w:pPr>
    </w:p>
    <w:p>
      <w:pPr>
        <w:pStyle w:val="40"/>
      </w:pPr>
    </w:p>
    <w:p>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7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
                <w:szCs w:val="20"/>
                <w:lang w:eastAsia="zh-CN"/>
              </w:rPr>
            </w:pP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hint="eastAsia" w:ascii="宋体" w:hAnsi="宋体" w:eastAsia="宋体" w:cs="宋体"/>
          <w:sz w:val="24"/>
          <w:szCs w:val="24"/>
          <w:lang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340"/>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autoSpaceDE w:val="0"/>
              <w:autoSpaceDN w:val="0"/>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autoSpaceDE w:val="0"/>
              <w:autoSpaceDN w:val="0"/>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p>
    <w:p>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4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7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w:t>
            </w:r>
            <w:r>
              <w:rPr>
                <w:rFonts w:hint="eastAsia" w:ascii="宋体" w:hAnsi="宋体" w:eastAsia="宋体" w:cs="宋体"/>
                <w:b/>
                <w:sz w:val="30"/>
                <w:szCs w:val="30"/>
                <w:highlight w:val="none"/>
              </w:rPr>
              <w:t>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w:t>
            </w:r>
            <w:r>
              <w:rPr>
                <w:rFonts w:hint="eastAsia" w:ascii="宋体" w:hAnsi="宋体" w:eastAsia="宋体" w:cs="宋体"/>
                <w:b/>
                <w:sz w:val="30"/>
                <w:szCs w:val="30"/>
              </w:rPr>
              <w:t>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b/>
                <w:szCs w:val="20"/>
                <w:lang w:eastAsia="zh-CN"/>
              </w:rPr>
            </w:pPr>
            <w:r>
              <w:rPr>
                <w:rFonts w:hint="eastAsia" w:ascii="宋体" w:hAnsi="宋体" w:eastAsia="宋体" w:cs="宋体"/>
                <w:b/>
                <w:szCs w:val="20"/>
              </w:rPr>
              <w:t>项目名称：</w:t>
            </w:r>
            <w:r>
              <w:rPr>
                <w:rFonts w:hint="eastAsia" w:ascii="宋体" w:hAnsi="宋体" w:eastAsia="宋体" w:cs="宋体"/>
                <w:b/>
                <w:szCs w:val="20"/>
                <w:lang w:val="en-US" w:eastAsia="zh-CN"/>
              </w:rPr>
              <w:t>济南轻卡制造公司</w:t>
            </w:r>
            <w:r>
              <w:rPr>
                <w:rFonts w:hint="eastAsia" w:ascii="宋体" w:hAnsi="宋体" w:eastAsia="宋体" w:cs="宋体"/>
                <w:b/>
                <w:szCs w:val="20"/>
                <w:lang w:eastAsia="zh-CN"/>
              </w:rPr>
              <w:t>新能源加注机技改项目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40"/>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pPr>
        <w:spacing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lang w:val="en-US" w:eastAsia="zh-CN"/>
        </w:rPr>
        <w:t>济南轻卡制造公司</w:t>
      </w:r>
      <w:r>
        <w:rPr>
          <w:rFonts w:hint="eastAsia" w:ascii="宋体" w:hAnsi="宋体" w:eastAsia="宋体" w:cs="Times New Roman"/>
          <w:sz w:val="24"/>
          <w:szCs w:val="20"/>
          <w:u w:val="single"/>
          <w:lang w:eastAsia="zh-CN"/>
        </w:rPr>
        <w:t>新能源加注机技改项目</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w:t>
      </w:r>
      <w:r>
        <w:rPr>
          <w:rFonts w:hint="eastAsia" w:ascii="宋体" w:hAnsi="宋体" w:eastAsia="宋体" w:cs="Times New Roman"/>
          <w:sz w:val="24"/>
          <w:szCs w:val="20"/>
        </w:rPr>
        <w:t>对中标合同产品的服务作如下承诺：</w:t>
      </w:r>
    </w:p>
    <w:p>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Style w:val="3"/>
        <w:tabs>
          <w:tab w:val="right" w:leader="dot" w:pos="9061"/>
        </w:tabs>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ectPr>
          <w:pgSz w:w="11906" w:h="16838"/>
          <w:pgMar w:top="1587" w:right="1417" w:bottom="1134" w:left="1417" w:header="850" w:footer="992" w:gutter="0"/>
          <w:pgNumType w:fmt="decimal"/>
          <w:cols w:space="0" w:num="1"/>
          <w:titlePg/>
          <w:docGrid w:type="lines" w:linePitch="324" w:charSpace="0"/>
        </w:sectPr>
      </w:pPr>
    </w:p>
    <w:p>
      <w:pPr>
        <w:pStyle w:val="40"/>
      </w:pPr>
    </w:p>
    <w:p>
      <w:pPr>
        <w:rPr>
          <w:rFonts w:ascii="宋体" w:hAnsi="宋体" w:eastAsia="宋体" w:cs="宋体"/>
          <w:b/>
          <w:bCs/>
          <w:color w:val="000000"/>
          <w:sz w:val="24"/>
          <w:szCs w:val="24"/>
        </w:rPr>
      </w:pPr>
    </w:p>
    <w:p>
      <w:pPr>
        <w:pStyle w:val="4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pStyle w:val="40"/>
        <w:rPr>
          <w:rFonts w:eastAsia="宋体"/>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40"/>
      </w:pPr>
    </w:p>
    <w:p>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4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40"/>
      </w:pPr>
    </w:p>
    <w:p>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pPr>
        <w:pStyle w:val="40"/>
      </w:pPr>
      <w:r>
        <w:rPr>
          <w:rFonts w:hint="eastAsia" w:hAnsi="宋体" w:eastAsia="宋体" w:cs="宋体"/>
          <w:b/>
          <w:bCs/>
          <w:color w:val="000000"/>
          <w:sz w:val="24"/>
          <w:szCs w:val="28"/>
        </w:rPr>
        <w:t>2.配套能力“供货类别”填“工艺装备”，业务主管部门选择“工艺工匠研究院”。</w:t>
      </w:r>
    </w:p>
    <w:p>
      <w:pPr>
        <w:pStyle w:val="40"/>
        <w:sectPr>
          <w:pgSz w:w="11906" w:h="16838"/>
          <w:pgMar w:top="1588" w:right="1418" w:bottom="1134" w:left="1418" w:header="851" w:footer="992" w:gutter="0"/>
          <w:cols w:space="720" w:num="1"/>
          <w:titlePg/>
          <w:docGrid w:type="lines" w:linePitch="312" w:charSpace="0"/>
        </w:sectPr>
      </w:pPr>
    </w:p>
    <w:p>
      <w:pPr>
        <w:pStyle w:val="4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1"/>
          <w:rFonts w:hint="eastAsia" w:ascii="宋体" w:hAnsi="宋体" w:eastAsia="宋体" w:cs="宋体"/>
          <w:sz w:val="24"/>
          <w:szCs w:val="24"/>
        </w:rPr>
        <w:t>https://ecaitong.sinotruk.com:8012/</w:t>
      </w:r>
      <w:r>
        <w:rPr>
          <w:rStyle w:val="131"/>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0"/>
      </w:pPr>
      <w:r>
        <w:rPr>
          <w:rFonts w:hint="eastAsia" w:hAnsi="宋体" w:eastAsia="宋体" w:cs="宋体"/>
          <w:color w:val="000000"/>
          <w:sz w:val="24"/>
          <w:szCs w:val="28"/>
        </w:rPr>
        <w:t>注意：系统内的投标报价单位为“万元”，如开标现场发现填错报价，即直接淘汰。</w:t>
      </w:r>
    </w:p>
    <w:p>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40"/>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pPr>
        <w:pStyle w:val="40"/>
        <w:rPr>
          <w:rFonts w:hAnsi="宋体" w:eastAsia="宋体" w:cs="Times New Roman"/>
          <w:b/>
          <w:color w:val="000000"/>
          <w:sz w:val="24"/>
          <w:szCs w:val="24"/>
        </w:rPr>
      </w:pPr>
    </w:p>
    <w:p>
      <w:pPr>
        <w:spacing w:line="360" w:lineRule="auto"/>
        <w:rPr>
          <w:sz w:val="24"/>
          <w:szCs w:val="24"/>
        </w:rPr>
      </w:pPr>
    </w:p>
    <w:sectPr>
      <w:headerReference r:id="rId40" w:type="first"/>
      <w:footerReference r:id="rId42" w:type="first"/>
      <w:headerReference r:id="rId39" w:type="default"/>
      <w:footerReference r:id="rId41"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62822D4-91ED-4C7B-AAD5-4D814B89097E}"/>
  </w:font>
  <w:font w:name="黑体">
    <w:panose1 w:val="02010609060101010101"/>
    <w:charset w:val="86"/>
    <w:family w:val="auto"/>
    <w:pitch w:val="default"/>
    <w:sig w:usb0="800002BF" w:usb1="38CF7CFA" w:usb2="00000016" w:usb3="00000000" w:csb0="00040001" w:csb1="00000000"/>
    <w:embedRegular r:id="rId2" w:fontKey="{BE777481-50B6-4031-8823-01991C00B130}"/>
  </w:font>
  <w:font w:name="Courier New">
    <w:panose1 w:val="02070309020205020404"/>
    <w:charset w:val="01"/>
    <w:family w:val="modern"/>
    <w:pitch w:val="default"/>
    <w:sig w:usb0="E0002EFF" w:usb1="C0007843" w:usb2="00000009" w:usb3="00000000" w:csb0="400001FF" w:csb1="FFFF0000"/>
    <w:embedRegular r:id="rId3" w:fontKey="{1FEAA25A-95D8-45FB-9404-34F4ECAE4FF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ED6B3D5-A5E8-40B7-BD66-DA3A969C95FF}"/>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NKGHNB+Arial">
    <w:altName w:val="仿宋"/>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方正大标宋简体">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D27CF70C-1CDA-4703-BFBF-C3F957F9A348}"/>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6" w:fontKey="{E18F43FC-0020-405D-B6FD-C15840E53611}"/>
  </w:font>
  <w:font w:name="方正小标宋简体">
    <w:panose1 w:val="02000000000000000000"/>
    <w:charset w:val="86"/>
    <w:family w:val="script"/>
    <w:pitch w:val="default"/>
    <w:sig w:usb0="A00002BF" w:usb1="184F6CFA" w:usb2="00000012" w:usb3="00000000" w:csb0="00040001" w:csb1="00000000"/>
    <w:embedRegular r:id="rId7" w:fontKey="{232D1FF6-BBAA-4BF0-8F2A-1259A073F0B3}"/>
  </w:font>
  <w:font w:name="楷体">
    <w:panose1 w:val="02010609060101010101"/>
    <w:charset w:val="86"/>
    <w:family w:val="modern"/>
    <w:pitch w:val="default"/>
    <w:sig w:usb0="800002BF" w:usb1="38CF7CFA" w:usb2="00000016" w:usb3="00000000" w:csb0="00040001" w:csb1="00000000"/>
    <w:embedRegular r:id="rId8" w:fontKey="{72402491-B7F1-408E-A260-02F849F2F1D5}"/>
  </w:font>
  <w:font w:name="Wingdings 2">
    <w:panose1 w:val="05020102010507070707"/>
    <w:charset w:val="02"/>
    <w:family w:val="roman"/>
    <w:pitch w:val="default"/>
    <w:sig w:usb0="00000000" w:usb1="00000000" w:usb2="00000000" w:usb3="00000000" w:csb0="80000000" w:csb1="00000000"/>
    <w:embedRegular r:id="rId9" w:fontKey="{4016458B-5713-4209-AD86-62BD5E069839}"/>
  </w:font>
  <w:font w:name="等线">
    <w:panose1 w:val="02010600030101010101"/>
    <w:charset w:val="86"/>
    <w:family w:val="auto"/>
    <w:pitch w:val="default"/>
    <w:sig w:usb0="A00002BF" w:usb1="38CF7CFA" w:usb2="00000016" w:usb3="00000000" w:csb0="0004000F" w:csb1="00000000"/>
    <w:embedRegular r:id="rId10" w:fontKey="{ECE788BD-0B6E-4847-93C9-65CD4B3FA6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p>
  <w:p>
    <w:pPr>
      <w:pStyle w:val="4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fldChar w:fldCharType="begin"/>
    </w:r>
    <w:r>
      <w:instrText xml:space="preserve"> PAGE   \* MERGEFORMAT </w:instrText>
    </w:r>
    <w:r>
      <w:fldChar w:fldCharType="separate"/>
    </w:r>
    <w:r>
      <w:rPr>
        <w:lang w:val="zh-CN"/>
      </w:rPr>
      <w:t>83</w:t>
    </w:r>
    <w:r>
      <w:rPr>
        <w:lang w:val="zh-CN"/>
      </w:rPr>
      <w:fldChar w:fldCharType="end"/>
    </w:r>
  </w:p>
  <w:p>
    <w:pPr>
      <w:pStyle w:val="48"/>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right"/>
    </w:pPr>
    <w:r>
      <w:fldChar w:fldCharType="begin"/>
    </w:r>
    <w:r>
      <w:instrText xml:space="preserve"> PAGE   \* MERGEFORMAT </w:instrText>
    </w:r>
    <w:r>
      <w:fldChar w:fldCharType="separate"/>
    </w:r>
    <w:r>
      <w:rPr>
        <w:lang w:val="zh-CN"/>
      </w:rPr>
      <w:t>2</w:t>
    </w:r>
    <w:r>
      <w:rPr>
        <w:lang w:val="zh-CN"/>
      </w:rPr>
      <w:fldChar w:fldCharType="end"/>
    </w:r>
  </w:p>
  <w:p>
    <w:pPr>
      <w:pStyle w:val="4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pPr>
                      <w:pStyle w:val="4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pPr>
                      <w:pStyle w:val="48"/>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pPr>
                      <w:pStyle w:val="48"/>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257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pPr>
                      <w:pStyle w:val="48"/>
                    </w:pPr>
                  </w:p>
                </w:txbxContent>
              </v:textbox>
            </v:shape>
          </w:pict>
        </mc:Fallback>
      </mc:AlternateContent>
    </w:r>
  </w:p>
  <w:p>
    <w:pPr>
      <w:pStyle w:val="4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p>
  <w:p>
    <w:pPr>
      <w:pStyle w:val="5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p>
  <w:p>
    <w:pPr>
      <w:pStyle w:val="5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BBB76AA6"/>
    <w:multiLevelType w:val="singleLevel"/>
    <w:tmpl w:val="BBB76AA6"/>
    <w:lvl w:ilvl="0" w:tentative="0">
      <w:start w:val="1"/>
      <w:numFmt w:val="decimal"/>
      <w:suff w:val="nothing"/>
      <w:lvlText w:val="（%1）"/>
      <w:lvlJc w:val="left"/>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53208E"/>
    <w:multiLevelType w:val="multilevel"/>
    <w:tmpl w:val="0053208E"/>
    <w:lvl w:ilvl="0" w:tentative="0">
      <w:start w:val="1"/>
      <w:numFmt w:val="bullet"/>
      <w:pStyle w:val="20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29F5DE5"/>
    <w:multiLevelType w:val="multilevel"/>
    <w:tmpl w:val="229F5DE5"/>
    <w:lvl w:ilvl="0" w:tentative="0">
      <w:start w:val="3"/>
      <w:numFmt w:val="decimal"/>
      <w:pStyle w:val="42"/>
      <w:lvlText w:val="%1．"/>
      <w:lvlJc w:val="left"/>
      <w:pPr>
        <w:tabs>
          <w:tab w:val="left" w:pos="360"/>
        </w:tabs>
        <w:ind w:left="360" w:hanging="360"/>
      </w:pPr>
      <w:rPr>
        <w:rFonts w:hint="default" w:cs="Times New Roman"/>
      </w:rPr>
    </w:lvl>
    <w:lvl w:ilvl="1" w:tentative="0">
      <w:start w:val="1"/>
      <w:numFmt w:val="lowerLetter"/>
      <w:pStyle w:val="278"/>
      <w:lvlText w:val="%2)"/>
      <w:lvlJc w:val="left"/>
      <w:pPr>
        <w:tabs>
          <w:tab w:val="left" w:pos="840"/>
        </w:tabs>
        <w:ind w:left="840" w:hanging="420"/>
      </w:pPr>
      <w:rPr>
        <w:rFonts w:cs="Times New Roman"/>
      </w:rPr>
    </w:lvl>
    <w:lvl w:ilvl="2" w:tentative="0">
      <w:start w:val="1"/>
      <w:numFmt w:val="lowerRoman"/>
      <w:pStyle w:val="280"/>
      <w:lvlText w:val="%3."/>
      <w:lvlJc w:val="right"/>
      <w:pPr>
        <w:tabs>
          <w:tab w:val="left" w:pos="1260"/>
        </w:tabs>
        <w:ind w:left="1260" w:hanging="420"/>
      </w:pPr>
      <w:rPr>
        <w:rFonts w:cs="Times New Roman"/>
      </w:rPr>
    </w:lvl>
    <w:lvl w:ilvl="3" w:tentative="0">
      <w:start w:val="1"/>
      <w:numFmt w:val="decimal"/>
      <w:pStyle w:val="206"/>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pStyle w:val="210"/>
      <w:lvlText w:val="%6."/>
      <w:lvlJc w:val="right"/>
      <w:pPr>
        <w:tabs>
          <w:tab w:val="left" w:pos="2520"/>
        </w:tabs>
        <w:ind w:left="2520" w:hanging="420"/>
      </w:pPr>
      <w:rPr>
        <w:rFonts w:cs="Times New Roman"/>
      </w:rPr>
    </w:lvl>
    <w:lvl w:ilvl="6" w:tentative="0">
      <w:start w:val="1"/>
      <w:numFmt w:val="decimal"/>
      <w:pStyle w:val="186"/>
      <w:lvlText w:val="%7."/>
      <w:lvlJc w:val="left"/>
      <w:pPr>
        <w:tabs>
          <w:tab w:val="left" w:pos="2940"/>
        </w:tabs>
        <w:ind w:left="2940" w:hanging="420"/>
      </w:pPr>
      <w:rPr>
        <w:rFonts w:cs="Times New Roman"/>
      </w:rPr>
    </w:lvl>
    <w:lvl w:ilvl="7" w:tentative="0">
      <w:start w:val="1"/>
      <w:numFmt w:val="lowerLetter"/>
      <w:pStyle w:val="282"/>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478F0F80"/>
    <w:multiLevelType w:val="multilevel"/>
    <w:tmpl w:val="478F0F80"/>
    <w:lvl w:ilvl="0" w:tentative="0">
      <w:start w:val="1"/>
      <w:numFmt w:val="decimal"/>
      <w:lvlText w:val="%1."/>
      <w:lvlJc w:val="left"/>
      <w:pPr>
        <w:tabs>
          <w:tab w:val="left" w:pos="425"/>
        </w:tabs>
        <w:ind w:left="425" w:hanging="425"/>
      </w:pPr>
      <w:rPr>
        <w:b w:val="0"/>
        <w:bCs w:val="0"/>
        <w:i w:val="0"/>
        <w:iCs w:val="0"/>
        <w:caps w:val="0"/>
        <w:smallCaps w:val="0"/>
        <w:strike w:val="0"/>
        <w:dstrike w:val="0"/>
        <w:vanish w:val="0"/>
        <w:spacing w:val="0"/>
        <w:position w:val="0"/>
        <w:u w:val="none"/>
        <w:vertAlign w:val="baseline"/>
      </w:rPr>
    </w:lvl>
    <w:lvl w:ilvl="1" w:tentative="0">
      <w:start w:val="1"/>
      <w:numFmt w:val="decimal"/>
      <w:pStyle w:val="148"/>
      <w:lvlText w:val="%1.%2."/>
      <w:lvlJc w:val="left"/>
      <w:pPr>
        <w:tabs>
          <w:tab w:val="left" w:pos="567"/>
        </w:tabs>
        <w:ind w:left="567" w:hanging="567"/>
      </w:pPr>
      <w:rPr>
        <w:b w:val="0"/>
        <w:bCs w:val="0"/>
        <w:i w:val="0"/>
        <w:iCs w:val="0"/>
        <w:caps w:val="0"/>
        <w:smallCaps w:val="0"/>
        <w:strike w:val="0"/>
        <w:dstrike w:val="0"/>
        <w:vanish w:val="0"/>
        <w:spacing w:val="0"/>
        <w:position w:val="0"/>
        <w:u w:val="none"/>
        <w:vertAlign w:val="baseline"/>
      </w:rPr>
    </w:lvl>
    <w:lvl w:ilvl="2" w:tentative="0">
      <w:start w:val="1"/>
      <w:numFmt w:val="decimal"/>
      <w:pStyle w:val="149"/>
      <w:lvlText w:val="%1.%2.%3."/>
      <w:lvlJc w:val="left"/>
      <w:pPr>
        <w:tabs>
          <w:tab w:val="left" w:pos="709"/>
        </w:tabs>
        <w:ind w:left="709" w:hanging="709"/>
      </w:pPr>
      <w:rPr>
        <w:b w:val="0"/>
        <w:bCs w:val="0"/>
        <w:i w:val="0"/>
        <w:iCs w:val="0"/>
        <w:caps w:val="0"/>
        <w:smallCaps w:val="0"/>
        <w:strike w:val="0"/>
        <w:dstrike w:val="0"/>
        <w:vanish w:val="0"/>
        <w:spacing w:val="0"/>
        <w:position w:val="0"/>
        <w:u w:val="none"/>
        <w:vertAlign w:val="baseline"/>
      </w:rPr>
    </w:lvl>
    <w:lvl w:ilvl="3" w:tentative="0">
      <w:start w:val="1"/>
      <w:numFmt w:val="decimal"/>
      <w:pStyle w:val="150"/>
      <w:lvlText w:val="%1.%2.%3.%4."/>
      <w:lvlJc w:val="left"/>
      <w:pPr>
        <w:tabs>
          <w:tab w:val="left" w:pos="851"/>
        </w:tabs>
        <w:ind w:left="851" w:hanging="851"/>
      </w:pPr>
      <w:rPr>
        <w:rFonts w:hint="eastAsia"/>
        <w:b w:val="0"/>
        <w:i w:val="0"/>
        <w:iCs w:val="0"/>
        <w:caps w:val="0"/>
        <w:smallCaps w:val="0"/>
        <w:strike w:val="0"/>
        <w:dstrike w:val="0"/>
        <w:vanish w:val="0"/>
        <w:spacing w:val="0"/>
        <w:kern w:val="0"/>
        <w:position w:val="0"/>
        <w:u w:val="none"/>
        <w:vertAlign w:val="baseline"/>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11">
    <w:nsid w:val="53F7654C"/>
    <w:multiLevelType w:val="multilevel"/>
    <w:tmpl w:val="53F7654C"/>
    <w:lvl w:ilvl="0" w:tentative="0">
      <w:start w:val="1"/>
      <w:numFmt w:val="decimal"/>
      <w:lvlText w:val="%1、"/>
      <w:lvlJc w:val="left"/>
      <w:pPr>
        <w:tabs>
          <w:tab w:val="left" w:pos="360"/>
        </w:tabs>
        <w:ind w:left="360" w:hanging="360"/>
      </w:pPr>
      <w:rPr>
        <w:rFonts w:hint="default" w:cs="Times New Roman"/>
      </w:rPr>
    </w:lvl>
    <w:lvl w:ilvl="1" w:tentative="0">
      <w:start w:val="1"/>
      <w:numFmt w:val="lowerLetter"/>
      <w:pStyle w:val="195"/>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2">
    <w:nsid w:val="5CBF4B38"/>
    <w:multiLevelType w:val="singleLevel"/>
    <w:tmpl w:val="5CBF4B38"/>
    <w:lvl w:ilvl="0" w:tentative="0">
      <w:start w:val="1"/>
      <w:numFmt w:val="bullet"/>
      <w:pStyle w:val="209"/>
      <w:lvlText w:val="-"/>
      <w:lvlJc w:val="left"/>
      <w:pPr>
        <w:tabs>
          <w:tab w:val="left" w:pos="360"/>
        </w:tabs>
        <w:ind w:left="360" w:hanging="360"/>
      </w:pPr>
      <w:rPr>
        <w:sz w:val="16"/>
      </w:rPr>
    </w:lvl>
  </w:abstractNum>
  <w:abstractNum w:abstractNumId="13">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pStyle w:val="291"/>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4">
    <w:nsid w:val="6E8C6948"/>
    <w:multiLevelType w:val="singleLevel"/>
    <w:tmpl w:val="6E8C6948"/>
    <w:lvl w:ilvl="0" w:tentative="0">
      <w:start w:val="1"/>
      <w:numFmt w:val="chineseCounting"/>
      <w:suff w:val="space"/>
      <w:lvlText w:val="第%1部分"/>
      <w:lvlJc w:val="left"/>
      <w:rPr>
        <w:rFonts w:hint="eastAsia"/>
      </w:rPr>
    </w:lvl>
  </w:abstractNum>
  <w:abstractNum w:abstractNumId="15">
    <w:nsid w:val="7A612DE2"/>
    <w:multiLevelType w:val="singleLevel"/>
    <w:tmpl w:val="7A612DE2"/>
    <w:lvl w:ilvl="0" w:tentative="0">
      <w:start w:val="2"/>
      <w:numFmt w:val="decimal"/>
      <w:lvlText w:val="%1."/>
      <w:lvlJc w:val="left"/>
      <w:pPr>
        <w:tabs>
          <w:tab w:val="left" w:pos="312"/>
        </w:tabs>
      </w:pPr>
    </w:lvl>
  </w:abstractNum>
  <w:abstractNum w:abstractNumId="16">
    <w:nsid w:val="7F8559AE"/>
    <w:multiLevelType w:val="multilevel"/>
    <w:tmpl w:val="7F8559AE"/>
    <w:lvl w:ilvl="0" w:tentative="0">
      <w:start w:val="1"/>
      <w:numFmt w:val="lowerLetter"/>
      <w:pStyle w:val="155"/>
      <w:lvlText w:val="%1)"/>
      <w:lvlJc w:val="left"/>
      <w:pPr>
        <w:ind w:left="846"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num w:numId="1">
    <w:abstractNumId w:val="7"/>
  </w:num>
  <w:num w:numId="2">
    <w:abstractNumId w:val="10"/>
  </w:num>
  <w:num w:numId="3">
    <w:abstractNumId w:val="16"/>
  </w:num>
  <w:num w:numId="4">
    <w:abstractNumId w:val="11"/>
  </w:num>
  <w:num w:numId="5">
    <w:abstractNumId w:val="3"/>
  </w:num>
  <w:num w:numId="6">
    <w:abstractNumId w:val="1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0"/>
  </w:num>
  <w:num w:numId="10">
    <w:abstractNumId w:val="15"/>
  </w:num>
  <w:num w:numId="11">
    <w:abstractNumId w:val="6"/>
  </w:num>
  <w:num w:numId="12">
    <w:abstractNumId w:val="4"/>
  </w:num>
  <w:num w:numId="13">
    <w:abstractNumId w:val="9"/>
  </w:num>
  <w:num w:numId="14">
    <w:abstractNumId w:val="2"/>
  </w:num>
  <w:num w:numId="15">
    <w:abstractNumId w:val="8"/>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F0C"/>
    <w:rsid w:val="00095D2C"/>
    <w:rsid w:val="000E36DB"/>
    <w:rsid w:val="000F18EB"/>
    <w:rsid w:val="00104341"/>
    <w:rsid w:val="00124583"/>
    <w:rsid w:val="0012656A"/>
    <w:rsid w:val="00127922"/>
    <w:rsid w:val="001668FF"/>
    <w:rsid w:val="001E1A1E"/>
    <w:rsid w:val="001E30A5"/>
    <w:rsid w:val="001E746F"/>
    <w:rsid w:val="00207672"/>
    <w:rsid w:val="00221AA7"/>
    <w:rsid w:val="002419A9"/>
    <w:rsid w:val="002B73FA"/>
    <w:rsid w:val="002C4BCF"/>
    <w:rsid w:val="002C55C2"/>
    <w:rsid w:val="002C606F"/>
    <w:rsid w:val="002D4C4D"/>
    <w:rsid w:val="003302DD"/>
    <w:rsid w:val="00331E5C"/>
    <w:rsid w:val="003610AB"/>
    <w:rsid w:val="003736CC"/>
    <w:rsid w:val="003F68C7"/>
    <w:rsid w:val="004046F3"/>
    <w:rsid w:val="004206F0"/>
    <w:rsid w:val="00453730"/>
    <w:rsid w:val="004A5449"/>
    <w:rsid w:val="004E08E2"/>
    <w:rsid w:val="00516CAB"/>
    <w:rsid w:val="005505DE"/>
    <w:rsid w:val="00564CFF"/>
    <w:rsid w:val="00571AD8"/>
    <w:rsid w:val="00593FAE"/>
    <w:rsid w:val="00594D4F"/>
    <w:rsid w:val="0059728A"/>
    <w:rsid w:val="00597FC9"/>
    <w:rsid w:val="005A757E"/>
    <w:rsid w:val="005B5B61"/>
    <w:rsid w:val="005C3B55"/>
    <w:rsid w:val="0060789F"/>
    <w:rsid w:val="00634C9D"/>
    <w:rsid w:val="00635C4F"/>
    <w:rsid w:val="00643192"/>
    <w:rsid w:val="006C3168"/>
    <w:rsid w:val="006C6DA9"/>
    <w:rsid w:val="006D0930"/>
    <w:rsid w:val="006F3706"/>
    <w:rsid w:val="00724F9F"/>
    <w:rsid w:val="00765F33"/>
    <w:rsid w:val="007B5FE7"/>
    <w:rsid w:val="00826F26"/>
    <w:rsid w:val="00856E60"/>
    <w:rsid w:val="00864756"/>
    <w:rsid w:val="00866642"/>
    <w:rsid w:val="008803D9"/>
    <w:rsid w:val="0089547F"/>
    <w:rsid w:val="008D60BF"/>
    <w:rsid w:val="00900EC6"/>
    <w:rsid w:val="0091789B"/>
    <w:rsid w:val="00934D8F"/>
    <w:rsid w:val="009D024B"/>
    <w:rsid w:val="009D3D39"/>
    <w:rsid w:val="009F438D"/>
    <w:rsid w:val="00AD6F0C"/>
    <w:rsid w:val="00B134A7"/>
    <w:rsid w:val="00BA1612"/>
    <w:rsid w:val="00BC303F"/>
    <w:rsid w:val="00BE1C48"/>
    <w:rsid w:val="00BE542B"/>
    <w:rsid w:val="00C174AD"/>
    <w:rsid w:val="00C17D67"/>
    <w:rsid w:val="00C462BE"/>
    <w:rsid w:val="00C674A1"/>
    <w:rsid w:val="00C87DB0"/>
    <w:rsid w:val="00CA205A"/>
    <w:rsid w:val="00CB6765"/>
    <w:rsid w:val="00D23A1B"/>
    <w:rsid w:val="00D362F2"/>
    <w:rsid w:val="00D62423"/>
    <w:rsid w:val="00D72D4D"/>
    <w:rsid w:val="00D75B88"/>
    <w:rsid w:val="00DA0447"/>
    <w:rsid w:val="00DC42E4"/>
    <w:rsid w:val="00DF2384"/>
    <w:rsid w:val="00E42F5D"/>
    <w:rsid w:val="00E54794"/>
    <w:rsid w:val="00E9546D"/>
    <w:rsid w:val="00F07520"/>
    <w:rsid w:val="00F20380"/>
    <w:rsid w:val="00F66465"/>
    <w:rsid w:val="00F85D46"/>
    <w:rsid w:val="00FA2FE3"/>
    <w:rsid w:val="00FC0FEF"/>
    <w:rsid w:val="00FE0F8C"/>
    <w:rsid w:val="00FF46C1"/>
    <w:rsid w:val="01380A2A"/>
    <w:rsid w:val="014A58A5"/>
    <w:rsid w:val="01953FD3"/>
    <w:rsid w:val="01B5064E"/>
    <w:rsid w:val="022021FB"/>
    <w:rsid w:val="02214353"/>
    <w:rsid w:val="02716D8D"/>
    <w:rsid w:val="029A1F17"/>
    <w:rsid w:val="02CD646F"/>
    <w:rsid w:val="02E64F4A"/>
    <w:rsid w:val="0316128D"/>
    <w:rsid w:val="032E03E3"/>
    <w:rsid w:val="03A35EAC"/>
    <w:rsid w:val="043B5DCF"/>
    <w:rsid w:val="0490099B"/>
    <w:rsid w:val="04DB2402"/>
    <w:rsid w:val="04EC15D3"/>
    <w:rsid w:val="05560218"/>
    <w:rsid w:val="05661A88"/>
    <w:rsid w:val="0579782E"/>
    <w:rsid w:val="059C0B1F"/>
    <w:rsid w:val="05FA43FB"/>
    <w:rsid w:val="061A795A"/>
    <w:rsid w:val="062A241C"/>
    <w:rsid w:val="064B0A51"/>
    <w:rsid w:val="065F63C5"/>
    <w:rsid w:val="066926CC"/>
    <w:rsid w:val="06BF09F9"/>
    <w:rsid w:val="06E30DF4"/>
    <w:rsid w:val="0730438E"/>
    <w:rsid w:val="073D5CD1"/>
    <w:rsid w:val="07716728"/>
    <w:rsid w:val="07981C63"/>
    <w:rsid w:val="07AF6519"/>
    <w:rsid w:val="086430EA"/>
    <w:rsid w:val="08D04758"/>
    <w:rsid w:val="08E45521"/>
    <w:rsid w:val="091837BC"/>
    <w:rsid w:val="099058AB"/>
    <w:rsid w:val="09B17DED"/>
    <w:rsid w:val="09D30C37"/>
    <w:rsid w:val="0A137606"/>
    <w:rsid w:val="0A4C7CC0"/>
    <w:rsid w:val="0A63083F"/>
    <w:rsid w:val="0A9A4D70"/>
    <w:rsid w:val="0ADF3652"/>
    <w:rsid w:val="0C030382"/>
    <w:rsid w:val="0C0633BF"/>
    <w:rsid w:val="0C1D57DF"/>
    <w:rsid w:val="0C404025"/>
    <w:rsid w:val="0C9E4634"/>
    <w:rsid w:val="0CCD30D2"/>
    <w:rsid w:val="0CF42B21"/>
    <w:rsid w:val="0D273D67"/>
    <w:rsid w:val="0D7835CD"/>
    <w:rsid w:val="0DE8530C"/>
    <w:rsid w:val="0E5E69C9"/>
    <w:rsid w:val="0E76322F"/>
    <w:rsid w:val="0E955452"/>
    <w:rsid w:val="0EFC0F99"/>
    <w:rsid w:val="0F725B28"/>
    <w:rsid w:val="10624E84"/>
    <w:rsid w:val="106F0C89"/>
    <w:rsid w:val="107A40D0"/>
    <w:rsid w:val="10DE382F"/>
    <w:rsid w:val="11296C05"/>
    <w:rsid w:val="112E79A6"/>
    <w:rsid w:val="117A34DB"/>
    <w:rsid w:val="11FA50CC"/>
    <w:rsid w:val="12492978"/>
    <w:rsid w:val="128D63F5"/>
    <w:rsid w:val="12A361ED"/>
    <w:rsid w:val="12DA08F3"/>
    <w:rsid w:val="12EE280B"/>
    <w:rsid w:val="12FF49A9"/>
    <w:rsid w:val="132E69CA"/>
    <w:rsid w:val="133370E0"/>
    <w:rsid w:val="13C8211D"/>
    <w:rsid w:val="13E531A1"/>
    <w:rsid w:val="141107F5"/>
    <w:rsid w:val="142B4B94"/>
    <w:rsid w:val="144842A5"/>
    <w:rsid w:val="14862923"/>
    <w:rsid w:val="14947E2C"/>
    <w:rsid w:val="152637FE"/>
    <w:rsid w:val="152D3BF4"/>
    <w:rsid w:val="15A576CA"/>
    <w:rsid w:val="15BB74E2"/>
    <w:rsid w:val="15CA0925"/>
    <w:rsid w:val="15E11AA8"/>
    <w:rsid w:val="167F1E90"/>
    <w:rsid w:val="1693360F"/>
    <w:rsid w:val="17601ABB"/>
    <w:rsid w:val="182A7FB6"/>
    <w:rsid w:val="18D264D6"/>
    <w:rsid w:val="18D456C8"/>
    <w:rsid w:val="19170971"/>
    <w:rsid w:val="19360073"/>
    <w:rsid w:val="198432C7"/>
    <w:rsid w:val="19912246"/>
    <w:rsid w:val="1A692D41"/>
    <w:rsid w:val="1A6930E6"/>
    <w:rsid w:val="1A7C1C26"/>
    <w:rsid w:val="1A861663"/>
    <w:rsid w:val="1AB4636C"/>
    <w:rsid w:val="1AC1473D"/>
    <w:rsid w:val="1AC303F7"/>
    <w:rsid w:val="1B5F1029"/>
    <w:rsid w:val="1B6B3E85"/>
    <w:rsid w:val="1BD17645"/>
    <w:rsid w:val="1C287812"/>
    <w:rsid w:val="1C2C2539"/>
    <w:rsid w:val="1C7951F4"/>
    <w:rsid w:val="1CC658A8"/>
    <w:rsid w:val="1CDE0153"/>
    <w:rsid w:val="1D2C79B7"/>
    <w:rsid w:val="1D5C01F8"/>
    <w:rsid w:val="1DDE418C"/>
    <w:rsid w:val="1DE97F8D"/>
    <w:rsid w:val="1E0505AC"/>
    <w:rsid w:val="1E405A7E"/>
    <w:rsid w:val="1E5B76D6"/>
    <w:rsid w:val="1E655E71"/>
    <w:rsid w:val="1EED4512"/>
    <w:rsid w:val="1F327FA3"/>
    <w:rsid w:val="1F3D6455"/>
    <w:rsid w:val="1F436605"/>
    <w:rsid w:val="1F7C1631"/>
    <w:rsid w:val="205B063B"/>
    <w:rsid w:val="20D65754"/>
    <w:rsid w:val="21134416"/>
    <w:rsid w:val="216E10C6"/>
    <w:rsid w:val="2189427D"/>
    <w:rsid w:val="22BB5456"/>
    <w:rsid w:val="22DA7565"/>
    <w:rsid w:val="23206C9F"/>
    <w:rsid w:val="237C5368"/>
    <w:rsid w:val="24163A89"/>
    <w:rsid w:val="24737C5E"/>
    <w:rsid w:val="24E62C11"/>
    <w:rsid w:val="256C7C20"/>
    <w:rsid w:val="25776809"/>
    <w:rsid w:val="25C13FCE"/>
    <w:rsid w:val="26045659"/>
    <w:rsid w:val="261B3A4D"/>
    <w:rsid w:val="26510F66"/>
    <w:rsid w:val="267142A1"/>
    <w:rsid w:val="2689764F"/>
    <w:rsid w:val="26B7155F"/>
    <w:rsid w:val="26E02A62"/>
    <w:rsid w:val="26E75679"/>
    <w:rsid w:val="26EE5F38"/>
    <w:rsid w:val="27217065"/>
    <w:rsid w:val="2749753A"/>
    <w:rsid w:val="275D7010"/>
    <w:rsid w:val="27637AA5"/>
    <w:rsid w:val="287F19A2"/>
    <w:rsid w:val="28D762A0"/>
    <w:rsid w:val="292158A2"/>
    <w:rsid w:val="29353DEF"/>
    <w:rsid w:val="293C149C"/>
    <w:rsid w:val="29667210"/>
    <w:rsid w:val="297362F7"/>
    <w:rsid w:val="2983384E"/>
    <w:rsid w:val="29CE003F"/>
    <w:rsid w:val="2A1F5E1F"/>
    <w:rsid w:val="2A5455A5"/>
    <w:rsid w:val="2A5B1666"/>
    <w:rsid w:val="2A867137"/>
    <w:rsid w:val="2AD3614B"/>
    <w:rsid w:val="2AFF4589"/>
    <w:rsid w:val="2B042998"/>
    <w:rsid w:val="2B730BF3"/>
    <w:rsid w:val="2BA23325"/>
    <w:rsid w:val="2BB715EF"/>
    <w:rsid w:val="2BCB1D82"/>
    <w:rsid w:val="2BEA497C"/>
    <w:rsid w:val="2C345527"/>
    <w:rsid w:val="2C530513"/>
    <w:rsid w:val="2C830054"/>
    <w:rsid w:val="2D912B59"/>
    <w:rsid w:val="2E4F5F65"/>
    <w:rsid w:val="2ED860C1"/>
    <w:rsid w:val="2EEA4862"/>
    <w:rsid w:val="2F1C38E9"/>
    <w:rsid w:val="2FC17E23"/>
    <w:rsid w:val="2FD14B39"/>
    <w:rsid w:val="300F69FE"/>
    <w:rsid w:val="307B41AE"/>
    <w:rsid w:val="30B12A2B"/>
    <w:rsid w:val="30D231BB"/>
    <w:rsid w:val="30FE49A6"/>
    <w:rsid w:val="3132113A"/>
    <w:rsid w:val="315033E9"/>
    <w:rsid w:val="315E65C7"/>
    <w:rsid w:val="316B7477"/>
    <w:rsid w:val="31A45717"/>
    <w:rsid w:val="31AF7606"/>
    <w:rsid w:val="31C91032"/>
    <w:rsid w:val="31F04046"/>
    <w:rsid w:val="322227E3"/>
    <w:rsid w:val="33075F48"/>
    <w:rsid w:val="33CF44EB"/>
    <w:rsid w:val="33D651D1"/>
    <w:rsid w:val="33F96827"/>
    <w:rsid w:val="3431058D"/>
    <w:rsid w:val="352657D6"/>
    <w:rsid w:val="352675A9"/>
    <w:rsid w:val="354B4CA5"/>
    <w:rsid w:val="355F31FF"/>
    <w:rsid w:val="36616FEC"/>
    <w:rsid w:val="36666601"/>
    <w:rsid w:val="36B21906"/>
    <w:rsid w:val="37231FDD"/>
    <w:rsid w:val="372B6FAA"/>
    <w:rsid w:val="37CE5A3C"/>
    <w:rsid w:val="37DA5DE9"/>
    <w:rsid w:val="3830234E"/>
    <w:rsid w:val="383E42D9"/>
    <w:rsid w:val="38524FF4"/>
    <w:rsid w:val="38947732"/>
    <w:rsid w:val="38CB54C4"/>
    <w:rsid w:val="391B5C1E"/>
    <w:rsid w:val="394E495A"/>
    <w:rsid w:val="39712DC4"/>
    <w:rsid w:val="39AD1939"/>
    <w:rsid w:val="39C033BB"/>
    <w:rsid w:val="39E24492"/>
    <w:rsid w:val="3A2A239E"/>
    <w:rsid w:val="3A8245A2"/>
    <w:rsid w:val="3AA74AE3"/>
    <w:rsid w:val="3B2E07B4"/>
    <w:rsid w:val="3B385300"/>
    <w:rsid w:val="3B582C2A"/>
    <w:rsid w:val="3CE1623F"/>
    <w:rsid w:val="3CFC3476"/>
    <w:rsid w:val="3D1F26AD"/>
    <w:rsid w:val="3D2D308E"/>
    <w:rsid w:val="3D482DD9"/>
    <w:rsid w:val="3E4F6C8A"/>
    <w:rsid w:val="3E7079FA"/>
    <w:rsid w:val="3E95136F"/>
    <w:rsid w:val="3E9A752D"/>
    <w:rsid w:val="3E9C44A5"/>
    <w:rsid w:val="3EA6674F"/>
    <w:rsid w:val="3ED120BC"/>
    <w:rsid w:val="3EEB35EF"/>
    <w:rsid w:val="3F401F38"/>
    <w:rsid w:val="3F636CF3"/>
    <w:rsid w:val="3F7B0662"/>
    <w:rsid w:val="3F824472"/>
    <w:rsid w:val="3FD46749"/>
    <w:rsid w:val="3FED5CA3"/>
    <w:rsid w:val="403F4924"/>
    <w:rsid w:val="40522D81"/>
    <w:rsid w:val="40D55452"/>
    <w:rsid w:val="40E00CB0"/>
    <w:rsid w:val="40E14F52"/>
    <w:rsid w:val="41071D78"/>
    <w:rsid w:val="411B784A"/>
    <w:rsid w:val="41456DDA"/>
    <w:rsid w:val="41593B3F"/>
    <w:rsid w:val="41B408C3"/>
    <w:rsid w:val="41BA7E56"/>
    <w:rsid w:val="41E07A0A"/>
    <w:rsid w:val="421D1C30"/>
    <w:rsid w:val="421F29F7"/>
    <w:rsid w:val="424308FD"/>
    <w:rsid w:val="42485BD4"/>
    <w:rsid w:val="42580D0E"/>
    <w:rsid w:val="42786E54"/>
    <w:rsid w:val="428D00BE"/>
    <w:rsid w:val="42B9194D"/>
    <w:rsid w:val="42D464FE"/>
    <w:rsid w:val="43675F95"/>
    <w:rsid w:val="43CD0742"/>
    <w:rsid w:val="43FE3066"/>
    <w:rsid w:val="444337B2"/>
    <w:rsid w:val="445E134B"/>
    <w:rsid w:val="449C36B6"/>
    <w:rsid w:val="44A226C4"/>
    <w:rsid w:val="44B67158"/>
    <w:rsid w:val="45195A32"/>
    <w:rsid w:val="45306FDE"/>
    <w:rsid w:val="45490A29"/>
    <w:rsid w:val="45AB6A3A"/>
    <w:rsid w:val="45CC5FDA"/>
    <w:rsid w:val="46252F69"/>
    <w:rsid w:val="4674605D"/>
    <w:rsid w:val="469E08FE"/>
    <w:rsid w:val="46D178FB"/>
    <w:rsid w:val="46F5520D"/>
    <w:rsid w:val="470D4C0C"/>
    <w:rsid w:val="47353F9B"/>
    <w:rsid w:val="47447EC8"/>
    <w:rsid w:val="4765556E"/>
    <w:rsid w:val="47774D6F"/>
    <w:rsid w:val="47D93262"/>
    <w:rsid w:val="47F06C76"/>
    <w:rsid w:val="48550D51"/>
    <w:rsid w:val="49237A26"/>
    <w:rsid w:val="49CA6CAE"/>
    <w:rsid w:val="4A155EB4"/>
    <w:rsid w:val="4A6E2BE4"/>
    <w:rsid w:val="4A796DB3"/>
    <w:rsid w:val="4A981F7E"/>
    <w:rsid w:val="4AD75D89"/>
    <w:rsid w:val="4ADB4A32"/>
    <w:rsid w:val="4B073D6A"/>
    <w:rsid w:val="4B665CF1"/>
    <w:rsid w:val="4BFC4852"/>
    <w:rsid w:val="4C395B08"/>
    <w:rsid w:val="4C5B20A6"/>
    <w:rsid w:val="4C5C5974"/>
    <w:rsid w:val="4C822D7D"/>
    <w:rsid w:val="4C8E01F8"/>
    <w:rsid w:val="4CAA0B4F"/>
    <w:rsid w:val="4D0D13C5"/>
    <w:rsid w:val="4D227A39"/>
    <w:rsid w:val="4D8571A3"/>
    <w:rsid w:val="4D9A1D60"/>
    <w:rsid w:val="4E56261C"/>
    <w:rsid w:val="4E830372"/>
    <w:rsid w:val="4F206F3A"/>
    <w:rsid w:val="4F85590D"/>
    <w:rsid w:val="50041949"/>
    <w:rsid w:val="501539DB"/>
    <w:rsid w:val="502622BA"/>
    <w:rsid w:val="503C1132"/>
    <w:rsid w:val="50744A6F"/>
    <w:rsid w:val="50C10DAE"/>
    <w:rsid w:val="50D83170"/>
    <w:rsid w:val="511A55A2"/>
    <w:rsid w:val="513820C2"/>
    <w:rsid w:val="517940B6"/>
    <w:rsid w:val="519C44B2"/>
    <w:rsid w:val="51BB569F"/>
    <w:rsid w:val="52202DE0"/>
    <w:rsid w:val="523E147C"/>
    <w:rsid w:val="52496252"/>
    <w:rsid w:val="524C59D1"/>
    <w:rsid w:val="529A74C0"/>
    <w:rsid w:val="52BD623E"/>
    <w:rsid w:val="533315C4"/>
    <w:rsid w:val="533A4E58"/>
    <w:rsid w:val="534652FC"/>
    <w:rsid w:val="53994EB3"/>
    <w:rsid w:val="54403939"/>
    <w:rsid w:val="54506F5D"/>
    <w:rsid w:val="545D3816"/>
    <w:rsid w:val="54B91FEE"/>
    <w:rsid w:val="54ED7FAA"/>
    <w:rsid w:val="55484346"/>
    <w:rsid w:val="55702217"/>
    <w:rsid w:val="55977B24"/>
    <w:rsid w:val="55AD3F80"/>
    <w:rsid w:val="55C5418C"/>
    <w:rsid w:val="560068FC"/>
    <w:rsid w:val="56504D18"/>
    <w:rsid w:val="57FC790D"/>
    <w:rsid w:val="580F6AD9"/>
    <w:rsid w:val="5835554E"/>
    <w:rsid w:val="58372B54"/>
    <w:rsid w:val="5867718D"/>
    <w:rsid w:val="589C326C"/>
    <w:rsid w:val="591838C0"/>
    <w:rsid w:val="593B6400"/>
    <w:rsid w:val="59D8203E"/>
    <w:rsid w:val="5A354A17"/>
    <w:rsid w:val="5A7B56DB"/>
    <w:rsid w:val="5A9346FF"/>
    <w:rsid w:val="5ADF2BD0"/>
    <w:rsid w:val="5B7F43BE"/>
    <w:rsid w:val="5B856644"/>
    <w:rsid w:val="5BDD2917"/>
    <w:rsid w:val="5BF417AB"/>
    <w:rsid w:val="5C1421D6"/>
    <w:rsid w:val="5C401394"/>
    <w:rsid w:val="5C69679C"/>
    <w:rsid w:val="5C703E98"/>
    <w:rsid w:val="5CAD6C42"/>
    <w:rsid w:val="5CC93871"/>
    <w:rsid w:val="5CEA0E91"/>
    <w:rsid w:val="5D275282"/>
    <w:rsid w:val="5D2C0D0E"/>
    <w:rsid w:val="5D5301F2"/>
    <w:rsid w:val="5D7811AF"/>
    <w:rsid w:val="5E003CA1"/>
    <w:rsid w:val="5E24285D"/>
    <w:rsid w:val="5E613FB0"/>
    <w:rsid w:val="5ED36B54"/>
    <w:rsid w:val="5EFC54A8"/>
    <w:rsid w:val="5F3363EB"/>
    <w:rsid w:val="5F4F2D4D"/>
    <w:rsid w:val="5F774E38"/>
    <w:rsid w:val="5FDF6221"/>
    <w:rsid w:val="60136CFF"/>
    <w:rsid w:val="60BB0D8F"/>
    <w:rsid w:val="60DE0AC9"/>
    <w:rsid w:val="613543E6"/>
    <w:rsid w:val="618850CD"/>
    <w:rsid w:val="618D5C6E"/>
    <w:rsid w:val="61B5424D"/>
    <w:rsid w:val="61EC428A"/>
    <w:rsid w:val="61EC5BFF"/>
    <w:rsid w:val="626D136B"/>
    <w:rsid w:val="629B57F5"/>
    <w:rsid w:val="62FE59AC"/>
    <w:rsid w:val="630238D7"/>
    <w:rsid w:val="633744FC"/>
    <w:rsid w:val="63791745"/>
    <w:rsid w:val="63903BBB"/>
    <w:rsid w:val="63FA0949"/>
    <w:rsid w:val="64B632BE"/>
    <w:rsid w:val="64FF5CC4"/>
    <w:rsid w:val="65782C67"/>
    <w:rsid w:val="65EB3265"/>
    <w:rsid w:val="660A3509"/>
    <w:rsid w:val="661637DE"/>
    <w:rsid w:val="6625196A"/>
    <w:rsid w:val="6673304D"/>
    <w:rsid w:val="66E0421E"/>
    <w:rsid w:val="66E36BDD"/>
    <w:rsid w:val="66FB08E2"/>
    <w:rsid w:val="67833CE0"/>
    <w:rsid w:val="67C677AB"/>
    <w:rsid w:val="68065168"/>
    <w:rsid w:val="68140B49"/>
    <w:rsid w:val="683768F9"/>
    <w:rsid w:val="68E403FD"/>
    <w:rsid w:val="68FF4F70"/>
    <w:rsid w:val="69286402"/>
    <w:rsid w:val="692A6102"/>
    <w:rsid w:val="696607D3"/>
    <w:rsid w:val="69F21446"/>
    <w:rsid w:val="6ABA403A"/>
    <w:rsid w:val="6AD07E2C"/>
    <w:rsid w:val="6AD25C88"/>
    <w:rsid w:val="6AD801A1"/>
    <w:rsid w:val="6B3D692F"/>
    <w:rsid w:val="6B6512A7"/>
    <w:rsid w:val="6BC02D2E"/>
    <w:rsid w:val="6BE97892"/>
    <w:rsid w:val="6C042F65"/>
    <w:rsid w:val="6CDF4E2C"/>
    <w:rsid w:val="6E055E26"/>
    <w:rsid w:val="6E193840"/>
    <w:rsid w:val="6E432C3A"/>
    <w:rsid w:val="6E5E1590"/>
    <w:rsid w:val="6E6541FE"/>
    <w:rsid w:val="6E6B7E84"/>
    <w:rsid w:val="6EAC5BD0"/>
    <w:rsid w:val="6ED31D59"/>
    <w:rsid w:val="6F0B6065"/>
    <w:rsid w:val="6F3512F8"/>
    <w:rsid w:val="6FD16038"/>
    <w:rsid w:val="6FD745E8"/>
    <w:rsid w:val="6FDB5221"/>
    <w:rsid w:val="70075ADA"/>
    <w:rsid w:val="706E0484"/>
    <w:rsid w:val="70975ADE"/>
    <w:rsid w:val="70B61660"/>
    <w:rsid w:val="710D65D3"/>
    <w:rsid w:val="7114656D"/>
    <w:rsid w:val="712678EE"/>
    <w:rsid w:val="71494F96"/>
    <w:rsid w:val="71D460B1"/>
    <w:rsid w:val="7202044B"/>
    <w:rsid w:val="724E56AF"/>
    <w:rsid w:val="727A5721"/>
    <w:rsid w:val="72F65139"/>
    <w:rsid w:val="730E13E3"/>
    <w:rsid w:val="732524CE"/>
    <w:rsid w:val="73A83FEF"/>
    <w:rsid w:val="73B37E18"/>
    <w:rsid w:val="73D923DE"/>
    <w:rsid w:val="7498640C"/>
    <w:rsid w:val="74D3714A"/>
    <w:rsid w:val="752D4114"/>
    <w:rsid w:val="752E1DE8"/>
    <w:rsid w:val="753D779E"/>
    <w:rsid w:val="76113E6F"/>
    <w:rsid w:val="76212238"/>
    <w:rsid w:val="76623102"/>
    <w:rsid w:val="768437D2"/>
    <w:rsid w:val="771B4439"/>
    <w:rsid w:val="77320D0D"/>
    <w:rsid w:val="77F036E1"/>
    <w:rsid w:val="782D2CCA"/>
    <w:rsid w:val="78433B95"/>
    <w:rsid w:val="78767B0C"/>
    <w:rsid w:val="788143D8"/>
    <w:rsid w:val="78CF0693"/>
    <w:rsid w:val="78D6764B"/>
    <w:rsid w:val="78DF439F"/>
    <w:rsid w:val="79257F12"/>
    <w:rsid w:val="79603D65"/>
    <w:rsid w:val="798B3F40"/>
    <w:rsid w:val="79B56A47"/>
    <w:rsid w:val="79D8399A"/>
    <w:rsid w:val="7A4F1A81"/>
    <w:rsid w:val="7A581A65"/>
    <w:rsid w:val="7AD66ECC"/>
    <w:rsid w:val="7AF128E7"/>
    <w:rsid w:val="7AF26B3A"/>
    <w:rsid w:val="7B8D6BCE"/>
    <w:rsid w:val="7B99657F"/>
    <w:rsid w:val="7C1731E7"/>
    <w:rsid w:val="7C585EC9"/>
    <w:rsid w:val="7C7D3408"/>
    <w:rsid w:val="7C8C6498"/>
    <w:rsid w:val="7CA806A6"/>
    <w:rsid w:val="7CFF7200"/>
    <w:rsid w:val="7D712336"/>
    <w:rsid w:val="7D890364"/>
    <w:rsid w:val="7D8D2231"/>
    <w:rsid w:val="7DB760DB"/>
    <w:rsid w:val="7DD01878"/>
    <w:rsid w:val="7DE74262"/>
    <w:rsid w:val="7E4B05A9"/>
    <w:rsid w:val="7E505F10"/>
    <w:rsid w:val="7E891629"/>
    <w:rsid w:val="7E9C4A16"/>
    <w:rsid w:val="7F701D8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9" w:semiHidden="0" w:name="heading 3"/>
    <w:lsdException w:qFormat="1" w:uiPriority="99" w:semiHidden="0" w:name="heading 4"/>
    <w:lsdException w:qFormat="1" w:uiPriority="99" w:semiHidden="0" w:name="heading 5"/>
    <w:lsdException w:qFormat="1"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qFormat="1" w:unhideWhenUsed="0" w:uiPriority="0"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99" w:name="envelope address"/>
    <w:lsdException w:qFormat="1" w:unhideWhenUsed="0" w:uiPriority="99" w:name="envelope return"/>
    <w:lsdException w:qFormat="1" w:unhideWhenUsed="0" w:uiPriority="0" w:name="footnote reference"/>
    <w:lsdException w:qFormat="1" w:unhideWhenUsed="0" w:uiPriority="99" w:semiHidden="0" w:name="annotation reference"/>
    <w:lsdException w:qFormat="1" w:unhideWhenUsed="0" w:uiPriority="99" w:semiHidden="0" w:name="line number"/>
    <w:lsdException w:qFormat="1" w:unhideWhenUsed="0" w:uiPriority="0" w:semiHidden="0" w:name="page number"/>
    <w:lsdException w:uiPriority="99" w:name="endnote reference"/>
    <w:lsdException w:uiPriority="99" w:name="endnote text"/>
    <w:lsdException w:qFormat="1" w:unhideWhenUsed="0"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0" w:semiHidden="0" w:name="Title"/>
    <w:lsdException w:qFormat="1" w:unhideWhenUsed="0" w:uiPriority="99" w:name="Closing"/>
    <w:lsdException w:qFormat="1" w:unhideWhenUsed="0" w:uiPriority="99"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99"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59" w:semiHidden="0" w:name="Table Grid"/>
    <w:lsdException w:qFormat="1" w:unhideWhenUsed="0"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0"/>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4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42"/>
    <w:unhideWhenUsed/>
    <w:qFormat/>
    <w:uiPriority w:val="99"/>
    <w:pPr>
      <w:keepNext/>
      <w:keepLines/>
      <w:spacing w:before="260" w:after="260" w:line="416" w:lineRule="auto"/>
      <w:outlineLvl w:val="2"/>
    </w:pPr>
    <w:rPr>
      <w:b/>
      <w:bCs/>
      <w:sz w:val="32"/>
      <w:szCs w:val="32"/>
    </w:rPr>
  </w:style>
  <w:style w:type="paragraph" w:styleId="5">
    <w:name w:val="heading 4"/>
    <w:basedOn w:val="1"/>
    <w:next w:val="1"/>
    <w:link w:val="143"/>
    <w:unhideWhenUsed/>
    <w:qFormat/>
    <w:uiPriority w:val="9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45"/>
    <w:unhideWhenUsed/>
    <w:qFormat/>
    <w:uiPriority w:val="99"/>
    <w:pPr>
      <w:keepNext/>
      <w:keepLines/>
      <w:spacing w:before="280" w:after="290" w:line="376" w:lineRule="auto"/>
      <w:outlineLvl w:val="4"/>
    </w:pPr>
    <w:rPr>
      <w:b/>
      <w:bCs/>
      <w:sz w:val="28"/>
      <w:szCs w:val="28"/>
    </w:rPr>
  </w:style>
  <w:style w:type="paragraph" w:styleId="7">
    <w:name w:val="heading 6"/>
    <w:basedOn w:val="1"/>
    <w:next w:val="1"/>
    <w:link w:val="157"/>
    <w:unhideWhenUsed/>
    <w:qFormat/>
    <w:uiPriority w:val="99"/>
    <w:pPr>
      <w:keepNext/>
      <w:keepLines/>
      <w:spacing w:before="240" w:after="64" w:line="317" w:lineRule="auto"/>
      <w:outlineLvl w:val="5"/>
    </w:pPr>
    <w:rPr>
      <w:rFonts w:ascii="Arial" w:hAnsi="Arial" w:eastAsia="黑体"/>
      <w:b/>
      <w:sz w:val="24"/>
    </w:rPr>
  </w:style>
  <w:style w:type="paragraph" w:styleId="8">
    <w:name w:val="heading 7"/>
    <w:basedOn w:val="1"/>
    <w:next w:val="1"/>
    <w:link w:val="158"/>
    <w:qFormat/>
    <w:uiPriority w:val="99"/>
    <w:pPr>
      <w:keepNext/>
      <w:keepLines/>
      <w:spacing w:before="240" w:after="64" w:line="320" w:lineRule="auto"/>
      <w:jc w:val="left"/>
      <w:outlineLvl w:val="6"/>
    </w:pPr>
    <w:rPr>
      <w:rFonts w:ascii="Times New Roman" w:hAnsi="Times New Roman" w:eastAsia="宋体" w:cs="Times New Roman"/>
      <w:b/>
      <w:bCs/>
      <w:kern w:val="0"/>
      <w:sz w:val="24"/>
      <w:szCs w:val="24"/>
    </w:rPr>
  </w:style>
  <w:style w:type="paragraph" w:styleId="9">
    <w:name w:val="heading 8"/>
    <w:basedOn w:val="1"/>
    <w:next w:val="1"/>
    <w:link w:val="159"/>
    <w:qFormat/>
    <w:uiPriority w:val="99"/>
    <w:pPr>
      <w:keepNext/>
      <w:keepLines/>
      <w:tabs>
        <w:tab w:val="left" w:pos="1440"/>
      </w:tabs>
      <w:adjustRightInd w:val="0"/>
      <w:spacing w:line="360" w:lineRule="atLeast"/>
      <w:ind w:left="1440" w:hanging="1440"/>
      <w:outlineLvl w:val="7"/>
    </w:pPr>
    <w:rPr>
      <w:rFonts w:ascii="Cambria" w:hAnsi="Cambria" w:eastAsia="宋体" w:cs="Times New Roman"/>
      <w:kern w:val="0"/>
      <w:sz w:val="24"/>
      <w:szCs w:val="24"/>
    </w:rPr>
  </w:style>
  <w:style w:type="paragraph" w:styleId="10">
    <w:name w:val="heading 9"/>
    <w:basedOn w:val="1"/>
    <w:next w:val="1"/>
    <w:link w:val="160"/>
    <w:qFormat/>
    <w:uiPriority w:val="99"/>
    <w:pPr>
      <w:keepNext/>
      <w:keepLines/>
      <w:tabs>
        <w:tab w:val="left" w:pos="1584"/>
      </w:tabs>
      <w:adjustRightInd w:val="0"/>
      <w:spacing w:line="360" w:lineRule="atLeast"/>
      <w:ind w:left="1584" w:hanging="1584"/>
      <w:outlineLvl w:val="8"/>
    </w:pPr>
    <w:rPr>
      <w:rFonts w:ascii="Cambria" w:hAnsi="Cambria" w:eastAsia="宋体" w:cs="Times New Roman"/>
      <w:kern w:val="0"/>
      <w:szCs w:val="21"/>
    </w:rPr>
  </w:style>
  <w:style w:type="character" w:default="1" w:styleId="121">
    <w:name w:val="Default Paragraph Font"/>
    <w:semiHidden/>
    <w:unhideWhenUsed/>
    <w:qFormat/>
    <w:uiPriority w:val="1"/>
  </w:style>
  <w:style w:type="table" w:default="1" w:styleId="76">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99"/>
    <w:pPr>
      <w:ind w:left="100" w:leftChars="400" w:hanging="200" w:hangingChars="200"/>
    </w:pPr>
    <w:rPr>
      <w:rFonts w:ascii="Times New Roman" w:hAnsi="Times New Roman" w:eastAsia="宋体" w:cs="Times New Roman"/>
      <w:szCs w:val="21"/>
    </w:rPr>
  </w:style>
  <w:style w:type="paragraph" w:styleId="12">
    <w:name w:val="toc 7"/>
    <w:basedOn w:val="1"/>
    <w:next w:val="1"/>
    <w:qFormat/>
    <w:uiPriority w:val="0"/>
    <w:pPr>
      <w:ind w:left="1260"/>
      <w:jc w:val="left"/>
    </w:pPr>
    <w:rPr>
      <w:rFonts w:ascii="Times New Roman" w:hAnsi="Times New Roman" w:eastAsia="宋体" w:cs="Times New Roman"/>
      <w:sz w:val="18"/>
      <w:szCs w:val="18"/>
    </w:rPr>
  </w:style>
  <w:style w:type="paragraph" w:styleId="13">
    <w:name w:val="List Number 2"/>
    <w:basedOn w:val="1"/>
    <w:semiHidden/>
    <w:qFormat/>
    <w:uiPriority w:val="99"/>
    <w:pPr>
      <w:tabs>
        <w:tab w:val="left" w:pos="780"/>
      </w:tabs>
      <w:spacing w:after="200" w:line="276" w:lineRule="auto"/>
      <w:ind w:left="780" w:leftChars="200" w:hanging="360" w:hangingChars="200"/>
      <w:jc w:val="left"/>
    </w:pPr>
    <w:rPr>
      <w:rFonts w:ascii="Calibri" w:hAnsi="Calibri" w:eastAsia="宋体" w:cs="Calibri"/>
      <w:kern w:val="0"/>
      <w:sz w:val="22"/>
      <w:lang w:eastAsia="en-US"/>
    </w:rPr>
  </w:style>
  <w:style w:type="paragraph" w:styleId="14">
    <w:name w:val="table of authorities"/>
    <w:basedOn w:val="1"/>
    <w:next w:val="1"/>
    <w:semiHidden/>
    <w:qFormat/>
    <w:uiPriority w:val="99"/>
    <w:pPr>
      <w:spacing w:after="200" w:line="276" w:lineRule="auto"/>
      <w:ind w:left="420" w:leftChars="200"/>
      <w:jc w:val="left"/>
    </w:pPr>
    <w:rPr>
      <w:rFonts w:ascii="Calibri" w:hAnsi="Calibri" w:eastAsia="宋体" w:cs="Calibri"/>
      <w:kern w:val="0"/>
      <w:sz w:val="22"/>
      <w:lang w:eastAsia="en-US"/>
    </w:rPr>
  </w:style>
  <w:style w:type="paragraph" w:styleId="15">
    <w:name w:val="Note Heading"/>
    <w:basedOn w:val="1"/>
    <w:next w:val="1"/>
    <w:link w:val="161"/>
    <w:semiHidden/>
    <w:qFormat/>
    <w:uiPriority w:val="99"/>
    <w:pPr>
      <w:spacing w:after="200" w:line="276" w:lineRule="auto"/>
      <w:jc w:val="center"/>
    </w:pPr>
    <w:rPr>
      <w:rFonts w:ascii="Times New Roman" w:hAnsi="Times New Roman" w:eastAsia="宋体" w:cs="Times New Roman"/>
      <w:kern w:val="0"/>
      <w:szCs w:val="21"/>
    </w:rPr>
  </w:style>
  <w:style w:type="paragraph" w:styleId="16">
    <w:name w:val="List Bullet 4"/>
    <w:basedOn w:val="1"/>
    <w:semiHidden/>
    <w:qFormat/>
    <w:uiPriority w:val="99"/>
    <w:pPr>
      <w:tabs>
        <w:tab w:val="left" w:pos="360"/>
      </w:tabs>
      <w:spacing w:after="200" w:line="276" w:lineRule="auto"/>
      <w:ind w:left="360" w:hanging="360"/>
      <w:jc w:val="left"/>
    </w:pPr>
    <w:rPr>
      <w:rFonts w:ascii="Calibri" w:hAnsi="Calibri" w:eastAsia="宋体" w:cs="Calibri"/>
      <w:kern w:val="0"/>
      <w:sz w:val="22"/>
      <w:lang w:eastAsia="en-US"/>
    </w:rPr>
  </w:style>
  <w:style w:type="paragraph" w:styleId="17">
    <w:name w:val="E-mail Signature"/>
    <w:basedOn w:val="1"/>
    <w:link w:val="162"/>
    <w:semiHidden/>
    <w:qFormat/>
    <w:uiPriority w:val="99"/>
    <w:pPr>
      <w:spacing w:after="200" w:line="276" w:lineRule="auto"/>
      <w:jc w:val="left"/>
    </w:pPr>
    <w:rPr>
      <w:rFonts w:ascii="Times New Roman" w:hAnsi="Times New Roman" w:eastAsia="宋体" w:cs="Times New Roman"/>
      <w:kern w:val="0"/>
      <w:szCs w:val="21"/>
    </w:rPr>
  </w:style>
  <w:style w:type="paragraph" w:styleId="18">
    <w:name w:val="List Number"/>
    <w:basedOn w:val="1"/>
    <w:semiHidden/>
    <w:qFormat/>
    <w:uiPriority w:val="99"/>
    <w:pPr>
      <w:tabs>
        <w:tab w:val="left" w:pos="360"/>
      </w:tabs>
      <w:spacing w:after="200" w:line="276" w:lineRule="auto"/>
      <w:ind w:left="360" w:hanging="360" w:hangingChars="200"/>
      <w:jc w:val="left"/>
    </w:pPr>
    <w:rPr>
      <w:rFonts w:ascii="Calibri" w:hAnsi="Calibri" w:eastAsia="宋体" w:cs="Calibri"/>
      <w:kern w:val="0"/>
      <w:sz w:val="22"/>
      <w:lang w:eastAsia="en-US"/>
    </w:rPr>
  </w:style>
  <w:style w:type="paragraph" w:styleId="19">
    <w:name w:val="Normal Indent"/>
    <w:basedOn w:val="1"/>
    <w:link w:val="307"/>
    <w:qFormat/>
    <w:uiPriority w:val="99"/>
    <w:pPr>
      <w:ind w:firstLine="420" w:firstLineChars="200"/>
    </w:pPr>
    <w:rPr>
      <w:rFonts w:ascii="Times New Roman" w:hAnsi="Times New Roman" w:eastAsia="宋体" w:cs="Times New Roman"/>
      <w:kern w:val="0"/>
      <w:szCs w:val="21"/>
    </w:rPr>
  </w:style>
  <w:style w:type="paragraph" w:styleId="20">
    <w:name w:val="caption"/>
    <w:basedOn w:val="1"/>
    <w:next w:val="1"/>
    <w:qFormat/>
    <w:uiPriority w:val="0"/>
    <w:pPr>
      <w:spacing w:before="152" w:after="160"/>
    </w:pPr>
    <w:rPr>
      <w:rFonts w:ascii="Arial" w:hAnsi="Arial" w:eastAsia="黑体" w:cs="Arial"/>
      <w:sz w:val="20"/>
      <w:szCs w:val="20"/>
    </w:rPr>
  </w:style>
  <w:style w:type="paragraph" w:styleId="21">
    <w:name w:val="List Bullet"/>
    <w:basedOn w:val="1"/>
    <w:semiHidden/>
    <w:qFormat/>
    <w:uiPriority w:val="99"/>
    <w:pPr>
      <w:tabs>
        <w:tab w:val="left" w:pos="360"/>
      </w:tabs>
      <w:spacing w:after="200" w:line="276" w:lineRule="auto"/>
      <w:ind w:left="360" w:hanging="360"/>
      <w:jc w:val="left"/>
    </w:pPr>
    <w:rPr>
      <w:rFonts w:ascii="Calibri" w:hAnsi="Calibri" w:eastAsia="宋体" w:cs="Calibri"/>
      <w:kern w:val="0"/>
      <w:sz w:val="22"/>
      <w:lang w:eastAsia="en-US"/>
    </w:rPr>
  </w:style>
  <w:style w:type="paragraph" w:styleId="22">
    <w:name w:val="envelope address"/>
    <w:basedOn w:val="1"/>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eastAsia="宋体" w:cs="Arial"/>
      <w:kern w:val="0"/>
      <w:sz w:val="24"/>
      <w:szCs w:val="24"/>
      <w:lang w:eastAsia="en-US"/>
    </w:rPr>
  </w:style>
  <w:style w:type="paragraph" w:styleId="23">
    <w:name w:val="Document Map"/>
    <w:basedOn w:val="1"/>
    <w:link w:val="153"/>
    <w:unhideWhenUsed/>
    <w:qFormat/>
    <w:uiPriority w:val="0"/>
    <w:rPr>
      <w:rFonts w:ascii="宋体" w:eastAsia="宋体"/>
      <w:sz w:val="18"/>
      <w:szCs w:val="18"/>
    </w:rPr>
  </w:style>
  <w:style w:type="paragraph" w:styleId="24">
    <w:name w:val="toa heading"/>
    <w:basedOn w:val="1"/>
    <w:next w:val="1"/>
    <w:qFormat/>
    <w:uiPriority w:val="0"/>
    <w:pPr>
      <w:spacing w:before="120"/>
    </w:pPr>
    <w:rPr>
      <w:rFonts w:ascii="Arial" w:hAnsi="Arial" w:eastAsia="宋体" w:cs="Arial"/>
      <w:sz w:val="24"/>
      <w:szCs w:val="24"/>
    </w:rPr>
  </w:style>
  <w:style w:type="paragraph" w:styleId="25">
    <w:name w:val="annotation text"/>
    <w:basedOn w:val="1"/>
    <w:link w:val="163"/>
    <w:qFormat/>
    <w:uiPriority w:val="99"/>
    <w:pPr>
      <w:spacing w:after="200" w:line="276" w:lineRule="auto"/>
      <w:jc w:val="left"/>
    </w:pPr>
    <w:rPr>
      <w:rFonts w:ascii="Times New Roman" w:hAnsi="Times New Roman" w:eastAsia="宋体" w:cs="Times New Roman"/>
      <w:kern w:val="0"/>
      <w:szCs w:val="21"/>
    </w:rPr>
  </w:style>
  <w:style w:type="paragraph" w:styleId="26">
    <w:name w:val="Salutation"/>
    <w:basedOn w:val="1"/>
    <w:next w:val="1"/>
    <w:link w:val="164"/>
    <w:qFormat/>
    <w:uiPriority w:val="99"/>
    <w:pPr>
      <w:spacing w:after="200" w:line="276" w:lineRule="auto"/>
      <w:jc w:val="left"/>
    </w:pPr>
    <w:rPr>
      <w:rFonts w:ascii="Times New Roman" w:hAnsi="Times New Roman" w:eastAsia="宋体" w:cs="Times New Roman"/>
      <w:kern w:val="0"/>
      <w:szCs w:val="21"/>
    </w:rPr>
  </w:style>
  <w:style w:type="paragraph" w:styleId="27">
    <w:name w:val="Body Text 3"/>
    <w:basedOn w:val="1"/>
    <w:link w:val="165"/>
    <w:qFormat/>
    <w:uiPriority w:val="99"/>
    <w:rPr>
      <w:rFonts w:ascii="Times New Roman" w:hAnsi="Times New Roman" w:eastAsia="宋体" w:cs="Times New Roman"/>
      <w:kern w:val="0"/>
      <w:sz w:val="16"/>
      <w:szCs w:val="16"/>
    </w:rPr>
  </w:style>
  <w:style w:type="paragraph" w:styleId="28">
    <w:name w:val="Closing"/>
    <w:basedOn w:val="1"/>
    <w:link w:val="166"/>
    <w:semiHidden/>
    <w:qFormat/>
    <w:uiPriority w:val="99"/>
    <w:pPr>
      <w:spacing w:after="200" w:line="276" w:lineRule="auto"/>
      <w:ind w:left="100" w:leftChars="2100"/>
      <w:jc w:val="left"/>
    </w:pPr>
    <w:rPr>
      <w:rFonts w:ascii="Times New Roman" w:hAnsi="Times New Roman" w:eastAsia="宋体" w:cs="Times New Roman"/>
      <w:kern w:val="0"/>
      <w:szCs w:val="21"/>
    </w:rPr>
  </w:style>
  <w:style w:type="paragraph" w:styleId="29">
    <w:name w:val="List Bullet 3"/>
    <w:basedOn w:val="1"/>
    <w:semiHidden/>
    <w:qFormat/>
    <w:uiPriority w:val="99"/>
    <w:pPr>
      <w:tabs>
        <w:tab w:val="left" w:pos="360"/>
      </w:tabs>
      <w:spacing w:after="200" w:line="276" w:lineRule="auto"/>
      <w:ind w:left="360" w:hanging="360"/>
      <w:jc w:val="left"/>
    </w:pPr>
    <w:rPr>
      <w:rFonts w:ascii="Calibri" w:hAnsi="Calibri" w:eastAsia="宋体" w:cs="Calibri"/>
      <w:kern w:val="0"/>
      <w:sz w:val="22"/>
      <w:lang w:eastAsia="en-US"/>
    </w:rPr>
  </w:style>
  <w:style w:type="paragraph" w:styleId="30">
    <w:name w:val="Body Text"/>
    <w:basedOn w:val="1"/>
    <w:link w:val="146"/>
    <w:qFormat/>
    <w:uiPriority w:val="99"/>
    <w:pPr>
      <w:spacing w:after="120"/>
    </w:pPr>
    <w:rPr>
      <w:rFonts w:ascii="Times New Roman" w:hAnsi="Times New Roman" w:eastAsia="宋体" w:cs="Times New Roman"/>
      <w:kern w:val="0"/>
      <w:szCs w:val="21"/>
    </w:rPr>
  </w:style>
  <w:style w:type="paragraph" w:styleId="31">
    <w:name w:val="Body Text Indent"/>
    <w:basedOn w:val="1"/>
    <w:link w:val="167"/>
    <w:qFormat/>
    <w:uiPriority w:val="0"/>
    <w:pPr>
      <w:spacing w:line="500" w:lineRule="exact"/>
      <w:ind w:left="1588" w:leftChars="832" w:firstLine="433" w:firstLineChars="196"/>
    </w:pPr>
    <w:rPr>
      <w:rFonts w:ascii="Times New Roman" w:hAnsi="Times New Roman" w:eastAsia="宋体" w:cs="Times New Roman"/>
      <w:kern w:val="0"/>
      <w:szCs w:val="21"/>
    </w:rPr>
  </w:style>
  <w:style w:type="paragraph" w:styleId="32">
    <w:name w:val="List Number 3"/>
    <w:basedOn w:val="1"/>
    <w:semiHidden/>
    <w:qFormat/>
    <w:uiPriority w:val="99"/>
    <w:pPr>
      <w:tabs>
        <w:tab w:val="left" w:pos="360"/>
      </w:tabs>
      <w:spacing w:after="200" w:line="276" w:lineRule="auto"/>
      <w:ind w:left="360" w:hanging="360"/>
      <w:jc w:val="left"/>
    </w:pPr>
    <w:rPr>
      <w:rFonts w:ascii="Calibri" w:hAnsi="Calibri" w:eastAsia="宋体" w:cs="Calibri"/>
      <w:kern w:val="0"/>
      <w:sz w:val="22"/>
      <w:lang w:eastAsia="en-US"/>
    </w:rPr>
  </w:style>
  <w:style w:type="paragraph" w:styleId="33">
    <w:name w:val="List 2"/>
    <w:basedOn w:val="1"/>
    <w:qFormat/>
    <w:uiPriority w:val="99"/>
    <w:pPr>
      <w:ind w:left="100" w:leftChars="200" w:hanging="200" w:hangingChars="200"/>
    </w:pPr>
    <w:rPr>
      <w:rFonts w:ascii="Times New Roman" w:hAnsi="Times New Roman" w:eastAsia="宋体" w:cs="Times New Roman"/>
      <w:szCs w:val="21"/>
    </w:rPr>
  </w:style>
  <w:style w:type="paragraph" w:styleId="34">
    <w:name w:val="List Continue"/>
    <w:basedOn w:val="1"/>
    <w:qFormat/>
    <w:uiPriority w:val="99"/>
    <w:pPr>
      <w:spacing w:after="120"/>
      <w:ind w:left="420" w:leftChars="200"/>
    </w:pPr>
    <w:rPr>
      <w:rFonts w:ascii="Times New Roman" w:hAnsi="Times New Roman" w:eastAsia="宋体" w:cs="Times New Roman"/>
      <w:szCs w:val="21"/>
    </w:rPr>
  </w:style>
  <w:style w:type="paragraph" w:styleId="35">
    <w:name w:val="Block Text"/>
    <w:basedOn w:val="1"/>
    <w:semiHidden/>
    <w:qFormat/>
    <w:uiPriority w:val="99"/>
    <w:pPr>
      <w:spacing w:after="120" w:line="276" w:lineRule="auto"/>
      <w:ind w:left="1440" w:leftChars="700" w:right="1440" w:rightChars="700"/>
      <w:jc w:val="left"/>
    </w:pPr>
    <w:rPr>
      <w:rFonts w:ascii="Calibri" w:hAnsi="Calibri" w:eastAsia="宋体" w:cs="Calibri"/>
      <w:kern w:val="0"/>
      <w:sz w:val="22"/>
      <w:lang w:eastAsia="en-US"/>
    </w:rPr>
  </w:style>
  <w:style w:type="paragraph" w:styleId="36">
    <w:name w:val="List Bullet 2"/>
    <w:basedOn w:val="1"/>
    <w:qFormat/>
    <w:uiPriority w:val="0"/>
    <w:pPr>
      <w:tabs>
        <w:tab w:val="left" w:pos="360"/>
      </w:tabs>
      <w:spacing w:after="200" w:line="276" w:lineRule="auto"/>
      <w:ind w:left="360" w:hanging="360"/>
      <w:jc w:val="left"/>
    </w:pPr>
    <w:rPr>
      <w:rFonts w:ascii="Calibri" w:hAnsi="Calibri" w:eastAsia="宋体" w:cs="Calibri"/>
      <w:kern w:val="0"/>
      <w:sz w:val="22"/>
      <w:lang w:eastAsia="en-US"/>
    </w:rPr>
  </w:style>
  <w:style w:type="paragraph" w:styleId="37">
    <w:name w:val="HTML Address"/>
    <w:basedOn w:val="1"/>
    <w:link w:val="168"/>
    <w:semiHidden/>
    <w:qFormat/>
    <w:uiPriority w:val="99"/>
    <w:pPr>
      <w:spacing w:after="200" w:line="276" w:lineRule="auto"/>
      <w:jc w:val="left"/>
    </w:pPr>
    <w:rPr>
      <w:rFonts w:ascii="Times New Roman" w:hAnsi="Times New Roman" w:eastAsia="宋体" w:cs="Times New Roman"/>
      <w:i/>
      <w:iCs/>
      <w:kern w:val="0"/>
      <w:szCs w:val="21"/>
    </w:rPr>
  </w:style>
  <w:style w:type="paragraph" w:styleId="38">
    <w:name w:val="toc 5"/>
    <w:basedOn w:val="1"/>
    <w:next w:val="1"/>
    <w:qFormat/>
    <w:uiPriority w:val="0"/>
    <w:pPr>
      <w:ind w:left="840"/>
      <w:jc w:val="left"/>
    </w:pPr>
    <w:rPr>
      <w:rFonts w:ascii="Times New Roman" w:hAnsi="Times New Roman" w:eastAsia="宋体" w:cs="Times New Roman"/>
      <w:sz w:val="18"/>
      <w:szCs w:val="18"/>
    </w:rPr>
  </w:style>
  <w:style w:type="paragraph" w:styleId="39">
    <w:name w:val="toc 3"/>
    <w:basedOn w:val="1"/>
    <w:next w:val="1"/>
    <w:qFormat/>
    <w:uiPriority w:val="39"/>
    <w:pPr>
      <w:spacing w:line="360" w:lineRule="auto"/>
      <w:ind w:left="420"/>
      <w:jc w:val="left"/>
    </w:pPr>
    <w:rPr>
      <w:rFonts w:ascii="Times New Roman" w:hAnsi="Times New Roman" w:eastAsia="宋体" w:cs="Times New Roman"/>
      <w:iCs/>
      <w:sz w:val="24"/>
      <w:szCs w:val="20"/>
    </w:rPr>
  </w:style>
  <w:style w:type="paragraph" w:styleId="40">
    <w:name w:val="Plain Text"/>
    <w:basedOn w:val="1"/>
    <w:link w:val="169"/>
    <w:qFormat/>
    <w:uiPriority w:val="0"/>
    <w:rPr>
      <w:rFonts w:ascii="宋体" w:hAnsi="Courier New" w:eastAsia="宋体" w:cs="Times New Roman"/>
      <w:kern w:val="0"/>
      <w:szCs w:val="21"/>
    </w:rPr>
  </w:style>
  <w:style w:type="paragraph" w:styleId="41">
    <w:name w:val="List Bullet 5"/>
    <w:basedOn w:val="1"/>
    <w:semiHidden/>
    <w:qFormat/>
    <w:uiPriority w:val="99"/>
    <w:pPr>
      <w:tabs>
        <w:tab w:val="left" w:pos="360"/>
      </w:tabs>
      <w:spacing w:after="200" w:line="276" w:lineRule="auto"/>
      <w:ind w:left="360" w:hanging="360"/>
      <w:jc w:val="left"/>
    </w:pPr>
    <w:rPr>
      <w:rFonts w:ascii="Calibri" w:hAnsi="Calibri" w:eastAsia="宋体" w:cs="Calibri"/>
      <w:kern w:val="0"/>
      <w:sz w:val="22"/>
      <w:lang w:eastAsia="en-US"/>
    </w:rPr>
  </w:style>
  <w:style w:type="paragraph" w:styleId="42">
    <w:name w:val="List Number 4"/>
    <w:basedOn w:val="1"/>
    <w:semiHidden/>
    <w:qFormat/>
    <w:uiPriority w:val="99"/>
    <w:pPr>
      <w:numPr>
        <w:ilvl w:val="0"/>
        <w:numId w:val="1"/>
      </w:numPr>
      <w:tabs>
        <w:tab w:val="left" w:pos="420"/>
        <w:tab w:val="clear" w:pos="360"/>
      </w:tabs>
      <w:spacing w:after="200" w:line="276" w:lineRule="auto"/>
      <w:ind w:left="420" w:hanging="420"/>
      <w:jc w:val="left"/>
    </w:pPr>
    <w:rPr>
      <w:rFonts w:ascii="Calibri" w:hAnsi="Calibri" w:eastAsia="宋体" w:cs="Calibri"/>
      <w:kern w:val="0"/>
      <w:sz w:val="22"/>
      <w:lang w:eastAsia="en-US"/>
    </w:rPr>
  </w:style>
  <w:style w:type="paragraph" w:styleId="43">
    <w:name w:val="toc 8"/>
    <w:basedOn w:val="1"/>
    <w:next w:val="1"/>
    <w:qFormat/>
    <w:uiPriority w:val="0"/>
    <w:pPr>
      <w:ind w:left="1470"/>
      <w:jc w:val="left"/>
    </w:pPr>
    <w:rPr>
      <w:rFonts w:ascii="Times New Roman" w:hAnsi="Times New Roman" w:eastAsia="宋体" w:cs="Times New Roman"/>
      <w:sz w:val="18"/>
      <w:szCs w:val="18"/>
    </w:rPr>
  </w:style>
  <w:style w:type="paragraph" w:styleId="44">
    <w:name w:val="Date"/>
    <w:basedOn w:val="1"/>
    <w:next w:val="1"/>
    <w:link w:val="170"/>
    <w:qFormat/>
    <w:uiPriority w:val="0"/>
    <w:pPr>
      <w:ind w:left="100" w:leftChars="2500"/>
    </w:pPr>
    <w:rPr>
      <w:rFonts w:ascii="Times New Roman" w:hAnsi="Times New Roman" w:eastAsia="宋体" w:cs="Times New Roman"/>
      <w:kern w:val="0"/>
      <w:szCs w:val="21"/>
    </w:rPr>
  </w:style>
  <w:style w:type="paragraph" w:styleId="45">
    <w:name w:val="Body Text Indent 2"/>
    <w:basedOn w:val="1"/>
    <w:link w:val="324"/>
    <w:qFormat/>
    <w:uiPriority w:val="0"/>
    <w:pPr>
      <w:widowControl/>
      <w:spacing w:after="120" w:line="480" w:lineRule="auto"/>
      <w:ind w:left="420" w:leftChars="200"/>
      <w:jc w:val="left"/>
    </w:pPr>
    <w:rPr>
      <w:kern w:val="0"/>
      <w:sz w:val="22"/>
      <w:lang w:eastAsia="en-US"/>
    </w:rPr>
  </w:style>
  <w:style w:type="paragraph" w:styleId="46">
    <w:name w:val="List Continue 5"/>
    <w:basedOn w:val="1"/>
    <w:semiHidden/>
    <w:qFormat/>
    <w:uiPriority w:val="99"/>
    <w:pPr>
      <w:spacing w:after="120" w:line="276" w:lineRule="auto"/>
      <w:ind w:left="2100" w:leftChars="1000"/>
      <w:jc w:val="left"/>
    </w:pPr>
    <w:rPr>
      <w:rFonts w:ascii="Calibri" w:hAnsi="Calibri" w:eastAsia="宋体" w:cs="Calibri"/>
      <w:kern w:val="0"/>
      <w:sz w:val="22"/>
      <w:lang w:eastAsia="en-US"/>
    </w:rPr>
  </w:style>
  <w:style w:type="paragraph" w:styleId="47">
    <w:name w:val="Balloon Text"/>
    <w:basedOn w:val="1"/>
    <w:link w:val="171"/>
    <w:qFormat/>
    <w:uiPriority w:val="99"/>
    <w:rPr>
      <w:rFonts w:ascii="Times New Roman" w:hAnsi="Times New Roman" w:eastAsia="宋体" w:cs="Times New Roman"/>
      <w:sz w:val="18"/>
      <w:szCs w:val="18"/>
    </w:rPr>
  </w:style>
  <w:style w:type="paragraph" w:styleId="48">
    <w:name w:val="footer"/>
    <w:basedOn w:val="1"/>
    <w:link w:val="139"/>
    <w:unhideWhenUsed/>
    <w:qFormat/>
    <w:uiPriority w:val="99"/>
    <w:pPr>
      <w:tabs>
        <w:tab w:val="center" w:pos="4153"/>
        <w:tab w:val="right" w:pos="8306"/>
      </w:tabs>
      <w:snapToGrid w:val="0"/>
      <w:jc w:val="left"/>
    </w:pPr>
    <w:rPr>
      <w:sz w:val="18"/>
      <w:szCs w:val="18"/>
    </w:rPr>
  </w:style>
  <w:style w:type="paragraph" w:styleId="49">
    <w:name w:val="envelope return"/>
    <w:basedOn w:val="1"/>
    <w:semiHidden/>
    <w:qFormat/>
    <w:uiPriority w:val="99"/>
    <w:pPr>
      <w:snapToGrid w:val="0"/>
      <w:spacing w:after="200" w:line="276" w:lineRule="auto"/>
      <w:jc w:val="left"/>
    </w:pPr>
    <w:rPr>
      <w:rFonts w:ascii="Arial" w:hAnsi="Arial" w:eastAsia="宋体" w:cs="Arial"/>
      <w:kern w:val="0"/>
      <w:sz w:val="22"/>
      <w:lang w:eastAsia="en-US"/>
    </w:rPr>
  </w:style>
  <w:style w:type="paragraph" w:styleId="50">
    <w:name w:val="header"/>
    <w:basedOn w:val="1"/>
    <w:link w:val="138"/>
    <w:unhideWhenUsed/>
    <w:qFormat/>
    <w:uiPriority w:val="0"/>
    <w:pPr>
      <w:pBdr>
        <w:bottom w:val="single" w:color="auto" w:sz="6" w:space="1"/>
      </w:pBdr>
      <w:tabs>
        <w:tab w:val="center" w:pos="4153"/>
        <w:tab w:val="right" w:pos="8306"/>
      </w:tabs>
      <w:snapToGrid w:val="0"/>
      <w:jc w:val="center"/>
    </w:pPr>
    <w:rPr>
      <w:sz w:val="18"/>
      <w:szCs w:val="18"/>
    </w:rPr>
  </w:style>
  <w:style w:type="paragraph" w:styleId="51">
    <w:name w:val="Signature"/>
    <w:basedOn w:val="1"/>
    <w:link w:val="172"/>
    <w:qFormat/>
    <w:uiPriority w:val="99"/>
    <w:pPr>
      <w:ind w:left="100" w:leftChars="2100"/>
    </w:pPr>
    <w:rPr>
      <w:rFonts w:ascii="Times New Roman" w:hAnsi="Times New Roman" w:eastAsia="宋体" w:cs="Times New Roman"/>
      <w:kern w:val="0"/>
      <w:szCs w:val="21"/>
    </w:rPr>
  </w:style>
  <w:style w:type="paragraph" w:styleId="52">
    <w:name w:val="toc 1"/>
    <w:basedOn w:val="1"/>
    <w:next w:val="1"/>
    <w:qFormat/>
    <w:uiPriority w:val="39"/>
    <w:pPr>
      <w:spacing w:before="120" w:after="120"/>
      <w:jc w:val="left"/>
    </w:pPr>
    <w:rPr>
      <w:rFonts w:ascii="Times New Roman" w:hAnsi="Times New Roman" w:eastAsia="宋体" w:cs="Times New Roman"/>
      <w:b/>
      <w:bCs/>
      <w:caps/>
      <w:sz w:val="24"/>
      <w:szCs w:val="20"/>
    </w:rPr>
  </w:style>
  <w:style w:type="paragraph" w:styleId="53">
    <w:name w:val="List Continue 4"/>
    <w:basedOn w:val="1"/>
    <w:qFormat/>
    <w:uiPriority w:val="99"/>
    <w:pPr>
      <w:spacing w:after="120"/>
      <w:ind w:left="1680" w:leftChars="800"/>
    </w:pPr>
    <w:rPr>
      <w:rFonts w:ascii="Times New Roman" w:hAnsi="Times New Roman" w:eastAsia="宋体" w:cs="Times New Roman"/>
      <w:szCs w:val="21"/>
    </w:rPr>
  </w:style>
  <w:style w:type="paragraph" w:styleId="54">
    <w:name w:val="toc 4"/>
    <w:basedOn w:val="1"/>
    <w:next w:val="1"/>
    <w:qFormat/>
    <w:uiPriority w:val="0"/>
    <w:pPr>
      <w:ind w:left="630"/>
      <w:jc w:val="left"/>
    </w:pPr>
    <w:rPr>
      <w:rFonts w:ascii="Times New Roman" w:hAnsi="Times New Roman" w:eastAsia="宋体" w:cs="Times New Roman"/>
      <w:sz w:val="18"/>
      <w:szCs w:val="18"/>
    </w:rPr>
  </w:style>
  <w:style w:type="paragraph" w:styleId="55">
    <w:name w:val="Subtitle"/>
    <w:basedOn w:val="1"/>
    <w:link w:val="173"/>
    <w:qFormat/>
    <w:uiPriority w:val="99"/>
    <w:pPr>
      <w:spacing w:before="240" w:after="60" w:line="312" w:lineRule="auto"/>
      <w:jc w:val="center"/>
      <w:outlineLvl w:val="1"/>
    </w:pPr>
    <w:rPr>
      <w:rFonts w:ascii="Cambria" w:hAnsi="Cambria" w:eastAsia="宋体" w:cs="Times New Roman"/>
      <w:b/>
      <w:bCs/>
      <w:kern w:val="28"/>
      <w:sz w:val="32"/>
      <w:szCs w:val="32"/>
    </w:rPr>
  </w:style>
  <w:style w:type="paragraph" w:styleId="56">
    <w:name w:val="List Number 5"/>
    <w:basedOn w:val="1"/>
    <w:semiHidden/>
    <w:qFormat/>
    <w:uiPriority w:val="99"/>
    <w:pPr>
      <w:tabs>
        <w:tab w:val="left" w:pos="360"/>
      </w:tabs>
      <w:spacing w:after="200" w:line="276" w:lineRule="auto"/>
      <w:ind w:left="360" w:hanging="360"/>
      <w:jc w:val="left"/>
    </w:pPr>
    <w:rPr>
      <w:rFonts w:ascii="Calibri" w:hAnsi="Calibri" w:eastAsia="宋体" w:cs="Calibri"/>
      <w:kern w:val="0"/>
      <w:sz w:val="22"/>
      <w:lang w:eastAsia="en-US"/>
    </w:rPr>
  </w:style>
  <w:style w:type="paragraph" w:styleId="57">
    <w:name w:val="List"/>
    <w:basedOn w:val="1"/>
    <w:qFormat/>
    <w:uiPriority w:val="0"/>
    <w:pPr>
      <w:ind w:left="200" w:hanging="200" w:hangingChars="200"/>
    </w:pPr>
    <w:rPr>
      <w:rFonts w:ascii="Times New Roman" w:hAnsi="Times New Roman" w:eastAsia="宋体" w:cs="Times New Roman"/>
      <w:szCs w:val="21"/>
    </w:rPr>
  </w:style>
  <w:style w:type="paragraph" w:styleId="58">
    <w:name w:val="footnote text"/>
    <w:basedOn w:val="1"/>
    <w:link w:val="174"/>
    <w:semiHidden/>
    <w:qFormat/>
    <w:uiPriority w:val="0"/>
    <w:pPr>
      <w:snapToGrid w:val="0"/>
      <w:jc w:val="left"/>
    </w:pPr>
    <w:rPr>
      <w:rFonts w:ascii="Times New Roman" w:hAnsi="Times New Roman" w:eastAsia="宋体" w:cs="Times New Roman"/>
      <w:sz w:val="18"/>
      <w:szCs w:val="18"/>
    </w:rPr>
  </w:style>
  <w:style w:type="paragraph" w:styleId="59">
    <w:name w:val="toc 6"/>
    <w:basedOn w:val="1"/>
    <w:next w:val="1"/>
    <w:qFormat/>
    <w:uiPriority w:val="0"/>
    <w:pPr>
      <w:ind w:left="1050"/>
      <w:jc w:val="left"/>
    </w:pPr>
    <w:rPr>
      <w:rFonts w:ascii="Times New Roman" w:hAnsi="Times New Roman" w:eastAsia="宋体" w:cs="Times New Roman"/>
      <w:sz w:val="18"/>
      <w:szCs w:val="18"/>
    </w:rPr>
  </w:style>
  <w:style w:type="paragraph" w:styleId="60">
    <w:name w:val="List 5"/>
    <w:basedOn w:val="1"/>
    <w:qFormat/>
    <w:uiPriority w:val="99"/>
    <w:pPr>
      <w:ind w:left="100" w:leftChars="800" w:hanging="200" w:hangingChars="200"/>
    </w:pPr>
    <w:rPr>
      <w:rFonts w:ascii="Times New Roman" w:hAnsi="Times New Roman" w:eastAsia="宋体" w:cs="Times New Roman"/>
      <w:szCs w:val="21"/>
    </w:rPr>
  </w:style>
  <w:style w:type="paragraph" w:styleId="61">
    <w:name w:val="Body Text Indent 3"/>
    <w:basedOn w:val="1"/>
    <w:link w:val="175"/>
    <w:qFormat/>
    <w:uiPriority w:val="0"/>
    <w:pPr>
      <w:tabs>
        <w:tab w:val="left" w:pos="1134"/>
        <w:tab w:val="left" w:pos="5481"/>
        <w:tab w:val="left" w:pos="5859"/>
      </w:tabs>
      <w:spacing w:line="500" w:lineRule="exact"/>
      <w:ind w:firstLine="8275" w:firstLineChars="1200"/>
    </w:pPr>
    <w:rPr>
      <w:rFonts w:ascii="Times New Roman" w:hAnsi="Times New Roman" w:eastAsia="宋体" w:cs="Times New Roman"/>
      <w:kern w:val="0"/>
      <w:sz w:val="16"/>
      <w:szCs w:val="16"/>
    </w:rPr>
  </w:style>
  <w:style w:type="paragraph" w:styleId="62">
    <w:name w:val="toc 2"/>
    <w:basedOn w:val="1"/>
    <w:next w:val="1"/>
    <w:qFormat/>
    <w:uiPriority w:val="39"/>
    <w:pPr>
      <w:spacing w:line="360" w:lineRule="auto"/>
      <w:ind w:left="210"/>
      <w:jc w:val="left"/>
    </w:pPr>
    <w:rPr>
      <w:rFonts w:ascii="Times New Roman" w:hAnsi="Times New Roman" w:eastAsia="宋体" w:cs="Times New Roman"/>
      <w:smallCaps/>
      <w:sz w:val="24"/>
      <w:szCs w:val="20"/>
    </w:rPr>
  </w:style>
  <w:style w:type="paragraph" w:styleId="63">
    <w:name w:val="toc 9"/>
    <w:basedOn w:val="1"/>
    <w:next w:val="1"/>
    <w:qFormat/>
    <w:uiPriority w:val="0"/>
    <w:pPr>
      <w:ind w:left="1680"/>
      <w:jc w:val="left"/>
    </w:pPr>
    <w:rPr>
      <w:rFonts w:ascii="Times New Roman" w:hAnsi="Times New Roman" w:eastAsia="宋体" w:cs="Times New Roman"/>
      <w:sz w:val="18"/>
      <w:szCs w:val="18"/>
    </w:rPr>
  </w:style>
  <w:style w:type="paragraph" w:styleId="64">
    <w:name w:val="Body Text 2"/>
    <w:basedOn w:val="1"/>
    <w:link w:val="176"/>
    <w:qFormat/>
    <w:uiPriority w:val="99"/>
    <w:rPr>
      <w:rFonts w:ascii="Times New Roman" w:hAnsi="Times New Roman" w:eastAsia="宋体" w:cs="Times New Roman"/>
      <w:kern w:val="0"/>
      <w:szCs w:val="21"/>
    </w:rPr>
  </w:style>
  <w:style w:type="paragraph" w:styleId="65">
    <w:name w:val="List 4"/>
    <w:basedOn w:val="1"/>
    <w:qFormat/>
    <w:uiPriority w:val="99"/>
    <w:pPr>
      <w:ind w:left="100" w:leftChars="600" w:hanging="200" w:hangingChars="200"/>
    </w:pPr>
    <w:rPr>
      <w:rFonts w:ascii="Times New Roman" w:hAnsi="Times New Roman" w:eastAsia="宋体" w:cs="Times New Roman"/>
      <w:szCs w:val="21"/>
    </w:rPr>
  </w:style>
  <w:style w:type="paragraph" w:styleId="66">
    <w:name w:val="List Continue 2"/>
    <w:basedOn w:val="1"/>
    <w:qFormat/>
    <w:uiPriority w:val="99"/>
    <w:pPr>
      <w:spacing w:after="120"/>
      <w:ind w:left="840" w:leftChars="400"/>
    </w:pPr>
    <w:rPr>
      <w:rFonts w:ascii="Times New Roman" w:hAnsi="Times New Roman" w:eastAsia="宋体" w:cs="Times New Roman"/>
      <w:szCs w:val="21"/>
    </w:rPr>
  </w:style>
  <w:style w:type="paragraph" w:styleId="67">
    <w:name w:val="Message Header"/>
    <w:basedOn w:val="1"/>
    <w:link w:val="177"/>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eastAsia="宋体" w:cs="Times New Roman"/>
      <w:kern w:val="0"/>
      <w:sz w:val="24"/>
      <w:szCs w:val="24"/>
    </w:rPr>
  </w:style>
  <w:style w:type="paragraph" w:styleId="68">
    <w:name w:val="HTML Preformatted"/>
    <w:basedOn w:val="1"/>
    <w:link w:val="178"/>
    <w:semiHidden/>
    <w:qFormat/>
    <w:uiPriority w:val="99"/>
    <w:pPr>
      <w:spacing w:after="200" w:line="276" w:lineRule="auto"/>
      <w:jc w:val="left"/>
    </w:pPr>
    <w:rPr>
      <w:rFonts w:ascii="Courier New" w:hAnsi="Courier New" w:eastAsia="宋体" w:cs="Times New Roman"/>
      <w:kern w:val="0"/>
      <w:sz w:val="20"/>
      <w:szCs w:val="20"/>
    </w:rPr>
  </w:style>
  <w:style w:type="paragraph" w:styleId="69">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70">
    <w:name w:val="List Continue 3"/>
    <w:basedOn w:val="1"/>
    <w:qFormat/>
    <w:uiPriority w:val="99"/>
    <w:pPr>
      <w:spacing w:after="120"/>
      <w:ind w:left="1260" w:leftChars="600"/>
    </w:pPr>
    <w:rPr>
      <w:rFonts w:ascii="Times New Roman" w:hAnsi="Times New Roman" w:eastAsia="宋体" w:cs="Times New Roman"/>
      <w:szCs w:val="21"/>
    </w:rPr>
  </w:style>
  <w:style w:type="paragraph" w:styleId="71">
    <w:name w:val="index 1"/>
    <w:basedOn w:val="1"/>
    <w:next w:val="1"/>
    <w:qFormat/>
    <w:uiPriority w:val="0"/>
    <w:rPr>
      <w:rFonts w:ascii="Times New Roman" w:hAnsi="Times New Roman" w:eastAsia="宋体" w:cs="Times New Roman"/>
      <w:sz w:val="24"/>
      <w:szCs w:val="24"/>
    </w:rPr>
  </w:style>
  <w:style w:type="paragraph" w:styleId="72">
    <w:name w:val="Title"/>
    <w:basedOn w:val="1"/>
    <w:next w:val="1"/>
    <w:link w:val="179"/>
    <w:qFormat/>
    <w:uiPriority w:val="0"/>
    <w:pPr>
      <w:spacing w:before="240" w:after="60" w:line="276" w:lineRule="auto"/>
      <w:jc w:val="center"/>
      <w:outlineLvl w:val="0"/>
    </w:pPr>
    <w:rPr>
      <w:rFonts w:ascii="Cambria" w:hAnsi="Cambria" w:eastAsia="宋体" w:cs="Times New Roman"/>
      <w:b/>
      <w:bCs/>
      <w:kern w:val="0"/>
      <w:sz w:val="32"/>
      <w:szCs w:val="32"/>
    </w:rPr>
  </w:style>
  <w:style w:type="paragraph" w:styleId="73">
    <w:name w:val="annotation subject"/>
    <w:basedOn w:val="25"/>
    <w:next w:val="25"/>
    <w:link w:val="180"/>
    <w:semiHidden/>
    <w:qFormat/>
    <w:uiPriority w:val="99"/>
    <w:pPr>
      <w:spacing w:after="0" w:line="240" w:lineRule="auto"/>
    </w:pPr>
    <w:rPr>
      <w:rFonts w:ascii="Calibri" w:hAnsi="Calibri"/>
      <w:b/>
      <w:bCs/>
      <w:lang w:eastAsia="en-US"/>
    </w:rPr>
  </w:style>
  <w:style w:type="paragraph" w:styleId="74">
    <w:name w:val="Body Text First Indent"/>
    <w:basedOn w:val="30"/>
    <w:link w:val="181"/>
    <w:qFormat/>
    <w:uiPriority w:val="99"/>
    <w:pPr>
      <w:spacing w:line="400" w:lineRule="exact"/>
      <w:ind w:firstLine="200" w:firstLineChars="200"/>
    </w:pPr>
  </w:style>
  <w:style w:type="paragraph" w:styleId="75">
    <w:name w:val="Body Text First Indent 2"/>
    <w:basedOn w:val="31"/>
    <w:link w:val="182"/>
    <w:semiHidden/>
    <w:qFormat/>
    <w:uiPriority w:val="99"/>
    <w:pPr>
      <w:spacing w:after="120" w:line="276" w:lineRule="auto"/>
      <w:ind w:left="420" w:leftChars="200" w:firstLine="420" w:firstLineChars="200"/>
      <w:jc w:val="left"/>
    </w:pPr>
  </w:style>
  <w:style w:type="table" w:styleId="77">
    <w:name w:val="Table Grid"/>
    <w:basedOn w:val="7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semiHidden/>
    <w:qFormat/>
    <w:uiPriority w:val="99"/>
    <w:pPr>
      <w:widowControl w:val="0"/>
      <w:spacing w:after="200" w:line="276" w:lineRule="auto"/>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Colorful 1"/>
    <w:basedOn w:val="76"/>
    <w:semiHidden/>
    <w:qFormat/>
    <w:uiPriority w:val="99"/>
    <w:pPr>
      <w:widowControl w:val="0"/>
      <w:spacing w:after="200" w:line="276" w:lineRule="auto"/>
    </w:pPr>
    <w:rPr>
      <w:rFonts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微软雅黑"/>
        <w:b/>
        <w:bCs/>
        <w:i/>
        <w:iCs/>
      </w:rPr>
      <w:tblPr/>
      <w:tcPr>
        <w:tcBorders>
          <w:top w:val="nil"/>
          <w:left w:val="nil"/>
          <w:bottom w:val="nil"/>
          <w:right w:val="nil"/>
          <w:insideH w:val="nil"/>
          <w:insideV w:val="nil"/>
          <w:tl2br w:val="nil"/>
          <w:tr2bl w:val="nil"/>
        </w:tcBorders>
        <w:shd w:val="solid" w:color="000000" w:fill="FFFFFF"/>
      </w:tcPr>
    </w:tblStylePr>
    <w:tblStylePr w:type="firstCol">
      <w:rPr>
        <w:rFonts w:cs="微软雅黑"/>
        <w:b/>
        <w:bCs/>
        <w:i/>
        <w:iCs/>
      </w:rPr>
      <w:tblPr/>
      <w:tcPr>
        <w:tcBorders>
          <w:top w:val="nil"/>
          <w:left w:val="nil"/>
          <w:bottom w:val="nil"/>
          <w:right w:val="nil"/>
          <w:insideH w:val="nil"/>
          <w:insideV w:val="nil"/>
          <w:tl2br w:val="nil"/>
          <w:tr2bl w:val="nil"/>
        </w:tcBorders>
        <w:shd w:val="solid" w:color="000080" w:fill="FFFFFF"/>
      </w:tcPr>
    </w:tblStylePr>
    <w:tblStylePr w:type="nwCell">
      <w:rPr>
        <w:rFonts w:cs="微软雅黑"/>
      </w:rPr>
      <w:tblPr/>
      <w:tcPr>
        <w:tcBorders>
          <w:top w:val="nil"/>
          <w:left w:val="nil"/>
          <w:bottom w:val="nil"/>
          <w:right w:val="nil"/>
          <w:insideH w:val="nil"/>
          <w:insideV w:val="nil"/>
          <w:tl2br w:val="nil"/>
          <w:tr2bl w:val="nil"/>
        </w:tcBorders>
        <w:shd w:val="solid" w:color="00000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0">
    <w:name w:val="Table Colorful 2"/>
    <w:basedOn w:val="76"/>
    <w:semiHidden/>
    <w:qFormat/>
    <w:uiPriority w:val="99"/>
    <w:pPr>
      <w:widowControl w:val="0"/>
      <w:spacing w:after="200" w:line="276" w:lineRule="auto"/>
    </w:pPr>
    <w:rPr>
      <w:rFonts w:cs="Calibri"/>
    </w:rPr>
    <w:tblPr>
      <w:tblBorders>
        <w:bottom w:val="single" w:color="000000" w:sz="12" w:space="0"/>
      </w:tblBorders>
    </w:tblPr>
    <w:tcPr>
      <w:shd w:val="pct20" w:color="FFFF00" w:fill="FFFFFF"/>
    </w:tcPr>
    <w:tblStylePr w:type="firstRow">
      <w:rPr>
        <w:rFonts w:cs="微软雅黑"/>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微软雅黑"/>
        <w:b/>
        <w:bCs/>
        <w:i/>
        <w:iCs/>
      </w:rPr>
      <w:tblPr/>
      <w:tcPr>
        <w:tcBorders>
          <w:top w:val="nil"/>
          <w:left w:val="nil"/>
          <w:bottom w:val="nil"/>
          <w:right w:val="nil"/>
          <w:insideH w:val="nil"/>
          <w:insideV w:val="nil"/>
          <w:tl2br w:val="nil"/>
          <w:tr2bl w:val="nil"/>
        </w:tcBorders>
      </w:tcPr>
    </w:tblStylePr>
    <w:tblStylePr w:type="lastCol">
      <w:rPr>
        <w:rFonts w:cs="微软雅黑"/>
      </w:rPr>
      <w:tblPr/>
      <w:tcPr>
        <w:tcBorders>
          <w:top w:val="nil"/>
          <w:left w:val="nil"/>
          <w:bottom w:val="nil"/>
          <w:right w:val="nil"/>
          <w:insideH w:val="nil"/>
          <w:insideV w:val="nil"/>
          <w:tl2br w:val="nil"/>
          <w:tr2bl w:val="nil"/>
        </w:tcBorders>
        <w:shd w:val="solid" w:color="C0C0C0" w:fill="FFFFFF"/>
      </w:tcPr>
    </w:tblStylePr>
    <w:tblStylePr w:type="swCell">
      <w:rPr>
        <w:rFonts w:cs="微软雅黑"/>
        <w:b/>
        <w:bCs/>
        <w:i w:val="0"/>
        <w:iCs w:val="0"/>
      </w:rPr>
      <w:tblPr/>
      <w:tcPr>
        <w:tcBorders>
          <w:top w:val="nil"/>
          <w:left w:val="nil"/>
          <w:bottom w:val="nil"/>
          <w:right w:val="nil"/>
          <w:insideH w:val="nil"/>
          <w:insideV w:val="nil"/>
          <w:tl2br w:val="nil"/>
          <w:tr2bl w:val="nil"/>
        </w:tcBorders>
      </w:tcPr>
    </w:tblStylePr>
  </w:style>
  <w:style w:type="table" w:styleId="81">
    <w:name w:val="Table Colorful 3"/>
    <w:basedOn w:val="76"/>
    <w:semiHidden/>
    <w:qFormat/>
    <w:uiPriority w:val="99"/>
    <w:pPr>
      <w:widowControl w:val="0"/>
      <w:spacing w:after="200" w:line="276" w:lineRule="auto"/>
    </w:pPr>
    <w:rPr>
      <w:rFonts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微软雅黑"/>
      </w:rPr>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微软雅黑"/>
      </w:rPr>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Elegant"/>
    <w:basedOn w:val="76"/>
    <w:semiHidden/>
    <w:qFormat/>
    <w:uiPriority w:val="99"/>
    <w:pPr>
      <w:widowControl w:val="0"/>
      <w:spacing w:after="200" w:line="276" w:lineRule="auto"/>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微软雅黑"/>
        <w:caps/>
        <w:color w:val="auto"/>
      </w:rPr>
      <w:tblPr/>
      <w:tcPr>
        <w:tcBorders>
          <w:top w:val="nil"/>
          <w:left w:val="nil"/>
          <w:bottom w:val="nil"/>
          <w:right w:val="nil"/>
          <w:insideH w:val="nil"/>
          <w:insideV w:val="nil"/>
          <w:tl2br w:val="nil"/>
          <w:tr2bl w:val="nil"/>
        </w:tcBorders>
      </w:tcPr>
    </w:tblStylePr>
  </w:style>
  <w:style w:type="table" w:styleId="83">
    <w:name w:val="Table Classic 1"/>
    <w:basedOn w:val="76"/>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i/>
        <w:i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6" w:space="0"/>
          <w:insideH w:val="nil"/>
          <w:insideV w:val="nil"/>
          <w:tl2br w:val="nil"/>
          <w:tr2bl w:val="nil"/>
        </w:tcBorders>
      </w:tcPr>
    </w:tblStylePr>
    <w:tblStylePr w:type="neCell">
      <w:rPr>
        <w:rFonts w:cs="微软雅黑"/>
        <w:b/>
        <w:bCs/>
        <w:i w:val="0"/>
        <w:iCs w:val="0"/>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4">
    <w:name w:val="Table Classic 2"/>
    <w:basedOn w:val="76"/>
    <w:semiHidden/>
    <w:qFormat/>
    <w:uiPriority w:val="99"/>
    <w:pPr>
      <w:widowControl w:val="0"/>
      <w:spacing w:after="200" w:line="276" w:lineRule="auto"/>
    </w:pPr>
    <w:rPr>
      <w:rFonts w:cs="Calibri"/>
    </w:rPr>
    <w:tblPr>
      <w:tblBorders>
        <w:top w:val="single" w:color="000000" w:sz="12" w:space="0"/>
        <w:bottom w:val="single" w:color="000000" w:sz="12" w:space="0"/>
      </w:tblBorders>
    </w:tblPr>
    <w:tblStylePr w:type="firstRow">
      <w:rPr>
        <w:rFonts w:cs="微软雅黑"/>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shd w:val="solid" w:color="C0C0C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shd w:val="solid" w:color="800080" w:fill="FFFFFF"/>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5">
    <w:name w:val="Table Classic 3"/>
    <w:basedOn w:val="76"/>
    <w:semiHidden/>
    <w:qFormat/>
    <w:uiPriority w:val="99"/>
    <w:pPr>
      <w:widowControl w:val="0"/>
      <w:spacing w:after="200" w:line="276" w:lineRule="auto"/>
    </w:pPr>
    <w:rPr>
      <w:rFonts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微软雅黑"/>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微软雅黑"/>
        <w:b/>
        <w:bCs/>
        <w:color w:val="000000"/>
      </w:rPr>
      <w:tblPr/>
      <w:tcPr>
        <w:tcBorders>
          <w:top w:val="nil"/>
          <w:left w:val="nil"/>
          <w:bottom w:val="nil"/>
          <w:right w:val="nil"/>
          <w:insideH w:val="nil"/>
          <w:insideV w:val="nil"/>
          <w:tl2br w:val="nil"/>
          <w:tr2bl w:val="nil"/>
        </w:tcBorders>
      </w:tcPr>
    </w:tblStylePr>
  </w:style>
  <w:style w:type="table" w:styleId="86">
    <w:name w:val="Table Classic 4"/>
    <w:basedOn w:val="76"/>
    <w:semiHidden/>
    <w:qFormat/>
    <w:uiPriority w:val="99"/>
    <w:pPr>
      <w:widowControl w:val="0"/>
      <w:spacing w:after="200" w:line="276" w:lineRule="auto"/>
    </w:pPr>
    <w:rPr>
      <w:rFonts w:cs="Calibri"/>
    </w:rPr>
    <w:tblPr>
      <w:tblBorders>
        <w:top w:val="single" w:color="000000" w:sz="12" w:space="0"/>
        <w:left w:val="single" w:color="000000" w:sz="6" w:space="0"/>
        <w:bottom w:val="single" w:color="000000" w:sz="12" w:space="0"/>
        <w:right w:val="single" w:color="000000" w:sz="6" w:space="0"/>
      </w:tblBorders>
    </w:tblPr>
    <w:tblStylePr w:type="firstRow">
      <w:rPr>
        <w:rFonts w:cs="微软雅黑"/>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微软雅黑"/>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b/>
        <w:bCs/>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87">
    <w:name w:val="Table Simple 1"/>
    <w:basedOn w:val="76"/>
    <w:semiHidden/>
    <w:qFormat/>
    <w:uiPriority w:val="99"/>
    <w:pPr>
      <w:widowControl w:val="0"/>
      <w:spacing w:after="200" w:line="276" w:lineRule="auto"/>
    </w:pPr>
    <w:rPr>
      <w:rFonts w:cs="Calibri"/>
    </w:rPr>
    <w:tblPr>
      <w:tblBorders>
        <w:top w:val="single" w:color="008000" w:sz="12" w:space="0"/>
        <w:bottom w:val="single" w:color="008000" w:sz="12" w:space="0"/>
      </w:tblBorders>
    </w:tblPr>
    <w:tblStylePr w:type="firstRow">
      <w:rPr>
        <w:rFonts w:cs="微软雅黑"/>
      </w:rPr>
      <w:tblPr/>
      <w:tcPr>
        <w:tcBorders>
          <w:top w:val="nil"/>
          <w:left w:val="nil"/>
          <w:bottom w:val="single" w:color="008000" w:sz="6" w:space="0"/>
          <w:right w:val="nil"/>
          <w:insideH w:val="nil"/>
          <w:insideV w:val="nil"/>
          <w:tl2br w:val="nil"/>
          <w:tr2bl w:val="nil"/>
        </w:tcBorders>
      </w:tcPr>
    </w:tblStylePr>
    <w:tblStylePr w:type="lastRow">
      <w:rPr>
        <w:rFonts w:cs="微软雅黑"/>
      </w:rPr>
      <w:tblPr/>
      <w:tcPr>
        <w:tcBorders>
          <w:top w:val="single" w:color="008000" w:sz="6" w:space="0"/>
          <w:left w:val="nil"/>
          <w:bottom w:val="nil"/>
          <w:right w:val="nil"/>
          <w:insideH w:val="nil"/>
          <w:insideV w:val="nil"/>
          <w:tl2br w:val="nil"/>
          <w:tr2bl w:val="nil"/>
        </w:tcBorders>
      </w:tcPr>
    </w:tblStylePr>
  </w:style>
  <w:style w:type="table" w:styleId="88">
    <w:name w:val="Table Simple 2"/>
    <w:basedOn w:val="76"/>
    <w:semiHidden/>
    <w:qFormat/>
    <w:uiPriority w:val="99"/>
    <w:pPr>
      <w:widowControl w:val="0"/>
      <w:spacing w:after="200" w:line="276" w:lineRule="auto"/>
    </w:pPr>
    <w:rPr>
      <w:rFonts w:cs="Calibri"/>
    </w:rPr>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lastCol">
      <w:rPr>
        <w:rFonts w:cs="微软雅黑"/>
        <w:b/>
        <w:bCs/>
      </w:rPr>
      <w:tblPr/>
      <w:tcPr>
        <w:tcBorders>
          <w:top w:val="nil"/>
          <w:left w:val="single" w:color="000000" w:sz="6" w:space="0"/>
          <w:bottom w:val="nil"/>
          <w:right w:val="nil"/>
          <w:insideH w:val="nil"/>
          <w:insideV w:val="nil"/>
          <w:tl2br w:val="nil"/>
          <w:tr2bl w:val="nil"/>
        </w:tcBorders>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89">
    <w:name w:val="Table Simple 3"/>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Subtle 1"/>
    <w:basedOn w:val="76"/>
    <w:semiHidden/>
    <w:qFormat/>
    <w:uiPriority w:val="99"/>
    <w:pPr>
      <w:widowControl w:val="0"/>
      <w:spacing w:after="200" w:line="276" w:lineRule="auto"/>
    </w:pPr>
    <w:rPr>
      <w:rFonts w:cs="Calibri"/>
    </w:rPr>
    <w:tblPr>
      <w:tblStyleRowBandSize w:val="1"/>
    </w:tblPr>
    <w:tblStylePr w:type="firstRow">
      <w:rPr>
        <w:rFonts w:cs="微软雅黑"/>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微软雅黑"/>
      </w:rPr>
      <w:tblPr/>
      <w:tcPr>
        <w:tcBorders>
          <w:top w:val="nil"/>
          <w:left w:val="nil"/>
          <w:bottom w:val="nil"/>
          <w:right w:val="single" w:color="000000" w:sz="12" w:space="0"/>
          <w:insideH w:val="nil"/>
          <w:insideV w:val="nil"/>
          <w:tl2br w:val="nil"/>
          <w:tr2bl w:val="nil"/>
        </w:tcBorders>
      </w:tcPr>
    </w:tblStylePr>
    <w:tblStylePr w:type="lastCol">
      <w:rPr>
        <w:rFonts w:cs="微软雅黑"/>
      </w:rPr>
      <w:tblPr/>
      <w:tcPr>
        <w:tcBorders>
          <w:top w:val="nil"/>
          <w:left w:val="single" w:color="000000" w:sz="12" w:space="0"/>
          <w:bottom w:val="nil"/>
          <w:right w:val="nil"/>
          <w:insideH w:val="nil"/>
          <w:insideV w:val="nil"/>
          <w:tl2br w:val="nil"/>
          <w:tr2bl w:val="nil"/>
        </w:tcBorders>
      </w:tcPr>
    </w:tblStylePr>
    <w:tblStylePr w:type="band1Horz">
      <w:rPr>
        <w:rFonts w:cs="微软雅黑"/>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1">
    <w:name w:val="Table Subtle 2"/>
    <w:basedOn w:val="76"/>
    <w:semiHidden/>
    <w:qFormat/>
    <w:uiPriority w:val="99"/>
    <w:pPr>
      <w:widowControl w:val="0"/>
      <w:spacing w:after="200" w:line="276" w:lineRule="auto"/>
    </w:pPr>
    <w:rPr>
      <w:rFonts w:cs="Calibri"/>
    </w:rPr>
    <w:tblPr>
      <w:tblBorders>
        <w:left w:val="single" w:color="000000" w:sz="6" w:space="0"/>
        <w:right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微软雅黑"/>
      </w:rPr>
      <w:tbl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2">
    <w:name w:val="Table 3D effects 1"/>
    <w:basedOn w:val="76"/>
    <w:semiHidden/>
    <w:qFormat/>
    <w:uiPriority w:val="99"/>
    <w:pPr>
      <w:widowControl w:val="0"/>
      <w:spacing w:after="200" w:line="276" w:lineRule="auto"/>
    </w:pPr>
    <w:rPr>
      <w:rFonts w:cs="Calibri"/>
    </w:rPr>
    <w:tblPr/>
    <w:tcPr>
      <w:shd w:val="solid" w:color="C0C0C0" w:fill="FFFFFF"/>
    </w:tcPr>
    <w:tblStylePr w:type="firstRow">
      <w:rPr>
        <w:rFonts w:cs="微软雅黑"/>
        <w:b/>
        <w:bCs/>
        <w:color w:val="800080"/>
      </w:rPr>
      <w:tblPr/>
      <w:tcPr>
        <w:tcBorders>
          <w:top w:val="nil"/>
          <w:left w:val="nil"/>
          <w:bottom w:val="single" w:color="808080" w:sz="6" w:space="0"/>
          <w:right w:val="nil"/>
          <w:insideH w:val="nil"/>
          <w:insideV w:val="nil"/>
          <w:tl2br w:val="nil"/>
          <w:tr2bl w:val="nil"/>
        </w:tcBorders>
      </w:tcPr>
    </w:tblStylePr>
    <w:tblStylePr w:type="lastRow">
      <w:rPr>
        <w:rFonts w:cs="微软雅黑"/>
      </w:rPr>
      <w:tblPr/>
      <w:tcPr>
        <w:tcBorders>
          <w:top w:val="single" w:color="FFFFFF"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single" w:color="FFFFFF" w:sz="6" w:space="0"/>
          <w:bottom w:val="nil"/>
          <w:right w:val="nil"/>
          <w:insideH w:val="nil"/>
          <w:insideV w:val="nil"/>
          <w:tl2br w:val="nil"/>
          <w:tr2bl w:val="nil"/>
        </w:tcBorders>
      </w:tcPr>
    </w:tblStylePr>
    <w:tblStylePr w:type="neCell">
      <w:rPr>
        <w:rFonts w:cs="微软雅黑"/>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nil"/>
          <w:tr2bl w:val="nil"/>
        </w:tcBorders>
      </w:tcPr>
    </w:tblStylePr>
    <w:tblStylePr w:type="seCell">
      <w:rPr>
        <w:rFonts w:cs="微软雅黑"/>
      </w:rPr>
      <w:tblPr/>
      <w:tcPr>
        <w:tcBorders>
          <w:top w:val="nil"/>
          <w:left w:val="nil"/>
          <w:bottom w:val="nil"/>
          <w:right w:val="nil"/>
          <w:insideH w:val="nil"/>
          <w:insideV w:val="nil"/>
          <w:tl2br w:val="nil"/>
          <w:tr2bl w:val="nil"/>
        </w:tcBorders>
      </w:tcPr>
    </w:tblStylePr>
    <w:tblStylePr w:type="swCell">
      <w:rPr>
        <w:rFonts w:cs="微软雅黑"/>
        <w:color w:val="000080"/>
      </w:rPr>
      <w:tblPr/>
      <w:tcPr>
        <w:tcBorders>
          <w:top w:val="nil"/>
          <w:left w:val="nil"/>
          <w:bottom w:val="nil"/>
          <w:right w:val="nil"/>
          <w:insideH w:val="nil"/>
          <w:insideV w:val="nil"/>
          <w:tl2br w:val="nil"/>
          <w:tr2bl w:val="nil"/>
        </w:tcBorders>
      </w:tcPr>
    </w:tblStylePr>
  </w:style>
  <w:style w:type="table" w:styleId="93">
    <w:name w:val="Table 3D effects 2"/>
    <w:basedOn w:val="76"/>
    <w:semiHidden/>
    <w:qFormat/>
    <w:uiPriority w:val="99"/>
    <w:pPr>
      <w:widowControl w:val="0"/>
      <w:spacing w:after="200" w:line="276" w:lineRule="auto"/>
    </w:pPr>
    <w:rPr>
      <w:rFonts w:cs="Calibri"/>
    </w:rPr>
    <w:tblPr>
      <w:tblStyleRowBandSize w:val="1"/>
    </w:tblPr>
    <w:tcPr>
      <w:shd w:val="solid" w:color="C0C0C0" w:fill="FFFFFF"/>
    </w:tc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4">
    <w:name w:val="Table 3D effects 3"/>
    <w:basedOn w:val="76"/>
    <w:semiHidden/>
    <w:qFormat/>
    <w:uiPriority w:val="99"/>
    <w:pPr>
      <w:widowControl w:val="0"/>
      <w:spacing w:after="200" w:line="276" w:lineRule="auto"/>
    </w:pPr>
    <w:rPr>
      <w:rFonts w:cs="Calibri"/>
    </w:rPr>
    <w:tblPr>
      <w:tblStyleRowBandSize w:val="1"/>
      <w:tblStyleColBandSize w:val="1"/>
    </w:tblPr>
    <w:tblStylePr w:type="firstRow">
      <w:rPr>
        <w:rFonts w:cs="微软雅黑"/>
        <w:b/>
        <w:bCs/>
      </w:rPr>
      <w:tblPr/>
      <w:tcPr>
        <w:tcBorders>
          <w:top w:val="nil"/>
          <w:left w:val="nil"/>
          <w:bottom w:val="nil"/>
          <w:right w:val="nil"/>
          <w:insideH w:val="nil"/>
          <w:insideV w:val="nil"/>
          <w:tl2br w:val="nil"/>
          <w:tr2bl w:val="nil"/>
        </w:tcBorders>
      </w:tcPr>
    </w:tblStylePr>
    <w:tblStylePr w:type="firstCol">
      <w:rPr>
        <w:rFonts w:cs="微软雅黑"/>
      </w:rPr>
      <w:tblPr/>
      <w:tcPr>
        <w:tcBorders>
          <w:top w:val="nil"/>
          <w:left w:val="nil"/>
          <w:bottom w:val="nil"/>
          <w:right w:val="single" w:color="808080" w:sz="6" w:space="0"/>
          <w:insideH w:val="nil"/>
          <w:insideV w:val="nil"/>
          <w:tl2br w:val="nil"/>
          <w:tr2bl w:val="nil"/>
        </w:tcBorders>
      </w:tcPr>
    </w:tblStylePr>
    <w:tblStylePr w:type="lastCol">
      <w:rPr>
        <w:rFonts w:cs="微软雅黑"/>
      </w:rPr>
      <w:tblPr/>
      <w:tcPr>
        <w:tcBorders>
          <w:top w:val="nil"/>
          <w:left w:val="nil"/>
          <w:bottom w:val="nil"/>
          <w:right w:val="single" w:color="FFFFFF" w:sz="6" w:space="0"/>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50" w:color="C0C0C0" w:fill="FFFFFF"/>
      </w:tcPr>
    </w:tblStylePr>
    <w:tblStylePr w:type="band1Horz">
      <w:rPr>
        <w:rFonts w:cs="微软雅黑"/>
      </w:rPr>
      <w:tblPr/>
      <w:tcPr>
        <w:tcBorders>
          <w:top w:val="single" w:color="808080" w:sz="6" w:space="0"/>
          <w:left w:val="nil"/>
          <w:bottom w:val="single" w:color="FFFFFF" w:sz="6" w:space="0"/>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5">
    <w:name w:val="Table List 1"/>
    <w:basedOn w:val="76"/>
    <w:semiHidden/>
    <w:qFormat/>
    <w:uiPriority w:val="99"/>
    <w:pPr>
      <w:widowControl w:val="0"/>
      <w:spacing w:after="200" w:line="276" w:lineRule="auto"/>
    </w:pPr>
    <w:rPr>
      <w:rFonts w:cs="Calibri"/>
    </w:rPr>
    <w:tblPr>
      <w:tblBorders>
        <w:top w:val="single" w:color="008080" w:sz="12" w:space="0"/>
        <w:left w:val="single" w:color="008080" w:sz="6" w:space="0"/>
        <w:bottom w:val="single" w:color="008080" w:sz="12" w:space="0"/>
        <w:right w:val="single" w:color="008080" w:sz="6" w:space="0"/>
      </w:tblBorders>
    </w:tblPr>
    <w:tblStylePr w:type="firstRow">
      <w:rPr>
        <w:rFonts w:cs="微软雅黑"/>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6">
    <w:name w:val="Table List 2"/>
    <w:basedOn w:val="76"/>
    <w:semiHidden/>
    <w:qFormat/>
    <w:uiPriority w:val="99"/>
    <w:pPr>
      <w:widowControl w:val="0"/>
      <w:spacing w:after="200" w:line="276" w:lineRule="auto"/>
    </w:pPr>
    <w:rPr>
      <w:rFonts w:cs="Calibri"/>
    </w:rPr>
    <w:tblPr>
      <w:tblBorders>
        <w:bottom w:val="single" w:color="808080" w:sz="12" w:space="0"/>
      </w:tblBorders>
    </w:tblPr>
    <w:tblStylePr w:type="firstRow">
      <w:rPr>
        <w:rFonts w:cs="微软雅黑"/>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微软雅黑"/>
      </w:rPr>
      <w:tblPr/>
      <w:tcPr>
        <w:tcBorders>
          <w:top w:val="single" w:color="000000" w:sz="6" w:space="0"/>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微软雅黑"/>
        <w:color w:val="auto"/>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97">
    <w:name w:val="Table List 3"/>
    <w:basedOn w:val="76"/>
    <w:semiHidden/>
    <w:qFormat/>
    <w:uiPriority w:val="99"/>
    <w:pPr>
      <w:widowControl w:val="0"/>
      <w:spacing w:after="200" w:line="276" w:lineRule="auto"/>
    </w:pPr>
    <w:rPr>
      <w:rFonts w:cs="Calibri"/>
    </w:rPr>
    <w:tblPr>
      <w:tblBorders>
        <w:top w:val="single" w:color="000000" w:sz="12" w:space="0"/>
        <w:bottom w:val="single" w:color="000000" w:sz="12" w:space="0"/>
        <w:insideH w:val="single" w:color="000000" w:sz="6" w:space="0"/>
      </w:tblBorders>
    </w:tblPr>
    <w:tblStylePr w:type="firstRow">
      <w:rPr>
        <w:rFonts w:cs="微软雅黑"/>
        <w:b/>
        <w:bCs/>
        <w:color w:val="000080"/>
      </w:rPr>
      <w:tblPr/>
      <w:tcPr>
        <w:tcBorders>
          <w:top w:val="nil"/>
          <w:left w:val="nil"/>
          <w:bottom w:val="single" w:color="000000" w:sz="12" w:space="0"/>
          <w:right w:val="nil"/>
          <w:insideH w:val="nil"/>
          <w:insideV w:val="nil"/>
          <w:tl2br w:val="nil"/>
          <w:tr2bl w:val="nil"/>
        </w:tcBorders>
      </w:tcPr>
    </w:tblStylePr>
    <w:tblStylePr w:type="lastRow">
      <w:rPr>
        <w:rFonts w:cs="微软雅黑"/>
      </w:rPr>
      <w:tblPr/>
      <w:tcPr>
        <w:tcBorders>
          <w:top w:val="single" w:color="000000" w:sz="12" w:space="0"/>
          <w:left w:val="nil"/>
          <w:bottom w:val="nil"/>
          <w:right w:val="nil"/>
          <w:insideH w:val="nil"/>
          <w:insideV w:val="nil"/>
          <w:tl2br w:val="nil"/>
          <w:tr2bl w:val="nil"/>
        </w:tcBorders>
      </w:tcPr>
    </w:tblStylePr>
    <w:tblStylePr w:type="swCell">
      <w:rPr>
        <w:rFonts w:cs="微软雅黑"/>
        <w:i/>
        <w:iCs/>
        <w:color w:val="000080"/>
      </w:rPr>
      <w:tblPr/>
      <w:tcPr>
        <w:tcBorders>
          <w:top w:val="nil"/>
          <w:left w:val="nil"/>
          <w:bottom w:val="nil"/>
          <w:right w:val="nil"/>
          <w:insideH w:val="nil"/>
          <w:insideV w:val="nil"/>
          <w:tl2br w:val="nil"/>
          <w:tr2bl w:val="nil"/>
        </w:tcBorders>
      </w:tcPr>
    </w:tblStylePr>
  </w:style>
  <w:style w:type="table" w:styleId="98">
    <w:name w:val="Table List 4"/>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微软雅黑"/>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99">
    <w:name w:val="Table List 5"/>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style>
  <w:style w:type="table" w:styleId="100">
    <w:name w:val="Table List 6"/>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微软雅黑"/>
        <w:b/>
        <w:bCs/>
      </w:rPr>
      <w:tblPr/>
      <w:tcPr>
        <w:tcBorders>
          <w:top w:val="nil"/>
          <w:left w:val="nil"/>
          <w:bottom w:val="single" w:color="000000" w:sz="12" w:space="0"/>
          <w:right w:val="nil"/>
          <w:insideH w:val="nil"/>
          <w:insideV w:val="nil"/>
          <w:tl2br w:val="nil"/>
          <w:tr2bl w:val="nil"/>
        </w:tcBorders>
      </w:tcPr>
    </w:tblStylePr>
    <w:tblStylePr w:type="firstCol">
      <w:rPr>
        <w:rFonts w:cs="微软雅黑"/>
        <w:b/>
        <w:bCs/>
      </w:rPr>
      <w:tblPr/>
      <w:tcPr>
        <w:tcBorders>
          <w:top w:val="nil"/>
          <w:left w:val="nil"/>
          <w:bottom w:val="nil"/>
          <w:right w:val="single" w:color="000000" w:sz="12" w:space="0"/>
          <w:insideH w:val="nil"/>
          <w:insideV w:val="nil"/>
          <w:tl2br w:val="nil"/>
          <w:tr2bl w:val="nil"/>
        </w:tcBorders>
      </w:tcPr>
    </w:tblStylePr>
    <w:tblStylePr w:type="band1Horz">
      <w:rPr>
        <w:rFonts w:cs="微软雅黑"/>
      </w:rPr>
      <w:tblPr/>
      <w:tcPr>
        <w:tcBorders>
          <w:top w:val="nil"/>
          <w:left w:val="nil"/>
          <w:bottom w:val="nil"/>
          <w:right w:val="nil"/>
          <w:insideH w:val="nil"/>
          <w:insideV w:val="nil"/>
          <w:tl2br w:val="nil"/>
          <w:tr2bl w:val="nil"/>
        </w:tcBorders>
        <w:shd w:val="pct25" w:color="000000" w:fill="FFFFFF"/>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01">
    <w:name w:val="Table List 7"/>
    <w:basedOn w:val="76"/>
    <w:semiHidden/>
    <w:qFormat/>
    <w:uiPriority w:val="99"/>
    <w:pPr>
      <w:widowControl w:val="0"/>
      <w:spacing w:after="200" w:line="276" w:lineRule="auto"/>
    </w:pPr>
    <w:rPr>
      <w:rFonts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微软雅黑"/>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微软雅黑"/>
        <w:b/>
        <w:bCs/>
      </w:rPr>
      <w:tblPr/>
      <w:tcPr>
        <w:tcBorders>
          <w:top w:val="single" w:color="008000" w:sz="12"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微软雅黑"/>
      </w:rPr>
      <w:tblPr/>
      <w:tcPr>
        <w:tcBorders>
          <w:top w:val="nil"/>
          <w:left w:val="nil"/>
          <w:bottom w:val="nil"/>
          <w:right w:val="nil"/>
          <w:insideH w:val="nil"/>
          <w:insideV w:val="nil"/>
          <w:tl2br w:val="nil"/>
          <w:tr2bl w:val="nil"/>
        </w:tcBorders>
        <w:shd w:val="pct25" w:color="FFFF00" w:fill="FFFFFF"/>
      </w:tcPr>
    </w:tblStylePr>
  </w:style>
  <w:style w:type="table" w:styleId="102">
    <w:name w:val="Table List 8"/>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微软雅黑"/>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Horz">
      <w:rPr>
        <w:rFonts w:cs="微软雅黑"/>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微软雅黑"/>
      </w:rPr>
      <w:tblPr/>
      <w:tcPr>
        <w:tcBorders>
          <w:top w:val="nil"/>
          <w:left w:val="nil"/>
          <w:bottom w:val="nil"/>
          <w:right w:val="nil"/>
          <w:insideH w:val="nil"/>
          <w:insideV w:val="nil"/>
          <w:tl2br w:val="nil"/>
          <w:tr2bl w:val="nil"/>
        </w:tcBorders>
        <w:shd w:val="pct50" w:color="FF0000" w:fill="FFFFFF"/>
      </w:tcPr>
    </w:tblStylePr>
    <w:tblStylePr w:type="nwCell">
      <w:rPr>
        <w:rFonts w:cs="微软雅黑"/>
      </w:rPr>
      <w:tblPr/>
      <w:tcPr>
        <w:tcBorders>
          <w:top w:val="nil"/>
          <w:left w:val="nil"/>
          <w:bottom w:val="nil"/>
          <w:right w:val="nil"/>
          <w:insideH w:val="nil"/>
          <w:insideV w:val="nil"/>
          <w:tl2br w:val="single" w:color="auto" w:sz="6" w:space="0"/>
          <w:tr2bl w:val="nil"/>
        </w:tcBorders>
      </w:tcPr>
    </w:tblStylePr>
  </w:style>
  <w:style w:type="table" w:styleId="103">
    <w:name w:val="Table Contemporary"/>
    <w:basedOn w:val="76"/>
    <w:semiHidden/>
    <w:qFormat/>
    <w:uiPriority w:val="99"/>
    <w:pPr>
      <w:widowControl w:val="0"/>
      <w:spacing w:after="200" w:line="276" w:lineRule="auto"/>
    </w:pPr>
    <w:rPr>
      <w:rFonts w:cs="Calibri"/>
    </w:rPr>
    <w:tblPr>
      <w:tblBorders>
        <w:insideH w:val="single" w:color="FFFFFF" w:sz="18" w:space="0"/>
        <w:insideV w:val="single" w:color="FFFFFF" w:sz="18" w:space="0"/>
      </w:tblBorders>
    </w:tblPr>
    <w:tblStylePr w:type="firstRow">
      <w:rPr>
        <w:rFonts w:cs="微软雅黑"/>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微软雅黑"/>
        <w:color w:val="auto"/>
      </w:rPr>
      <w:tblPr/>
      <w:tcPr>
        <w:tcBorders>
          <w:top w:val="nil"/>
          <w:left w:val="nil"/>
          <w:bottom w:val="nil"/>
          <w:right w:val="nil"/>
          <w:insideH w:val="nil"/>
          <w:insideV w:val="nil"/>
          <w:tl2br w:val="nil"/>
          <w:tr2bl w:val="nil"/>
        </w:tcBorders>
        <w:shd w:val="pct5" w:color="000000" w:fill="FFFFFF"/>
      </w:tcPr>
    </w:tblStylePr>
    <w:tblStylePr w:type="band2Horz">
      <w:rPr>
        <w:rFonts w:cs="微软雅黑"/>
        <w:color w:val="auto"/>
      </w:rPr>
      <w:tblPr/>
      <w:tcPr>
        <w:tcBorders>
          <w:top w:val="nil"/>
          <w:left w:val="nil"/>
          <w:bottom w:val="nil"/>
          <w:right w:val="nil"/>
          <w:insideH w:val="nil"/>
          <w:insideV w:val="nil"/>
          <w:tl2br w:val="nil"/>
          <w:tr2bl w:val="nil"/>
        </w:tcBorders>
        <w:shd w:val="pct20" w:color="000000" w:fill="FFFFFF"/>
      </w:tcPr>
    </w:tblStylePr>
  </w:style>
  <w:style w:type="table" w:styleId="104">
    <w:name w:val="Table Columns 1"/>
    <w:basedOn w:val="76"/>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微软雅黑"/>
        <w:b w:val="0"/>
        <w:bCs w:val="0"/>
      </w:rPr>
      <w:tblPr/>
      <w:tcPr>
        <w:tcBorders>
          <w:top w:val="nil"/>
          <w:left w:val="nil"/>
          <w:bottom w:val="double" w:color="000000" w:sz="6" w:space="0"/>
          <w:right w:val="nil"/>
          <w:insideH w:val="nil"/>
          <w:insideV w:val="nil"/>
          <w:tl2br w:val="nil"/>
          <w:tr2bl w:val="nil"/>
        </w:tcBorders>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25" w:color="000000" w:fill="FFFFFF"/>
      </w:tcPr>
    </w:tblStylePr>
    <w:tblStylePr w:type="band2Vert">
      <w:rPr>
        <w:rFonts w:cs="微软雅黑"/>
        <w:color w:val="auto"/>
      </w:rPr>
      <w:tblPr/>
      <w:tcPr>
        <w:shd w:val="pct25" w:color="FF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5">
    <w:name w:val="Table Columns 2"/>
    <w:basedOn w:val="76"/>
    <w:semiHidden/>
    <w:qFormat/>
    <w:uiPriority w:val="99"/>
    <w:pPr>
      <w:widowControl w:val="0"/>
      <w:spacing w:after="200" w:line="276" w:lineRule="auto"/>
    </w:pPr>
    <w:rPr>
      <w:rFonts w:cs="Calibri"/>
      <w:b/>
      <w:bCs/>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nil"/>
          <w:left w:val="nil"/>
          <w:bottom w:val="nil"/>
          <w:right w:val="nil"/>
          <w:insideH w:val="nil"/>
          <w:insideV w:val="nil"/>
          <w:tl2br w:val="nil"/>
          <w:tr2bl w:val="nil"/>
        </w:tcBorders>
      </w:tcPr>
    </w:tblStylePr>
    <w:tblStylePr w:type="firstCol">
      <w:rPr>
        <w:rFonts w:cs="微软雅黑"/>
        <w:b w:val="0"/>
        <w:bCs w:val="0"/>
        <w:color w:val="00000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30" w:color="000000" w:fill="FFFFFF"/>
      </w:tcPr>
    </w:tblStylePr>
    <w:tblStylePr w:type="band2Vert">
      <w:rPr>
        <w:rFonts w:cs="微软雅黑"/>
        <w:color w:val="auto"/>
      </w:rPr>
      <w:tblPr/>
      <w:tcPr>
        <w:shd w:val="pct25" w:color="00FF00" w:fill="FFFFFF"/>
      </w:tcPr>
    </w:tblStylePr>
    <w:tblStylePr w:type="neCell">
      <w:rPr>
        <w:rFonts w:cs="微软雅黑"/>
        <w:b/>
        <w:bCs/>
      </w:rPr>
      <w:tblPr/>
      <w:tcPr>
        <w:tcBorders>
          <w:top w:val="nil"/>
          <w:left w:val="nil"/>
          <w:bottom w:val="nil"/>
          <w:right w:val="nil"/>
          <w:insideH w:val="nil"/>
          <w:insideV w:val="nil"/>
          <w:tl2br w:val="nil"/>
          <w:tr2bl w:val="nil"/>
        </w:tcBorders>
      </w:tcPr>
    </w:tblStylePr>
    <w:tblStylePr w:type="swCell">
      <w:rPr>
        <w:rFonts w:cs="微软雅黑"/>
        <w:b/>
        <w:bCs/>
      </w:rPr>
      <w:tblPr/>
      <w:tcPr>
        <w:tcBorders>
          <w:top w:val="nil"/>
          <w:left w:val="nil"/>
          <w:bottom w:val="nil"/>
          <w:right w:val="nil"/>
          <w:insideH w:val="nil"/>
          <w:insideV w:val="nil"/>
          <w:tl2br w:val="nil"/>
          <w:tr2bl w:val="nil"/>
        </w:tcBorders>
      </w:tcPr>
    </w:tblStylePr>
  </w:style>
  <w:style w:type="table" w:styleId="106">
    <w:name w:val="Table Columns 3"/>
    <w:basedOn w:val="76"/>
    <w:semiHidden/>
    <w:qFormat/>
    <w:uiPriority w:val="99"/>
    <w:pPr>
      <w:widowControl w:val="0"/>
      <w:spacing w:after="200" w:line="276" w:lineRule="auto"/>
    </w:pPr>
    <w:rPr>
      <w:rFonts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微软雅黑"/>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val="0"/>
        <w:bCs w:val="0"/>
      </w:rPr>
      <w:tblPr/>
      <w:tcPr>
        <w:tcBorders>
          <w:top w:val="single" w:color="00008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Pr/>
      <w:tcPr>
        <w:shd w:val="pct10" w:color="000000" w:fill="FFFFFF"/>
      </w:tcPr>
    </w:tblStylePr>
    <w:tblStylePr w:type="neCell">
      <w:rPr>
        <w:rFonts w:cs="微软雅黑"/>
        <w:b/>
        <w:bCs/>
      </w:rPr>
      <w:tblPr/>
      <w:tcPr>
        <w:tcBorders>
          <w:top w:val="nil"/>
          <w:left w:val="nil"/>
          <w:bottom w:val="nil"/>
          <w:right w:val="nil"/>
          <w:insideH w:val="nil"/>
          <w:insideV w:val="nil"/>
          <w:tl2br w:val="nil"/>
          <w:tr2bl w:val="nil"/>
        </w:tcBorders>
      </w:tcPr>
    </w:tblStylePr>
  </w:style>
  <w:style w:type="table" w:styleId="107">
    <w:name w:val="Table Columns 4"/>
    <w:basedOn w:val="76"/>
    <w:semiHidden/>
    <w:qFormat/>
    <w:uiPriority w:val="99"/>
    <w:pPr>
      <w:widowControl w:val="0"/>
      <w:spacing w:after="200" w:line="276" w:lineRule="auto"/>
    </w:pPr>
    <w:rPr>
      <w:rFonts w:cs="Calibri"/>
    </w:rPr>
    <w:tblPr>
      <w:tblStyleColBandSize w:val="1"/>
    </w:tblPr>
    <w:tblStylePr w:type="firstRow">
      <w:rPr>
        <w:rFonts w:cs="微软雅黑"/>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pct50" w:color="008080" w:fill="FFFFFF"/>
      </w:tcPr>
    </w:tblStylePr>
    <w:tblStylePr w:type="band2Vert">
      <w:rPr>
        <w:rFonts w:cs="微软雅黑"/>
        <w:color w:val="auto"/>
      </w:rPr>
      <w:tblPr/>
      <w:tcPr>
        <w:shd w:val="pct10" w:color="000000" w:fill="FFFFFF"/>
      </w:tcPr>
    </w:tblStylePr>
  </w:style>
  <w:style w:type="table" w:styleId="108">
    <w:name w:val="Table Columns 5"/>
    <w:basedOn w:val="76"/>
    <w:semiHidden/>
    <w:qFormat/>
    <w:uiPriority w:val="99"/>
    <w:pPr>
      <w:widowControl w:val="0"/>
      <w:spacing w:after="200" w:line="276" w:lineRule="auto"/>
    </w:pPr>
    <w:rPr>
      <w:rFonts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微软雅黑"/>
        <w:b/>
        <w:bCs/>
        <w:i/>
        <w:iCs/>
      </w:rPr>
      <w:tblPr/>
      <w:tcPr>
        <w:tcBorders>
          <w:top w:val="nil"/>
          <w:left w:val="nil"/>
          <w:bottom w:val="single" w:color="808080" w:sz="6" w:space="0"/>
          <w:right w:val="nil"/>
          <w:insideH w:val="nil"/>
          <w:insideV w:val="nil"/>
          <w:tl2br w:val="nil"/>
          <w:tr2bl w:val="nil"/>
        </w:tcBorders>
      </w:tcPr>
    </w:tblStylePr>
    <w:tblStylePr w:type="lastRow">
      <w:rPr>
        <w:rFonts w:cs="微软雅黑"/>
        <w:b/>
        <w:bCs/>
      </w:rPr>
      <w:tblPr/>
      <w:tcPr>
        <w:tcBorders>
          <w:top w:val="single" w:color="80808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band1Vert">
      <w:rPr>
        <w:rFonts w:cs="微软雅黑"/>
        <w:color w:val="auto"/>
      </w:rPr>
      <w:tblPr/>
      <w:tcPr>
        <w:shd w:val="solid" w:color="C0C0C0" w:fill="FFFFFF"/>
      </w:tcPr>
    </w:tblStylePr>
    <w:tblStylePr w:type="band2Vert">
      <w:rPr>
        <w:rFonts w:cs="微软雅黑"/>
        <w:color w:val="auto"/>
      </w:rPr>
    </w:tblStylePr>
  </w:style>
  <w:style w:type="table" w:styleId="109">
    <w:name w:val="Table Grid 1"/>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微软雅黑"/>
        <w:i/>
        <w:iCs/>
      </w:rPr>
      <w:tblPr/>
      <w:tcPr>
        <w:tcBorders>
          <w:top w:val="nil"/>
          <w:left w:val="nil"/>
          <w:bottom w:val="nil"/>
          <w:right w:val="nil"/>
          <w:insideH w:val="nil"/>
          <w:insideV w:val="nil"/>
          <w:tl2br w:val="nil"/>
          <w:tr2bl w:val="nil"/>
        </w:tcBorders>
      </w:tcPr>
    </w:tblStylePr>
    <w:tblStylePr w:type="lastCol">
      <w:rPr>
        <w:rFonts w:cs="微软雅黑"/>
        <w:i/>
        <w:i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0">
    <w:name w:val="Table Grid 2"/>
    <w:basedOn w:val="76"/>
    <w:semiHidden/>
    <w:qFormat/>
    <w:uiPriority w:val="99"/>
    <w:pPr>
      <w:widowControl w:val="0"/>
      <w:spacing w:after="200" w:line="276" w:lineRule="auto"/>
    </w:pPr>
    <w:rPr>
      <w:rFonts w:cs="Calibri"/>
    </w:rPr>
    <w:tblPr>
      <w:tblBorders>
        <w:insideH w:val="single" w:color="000000" w:sz="6" w:space="0"/>
        <w:insideV w:val="single" w:color="000000" w:sz="6" w:space="0"/>
      </w:tblBorders>
    </w:tblPr>
    <w:tblStylePr w:type="firstRow">
      <w:rPr>
        <w:rFonts w:cs="微软雅黑"/>
        <w:b/>
        <w:bCs/>
      </w:rPr>
      <w:tblPr/>
      <w:tcPr>
        <w:tcBorders>
          <w:top w:val="nil"/>
          <w:left w:val="nil"/>
          <w:bottom w:val="nil"/>
          <w:right w:val="nil"/>
          <w:insideH w:val="nil"/>
          <w:insideV w:val="nil"/>
          <w:tl2br w:val="nil"/>
          <w:tr2bl w:val="nil"/>
        </w:tcBorders>
      </w:tcPr>
    </w:tblStylePr>
    <w:tblStylePr w:type="lastRow">
      <w:rPr>
        <w:rFonts w:cs="微软雅黑"/>
        <w:b/>
        <w:bCs/>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style>
  <w:style w:type="table" w:styleId="111">
    <w:name w:val="Table Grid 3"/>
    <w:basedOn w:val="76"/>
    <w:semiHidden/>
    <w:qFormat/>
    <w:uiPriority w:val="99"/>
    <w:pPr>
      <w:widowControl w:val="0"/>
      <w:spacing w:after="200" w:line="276" w:lineRule="auto"/>
    </w:pPr>
    <w:rPr>
      <w:rFonts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微软雅黑"/>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2">
    <w:name w:val="Table Grid 4"/>
    <w:basedOn w:val="76"/>
    <w:semiHidden/>
    <w:qFormat/>
    <w:uiPriority w:val="99"/>
    <w:pPr>
      <w:widowControl w:val="0"/>
      <w:spacing w:after="200" w:line="276" w:lineRule="auto"/>
    </w:pPr>
    <w:rPr>
      <w:rFonts w:cs="Calibri"/>
    </w:rPr>
    <w:tblPr>
      <w:tblBorders>
        <w:left w:val="single" w:color="000000" w:sz="12" w:space="0"/>
        <w:right w:val="single" w:color="000000" w:sz="12" w:space="0"/>
        <w:insideH w:val="single" w:color="000000" w:sz="6" w:space="0"/>
        <w:insideV w:val="single" w:color="000000" w:sz="6" w:space="0"/>
      </w:tblBorders>
    </w:tblPr>
    <w:tblStylePr w:type="firstRow">
      <w:rPr>
        <w:rFonts w:cs="微软雅黑"/>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微软雅黑"/>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3">
    <w:name w:val="Table Grid 5"/>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rPr>
      <w:tblPr/>
      <w:tcPr>
        <w:tcBorders>
          <w:top w:val="nil"/>
          <w:left w:val="nil"/>
          <w:bottom w:val="single" w:color="000000" w:sz="12" w:space="0"/>
          <w:right w:val="nil"/>
          <w:insideH w:val="nil"/>
          <w:insideV w:val="nil"/>
          <w:tl2br w:val="nil"/>
          <w:tr2bl w:val="nil"/>
        </w:tcBorders>
      </w:tcPr>
    </w:tblStylePr>
    <w:tblStylePr w:type="lastRow">
      <w:rPr>
        <w:rFonts w:cs="微软雅黑"/>
        <w:b/>
        <w:bCs/>
      </w:rPr>
      <w:tblPr/>
      <w:tcPr>
        <w:tcBorders>
          <w:top w:val="nil"/>
          <w:left w:val="nil"/>
          <w:bottom w:val="nil"/>
          <w:right w:val="nil"/>
          <w:insideH w:val="nil"/>
          <w:insideV w:val="nil"/>
          <w:tl2br w:val="nil"/>
          <w:tr2bl w:val="nil"/>
        </w:tcBorders>
      </w:tcPr>
    </w:tblStylePr>
    <w:tblStylePr w:type="la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4">
    <w:name w:val="Table Grid 6"/>
    <w:basedOn w:val="76"/>
    <w:semiHidden/>
    <w:qFormat/>
    <w:uiPriority w:val="99"/>
    <w:pPr>
      <w:widowControl w:val="0"/>
      <w:spacing w:after="200" w:line="276" w:lineRule="auto"/>
    </w:pPr>
    <w:rPr>
      <w:rFonts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微软雅黑"/>
        <w:b/>
        <w:bCs/>
      </w:rPr>
      <w:tblPr/>
      <w:tcPr>
        <w:tcBorders>
          <w:top w:val="nil"/>
          <w:left w:val="nil"/>
          <w:bottom w:val="single" w:color="000000" w:sz="6" w:space="0"/>
          <w:right w:val="nil"/>
          <w:insideH w:val="nil"/>
          <w:insideV w:val="nil"/>
          <w:tl2br w:val="nil"/>
          <w:tr2bl w:val="nil"/>
        </w:tcBorders>
      </w:tcPr>
    </w:tblStylePr>
    <w:tblStylePr w:type="lastRow">
      <w:rPr>
        <w:rFonts w:cs="微软雅黑"/>
        <w:color w:val="auto"/>
      </w:rPr>
      <w:tblPr/>
      <w:tcPr>
        <w:tcBorders>
          <w:top w:val="single" w:color="000000" w:sz="6" w:space="0"/>
          <w:left w:val="nil"/>
          <w:bottom w:val="nil"/>
          <w:right w:val="nil"/>
          <w:insideH w:val="nil"/>
          <w:insideV w:val="nil"/>
          <w:tl2br w:val="nil"/>
          <w:tr2bl w:val="nil"/>
        </w:tcBorders>
      </w:tcPr>
    </w:tblStylePr>
    <w:tblStylePr w:type="firstCol">
      <w:rPr>
        <w:rFonts w:cs="微软雅黑"/>
        <w:b/>
        <w:bCs/>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5">
    <w:name w:val="Table Grid 7"/>
    <w:basedOn w:val="76"/>
    <w:semiHidden/>
    <w:qFormat/>
    <w:uiPriority w:val="99"/>
    <w:pPr>
      <w:widowControl w:val="0"/>
      <w:spacing w:after="200" w:line="276" w:lineRule="auto"/>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微软雅黑"/>
        <w:b w:val="0"/>
        <w:bCs w:val="0"/>
      </w:rPr>
      <w:tblPr/>
      <w:tcPr>
        <w:tcBorders>
          <w:top w:val="nil"/>
          <w:left w:val="nil"/>
          <w:bottom w:val="single" w:color="000000" w:sz="12" w:space="0"/>
          <w:right w:val="nil"/>
          <w:insideH w:val="nil"/>
          <w:insideV w:val="nil"/>
          <w:tl2br w:val="nil"/>
          <w:tr2bl w:val="nil"/>
        </w:tcBorders>
      </w:tcPr>
    </w:tblStylePr>
    <w:tblStylePr w:type="lastRow">
      <w:rPr>
        <w:rFonts w:cs="微软雅黑"/>
        <w:b w:val="0"/>
        <w:bCs w:val="0"/>
      </w:rPr>
      <w:tblPr/>
      <w:tcPr>
        <w:tcBorders>
          <w:top w:val="single" w:color="000000" w:sz="6" w:space="0"/>
          <w:left w:val="nil"/>
          <w:bottom w:val="nil"/>
          <w:right w:val="nil"/>
          <w:insideH w:val="nil"/>
          <w:insideV w:val="nil"/>
          <w:tl2br w:val="nil"/>
          <w:tr2bl w:val="nil"/>
        </w:tcBorders>
      </w:tcPr>
    </w:tblStylePr>
    <w:tblStylePr w:type="firstCol">
      <w:rPr>
        <w:rFonts w:cs="微软雅黑"/>
        <w:b w:val="0"/>
        <w:bCs w:val="0"/>
      </w:rPr>
      <w:tblPr/>
      <w:tcPr>
        <w:tcBorders>
          <w:top w:val="nil"/>
          <w:left w:val="nil"/>
          <w:bottom w:val="nil"/>
          <w:right w:val="nil"/>
          <w:insideH w:val="nil"/>
          <w:insideV w:val="nil"/>
          <w:tl2br w:val="nil"/>
          <w:tr2bl w:val="nil"/>
        </w:tcBorders>
      </w:tcPr>
    </w:tblStylePr>
    <w:tblStylePr w:type="lastCol">
      <w:rPr>
        <w:rFonts w:cs="微软雅黑"/>
        <w:b w:val="0"/>
        <w:bCs w:val="0"/>
      </w:rPr>
      <w:tblPr/>
      <w:tcPr>
        <w:tcBorders>
          <w:top w:val="nil"/>
          <w:left w:val="nil"/>
          <w:bottom w:val="nil"/>
          <w:right w:val="nil"/>
          <w:insideH w:val="nil"/>
          <w:insideV w:val="nil"/>
          <w:tl2br w:val="nil"/>
          <w:tr2bl w:val="nil"/>
        </w:tcBorders>
      </w:tcPr>
    </w:tblStylePr>
    <w:tblStylePr w:type="nwCell">
      <w:rPr>
        <w:rFonts w:cs="微软雅黑"/>
      </w:rPr>
      <w:tblPr/>
      <w:tcPr>
        <w:tcBorders>
          <w:top w:val="nil"/>
          <w:left w:val="nil"/>
          <w:bottom w:val="nil"/>
          <w:right w:val="nil"/>
          <w:insideH w:val="nil"/>
          <w:insideV w:val="nil"/>
          <w:tl2br w:val="single" w:color="000000" w:sz="6" w:space="0"/>
          <w:tr2bl w:val="nil"/>
        </w:tcBorders>
      </w:tcPr>
    </w:tblStylePr>
  </w:style>
  <w:style w:type="table" w:styleId="116">
    <w:name w:val="Table Grid 8"/>
    <w:basedOn w:val="76"/>
    <w:semiHidden/>
    <w:qFormat/>
    <w:uiPriority w:val="99"/>
    <w:pPr>
      <w:widowControl w:val="0"/>
      <w:spacing w:after="200" w:line="276" w:lineRule="auto"/>
    </w:pPr>
    <w:rPr>
      <w:rFonts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微软雅黑"/>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微软雅黑"/>
        <w:b/>
        <w:bCs/>
        <w:color w:val="auto"/>
      </w:rPr>
      <w:tblPr/>
      <w:tcPr>
        <w:tcBorders>
          <w:top w:val="nil"/>
          <w:left w:val="nil"/>
          <w:bottom w:val="nil"/>
          <w:right w:val="nil"/>
          <w:insideH w:val="nil"/>
          <w:insideV w:val="nil"/>
          <w:tl2br w:val="nil"/>
          <w:tr2bl w:val="nil"/>
        </w:tcBorders>
      </w:tcPr>
    </w:tblStylePr>
    <w:tblStylePr w:type="lastCol">
      <w:rPr>
        <w:rFonts w:cs="微软雅黑"/>
        <w:b/>
        <w:bCs/>
        <w:color w:val="auto"/>
      </w:rPr>
      <w:tblPr/>
      <w:tcPr>
        <w:tcBorders>
          <w:top w:val="nil"/>
          <w:left w:val="nil"/>
          <w:bottom w:val="nil"/>
          <w:right w:val="nil"/>
          <w:insideH w:val="nil"/>
          <w:insideV w:val="nil"/>
          <w:tl2br w:val="nil"/>
          <w:tr2bl w:val="nil"/>
        </w:tcBorders>
      </w:tcPr>
    </w:tblStylePr>
  </w:style>
  <w:style w:type="table" w:styleId="117">
    <w:name w:val="Table Web 1"/>
    <w:basedOn w:val="76"/>
    <w:semiHidden/>
    <w:qFormat/>
    <w:uiPriority w:val="99"/>
    <w:pPr>
      <w:widowControl w:val="0"/>
      <w:spacing w:after="200" w:line="276" w:lineRule="auto"/>
    </w:pPr>
    <w:rPr>
      <w:rFonts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8">
    <w:name w:val="Table Web 2"/>
    <w:basedOn w:val="76"/>
    <w:semiHidden/>
    <w:qFormat/>
    <w:uiPriority w:val="99"/>
    <w:pPr>
      <w:widowControl w:val="0"/>
      <w:spacing w:after="200" w:line="276" w:lineRule="auto"/>
    </w:pPr>
    <w:rPr>
      <w:rFonts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19">
    <w:name w:val="Table Web 3"/>
    <w:basedOn w:val="76"/>
    <w:semiHidden/>
    <w:qFormat/>
    <w:uiPriority w:val="99"/>
    <w:pPr>
      <w:widowControl w:val="0"/>
      <w:spacing w:after="200" w:line="276" w:lineRule="auto"/>
    </w:pPr>
    <w:rPr>
      <w:rFonts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微软雅黑"/>
        <w:color w:val="auto"/>
      </w:rPr>
      <w:tblPr/>
      <w:tcPr>
        <w:tcBorders>
          <w:top w:val="nil"/>
          <w:left w:val="nil"/>
          <w:bottom w:val="nil"/>
          <w:right w:val="nil"/>
          <w:insideH w:val="nil"/>
          <w:insideV w:val="nil"/>
          <w:tl2br w:val="nil"/>
          <w:tr2bl w:val="nil"/>
        </w:tcBorders>
      </w:tcPr>
    </w:tblStylePr>
  </w:style>
  <w:style w:type="table" w:styleId="120">
    <w:name w:val="Table Professional"/>
    <w:basedOn w:val="76"/>
    <w:semiHidden/>
    <w:qFormat/>
    <w:uiPriority w:val="99"/>
    <w:pPr>
      <w:widowControl w:val="0"/>
      <w:spacing w:after="200" w:line="276" w:lineRule="auto"/>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微软雅黑"/>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2">
    <w:name w:val="Strong"/>
    <w:qFormat/>
    <w:uiPriority w:val="0"/>
    <w:rPr>
      <w:rFonts w:cs="Times New Roman"/>
      <w:b/>
      <w:bCs/>
    </w:rPr>
  </w:style>
  <w:style w:type="character" w:styleId="123">
    <w:name w:val="page number"/>
    <w:basedOn w:val="121"/>
    <w:qFormat/>
    <w:uiPriority w:val="0"/>
    <w:rPr>
      <w:rFonts w:cs="Times New Roman"/>
    </w:rPr>
  </w:style>
  <w:style w:type="character" w:styleId="124">
    <w:name w:val="FollowedHyperlink"/>
    <w:qFormat/>
    <w:uiPriority w:val="0"/>
    <w:rPr>
      <w:rFonts w:cs="Times New Roman"/>
      <w:color w:val="1F4F88"/>
      <w:u w:val="none"/>
    </w:rPr>
  </w:style>
  <w:style w:type="character" w:styleId="125">
    <w:name w:val="Emphasis"/>
    <w:qFormat/>
    <w:uiPriority w:val="20"/>
    <w:rPr>
      <w:rFonts w:cs="Times New Roman"/>
      <w:color w:val="auto"/>
    </w:rPr>
  </w:style>
  <w:style w:type="character" w:styleId="126">
    <w:name w:val="line number"/>
    <w:qFormat/>
    <w:uiPriority w:val="99"/>
    <w:rPr>
      <w:rFonts w:cs="Times New Roman"/>
    </w:rPr>
  </w:style>
  <w:style w:type="character" w:styleId="127">
    <w:name w:val="HTML Definition"/>
    <w:semiHidden/>
    <w:qFormat/>
    <w:uiPriority w:val="99"/>
    <w:rPr>
      <w:rFonts w:cs="Times New Roman"/>
      <w:i/>
      <w:iCs/>
    </w:rPr>
  </w:style>
  <w:style w:type="character" w:styleId="128">
    <w:name w:val="HTML Typewriter"/>
    <w:semiHidden/>
    <w:qFormat/>
    <w:uiPriority w:val="99"/>
    <w:rPr>
      <w:rFonts w:ascii="Courier New" w:hAnsi="Courier New" w:cs="Courier New"/>
      <w:sz w:val="20"/>
      <w:szCs w:val="20"/>
    </w:rPr>
  </w:style>
  <w:style w:type="character" w:styleId="129">
    <w:name w:val="HTML Acronym"/>
    <w:semiHidden/>
    <w:qFormat/>
    <w:uiPriority w:val="99"/>
    <w:rPr>
      <w:rFonts w:cs="Times New Roman"/>
    </w:rPr>
  </w:style>
  <w:style w:type="character" w:styleId="130">
    <w:name w:val="HTML Variable"/>
    <w:semiHidden/>
    <w:qFormat/>
    <w:uiPriority w:val="99"/>
    <w:rPr>
      <w:rFonts w:cs="Times New Roman"/>
      <w:i/>
      <w:iCs/>
    </w:rPr>
  </w:style>
  <w:style w:type="character" w:styleId="131">
    <w:name w:val="Hyperlink"/>
    <w:basedOn w:val="121"/>
    <w:qFormat/>
    <w:uiPriority w:val="99"/>
    <w:rPr>
      <w:rFonts w:cs="Times New Roman"/>
      <w:color w:val="1F4F88"/>
      <w:u w:val="none"/>
    </w:rPr>
  </w:style>
  <w:style w:type="character" w:styleId="132">
    <w:name w:val="HTML Code"/>
    <w:semiHidden/>
    <w:qFormat/>
    <w:uiPriority w:val="99"/>
    <w:rPr>
      <w:rFonts w:ascii="Courier New" w:hAnsi="Courier New" w:cs="Courier New"/>
      <w:sz w:val="20"/>
      <w:szCs w:val="20"/>
    </w:rPr>
  </w:style>
  <w:style w:type="character" w:styleId="133">
    <w:name w:val="annotation reference"/>
    <w:qFormat/>
    <w:uiPriority w:val="99"/>
    <w:rPr>
      <w:rFonts w:cs="Times New Roman"/>
      <w:sz w:val="21"/>
      <w:szCs w:val="21"/>
    </w:rPr>
  </w:style>
  <w:style w:type="character" w:styleId="134">
    <w:name w:val="HTML Cite"/>
    <w:semiHidden/>
    <w:qFormat/>
    <w:uiPriority w:val="99"/>
    <w:rPr>
      <w:rFonts w:cs="Times New Roman"/>
      <w:i/>
      <w:iCs/>
    </w:rPr>
  </w:style>
  <w:style w:type="character" w:styleId="135">
    <w:name w:val="footnote reference"/>
    <w:semiHidden/>
    <w:qFormat/>
    <w:uiPriority w:val="0"/>
    <w:rPr>
      <w:vertAlign w:val="superscript"/>
    </w:rPr>
  </w:style>
  <w:style w:type="character" w:styleId="136">
    <w:name w:val="HTML Keyboard"/>
    <w:semiHidden/>
    <w:qFormat/>
    <w:uiPriority w:val="99"/>
    <w:rPr>
      <w:rFonts w:ascii="Courier New" w:hAnsi="Courier New" w:cs="Courier New"/>
      <w:sz w:val="20"/>
      <w:szCs w:val="20"/>
    </w:rPr>
  </w:style>
  <w:style w:type="character" w:styleId="137">
    <w:name w:val="HTML Sample"/>
    <w:semiHidden/>
    <w:qFormat/>
    <w:uiPriority w:val="99"/>
    <w:rPr>
      <w:rFonts w:ascii="Courier New" w:hAnsi="Courier New" w:cs="Courier New"/>
    </w:rPr>
  </w:style>
  <w:style w:type="character" w:customStyle="1" w:styleId="138">
    <w:name w:val="页眉 字符"/>
    <w:basedOn w:val="121"/>
    <w:link w:val="50"/>
    <w:qFormat/>
    <w:uiPriority w:val="0"/>
    <w:rPr>
      <w:sz w:val="18"/>
      <w:szCs w:val="18"/>
    </w:rPr>
  </w:style>
  <w:style w:type="character" w:customStyle="1" w:styleId="139">
    <w:name w:val="页脚 字符"/>
    <w:basedOn w:val="121"/>
    <w:link w:val="48"/>
    <w:qFormat/>
    <w:uiPriority w:val="99"/>
    <w:rPr>
      <w:sz w:val="18"/>
      <w:szCs w:val="18"/>
    </w:rPr>
  </w:style>
  <w:style w:type="character" w:customStyle="1" w:styleId="140">
    <w:name w:val="标题 1 字符"/>
    <w:basedOn w:val="121"/>
    <w:link w:val="2"/>
    <w:qFormat/>
    <w:uiPriority w:val="9"/>
    <w:rPr>
      <w:b/>
      <w:bCs/>
      <w:kern w:val="44"/>
      <w:sz w:val="44"/>
      <w:szCs w:val="44"/>
    </w:rPr>
  </w:style>
  <w:style w:type="character" w:customStyle="1" w:styleId="141">
    <w:name w:val="标题 2 字符"/>
    <w:basedOn w:val="121"/>
    <w:link w:val="3"/>
    <w:qFormat/>
    <w:uiPriority w:val="9"/>
    <w:rPr>
      <w:rFonts w:asciiTheme="majorHAnsi" w:hAnsiTheme="majorHAnsi" w:eastAsiaTheme="majorEastAsia" w:cstheme="majorBidi"/>
      <w:b/>
      <w:bCs/>
      <w:sz w:val="32"/>
      <w:szCs w:val="32"/>
    </w:rPr>
  </w:style>
  <w:style w:type="character" w:customStyle="1" w:styleId="142">
    <w:name w:val="标题 3 字符"/>
    <w:basedOn w:val="121"/>
    <w:link w:val="4"/>
    <w:qFormat/>
    <w:uiPriority w:val="99"/>
    <w:rPr>
      <w:b/>
      <w:bCs/>
      <w:sz w:val="32"/>
      <w:szCs w:val="32"/>
    </w:rPr>
  </w:style>
  <w:style w:type="character" w:customStyle="1" w:styleId="143">
    <w:name w:val="标题 4 字符"/>
    <w:basedOn w:val="121"/>
    <w:link w:val="5"/>
    <w:qFormat/>
    <w:uiPriority w:val="99"/>
    <w:rPr>
      <w:rFonts w:asciiTheme="majorHAnsi" w:hAnsiTheme="majorHAnsi" w:eastAsiaTheme="majorEastAsia" w:cstheme="majorBidi"/>
      <w:b/>
      <w:bCs/>
      <w:sz w:val="28"/>
      <w:szCs w:val="28"/>
    </w:rPr>
  </w:style>
  <w:style w:type="paragraph" w:customStyle="1" w:styleId="144">
    <w:name w:val="列出段落1"/>
    <w:basedOn w:val="1"/>
    <w:qFormat/>
    <w:uiPriority w:val="34"/>
    <w:pPr>
      <w:ind w:firstLine="420" w:firstLineChars="200"/>
    </w:pPr>
    <w:rPr>
      <w:rFonts w:ascii="Times New Roman" w:hAnsi="Times New Roman" w:eastAsia="宋体" w:cs="Times New Roman"/>
      <w:szCs w:val="24"/>
    </w:rPr>
  </w:style>
  <w:style w:type="character" w:customStyle="1" w:styleId="145">
    <w:name w:val="标题 5 字符"/>
    <w:basedOn w:val="121"/>
    <w:link w:val="6"/>
    <w:qFormat/>
    <w:uiPriority w:val="99"/>
    <w:rPr>
      <w:b/>
      <w:bCs/>
      <w:sz w:val="28"/>
      <w:szCs w:val="28"/>
    </w:rPr>
  </w:style>
  <w:style w:type="character" w:customStyle="1" w:styleId="146">
    <w:name w:val="正文文本 字符"/>
    <w:basedOn w:val="121"/>
    <w:link w:val="30"/>
    <w:qFormat/>
    <w:uiPriority w:val="99"/>
    <w:rPr>
      <w:rFonts w:ascii="Times New Roman" w:hAnsi="Times New Roman" w:eastAsia="宋体" w:cs="Times New Roman"/>
      <w:kern w:val="0"/>
      <w:szCs w:val="21"/>
    </w:rPr>
  </w:style>
  <w:style w:type="paragraph" w:customStyle="1" w:styleId="147">
    <w:name w:val="列出段落111"/>
    <w:basedOn w:val="1"/>
    <w:qFormat/>
    <w:uiPriority w:val="34"/>
    <w:pPr>
      <w:ind w:firstLine="420" w:firstLineChars="200"/>
    </w:pPr>
  </w:style>
  <w:style w:type="paragraph" w:customStyle="1" w:styleId="148">
    <w:name w:val="标书2级"/>
    <w:basedOn w:val="1"/>
    <w:qFormat/>
    <w:uiPriority w:val="0"/>
    <w:pPr>
      <w:numPr>
        <w:ilvl w:val="1"/>
        <w:numId w:val="2"/>
      </w:numPr>
      <w:spacing w:line="300" w:lineRule="auto"/>
      <w:jc w:val="left"/>
      <w:outlineLvl w:val="1"/>
    </w:pPr>
    <w:rPr>
      <w:rFonts w:ascii="Arial" w:hAnsi="Arial" w:cs="Arial"/>
      <w:b/>
      <w:bCs/>
      <w:sz w:val="24"/>
      <w:szCs w:val="20"/>
    </w:rPr>
  </w:style>
  <w:style w:type="paragraph" w:customStyle="1" w:styleId="149">
    <w:name w:val="标书3级"/>
    <w:basedOn w:val="1"/>
    <w:qFormat/>
    <w:uiPriority w:val="0"/>
    <w:pPr>
      <w:numPr>
        <w:ilvl w:val="2"/>
        <w:numId w:val="2"/>
      </w:numPr>
      <w:spacing w:line="300" w:lineRule="auto"/>
      <w:ind w:left="0" w:firstLine="100" w:firstLineChars="100"/>
      <w:jc w:val="left"/>
      <w:outlineLvl w:val="2"/>
    </w:pPr>
    <w:rPr>
      <w:rFonts w:ascii="Arial" w:hAnsi="Arial" w:cs="Arial"/>
      <w:bCs/>
      <w:kern w:val="0"/>
      <w:sz w:val="24"/>
      <w:szCs w:val="20"/>
    </w:rPr>
  </w:style>
  <w:style w:type="paragraph" w:customStyle="1" w:styleId="150">
    <w:name w:val="标书4级"/>
    <w:basedOn w:val="1"/>
    <w:qFormat/>
    <w:uiPriority w:val="0"/>
    <w:pPr>
      <w:numPr>
        <w:ilvl w:val="3"/>
        <w:numId w:val="2"/>
      </w:numPr>
      <w:spacing w:line="300" w:lineRule="auto"/>
      <w:ind w:left="0" w:firstLine="150" w:firstLineChars="150"/>
      <w:outlineLvl w:val="3"/>
    </w:pPr>
    <w:rPr>
      <w:rFonts w:ascii="Times New Roman" w:hAnsi="Times New Roman" w:cs="Arial"/>
      <w:sz w:val="24"/>
      <w:szCs w:val="20"/>
    </w:rPr>
  </w:style>
  <w:style w:type="paragraph" w:customStyle="1" w:styleId="151">
    <w:name w:val="列出段落2"/>
    <w:basedOn w:val="1"/>
    <w:link w:val="317"/>
    <w:qFormat/>
    <w:uiPriority w:val="0"/>
    <w:pPr>
      <w:ind w:firstLine="420" w:firstLineChars="200"/>
    </w:pPr>
    <w:rPr>
      <w:color w:val="262626"/>
      <w:kern w:val="0"/>
      <w:sz w:val="20"/>
      <w:szCs w:val="20"/>
    </w:rPr>
  </w:style>
  <w:style w:type="paragraph" w:customStyle="1" w:styleId="152">
    <w:name w:val="标书正文"/>
    <w:basedOn w:val="1"/>
    <w:qFormat/>
    <w:uiPriority w:val="0"/>
    <w:pPr>
      <w:spacing w:line="300" w:lineRule="auto"/>
      <w:ind w:firstLine="200" w:firstLineChars="200"/>
      <w:jc w:val="left"/>
    </w:pPr>
    <w:rPr>
      <w:rFonts w:ascii="宋体" w:hAnsi="宋体"/>
      <w:sz w:val="24"/>
      <w:szCs w:val="24"/>
    </w:rPr>
  </w:style>
  <w:style w:type="character" w:customStyle="1" w:styleId="153">
    <w:name w:val="文档结构图 字符"/>
    <w:basedOn w:val="121"/>
    <w:link w:val="23"/>
    <w:qFormat/>
    <w:uiPriority w:val="0"/>
    <w:rPr>
      <w:rFonts w:ascii="宋体" w:hAnsiTheme="minorHAnsi" w:cstheme="minorBidi"/>
      <w:kern w:val="2"/>
      <w:sz w:val="18"/>
      <w:szCs w:val="18"/>
    </w:rPr>
  </w:style>
  <w:style w:type="paragraph" w:customStyle="1" w:styleId="154">
    <w:name w:val="Default"/>
    <w:link w:val="304"/>
    <w:qFormat/>
    <w:uiPriority w:val="0"/>
    <w:pPr>
      <w:widowControl w:val="0"/>
      <w:autoSpaceDE w:val="0"/>
      <w:autoSpaceDN w:val="0"/>
      <w:adjustRightInd w:val="0"/>
    </w:pPr>
    <w:rPr>
      <w:rFonts w:ascii="NKGHNB+Arial" w:hAnsi="Times New Roman" w:eastAsia="NKGHNB+Arial" w:cs="NKGHNB+Arial"/>
      <w:color w:val="000000"/>
      <w:sz w:val="24"/>
      <w:szCs w:val="24"/>
      <w:lang w:val="en-US" w:eastAsia="zh-CN" w:bidi="ar-SA"/>
    </w:rPr>
  </w:style>
  <w:style w:type="paragraph" w:customStyle="1" w:styleId="155">
    <w:name w:val="标书正文+字母编号"/>
    <w:basedOn w:val="152"/>
    <w:qFormat/>
    <w:uiPriority w:val="0"/>
    <w:pPr>
      <w:numPr>
        <w:ilvl w:val="0"/>
        <w:numId w:val="3"/>
      </w:numPr>
      <w:ind w:firstLine="0" w:firstLineChars="0"/>
    </w:pPr>
    <w:rPr>
      <w:rFonts w:cs="Arial Unicode MS"/>
    </w:rPr>
  </w:style>
  <w:style w:type="paragraph" w:customStyle="1" w:styleId="156">
    <w:name w:val="Char1"/>
    <w:basedOn w:val="1"/>
    <w:qFormat/>
    <w:uiPriority w:val="0"/>
    <w:pPr>
      <w:widowControl/>
      <w:spacing w:after="160" w:line="240" w:lineRule="exact"/>
      <w:jc w:val="left"/>
    </w:pPr>
    <w:rPr>
      <w:rFonts w:ascii="Verdana" w:hAnsi="Verdana"/>
      <w:kern w:val="0"/>
      <w:sz w:val="20"/>
      <w:szCs w:val="20"/>
      <w:lang w:eastAsia="en-US"/>
    </w:rPr>
  </w:style>
  <w:style w:type="character" w:customStyle="1" w:styleId="157">
    <w:name w:val="标题 6 字符"/>
    <w:link w:val="7"/>
    <w:qFormat/>
    <w:uiPriority w:val="99"/>
    <w:rPr>
      <w:rFonts w:ascii="Arial" w:hAnsi="Arial" w:eastAsia="黑体"/>
      <w:b/>
      <w:sz w:val="24"/>
    </w:rPr>
  </w:style>
  <w:style w:type="character" w:customStyle="1" w:styleId="158">
    <w:name w:val="标题 7 字符"/>
    <w:basedOn w:val="121"/>
    <w:link w:val="8"/>
    <w:qFormat/>
    <w:uiPriority w:val="99"/>
    <w:rPr>
      <w:b/>
      <w:bCs/>
      <w:sz w:val="24"/>
      <w:szCs w:val="24"/>
    </w:rPr>
  </w:style>
  <w:style w:type="character" w:customStyle="1" w:styleId="159">
    <w:name w:val="标题 8 字符"/>
    <w:basedOn w:val="121"/>
    <w:link w:val="9"/>
    <w:qFormat/>
    <w:uiPriority w:val="99"/>
    <w:rPr>
      <w:rFonts w:ascii="Cambria" w:hAnsi="Cambria"/>
      <w:sz w:val="24"/>
      <w:szCs w:val="24"/>
    </w:rPr>
  </w:style>
  <w:style w:type="character" w:customStyle="1" w:styleId="160">
    <w:name w:val="标题 9 字符"/>
    <w:basedOn w:val="121"/>
    <w:link w:val="10"/>
    <w:qFormat/>
    <w:uiPriority w:val="99"/>
    <w:rPr>
      <w:rFonts w:ascii="Cambria" w:hAnsi="Cambria"/>
      <w:sz w:val="21"/>
      <w:szCs w:val="21"/>
    </w:rPr>
  </w:style>
  <w:style w:type="character" w:customStyle="1" w:styleId="161">
    <w:name w:val="注释标题 字符"/>
    <w:basedOn w:val="121"/>
    <w:link w:val="15"/>
    <w:semiHidden/>
    <w:qFormat/>
    <w:uiPriority w:val="99"/>
    <w:rPr>
      <w:sz w:val="21"/>
      <w:szCs w:val="21"/>
    </w:rPr>
  </w:style>
  <w:style w:type="character" w:customStyle="1" w:styleId="162">
    <w:name w:val="电子邮件签名 字符"/>
    <w:basedOn w:val="121"/>
    <w:link w:val="17"/>
    <w:semiHidden/>
    <w:qFormat/>
    <w:uiPriority w:val="99"/>
    <w:rPr>
      <w:sz w:val="21"/>
      <w:szCs w:val="21"/>
    </w:rPr>
  </w:style>
  <w:style w:type="character" w:customStyle="1" w:styleId="163">
    <w:name w:val="批注文字 字符"/>
    <w:basedOn w:val="121"/>
    <w:link w:val="25"/>
    <w:qFormat/>
    <w:uiPriority w:val="99"/>
    <w:rPr>
      <w:sz w:val="21"/>
      <w:szCs w:val="21"/>
    </w:rPr>
  </w:style>
  <w:style w:type="character" w:customStyle="1" w:styleId="164">
    <w:name w:val="称呼 字符"/>
    <w:basedOn w:val="121"/>
    <w:link w:val="26"/>
    <w:qFormat/>
    <w:uiPriority w:val="99"/>
    <w:rPr>
      <w:sz w:val="21"/>
      <w:szCs w:val="21"/>
    </w:rPr>
  </w:style>
  <w:style w:type="character" w:customStyle="1" w:styleId="165">
    <w:name w:val="正文文本 3 字符"/>
    <w:basedOn w:val="121"/>
    <w:link w:val="27"/>
    <w:qFormat/>
    <w:uiPriority w:val="99"/>
    <w:rPr>
      <w:sz w:val="16"/>
      <w:szCs w:val="16"/>
    </w:rPr>
  </w:style>
  <w:style w:type="character" w:customStyle="1" w:styleId="166">
    <w:name w:val="结束语 字符"/>
    <w:basedOn w:val="121"/>
    <w:link w:val="28"/>
    <w:semiHidden/>
    <w:qFormat/>
    <w:uiPriority w:val="99"/>
    <w:rPr>
      <w:sz w:val="21"/>
      <w:szCs w:val="21"/>
    </w:rPr>
  </w:style>
  <w:style w:type="character" w:customStyle="1" w:styleId="167">
    <w:name w:val="正文文本缩进 字符"/>
    <w:basedOn w:val="121"/>
    <w:link w:val="31"/>
    <w:qFormat/>
    <w:uiPriority w:val="0"/>
    <w:rPr>
      <w:sz w:val="21"/>
      <w:szCs w:val="21"/>
    </w:rPr>
  </w:style>
  <w:style w:type="character" w:customStyle="1" w:styleId="168">
    <w:name w:val="HTML 地址 字符"/>
    <w:basedOn w:val="121"/>
    <w:link w:val="37"/>
    <w:semiHidden/>
    <w:qFormat/>
    <w:uiPriority w:val="99"/>
    <w:rPr>
      <w:i/>
      <w:iCs/>
      <w:sz w:val="21"/>
      <w:szCs w:val="21"/>
    </w:rPr>
  </w:style>
  <w:style w:type="character" w:customStyle="1" w:styleId="169">
    <w:name w:val="纯文本 字符1"/>
    <w:basedOn w:val="121"/>
    <w:link w:val="40"/>
    <w:qFormat/>
    <w:uiPriority w:val="0"/>
    <w:rPr>
      <w:rFonts w:ascii="宋体" w:hAnsi="Courier New"/>
      <w:sz w:val="21"/>
      <w:szCs w:val="21"/>
    </w:rPr>
  </w:style>
  <w:style w:type="character" w:customStyle="1" w:styleId="170">
    <w:name w:val="日期 字符"/>
    <w:basedOn w:val="121"/>
    <w:link w:val="44"/>
    <w:qFormat/>
    <w:uiPriority w:val="0"/>
    <w:rPr>
      <w:sz w:val="21"/>
      <w:szCs w:val="21"/>
    </w:rPr>
  </w:style>
  <w:style w:type="character" w:customStyle="1" w:styleId="171">
    <w:name w:val="批注框文本 字符"/>
    <w:basedOn w:val="121"/>
    <w:link w:val="47"/>
    <w:qFormat/>
    <w:uiPriority w:val="99"/>
    <w:rPr>
      <w:kern w:val="2"/>
      <w:sz w:val="18"/>
      <w:szCs w:val="18"/>
    </w:rPr>
  </w:style>
  <w:style w:type="character" w:customStyle="1" w:styleId="172">
    <w:name w:val="签名 字符"/>
    <w:basedOn w:val="121"/>
    <w:link w:val="51"/>
    <w:qFormat/>
    <w:uiPriority w:val="99"/>
    <w:rPr>
      <w:sz w:val="21"/>
      <w:szCs w:val="21"/>
    </w:rPr>
  </w:style>
  <w:style w:type="character" w:customStyle="1" w:styleId="173">
    <w:name w:val="副标题 字符"/>
    <w:basedOn w:val="121"/>
    <w:link w:val="55"/>
    <w:qFormat/>
    <w:uiPriority w:val="99"/>
    <w:rPr>
      <w:rFonts w:ascii="Cambria" w:hAnsi="Cambria"/>
      <w:b/>
      <w:bCs/>
      <w:kern w:val="28"/>
      <w:sz w:val="32"/>
      <w:szCs w:val="32"/>
    </w:rPr>
  </w:style>
  <w:style w:type="character" w:customStyle="1" w:styleId="174">
    <w:name w:val="脚注文本 字符"/>
    <w:basedOn w:val="121"/>
    <w:link w:val="58"/>
    <w:semiHidden/>
    <w:qFormat/>
    <w:uiPriority w:val="0"/>
    <w:rPr>
      <w:kern w:val="2"/>
      <w:sz w:val="18"/>
      <w:szCs w:val="18"/>
    </w:rPr>
  </w:style>
  <w:style w:type="character" w:customStyle="1" w:styleId="175">
    <w:name w:val="正文文本缩进 3 字符"/>
    <w:basedOn w:val="121"/>
    <w:link w:val="61"/>
    <w:qFormat/>
    <w:uiPriority w:val="0"/>
    <w:rPr>
      <w:sz w:val="16"/>
      <w:szCs w:val="16"/>
    </w:rPr>
  </w:style>
  <w:style w:type="character" w:customStyle="1" w:styleId="176">
    <w:name w:val="正文文本 2 字符"/>
    <w:basedOn w:val="121"/>
    <w:link w:val="64"/>
    <w:qFormat/>
    <w:uiPriority w:val="99"/>
    <w:rPr>
      <w:sz w:val="21"/>
      <w:szCs w:val="21"/>
    </w:rPr>
  </w:style>
  <w:style w:type="character" w:customStyle="1" w:styleId="177">
    <w:name w:val="信息标题 字符"/>
    <w:basedOn w:val="121"/>
    <w:link w:val="67"/>
    <w:semiHidden/>
    <w:qFormat/>
    <w:uiPriority w:val="99"/>
    <w:rPr>
      <w:rFonts w:ascii="Cambria" w:hAnsi="Cambria"/>
      <w:sz w:val="24"/>
      <w:szCs w:val="24"/>
      <w:shd w:val="pct20" w:color="auto" w:fill="auto"/>
    </w:rPr>
  </w:style>
  <w:style w:type="character" w:customStyle="1" w:styleId="178">
    <w:name w:val="HTML 预设格式 字符"/>
    <w:basedOn w:val="121"/>
    <w:link w:val="68"/>
    <w:semiHidden/>
    <w:qFormat/>
    <w:uiPriority w:val="99"/>
    <w:rPr>
      <w:rFonts w:ascii="Courier New" w:hAnsi="Courier New"/>
    </w:rPr>
  </w:style>
  <w:style w:type="character" w:customStyle="1" w:styleId="179">
    <w:name w:val="标题 字符"/>
    <w:basedOn w:val="121"/>
    <w:link w:val="72"/>
    <w:qFormat/>
    <w:uiPriority w:val="0"/>
    <w:rPr>
      <w:rFonts w:ascii="Cambria" w:hAnsi="Cambria"/>
      <w:b/>
      <w:bCs/>
      <w:sz w:val="32"/>
      <w:szCs w:val="32"/>
    </w:rPr>
  </w:style>
  <w:style w:type="character" w:customStyle="1" w:styleId="180">
    <w:name w:val="批注主题 字符"/>
    <w:basedOn w:val="163"/>
    <w:link w:val="73"/>
    <w:semiHidden/>
    <w:qFormat/>
    <w:uiPriority w:val="99"/>
    <w:rPr>
      <w:rFonts w:ascii="Calibri" w:hAnsi="Calibri"/>
      <w:b/>
      <w:bCs/>
      <w:sz w:val="21"/>
      <w:szCs w:val="21"/>
      <w:lang w:eastAsia="en-US"/>
    </w:rPr>
  </w:style>
  <w:style w:type="character" w:customStyle="1" w:styleId="181">
    <w:name w:val="正文文本首行缩进 字符"/>
    <w:basedOn w:val="146"/>
    <w:link w:val="74"/>
    <w:qFormat/>
    <w:uiPriority w:val="99"/>
    <w:rPr>
      <w:rFonts w:ascii="Times New Roman" w:hAnsi="Times New Roman" w:eastAsia="宋体" w:cs="Times New Roman"/>
      <w:kern w:val="0"/>
      <w:sz w:val="21"/>
      <w:szCs w:val="21"/>
    </w:rPr>
  </w:style>
  <w:style w:type="character" w:customStyle="1" w:styleId="182">
    <w:name w:val="正文文本首行缩进 2 字符"/>
    <w:basedOn w:val="167"/>
    <w:link w:val="75"/>
    <w:semiHidden/>
    <w:qFormat/>
    <w:uiPriority w:val="99"/>
    <w:rPr>
      <w:sz w:val="21"/>
      <w:szCs w:val="21"/>
    </w:rPr>
  </w:style>
  <w:style w:type="paragraph" w:customStyle="1" w:styleId="183">
    <w:name w:val="_Style 137"/>
    <w:unhideWhenUsed/>
    <w:qFormat/>
    <w:uiPriority w:val="99"/>
    <w:rPr>
      <w:rFonts w:ascii="Times New Roman" w:hAnsi="Times New Roman" w:eastAsia="宋体" w:cs="Times New Roman"/>
      <w:kern w:val="2"/>
      <w:sz w:val="21"/>
      <w:szCs w:val="21"/>
      <w:lang w:val="en-US" w:eastAsia="zh-CN" w:bidi="ar-SA"/>
    </w:rPr>
  </w:style>
  <w:style w:type="paragraph" w:customStyle="1" w:styleId="184">
    <w:name w:val="表内文字"/>
    <w:basedOn w:val="1"/>
    <w:qFormat/>
    <w:uiPriority w:val="0"/>
    <w:pPr>
      <w:spacing w:line="360" w:lineRule="auto"/>
      <w:jc w:val="center"/>
    </w:pPr>
    <w:rPr>
      <w:rFonts w:ascii="宋体" w:hAnsi="宋体" w:eastAsia="宋体" w:cs="Times New Roman"/>
      <w:b/>
      <w:bCs/>
      <w:sz w:val="28"/>
      <w:szCs w:val="24"/>
    </w:rPr>
  </w:style>
  <w:style w:type="paragraph" w:customStyle="1" w:styleId="185">
    <w:name w:val="1正文段落"/>
    <w:basedOn w:val="1"/>
    <w:qFormat/>
    <w:uiPriority w:val="0"/>
    <w:pPr>
      <w:spacing w:line="360" w:lineRule="auto"/>
      <w:ind w:firstLine="480" w:firstLineChars="200"/>
      <w:jc w:val="left"/>
    </w:pPr>
    <w:rPr>
      <w:rFonts w:ascii="Times New Roman" w:hAnsi="Times New Roman" w:eastAsia="宋体" w:cs="Times New Roman"/>
      <w:snapToGrid w:val="0"/>
      <w:kern w:val="0"/>
      <w:sz w:val="24"/>
      <w:szCs w:val="24"/>
    </w:rPr>
  </w:style>
  <w:style w:type="paragraph" w:customStyle="1" w:styleId="186">
    <w:name w:val="HR标题7"/>
    <w:basedOn w:val="1"/>
    <w:next w:val="187"/>
    <w:qFormat/>
    <w:uiPriority w:val="0"/>
    <w:pPr>
      <w:numPr>
        <w:ilvl w:val="6"/>
        <w:numId w:val="1"/>
      </w:numPr>
      <w:tabs>
        <w:tab w:val="left" w:pos="1332"/>
      </w:tabs>
      <w:spacing w:line="360" w:lineRule="auto"/>
      <w:outlineLvl w:val="6"/>
    </w:pPr>
    <w:rPr>
      <w:rFonts w:ascii="Times New Roman" w:hAnsi="Times New Roman" w:eastAsia="宋体" w:cs="Times New Roman"/>
      <w:sz w:val="24"/>
      <w:szCs w:val="24"/>
    </w:rPr>
  </w:style>
  <w:style w:type="paragraph" w:customStyle="1" w:styleId="187">
    <w:name w:val="HR正文"/>
    <w:basedOn w:val="1"/>
    <w:link w:val="315"/>
    <w:qFormat/>
    <w:uiPriority w:val="0"/>
    <w:pPr>
      <w:spacing w:line="300" w:lineRule="auto"/>
      <w:ind w:firstLine="200" w:firstLineChars="200"/>
    </w:pPr>
    <w:rPr>
      <w:rFonts w:ascii="Calibri" w:hAnsi="Calibri" w:eastAsia="宋体" w:cs="Times New Roman"/>
      <w:sz w:val="24"/>
      <w:szCs w:val="24"/>
    </w:rPr>
  </w:style>
  <w:style w:type="paragraph" w:customStyle="1" w:styleId="188">
    <w:name w:val="_Style 142"/>
    <w:basedOn w:val="2"/>
    <w:next w:val="1"/>
    <w:qFormat/>
    <w:uiPriority w:val="39"/>
    <w:pPr>
      <w:outlineLvl w:val="9"/>
    </w:pPr>
    <w:rPr>
      <w:rFonts w:ascii="Times New Roman" w:hAnsi="Times New Roman" w:eastAsia="宋体" w:cs="Times New Roman"/>
    </w:rPr>
  </w:style>
  <w:style w:type="paragraph" w:customStyle="1" w:styleId="189">
    <w:name w:val="Char Char 字元 字元 字元 Char Char Char Char"/>
    <w:basedOn w:val="1"/>
    <w:qFormat/>
    <w:uiPriority w:val="99"/>
    <w:pPr>
      <w:adjustRightInd w:val="0"/>
      <w:spacing w:line="360" w:lineRule="auto"/>
    </w:pPr>
    <w:rPr>
      <w:rFonts w:ascii="Times New Roman" w:hAnsi="Times New Roman" w:eastAsia="宋体" w:cs="Times New Roman"/>
      <w:kern w:val="0"/>
      <w:sz w:val="24"/>
      <w:szCs w:val="24"/>
    </w:rPr>
  </w:style>
  <w:style w:type="paragraph" w:customStyle="1" w:styleId="190">
    <w:name w:val="111111"/>
    <w:basedOn w:val="72"/>
    <w:qFormat/>
    <w:uiPriority w:val="99"/>
    <w:pPr>
      <w:jc w:val="both"/>
    </w:pPr>
  </w:style>
  <w:style w:type="paragraph" w:customStyle="1" w:styleId="191">
    <w:name w:val="插图标注（绿盟科技）"/>
    <w:next w:val="1"/>
    <w:semiHidden/>
    <w:qFormat/>
    <w:uiPriority w:val="99"/>
    <w:pPr>
      <w:tabs>
        <w:tab w:val="left" w:pos="1680"/>
      </w:tabs>
      <w:spacing w:after="156"/>
      <w:ind w:left="426"/>
      <w:jc w:val="center"/>
    </w:pPr>
    <w:rPr>
      <w:rFonts w:ascii="Arial" w:hAnsi="Arial" w:eastAsia="宋体" w:cs="Arial"/>
      <w:sz w:val="21"/>
      <w:szCs w:val="21"/>
      <w:lang w:val="en-US" w:eastAsia="zh-CN" w:bidi="ar-SA"/>
    </w:rPr>
  </w:style>
  <w:style w:type="paragraph" w:customStyle="1" w:styleId="192">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193">
    <w:name w:val="p0"/>
    <w:basedOn w:val="1"/>
    <w:semiHidden/>
    <w:qFormat/>
    <w:uiPriority w:val="99"/>
    <w:pPr>
      <w:widowControl/>
      <w:spacing w:after="200" w:line="273" w:lineRule="auto"/>
      <w:jc w:val="left"/>
    </w:pPr>
    <w:rPr>
      <w:rFonts w:ascii="Calibri" w:hAnsi="Calibri" w:eastAsia="宋体" w:cs="Calibri"/>
      <w:kern w:val="0"/>
      <w:sz w:val="22"/>
    </w:rPr>
  </w:style>
  <w:style w:type="paragraph" w:customStyle="1" w:styleId="194">
    <w:name w:val="样式7"/>
    <w:basedOn w:val="1"/>
    <w:qFormat/>
    <w:uiPriority w:val="0"/>
    <w:pPr>
      <w:widowControl/>
      <w:spacing w:line="480" w:lineRule="exact"/>
      <w:jc w:val="center"/>
    </w:pPr>
    <w:rPr>
      <w:rFonts w:ascii="Times New Roman" w:hAnsi="Times New Roman" w:eastAsia="方正大标宋简体" w:cs="Times New Roman"/>
      <w:spacing w:val="6"/>
      <w:kern w:val="0"/>
      <w:sz w:val="44"/>
      <w:szCs w:val="20"/>
    </w:rPr>
  </w:style>
  <w:style w:type="paragraph" w:customStyle="1" w:styleId="195">
    <w:name w:val="样式 正文文本 + 段前: 0.5 行 段后: 0.5 行3"/>
    <w:basedOn w:val="30"/>
    <w:qFormat/>
    <w:uiPriority w:val="0"/>
    <w:pPr>
      <w:numPr>
        <w:ilvl w:val="1"/>
        <w:numId w:val="4"/>
      </w:numPr>
      <w:spacing w:after="0" w:line="360" w:lineRule="auto"/>
    </w:pPr>
    <w:rPr>
      <w:rFonts w:cs="宋体"/>
      <w:kern w:val="2"/>
      <w:sz w:val="24"/>
      <w:szCs w:val="20"/>
      <w:lang w:val="zh-CN"/>
    </w:rPr>
  </w:style>
  <w:style w:type="paragraph" w:customStyle="1" w:styleId="196">
    <w:name w:val="样式4"/>
    <w:basedOn w:val="197"/>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cs="Calibri"/>
    </w:rPr>
  </w:style>
  <w:style w:type="paragraph" w:customStyle="1" w:styleId="197">
    <w:name w:val="样式2"/>
    <w:basedOn w:val="6"/>
    <w:qFormat/>
    <w:uiPriority w:val="99"/>
    <w:pPr>
      <w:autoSpaceDE w:val="0"/>
      <w:autoSpaceDN w:val="0"/>
      <w:adjustRightInd w:val="0"/>
      <w:spacing w:before="240" w:after="240" w:line="500" w:lineRule="exact"/>
      <w:ind w:firstLine="204" w:firstLineChars="204"/>
      <w:jc w:val="left"/>
    </w:pPr>
    <w:rPr>
      <w:rFonts w:ascii="宋体" w:hAnsi="宋体" w:eastAsia="宋体" w:cs="宋体"/>
      <w:kern w:val="0"/>
      <w:sz w:val="24"/>
      <w:szCs w:val="24"/>
    </w:rPr>
  </w:style>
  <w:style w:type="paragraph" w:customStyle="1" w:styleId="198">
    <w:name w:val="文字正文"/>
    <w:basedOn w:val="1"/>
    <w:qFormat/>
    <w:uiPriority w:val="0"/>
    <w:rPr>
      <w:rFonts w:ascii="Times New Roman" w:hAnsi="Times New Roman" w:eastAsia="宋体" w:cs="Times New Roman"/>
      <w:szCs w:val="24"/>
    </w:rPr>
  </w:style>
  <w:style w:type="paragraph" w:customStyle="1" w:styleId="199">
    <w:name w:val="style0"/>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00">
    <w:name w:val="列出段落3"/>
    <w:basedOn w:val="1"/>
    <w:qFormat/>
    <w:uiPriority w:val="0"/>
    <w:pPr>
      <w:ind w:firstLine="420" w:firstLineChars="200"/>
    </w:pPr>
    <w:rPr>
      <w:rFonts w:ascii="Calibri" w:hAnsi="Calibri" w:eastAsia="宋体" w:cs="Times New Roman"/>
      <w:sz w:val="22"/>
    </w:rPr>
  </w:style>
  <w:style w:type="paragraph" w:customStyle="1" w:styleId="201">
    <w:name w:val="xl72"/>
    <w:basedOn w:val="1"/>
    <w:qFormat/>
    <w:uiPriority w:val="99"/>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202">
    <w:name w:val="xl78"/>
    <w:basedOn w:val="1"/>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黑体"/>
      <w:b/>
      <w:bCs/>
      <w:kern w:val="0"/>
      <w:sz w:val="28"/>
      <w:szCs w:val="28"/>
    </w:rPr>
  </w:style>
  <w:style w:type="paragraph" w:customStyle="1" w:styleId="203">
    <w:name w:val="1列"/>
    <w:basedOn w:val="1"/>
    <w:qFormat/>
    <w:uiPriority w:val="0"/>
    <w:pPr>
      <w:numPr>
        <w:ilvl w:val="0"/>
        <w:numId w:val="5"/>
      </w:numPr>
      <w:spacing w:line="360" w:lineRule="auto"/>
    </w:pPr>
    <w:rPr>
      <w:rFonts w:ascii="Times New Roman" w:hAnsi="Times New Roman" w:eastAsia="宋体" w:cs="Times New Roman"/>
      <w:szCs w:val="24"/>
    </w:rPr>
  </w:style>
  <w:style w:type="paragraph" w:customStyle="1" w:styleId="204">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05">
    <w:name w:val="xl2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06">
    <w:name w:val="HR标题4"/>
    <w:basedOn w:val="1"/>
    <w:next w:val="187"/>
    <w:qFormat/>
    <w:uiPriority w:val="0"/>
    <w:pPr>
      <w:numPr>
        <w:ilvl w:val="3"/>
        <w:numId w:val="1"/>
      </w:numPr>
      <w:tabs>
        <w:tab w:val="left" w:pos="974"/>
      </w:tabs>
      <w:spacing w:line="360" w:lineRule="auto"/>
      <w:outlineLvl w:val="3"/>
    </w:pPr>
    <w:rPr>
      <w:rFonts w:ascii="Times New Roman" w:hAnsi="Times New Roman" w:eastAsia="宋体" w:cs="Times New Roman"/>
      <w:sz w:val="24"/>
      <w:szCs w:val="24"/>
    </w:rPr>
  </w:style>
  <w:style w:type="paragraph" w:customStyle="1" w:styleId="207">
    <w:name w:val="HR标题6"/>
    <w:basedOn w:val="1"/>
    <w:next w:val="187"/>
    <w:qFormat/>
    <w:uiPriority w:val="0"/>
    <w:pPr>
      <w:tabs>
        <w:tab w:val="left" w:pos="1134"/>
        <w:tab w:val="left" w:pos="2520"/>
      </w:tabs>
      <w:spacing w:line="360" w:lineRule="auto"/>
      <w:ind w:left="2520" w:hanging="420"/>
      <w:outlineLvl w:val="5"/>
    </w:pPr>
    <w:rPr>
      <w:rFonts w:ascii="Times New Roman" w:hAnsi="Times New Roman" w:eastAsia="宋体" w:cs="Times New Roman"/>
      <w:sz w:val="24"/>
      <w:szCs w:val="24"/>
    </w:rPr>
  </w:style>
  <w:style w:type="paragraph" w:customStyle="1" w:styleId="208">
    <w:name w:val="xl37"/>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09">
    <w:name w:val="A Lieferumfang Aufzählung"/>
    <w:basedOn w:val="1"/>
    <w:qFormat/>
    <w:uiPriority w:val="99"/>
    <w:pPr>
      <w:keepNext/>
      <w:widowControl/>
      <w:numPr>
        <w:ilvl w:val="0"/>
        <w:numId w:val="6"/>
      </w:numPr>
      <w:tabs>
        <w:tab w:val="left" w:pos="1701"/>
      </w:tabs>
      <w:spacing w:line="360" w:lineRule="auto"/>
      <w:jc w:val="left"/>
    </w:pPr>
    <w:rPr>
      <w:rFonts w:ascii="Arial" w:hAnsi="Arial" w:eastAsia="宋体" w:cs="Times New Roman"/>
      <w:kern w:val="0"/>
      <w:sz w:val="20"/>
      <w:szCs w:val="20"/>
      <w:lang w:val="de-DE" w:eastAsia="de-DE"/>
    </w:rPr>
  </w:style>
  <w:style w:type="paragraph" w:customStyle="1" w:styleId="210">
    <w:name w:val="样式目录三"/>
    <w:basedOn w:val="39"/>
    <w:semiHidden/>
    <w:qFormat/>
    <w:uiPriority w:val="99"/>
    <w:pPr>
      <w:numPr>
        <w:ilvl w:val="5"/>
        <w:numId w:val="1"/>
      </w:numPr>
      <w:tabs>
        <w:tab w:val="left" w:pos="1320"/>
        <w:tab w:val="right" w:leader="dot" w:pos="8597"/>
      </w:tabs>
      <w:ind w:left="0" w:firstLine="0"/>
      <w:outlineLvl w:val="2"/>
    </w:pPr>
    <w:rPr>
      <w:iCs w:val="0"/>
      <w:szCs w:val="24"/>
    </w:rPr>
  </w:style>
  <w:style w:type="paragraph" w:customStyle="1" w:styleId="211">
    <w:name w:val="xl3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12">
    <w:name w:val="xl3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13">
    <w:name w:val="列出段落4"/>
    <w:basedOn w:val="1"/>
    <w:qFormat/>
    <w:uiPriority w:val="0"/>
    <w:pPr>
      <w:ind w:firstLine="420" w:firstLineChars="200"/>
    </w:pPr>
    <w:rPr>
      <w:rFonts w:ascii="Calibri" w:hAnsi="Calibri" w:eastAsia="Times New Roman" w:cs="Times New Roman"/>
      <w:sz w:val="22"/>
    </w:rPr>
  </w:style>
  <w:style w:type="paragraph" w:customStyle="1" w:styleId="214">
    <w:name w:val="scfErstekopfzeile"/>
    <w:basedOn w:val="1"/>
    <w:qFormat/>
    <w:uiPriority w:val="99"/>
    <w:pPr>
      <w:widowControl/>
      <w:tabs>
        <w:tab w:val="left" w:pos="1701"/>
      </w:tabs>
      <w:jc w:val="left"/>
    </w:pPr>
    <w:rPr>
      <w:rFonts w:ascii="Arial" w:hAnsi="Arial" w:eastAsia="宋体" w:cs="Times New Roman"/>
      <w:vanish/>
      <w:kern w:val="0"/>
      <w:sz w:val="16"/>
      <w:szCs w:val="20"/>
      <w:lang w:val="de-DE" w:eastAsia="en-US"/>
    </w:rPr>
  </w:style>
  <w:style w:type="paragraph" w:customStyle="1" w:styleId="215">
    <w:name w:val="xl47"/>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16">
    <w:name w:val="需求书2"/>
    <w:basedOn w:val="1"/>
    <w:qFormat/>
    <w:uiPriority w:val="0"/>
    <w:pPr>
      <w:spacing w:line="400" w:lineRule="exact"/>
    </w:pPr>
    <w:rPr>
      <w:rFonts w:ascii="黑体" w:hAnsi="Calibri" w:eastAsia="黑体" w:cs="Times New Roman"/>
      <w:b/>
      <w:bCs/>
      <w:sz w:val="32"/>
      <w:szCs w:val="20"/>
    </w:rPr>
  </w:style>
  <w:style w:type="paragraph" w:customStyle="1" w:styleId="217">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18">
    <w:name w:val="样式 段前: 0.5 行 段后: 0.5 行"/>
    <w:basedOn w:val="1"/>
    <w:qFormat/>
    <w:uiPriority w:val="0"/>
    <w:pPr>
      <w:spacing w:beforeLines="50" w:afterLines="50" w:line="360" w:lineRule="auto"/>
      <w:ind w:left="420" w:leftChars="200" w:firstLine="240" w:firstLineChars="100"/>
    </w:pPr>
    <w:rPr>
      <w:rFonts w:ascii="仿宋_GB2312" w:hAnsi="Times New Roman" w:eastAsia="仿宋_GB2312" w:cs="宋体"/>
      <w:sz w:val="24"/>
      <w:szCs w:val="20"/>
    </w:rPr>
  </w:style>
  <w:style w:type="paragraph" w:customStyle="1" w:styleId="21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20">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21">
    <w:name w:val="xl33"/>
    <w:basedOn w:val="199"/>
    <w:qFormat/>
    <w:uiPriority w:val="99"/>
    <w:pPr>
      <w:pBdr>
        <w:bottom w:val="single" w:color="auto" w:sz="4" w:space="0"/>
        <w:right w:val="single" w:color="auto" w:sz="4" w:space="0"/>
      </w:pBdr>
      <w:jc w:val="center"/>
    </w:pPr>
    <w:rPr>
      <w:sz w:val="20"/>
      <w:szCs w:val="20"/>
    </w:rPr>
  </w:style>
  <w:style w:type="paragraph" w:customStyle="1" w:styleId="222">
    <w:name w:val="Char Char1 Char Char Char Char"/>
    <w:basedOn w:val="1"/>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仿宋_GB2312"/>
      <w:kern w:val="0"/>
      <w:sz w:val="24"/>
      <w:szCs w:val="24"/>
    </w:rPr>
  </w:style>
  <w:style w:type="paragraph" w:customStyle="1" w:styleId="223">
    <w:name w:val="List Paragraph1"/>
    <w:basedOn w:val="1"/>
    <w:link w:val="306"/>
    <w:qFormat/>
    <w:uiPriority w:val="34"/>
    <w:pPr>
      <w:spacing w:line="360" w:lineRule="auto"/>
      <w:ind w:firstLine="480" w:firstLineChars="200"/>
    </w:pPr>
    <w:rPr>
      <w:rFonts w:ascii="Times New Roman" w:hAnsi="Times New Roman" w:eastAsia="宋体" w:cs="Times New Roman"/>
      <w:color w:val="262626"/>
      <w:kern w:val="0"/>
      <w:sz w:val="20"/>
      <w:szCs w:val="20"/>
    </w:rPr>
  </w:style>
  <w:style w:type="paragraph" w:customStyle="1" w:styleId="224">
    <w:name w:val="样式5"/>
    <w:basedOn w:val="1"/>
    <w:next w:val="39"/>
    <w:qFormat/>
    <w:uiPriority w:val="99"/>
    <w:pPr>
      <w:tabs>
        <w:tab w:val="left" w:pos="980"/>
      </w:tabs>
      <w:spacing w:line="360" w:lineRule="auto"/>
      <w:ind w:left="140" w:right="-20"/>
      <w:outlineLvl w:val="0"/>
    </w:pPr>
    <w:rPr>
      <w:rFonts w:ascii="Times New Roman" w:hAnsi="Times New Roman" w:eastAsia="宋体" w:cs="Times New Roman"/>
      <w:b/>
      <w:bCs/>
      <w:kern w:val="0"/>
      <w:sz w:val="28"/>
      <w:szCs w:val="28"/>
    </w:rPr>
  </w:style>
  <w:style w:type="paragraph" w:customStyle="1" w:styleId="225">
    <w:name w:val="xl3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26">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18"/>
      <w:szCs w:val="18"/>
    </w:rPr>
  </w:style>
  <w:style w:type="paragraph" w:customStyle="1" w:styleId="227">
    <w:name w:val="标题 2（绿盟科技）"/>
    <w:basedOn w:val="3"/>
    <w:next w:val="1"/>
    <w:semiHidden/>
    <w:qFormat/>
    <w:uiPriority w:val="99"/>
    <w:pPr>
      <w:tabs>
        <w:tab w:val="left" w:pos="840"/>
        <w:tab w:val="left" w:pos="1440"/>
      </w:tabs>
      <w:spacing w:line="415" w:lineRule="auto"/>
      <w:ind w:left="840" w:hanging="420"/>
      <w:jc w:val="left"/>
    </w:pPr>
    <w:rPr>
      <w:rFonts w:ascii="Arial" w:hAnsi="Arial" w:eastAsia="黑体" w:cs="Times New Roman"/>
      <w:kern w:val="0"/>
    </w:rPr>
  </w:style>
  <w:style w:type="paragraph" w:customStyle="1" w:styleId="228">
    <w:name w:val="样式1"/>
    <w:basedOn w:val="5"/>
    <w:qFormat/>
    <w:uiPriority w:val="99"/>
    <w:pPr>
      <w:autoSpaceDE w:val="0"/>
      <w:autoSpaceDN w:val="0"/>
      <w:adjustRightInd w:val="0"/>
      <w:spacing w:line="500" w:lineRule="exact"/>
      <w:ind w:firstLine="490" w:firstLineChars="204"/>
      <w:jc w:val="left"/>
    </w:pPr>
    <w:rPr>
      <w:rFonts w:ascii="宋体" w:hAnsi="宋体" w:eastAsia="黑体" w:cs="宋体"/>
      <w:kern w:val="0"/>
      <w:sz w:val="24"/>
      <w:szCs w:val="24"/>
    </w:rPr>
  </w:style>
  <w:style w:type="paragraph" w:customStyle="1" w:styleId="229">
    <w:name w:val="xl3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30">
    <w:name w:val="正文1"/>
    <w:basedOn w:val="1"/>
    <w:qFormat/>
    <w:uiPriority w:val="0"/>
    <w:pPr>
      <w:adjustRightInd w:val="0"/>
      <w:spacing w:line="400" w:lineRule="atLeast"/>
      <w:ind w:firstLine="1134"/>
      <w:jc w:val="left"/>
      <w:textAlignment w:val="baseline"/>
    </w:pPr>
    <w:rPr>
      <w:rFonts w:ascii="宋体" w:hAnsi="Times New Roman" w:eastAsia="宋体" w:cs="Times New Roman"/>
      <w:kern w:val="0"/>
      <w:sz w:val="24"/>
      <w:szCs w:val="20"/>
    </w:rPr>
  </w:style>
  <w:style w:type="paragraph" w:customStyle="1" w:styleId="231">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44"/>
      <w:szCs w:val="44"/>
    </w:rPr>
  </w:style>
  <w:style w:type="paragraph" w:customStyle="1" w:styleId="232">
    <w:name w:val="默认段落字体 Para Char Char Char Char Char Char Char Char Char Char Char Char Char Char Char1 Char Char Char Char"/>
    <w:basedOn w:val="23"/>
    <w:qFormat/>
    <w:uiPriority w:val="99"/>
    <w:pPr>
      <w:shd w:val="clear" w:color="auto" w:fill="000080"/>
      <w:adjustRightInd w:val="0"/>
      <w:spacing w:line="436" w:lineRule="exact"/>
      <w:ind w:left="357"/>
      <w:jc w:val="left"/>
      <w:outlineLvl w:val="3"/>
    </w:pPr>
    <w:rPr>
      <w:rFonts w:ascii="仿宋_GB2312" w:hAnsi="Times New Roman" w:eastAsia="仿宋_GB2312" w:cs="仿宋_GB2312"/>
      <w:kern w:val="0"/>
      <w:sz w:val="24"/>
      <w:szCs w:val="24"/>
    </w:rPr>
  </w:style>
  <w:style w:type="paragraph" w:customStyle="1" w:styleId="233">
    <w:name w:val="Char Char1 Char Char Char Char1"/>
    <w:basedOn w:val="1"/>
    <w:qFormat/>
    <w:uiPriority w:val="99"/>
    <w:pPr>
      <w:keepNext/>
      <w:keepLines/>
      <w:adjustRightInd w:val="0"/>
      <w:spacing w:beforeLines="100" w:afterLines="100" w:line="300" w:lineRule="auto"/>
      <w:ind w:firstLine="200" w:firstLineChars="200"/>
    </w:pPr>
    <w:rPr>
      <w:rFonts w:ascii="仿宋_GB2312" w:hAnsi="宋体" w:eastAsia="仿宋_GB2312" w:cs="仿宋_GB2312"/>
      <w:kern w:val="0"/>
      <w:sz w:val="24"/>
      <w:szCs w:val="24"/>
    </w:rPr>
  </w:style>
  <w:style w:type="paragraph" w:customStyle="1" w:styleId="234">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35">
    <w:name w:val="a2"/>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36">
    <w:name w:val="HR标题3"/>
    <w:basedOn w:val="1"/>
    <w:next w:val="187"/>
    <w:link w:val="326"/>
    <w:qFormat/>
    <w:uiPriority w:val="0"/>
    <w:pPr>
      <w:tabs>
        <w:tab w:val="left" w:pos="624"/>
        <w:tab w:val="left" w:pos="1260"/>
      </w:tabs>
      <w:spacing w:line="360" w:lineRule="auto"/>
      <w:ind w:left="1260" w:hanging="420"/>
      <w:outlineLvl w:val="2"/>
    </w:pPr>
    <w:rPr>
      <w:rFonts w:ascii="Calibri" w:hAnsi="Calibri" w:eastAsia="宋体" w:cs="Times New Roman"/>
      <w:sz w:val="24"/>
      <w:szCs w:val="24"/>
    </w:rPr>
  </w:style>
  <w:style w:type="paragraph" w:customStyle="1" w:styleId="237">
    <w:name w:val="正文2"/>
    <w:basedOn w:val="1"/>
    <w:semiHidden/>
    <w:qFormat/>
    <w:uiPriority w:val="99"/>
    <w:pPr>
      <w:spacing w:before="156" w:line="360" w:lineRule="auto"/>
      <w:ind w:firstLine="510" w:firstLineChars="200"/>
    </w:pPr>
    <w:rPr>
      <w:rFonts w:ascii="Times New Roman" w:hAnsi="Times New Roman" w:eastAsia="宋体" w:cs="Times New Roman"/>
      <w:sz w:val="24"/>
      <w:szCs w:val="24"/>
    </w:rPr>
  </w:style>
  <w:style w:type="paragraph" w:customStyle="1" w:styleId="238">
    <w:name w:val="xl45"/>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44"/>
      <w:szCs w:val="44"/>
    </w:rPr>
  </w:style>
  <w:style w:type="paragraph" w:customStyle="1" w:styleId="239">
    <w:name w:val="表题"/>
    <w:basedOn w:val="40"/>
    <w:qFormat/>
    <w:uiPriority w:val="99"/>
    <w:pPr>
      <w:adjustRightInd w:val="0"/>
      <w:spacing w:line="480" w:lineRule="auto"/>
      <w:jc w:val="center"/>
    </w:pPr>
    <w:rPr>
      <w:rFonts w:ascii="Times New Roman" w:hAnsi="Times New Roman" w:eastAsia="黑体"/>
      <w:sz w:val="18"/>
      <w:szCs w:val="18"/>
    </w:rPr>
  </w:style>
  <w:style w:type="paragraph" w:customStyle="1" w:styleId="240">
    <w:name w:val="xl4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44"/>
      <w:szCs w:val="44"/>
    </w:rPr>
  </w:style>
  <w:style w:type="paragraph" w:customStyle="1" w:styleId="241">
    <w:name w:val="xl73"/>
    <w:basedOn w:val="1"/>
    <w:qFormat/>
    <w:uiPriority w:val="99"/>
    <w:pPr>
      <w:widowControl/>
      <w:spacing w:before="100" w:beforeAutospacing="1" w:after="100" w:afterAutospacing="1"/>
      <w:jc w:val="center"/>
      <w:textAlignment w:val="center"/>
    </w:pPr>
    <w:rPr>
      <w:rFonts w:ascii="宋体" w:hAnsi="宋体" w:eastAsia="宋体" w:cs="宋体"/>
      <w:kern w:val="0"/>
      <w:sz w:val="18"/>
      <w:szCs w:val="18"/>
    </w:rPr>
  </w:style>
  <w:style w:type="paragraph" w:customStyle="1" w:styleId="242">
    <w:name w:val="本文項目"/>
    <w:basedOn w:val="1"/>
    <w:semiHidden/>
    <w:qFormat/>
    <w:uiPriority w:val="99"/>
    <w:pPr>
      <w:tabs>
        <w:tab w:val="left" w:pos="360"/>
      </w:tabs>
      <w:autoSpaceDE w:val="0"/>
      <w:autoSpaceDN w:val="0"/>
      <w:adjustRightInd w:val="0"/>
      <w:spacing w:beforeLines="50" w:afterLines="50" w:line="360" w:lineRule="auto"/>
      <w:ind w:left="360" w:hanging="360"/>
      <w:textAlignment w:val="baseline"/>
    </w:pPr>
    <w:rPr>
      <w:rFonts w:ascii="Times New Roman" w:hAnsi="Times New Roman" w:eastAsia="宋体" w:cs="Times New Roman"/>
      <w:b/>
      <w:bCs/>
      <w:kern w:val="0"/>
      <w:sz w:val="24"/>
      <w:szCs w:val="24"/>
    </w:rPr>
  </w:style>
  <w:style w:type="paragraph" w:customStyle="1" w:styleId="243">
    <w:name w:val="正文居中"/>
    <w:basedOn w:val="1"/>
    <w:next w:val="74"/>
    <w:qFormat/>
    <w:uiPriority w:val="99"/>
    <w:pPr>
      <w:jc w:val="center"/>
    </w:pPr>
    <w:rPr>
      <w:rFonts w:ascii="Times New Roman" w:hAnsi="Times New Roman" w:eastAsia="宋体" w:cs="Times New Roman"/>
      <w:sz w:val="24"/>
      <w:szCs w:val="24"/>
    </w:rPr>
  </w:style>
  <w:style w:type="paragraph" w:customStyle="1" w:styleId="244">
    <w:name w:val="xl4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45">
    <w:name w:val="xl28"/>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6">
    <w:name w:val="标题 1（绿盟科技）"/>
    <w:basedOn w:val="2"/>
    <w:next w:val="1"/>
    <w:semiHidden/>
    <w:qFormat/>
    <w:uiPriority w:val="99"/>
    <w:pPr>
      <w:keepNext w:val="0"/>
      <w:keepLines w:val="0"/>
      <w:pBdr>
        <w:bottom w:val="single" w:color="auto" w:sz="48" w:space="1"/>
      </w:pBdr>
      <w:tabs>
        <w:tab w:val="left" w:pos="360"/>
        <w:tab w:val="right" w:leader="dot" w:pos="9061"/>
      </w:tabs>
      <w:spacing w:before="0" w:after="0" w:line="576" w:lineRule="auto"/>
      <w:ind w:left="360" w:hanging="360"/>
      <w:jc w:val="left"/>
    </w:pPr>
    <w:rPr>
      <w:rFonts w:ascii="Arial" w:hAnsi="Arial" w:eastAsia="黑体" w:cs="Arial"/>
      <w:bCs w:val="0"/>
      <w:kern w:val="2"/>
      <w:sz w:val="36"/>
      <w:szCs w:val="21"/>
    </w:rPr>
  </w:style>
  <w:style w:type="paragraph" w:customStyle="1" w:styleId="247">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48">
    <w:name w:val="font0"/>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249">
    <w:name w:val="xl50"/>
    <w:basedOn w:val="1"/>
    <w:qFormat/>
    <w:uiPriority w:val="99"/>
    <w:pPr>
      <w:widowControl/>
      <w:pBdr>
        <w:lef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0">
    <w:name w:val="xl74"/>
    <w:basedOn w:val="1"/>
    <w:qFormat/>
    <w:uiPriority w:val="99"/>
    <w:pPr>
      <w:widowControl/>
      <w:spacing w:before="100" w:beforeAutospacing="1" w:after="100" w:afterAutospacing="1"/>
      <w:jc w:val="center"/>
      <w:textAlignment w:val="center"/>
    </w:pPr>
    <w:rPr>
      <w:rFonts w:ascii="宋体" w:hAnsi="宋体" w:eastAsia="宋体" w:cs="宋体"/>
      <w:kern w:val="0"/>
      <w:sz w:val="20"/>
      <w:szCs w:val="20"/>
    </w:rPr>
  </w:style>
  <w:style w:type="paragraph" w:customStyle="1" w:styleId="251">
    <w:name w:val="xl48"/>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44"/>
      <w:szCs w:val="44"/>
    </w:rPr>
  </w:style>
  <w:style w:type="paragraph" w:customStyle="1" w:styleId="252">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53">
    <w:name w:val="xl5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4">
    <w:name w:val="xl4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5">
    <w:name w:val="列出段落11"/>
    <w:basedOn w:val="1"/>
    <w:qFormat/>
    <w:uiPriority w:val="34"/>
    <w:pPr>
      <w:ind w:firstLine="420" w:firstLineChars="200"/>
    </w:pPr>
    <w:rPr>
      <w:rFonts w:ascii="Times New Roman" w:hAnsi="Times New Roman" w:eastAsia="宋体" w:cs="Times New Roman"/>
      <w:szCs w:val="21"/>
    </w:rPr>
  </w:style>
  <w:style w:type="paragraph" w:customStyle="1" w:styleId="256">
    <w:name w:val="PP 行"/>
    <w:basedOn w:val="51"/>
    <w:qFormat/>
    <w:uiPriority w:val="99"/>
  </w:style>
  <w:style w:type="paragraph" w:customStyle="1" w:styleId="257">
    <w:name w:val="font6"/>
    <w:basedOn w:val="1"/>
    <w:qFormat/>
    <w:uiPriority w:val="99"/>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258">
    <w:name w:val="xl42"/>
    <w:basedOn w:val="1"/>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59">
    <w:name w:val="xl40"/>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44"/>
      <w:szCs w:val="44"/>
    </w:rPr>
  </w:style>
  <w:style w:type="paragraph" w:customStyle="1" w:styleId="260">
    <w:name w:val="xl31"/>
    <w:basedOn w:val="1"/>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61">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0"/>
      <w:szCs w:val="20"/>
    </w:rPr>
  </w:style>
  <w:style w:type="paragraph" w:customStyle="1" w:styleId="262">
    <w:name w:val="xl44"/>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44"/>
      <w:szCs w:val="44"/>
    </w:rPr>
  </w:style>
  <w:style w:type="paragraph" w:customStyle="1" w:styleId="263">
    <w:name w:val="五级无标题条"/>
    <w:basedOn w:val="1"/>
    <w:qFormat/>
    <w:uiPriority w:val="99"/>
    <w:pPr>
      <w:tabs>
        <w:tab w:val="left" w:pos="840"/>
      </w:tabs>
      <w:ind w:left="840" w:hanging="630"/>
    </w:pPr>
    <w:rPr>
      <w:rFonts w:ascii="Times New Roman" w:hAnsi="Times New Roman" w:eastAsia="宋体" w:cs="Times New Roman"/>
      <w:szCs w:val="21"/>
    </w:rPr>
  </w:style>
  <w:style w:type="paragraph" w:customStyle="1" w:styleId="264">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18"/>
      <w:szCs w:val="18"/>
    </w:rPr>
  </w:style>
  <w:style w:type="paragraph" w:customStyle="1" w:styleId="265">
    <w:name w:val="HR标题5"/>
    <w:basedOn w:val="1"/>
    <w:next w:val="187"/>
    <w:qFormat/>
    <w:uiPriority w:val="0"/>
    <w:pPr>
      <w:tabs>
        <w:tab w:val="left" w:pos="1504"/>
        <w:tab w:val="left" w:pos="2100"/>
      </w:tabs>
      <w:spacing w:line="360" w:lineRule="auto"/>
      <w:ind w:left="2100" w:hanging="420"/>
      <w:outlineLvl w:val="4"/>
    </w:pPr>
    <w:rPr>
      <w:rFonts w:ascii="Times New Roman" w:hAnsi="Times New Roman" w:eastAsia="宋体" w:cs="Times New Roman"/>
      <w:sz w:val="24"/>
      <w:szCs w:val="24"/>
    </w:rPr>
  </w:style>
  <w:style w:type="paragraph" w:customStyle="1" w:styleId="266">
    <w:name w:val="正文文本 (2)1"/>
    <w:basedOn w:val="1"/>
    <w:qFormat/>
    <w:uiPriority w:val="0"/>
    <w:pPr>
      <w:shd w:val="clear" w:color="auto" w:fill="FFFFFF"/>
      <w:adjustRightInd w:val="0"/>
      <w:spacing w:before="300" w:line="466" w:lineRule="exact"/>
      <w:jc w:val="distribute"/>
      <w:textAlignment w:val="baseline"/>
    </w:pPr>
    <w:rPr>
      <w:rFonts w:ascii="宋体" w:hAnsi="宋体" w:eastAsia="宋体" w:cs="宋体"/>
      <w:kern w:val="0"/>
      <w:sz w:val="22"/>
    </w:rPr>
  </w:style>
  <w:style w:type="paragraph" w:customStyle="1" w:styleId="267">
    <w:name w:val="xl27"/>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68">
    <w:name w:val="正文（缩进）"/>
    <w:basedOn w:val="1"/>
    <w:link w:val="303"/>
    <w:semiHidden/>
    <w:qFormat/>
    <w:uiPriority w:val="99"/>
    <w:pPr>
      <w:spacing w:beforeLines="50" w:afterLines="50" w:line="360" w:lineRule="auto"/>
      <w:ind w:firstLine="480" w:firstLineChars="200"/>
    </w:pPr>
    <w:rPr>
      <w:rFonts w:ascii="Times New Roman" w:hAnsi="Times New Roman" w:eastAsia="宋体" w:cs="Times New Roman"/>
      <w:kern w:val="0"/>
      <w:sz w:val="24"/>
      <w:szCs w:val="20"/>
    </w:rPr>
  </w:style>
  <w:style w:type="paragraph" w:customStyle="1" w:styleId="269">
    <w:name w:val="font5"/>
    <w:basedOn w:val="1"/>
    <w:qFormat/>
    <w:uiPriority w:val="99"/>
    <w:pPr>
      <w:widowControl/>
      <w:spacing w:before="100" w:beforeAutospacing="1" w:after="100" w:afterAutospacing="1"/>
      <w:jc w:val="left"/>
    </w:pPr>
    <w:rPr>
      <w:rFonts w:ascii="宋体" w:hAnsi="宋体" w:eastAsia="宋体" w:cs="宋体"/>
      <w:kern w:val="0"/>
      <w:sz w:val="18"/>
      <w:szCs w:val="18"/>
    </w:rPr>
  </w:style>
  <w:style w:type="paragraph" w:customStyle="1" w:styleId="270">
    <w:name w:val="Char Char Char Char"/>
    <w:basedOn w:val="1"/>
    <w:qFormat/>
    <w:uiPriority w:val="99"/>
    <w:rPr>
      <w:rFonts w:ascii="Tahoma" w:hAnsi="Tahoma" w:eastAsia="宋体" w:cs="Tahoma"/>
      <w:sz w:val="24"/>
      <w:szCs w:val="24"/>
    </w:rPr>
  </w:style>
  <w:style w:type="paragraph" w:customStyle="1" w:styleId="271">
    <w:name w:val="标题 3（绿盟科技）"/>
    <w:basedOn w:val="4"/>
    <w:next w:val="1"/>
    <w:semiHidden/>
    <w:qFormat/>
    <w:uiPriority w:val="99"/>
    <w:pPr>
      <w:tabs>
        <w:tab w:val="left" w:pos="960"/>
        <w:tab w:val="left" w:pos="1260"/>
      </w:tabs>
      <w:spacing w:line="415" w:lineRule="auto"/>
      <w:ind w:left="1260" w:firstLine="147" w:firstLineChars="147"/>
      <w:jc w:val="left"/>
    </w:pPr>
    <w:rPr>
      <w:rFonts w:ascii="Arial" w:hAnsi="Arial" w:eastAsia="黑体" w:cs="Arial"/>
      <w:kern w:val="0"/>
      <w:sz w:val="30"/>
      <w:szCs w:val="30"/>
    </w:rPr>
  </w:style>
  <w:style w:type="paragraph" w:customStyle="1" w:styleId="272">
    <w:name w:val="样式 正文文本 2 + 段前: 0.5 行 段后: 0.5 行3"/>
    <w:basedOn w:val="64"/>
    <w:qFormat/>
    <w:uiPriority w:val="0"/>
    <w:pPr>
      <w:tabs>
        <w:tab w:val="left" w:pos="1260"/>
        <w:tab w:val="left" w:pos="1571"/>
      </w:tabs>
      <w:spacing w:line="360" w:lineRule="auto"/>
      <w:ind w:left="567" w:hanging="420"/>
    </w:pPr>
    <w:rPr>
      <w:rFonts w:cs="宋体"/>
      <w:kern w:val="2"/>
      <w:sz w:val="24"/>
      <w:szCs w:val="20"/>
      <w:lang w:val="zh-CN"/>
    </w:rPr>
  </w:style>
  <w:style w:type="paragraph" w:customStyle="1" w:styleId="273">
    <w:name w:val="表格"/>
    <w:basedOn w:val="1"/>
    <w:next w:val="1"/>
    <w:qFormat/>
    <w:uiPriority w:val="0"/>
    <w:pPr>
      <w:spacing w:beforeLines="50" w:afterLines="50"/>
      <w:jc w:val="left"/>
    </w:pPr>
    <w:rPr>
      <w:rFonts w:ascii="宋体" w:hAnsi="宋体" w:eastAsia="宋体" w:cs="Times New Roman"/>
      <w:szCs w:val="21"/>
    </w:rPr>
  </w:style>
  <w:style w:type="paragraph" w:customStyle="1" w:styleId="274">
    <w:name w:val="标题 4（绿盟科技）"/>
    <w:basedOn w:val="5"/>
    <w:next w:val="1"/>
    <w:semiHidden/>
    <w:qFormat/>
    <w:uiPriority w:val="99"/>
    <w:pPr>
      <w:widowControl/>
      <w:tabs>
        <w:tab w:val="left" w:pos="360"/>
      </w:tabs>
      <w:ind w:left="1447" w:hanging="1021"/>
      <w:jc w:val="left"/>
    </w:pPr>
    <w:rPr>
      <w:rFonts w:ascii="Arial" w:hAnsi="Arial" w:eastAsia="黑体" w:cs="Times New Roman"/>
      <w:kern w:val="0"/>
    </w:rPr>
  </w:style>
  <w:style w:type="paragraph" w:customStyle="1" w:styleId="275">
    <w:name w:val="t4_2"/>
    <w:basedOn w:val="1"/>
    <w:qFormat/>
    <w:uiPriority w:val="99"/>
    <w:pPr>
      <w:widowControl/>
      <w:tabs>
        <w:tab w:val="left" w:pos="360"/>
      </w:tabs>
      <w:spacing w:line="360" w:lineRule="auto"/>
      <w:ind w:left="420"/>
      <w:jc w:val="left"/>
    </w:pPr>
    <w:rPr>
      <w:rFonts w:ascii="Times New Roman" w:hAnsi="Times New Roman" w:eastAsia="宋体" w:cs="Times New Roman"/>
      <w:b/>
      <w:bCs/>
      <w:szCs w:val="21"/>
    </w:rPr>
  </w:style>
  <w:style w:type="paragraph" w:customStyle="1" w:styleId="276">
    <w:name w:val="Table Paragraph"/>
    <w:basedOn w:val="1"/>
    <w:qFormat/>
    <w:uiPriority w:val="1"/>
    <w:pPr>
      <w:autoSpaceDE w:val="0"/>
      <w:autoSpaceDN w:val="0"/>
      <w:jc w:val="left"/>
    </w:pPr>
    <w:rPr>
      <w:rFonts w:ascii="宋体" w:hAnsi="宋体" w:eastAsia="宋体" w:cs="宋体"/>
      <w:kern w:val="0"/>
      <w:sz w:val="22"/>
      <w:lang w:val="zh-CN" w:bidi="zh-CN"/>
    </w:rPr>
  </w:style>
  <w:style w:type="paragraph" w:customStyle="1" w:styleId="277">
    <w:name w:val="xl39"/>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44"/>
      <w:szCs w:val="44"/>
    </w:rPr>
  </w:style>
  <w:style w:type="paragraph" w:customStyle="1" w:styleId="278">
    <w:name w:val="HR标题2"/>
    <w:basedOn w:val="1"/>
    <w:next w:val="187"/>
    <w:qFormat/>
    <w:uiPriority w:val="0"/>
    <w:pPr>
      <w:numPr>
        <w:ilvl w:val="1"/>
        <w:numId w:val="1"/>
      </w:numPr>
      <w:tabs>
        <w:tab w:val="left" w:pos="454"/>
      </w:tabs>
      <w:spacing w:line="360" w:lineRule="auto"/>
      <w:outlineLvl w:val="1"/>
    </w:pPr>
    <w:rPr>
      <w:rFonts w:ascii="Times New Roman" w:hAnsi="Times New Roman" w:eastAsia="黑体" w:cs="Times New Roman"/>
      <w:sz w:val="24"/>
      <w:szCs w:val="24"/>
    </w:rPr>
  </w:style>
  <w:style w:type="paragraph" w:customStyle="1" w:styleId="279">
    <w:name w:val="Char Char Char"/>
    <w:basedOn w:val="1"/>
    <w:qFormat/>
    <w:uiPriority w:val="99"/>
    <w:rPr>
      <w:rFonts w:ascii="宋体" w:hAnsi="宋体" w:eastAsia="宋体" w:cs="宋体"/>
      <w:b/>
      <w:bCs/>
      <w:sz w:val="28"/>
      <w:szCs w:val="28"/>
    </w:rPr>
  </w:style>
  <w:style w:type="paragraph" w:customStyle="1" w:styleId="280">
    <w:name w:val="标题 6（有编号）（绿盟科技）"/>
    <w:basedOn w:val="1"/>
    <w:next w:val="1"/>
    <w:semiHidden/>
    <w:qFormat/>
    <w:uiPriority w:val="99"/>
    <w:pPr>
      <w:keepNext/>
      <w:keepLines/>
      <w:numPr>
        <w:ilvl w:val="2"/>
        <w:numId w:val="1"/>
      </w:numPr>
      <w:spacing w:line="319" w:lineRule="auto"/>
      <w:ind w:left="1673" w:hanging="1247"/>
      <w:jc w:val="left"/>
      <w:outlineLvl w:val="5"/>
    </w:pPr>
    <w:rPr>
      <w:rFonts w:ascii="Arial" w:hAnsi="Arial" w:eastAsia="黑体" w:cs="Arial"/>
      <w:b/>
      <w:bCs/>
      <w:kern w:val="0"/>
      <w:szCs w:val="21"/>
    </w:rPr>
  </w:style>
  <w:style w:type="paragraph" w:customStyle="1" w:styleId="281">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paragraph" w:customStyle="1" w:styleId="282">
    <w:name w:val="HR标题8"/>
    <w:basedOn w:val="1"/>
    <w:next w:val="187"/>
    <w:qFormat/>
    <w:uiPriority w:val="0"/>
    <w:pPr>
      <w:numPr>
        <w:ilvl w:val="7"/>
        <w:numId w:val="1"/>
      </w:numPr>
      <w:tabs>
        <w:tab w:val="left" w:pos="1531"/>
      </w:tabs>
      <w:spacing w:line="360" w:lineRule="auto"/>
      <w:outlineLvl w:val="7"/>
    </w:pPr>
    <w:rPr>
      <w:rFonts w:ascii="Times New Roman" w:hAnsi="Times New Roman" w:eastAsia="宋体" w:cs="Times New Roman"/>
      <w:sz w:val="24"/>
      <w:szCs w:val="24"/>
    </w:rPr>
  </w:style>
  <w:style w:type="paragraph" w:customStyle="1" w:styleId="283">
    <w:name w:val="标题 5（有编号）（绿盟科技）"/>
    <w:basedOn w:val="1"/>
    <w:next w:val="1"/>
    <w:semiHidden/>
    <w:qFormat/>
    <w:uiPriority w:val="99"/>
    <w:pPr>
      <w:keepNext/>
      <w:keepLines/>
      <w:tabs>
        <w:tab w:val="left" w:pos="840"/>
      </w:tabs>
      <w:spacing w:line="377" w:lineRule="auto"/>
      <w:ind w:left="1560" w:hanging="1134"/>
      <w:jc w:val="left"/>
      <w:outlineLvl w:val="4"/>
    </w:pPr>
    <w:rPr>
      <w:rFonts w:ascii="Arial" w:hAnsi="Arial" w:eastAsia="黑体" w:cs="Arial"/>
      <w:b/>
      <w:bCs/>
      <w:kern w:val="0"/>
      <w:sz w:val="24"/>
      <w:szCs w:val="24"/>
    </w:rPr>
  </w:style>
  <w:style w:type="paragraph" w:customStyle="1" w:styleId="284">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85">
    <w:name w:val="示例"/>
    <w:qFormat/>
    <w:uiPriority w:val="99"/>
    <w:pPr>
      <w:jc w:val="both"/>
    </w:pPr>
    <w:rPr>
      <w:rFonts w:ascii="宋体" w:hAnsi="Times New Roman" w:eastAsia="宋体" w:cs="宋体"/>
      <w:sz w:val="18"/>
      <w:szCs w:val="18"/>
      <w:lang w:val="en-US" w:eastAsia="zh-CN" w:bidi="ar-SA"/>
    </w:rPr>
  </w:style>
  <w:style w:type="paragraph" w:customStyle="1" w:styleId="286">
    <w:name w:val="段"/>
    <w:link w:val="312"/>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87">
    <w:name w:val="简单回函地址"/>
    <w:basedOn w:val="1"/>
    <w:qFormat/>
    <w:uiPriority w:val="99"/>
    <w:rPr>
      <w:rFonts w:ascii="Times New Roman" w:hAnsi="Times New Roman" w:eastAsia="宋体" w:cs="Times New Roman"/>
      <w:szCs w:val="21"/>
    </w:rPr>
  </w:style>
  <w:style w:type="paragraph" w:customStyle="1" w:styleId="288">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289">
    <w:name w:val="_Style 3"/>
    <w:basedOn w:val="2"/>
    <w:next w:val="1"/>
    <w:qFormat/>
    <w:uiPriority w:val="39"/>
    <w:pPr>
      <w:outlineLvl w:val="9"/>
    </w:pPr>
    <w:rPr>
      <w:rFonts w:ascii="Times New Roman" w:hAnsi="Times New Roman" w:eastAsia="宋体" w:cs="Times New Roman"/>
    </w:rPr>
  </w:style>
  <w:style w:type="paragraph" w:customStyle="1" w:styleId="290">
    <w:name w:val="xl43"/>
    <w:basedOn w:val="199"/>
    <w:qFormat/>
    <w:uiPriority w:val="99"/>
    <w:pPr>
      <w:pBdr>
        <w:bottom w:val="single" w:color="auto" w:sz="4" w:space="0"/>
        <w:right w:val="single" w:color="auto" w:sz="4" w:space="0"/>
      </w:pBdr>
      <w:jc w:val="center"/>
    </w:pPr>
    <w:rPr>
      <w:sz w:val="21"/>
      <w:szCs w:val="21"/>
    </w:rPr>
  </w:style>
  <w:style w:type="paragraph" w:customStyle="1" w:styleId="291">
    <w:name w:val="样式 正文 + 小四 首行缩进:  2 字符"/>
    <w:basedOn w:val="1"/>
    <w:qFormat/>
    <w:uiPriority w:val="0"/>
    <w:pPr>
      <w:numPr>
        <w:ilvl w:val="1"/>
        <w:numId w:val="7"/>
      </w:numPr>
      <w:spacing w:line="440" w:lineRule="exact"/>
    </w:pPr>
    <w:rPr>
      <w:rFonts w:ascii="Times New Roman" w:hAnsi="Times New Roman" w:eastAsia="宋体" w:cs="宋体"/>
      <w:kern w:val="0"/>
      <w:sz w:val="24"/>
      <w:szCs w:val="20"/>
    </w:rPr>
  </w:style>
  <w:style w:type="paragraph" w:customStyle="1" w:styleId="292">
    <w:name w:val="表格标注（绿盟科技）"/>
    <w:basedOn w:val="191"/>
    <w:next w:val="1"/>
    <w:semiHidden/>
    <w:qFormat/>
    <w:uiPriority w:val="99"/>
    <w:pPr>
      <w:tabs>
        <w:tab w:val="left" w:pos="1620"/>
        <w:tab w:val="left" w:pos="2100"/>
        <w:tab w:val="clear" w:pos="1680"/>
      </w:tabs>
      <w:ind w:left="1620" w:hanging="360"/>
    </w:pPr>
  </w:style>
  <w:style w:type="paragraph" w:customStyle="1" w:styleId="293">
    <w:name w:val="Char"/>
    <w:basedOn w:val="1"/>
    <w:qFormat/>
    <w:uiPriority w:val="99"/>
    <w:pPr>
      <w:tabs>
        <w:tab w:val="left" w:pos="708"/>
      </w:tabs>
      <w:ind w:firstLine="420"/>
    </w:pPr>
    <w:rPr>
      <w:rFonts w:ascii="仿宋_GB2312" w:hAnsi="Times New Roman" w:eastAsia="仿宋_GB2312" w:cs="仿宋_GB2312"/>
      <w:sz w:val="24"/>
      <w:szCs w:val="24"/>
    </w:rPr>
  </w:style>
  <w:style w:type="paragraph" w:customStyle="1" w:styleId="294">
    <w:name w:val="xl29"/>
    <w:basedOn w:val="1"/>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95">
    <w:name w:val="HR标题1"/>
    <w:basedOn w:val="1"/>
    <w:next w:val="187"/>
    <w:qFormat/>
    <w:uiPriority w:val="0"/>
    <w:pPr>
      <w:tabs>
        <w:tab w:val="left" w:pos="284"/>
        <w:tab w:val="left" w:pos="360"/>
      </w:tabs>
      <w:spacing w:line="360" w:lineRule="auto"/>
      <w:ind w:left="360" w:hanging="360"/>
      <w:outlineLvl w:val="0"/>
    </w:pPr>
    <w:rPr>
      <w:rFonts w:ascii="Times New Roman" w:hAnsi="Times New Roman" w:eastAsia="黑体" w:cs="Times New Roman"/>
      <w:sz w:val="24"/>
      <w:szCs w:val="24"/>
    </w:rPr>
  </w:style>
  <w:style w:type="paragraph" w:customStyle="1" w:styleId="296">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297">
    <w:name w:val="注×："/>
    <w:semiHidden/>
    <w:qFormat/>
    <w:uiPriority w:val="99"/>
    <w:pPr>
      <w:widowControl w:val="0"/>
      <w:tabs>
        <w:tab w:val="left" w:pos="360"/>
        <w:tab w:val="left" w:pos="630"/>
      </w:tabs>
      <w:autoSpaceDE w:val="0"/>
      <w:autoSpaceDN w:val="0"/>
      <w:ind w:left="360" w:hanging="360"/>
      <w:jc w:val="both"/>
    </w:pPr>
    <w:rPr>
      <w:rFonts w:ascii="宋体" w:hAnsi="Times New Roman" w:eastAsia="宋体" w:cs="宋体"/>
      <w:sz w:val="18"/>
      <w:szCs w:val="18"/>
      <w:lang w:val="en-US" w:eastAsia="zh-CN" w:bidi="ar-SA"/>
    </w:rPr>
  </w:style>
  <w:style w:type="character" w:customStyle="1" w:styleId="298">
    <w:name w:val="列出段落 字符"/>
    <w:qFormat/>
    <w:locked/>
    <w:uiPriority w:val="34"/>
    <w:rPr>
      <w:kern w:val="2"/>
      <w:sz w:val="21"/>
      <w:szCs w:val="24"/>
    </w:rPr>
  </w:style>
  <w:style w:type="character" w:customStyle="1" w:styleId="299">
    <w:name w:val="hover38"/>
    <w:qFormat/>
    <w:uiPriority w:val="99"/>
    <w:rPr>
      <w:rFonts w:cs="Times New Roman"/>
      <w:color w:val="auto"/>
      <w:u w:val="single"/>
    </w:rPr>
  </w:style>
  <w:style w:type="character" w:customStyle="1" w:styleId="300">
    <w:name w:val="Footer Char"/>
    <w:semiHidden/>
    <w:qFormat/>
    <w:locked/>
    <w:uiPriority w:val="99"/>
    <w:rPr>
      <w:rFonts w:eastAsia="宋体"/>
      <w:sz w:val="18"/>
    </w:rPr>
  </w:style>
  <w:style w:type="character" w:customStyle="1" w:styleId="301">
    <w:name w:val="param-name1"/>
    <w:qFormat/>
    <w:uiPriority w:val="99"/>
    <w:rPr>
      <w:rFonts w:cs="Times New Roman"/>
      <w:b/>
      <w:bCs/>
    </w:rPr>
  </w:style>
  <w:style w:type="character" w:customStyle="1" w:styleId="302">
    <w:name w:val="bds_more"/>
    <w:qFormat/>
    <w:uiPriority w:val="99"/>
    <w:rPr>
      <w:rFonts w:ascii="Arial" w:hAnsi="Arial" w:cs="Arial"/>
    </w:rPr>
  </w:style>
  <w:style w:type="character" w:customStyle="1" w:styleId="303">
    <w:name w:val="正文（缩进） Char"/>
    <w:link w:val="268"/>
    <w:qFormat/>
    <w:locked/>
    <w:uiPriority w:val="99"/>
    <w:rPr>
      <w:sz w:val="24"/>
    </w:rPr>
  </w:style>
  <w:style w:type="character" w:customStyle="1" w:styleId="304">
    <w:name w:val="Default Char"/>
    <w:link w:val="154"/>
    <w:qFormat/>
    <w:uiPriority w:val="0"/>
    <w:rPr>
      <w:rFonts w:ascii="NKGHNB+Arial" w:eastAsia="NKGHNB+Arial" w:cs="NKGHNB+Arial"/>
      <w:color w:val="000000"/>
      <w:sz w:val="24"/>
      <w:szCs w:val="24"/>
    </w:rPr>
  </w:style>
  <w:style w:type="character" w:customStyle="1" w:styleId="305">
    <w:name w:val="style61"/>
    <w:qFormat/>
    <w:uiPriority w:val="0"/>
    <w:rPr>
      <w:color w:val="CCCCCC"/>
    </w:rPr>
  </w:style>
  <w:style w:type="character" w:customStyle="1" w:styleId="306">
    <w:name w:val="列出段落 Char"/>
    <w:link w:val="223"/>
    <w:qFormat/>
    <w:locked/>
    <w:uiPriority w:val="34"/>
    <w:rPr>
      <w:color w:val="262626"/>
    </w:rPr>
  </w:style>
  <w:style w:type="character" w:customStyle="1" w:styleId="307">
    <w:name w:val="正文缩进 字符"/>
    <w:link w:val="19"/>
    <w:qFormat/>
    <w:locked/>
    <w:uiPriority w:val="99"/>
    <w:rPr>
      <w:sz w:val="21"/>
      <w:szCs w:val="21"/>
    </w:rPr>
  </w:style>
  <w:style w:type="character" w:customStyle="1" w:styleId="308">
    <w:name w:val="纯文本 Char1"/>
    <w:semiHidden/>
    <w:qFormat/>
    <w:locked/>
    <w:uiPriority w:val="99"/>
    <w:rPr>
      <w:rFonts w:ascii="宋体" w:hAnsi="Courier New"/>
      <w:kern w:val="2"/>
      <w:sz w:val="21"/>
    </w:rPr>
  </w:style>
  <w:style w:type="character" w:customStyle="1" w:styleId="309">
    <w:name w:val="hei14"/>
    <w:semiHidden/>
    <w:qFormat/>
    <w:uiPriority w:val="99"/>
    <w:rPr>
      <w:rFonts w:cs="Times New Roman"/>
    </w:rPr>
  </w:style>
  <w:style w:type="character" w:customStyle="1" w:styleId="310">
    <w:name w:val="hover42"/>
    <w:qFormat/>
    <w:uiPriority w:val="99"/>
    <w:rPr>
      <w:rFonts w:cs="Times New Roman"/>
      <w:color w:val="FFFFFF"/>
      <w:shd w:val="clear" w:color="auto" w:fill="auto"/>
    </w:rPr>
  </w:style>
  <w:style w:type="character" w:customStyle="1" w:styleId="311">
    <w:name w:val="hover43"/>
    <w:qFormat/>
    <w:uiPriority w:val="99"/>
    <w:rPr>
      <w:rFonts w:cs="Times New Roman"/>
      <w:color w:val="auto"/>
      <w:u w:val="single"/>
    </w:rPr>
  </w:style>
  <w:style w:type="character" w:customStyle="1" w:styleId="312">
    <w:name w:val="段 Char"/>
    <w:link w:val="286"/>
    <w:qFormat/>
    <w:locked/>
    <w:uiPriority w:val="99"/>
    <w:rPr>
      <w:rFonts w:ascii="宋体" w:cs="宋体"/>
      <w:sz w:val="21"/>
      <w:szCs w:val="21"/>
    </w:rPr>
  </w:style>
  <w:style w:type="character" w:customStyle="1" w:styleId="313">
    <w:name w:val="r-search1"/>
    <w:basedOn w:val="121"/>
    <w:qFormat/>
    <w:uiPriority w:val="0"/>
  </w:style>
  <w:style w:type="character" w:customStyle="1" w:styleId="314">
    <w:name w:val="ewm"/>
    <w:basedOn w:val="121"/>
    <w:qFormat/>
    <w:uiPriority w:val="0"/>
  </w:style>
  <w:style w:type="character" w:customStyle="1" w:styleId="315">
    <w:name w:val="HR正文 Char"/>
    <w:link w:val="187"/>
    <w:qFormat/>
    <w:uiPriority w:val="0"/>
    <w:rPr>
      <w:rFonts w:ascii="Calibri" w:hAnsi="Calibri"/>
      <w:kern w:val="2"/>
      <w:sz w:val="24"/>
      <w:szCs w:val="24"/>
    </w:rPr>
  </w:style>
  <w:style w:type="character" w:customStyle="1" w:styleId="316">
    <w:name w:val="Body Text Char"/>
    <w:qFormat/>
    <w:locked/>
    <w:uiPriority w:val="99"/>
    <w:rPr>
      <w:rFonts w:eastAsia="宋体"/>
      <w:sz w:val="21"/>
    </w:rPr>
  </w:style>
  <w:style w:type="character" w:customStyle="1" w:styleId="317">
    <w:name w:val="List Paragraph Char"/>
    <w:link w:val="151"/>
    <w:qFormat/>
    <w:locked/>
    <w:uiPriority w:val="0"/>
    <w:rPr>
      <w:rFonts w:asciiTheme="minorHAnsi" w:hAnsiTheme="minorHAnsi" w:eastAsiaTheme="minorEastAsia" w:cstheme="minorBidi"/>
      <w:color w:val="262626"/>
    </w:rPr>
  </w:style>
  <w:style w:type="character" w:customStyle="1" w:styleId="318">
    <w:name w:val="z-crt4"/>
    <w:qFormat/>
    <w:uiPriority w:val="0"/>
    <w:rPr>
      <w:color w:val="FFFFFF"/>
      <w:bdr w:val="single" w:color="5294E5" w:sz="4" w:space="0"/>
      <w:shd w:val="clear" w:color="auto" w:fill="5294E5"/>
    </w:rPr>
  </w:style>
  <w:style w:type="character" w:customStyle="1" w:styleId="319">
    <w:name w:val="Comment Text Char"/>
    <w:qFormat/>
    <w:locked/>
    <w:uiPriority w:val="99"/>
    <w:rPr>
      <w:rFonts w:ascii="Calibri" w:hAnsi="Calibri" w:eastAsia="宋体"/>
      <w:sz w:val="22"/>
      <w:lang w:val="en-US" w:eastAsia="en-US"/>
    </w:rPr>
  </w:style>
  <w:style w:type="character" w:customStyle="1" w:styleId="320">
    <w:name w:val="r-search"/>
    <w:basedOn w:val="121"/>
    <w:qFormat/>
    <w:uiPriority w:val="0"/>
  </w:style>
  <w:style w:type="character" w:customStyle="1" w:styleId="321">
    <w:name w:val="Document Map Char"/>
    <w:semiHidden/>
    <w:qFormat/>
    <w:locked/>
    <w:uiPriority w:val="99"/>
    <w:rPr>
      <w:rFonts w:eastAsia="宋体"/>
      <w:sz w:val="21"/>
    </w:rPr>
  </w:style>
  <w:style w:type="character" w:customStyle="1" w:styleId="322">
    <w:name w:val="HR正文 Char1"/>
    <w:qFormat/>
    <w:uiPriority w:val="0"/>
    <w:rPr>
      <w:kern w:val="2"/>
      <w:sz w:val="24"/>
      <w:szCs w:val="24"/>
    </w:rPr>
  </w:style>
  <w:style w:type="character" w:customStyle="1" w:styleId="323">
    <w:name w:val="hover44"/>
    <w:qFormat/>
    <w:uiPriority w:val="99"/>
    <w:rPr>
      <w:rFonts w:ascii="微软雅黑" w:hAnsi="微软雅黑" w:eastAsia="微软雅黑" w:cs="微软雅黑"/>
      <w:b/>
      <w:bCs/>
      <w:color w:val="auto"/>
      <w:sz w:val="22"/>
      <w:szCs w:val="22"/>
      <w:u w:val="single"/>
    </w:rPr>
  </w:style>
  <w:style w:type="character" w:customStyle="1" w:styleId="324">
    <w:name w:val="正文文本缩进 2 字符"/>
    <w:link w:val="45"/>
    <w:qFormat/>
    <w:locked/>
    <w:uiPriority w:val="0"/>
    <w:rPr>
      <w:rFonts w:asciiTheme="minorHAnsi" w:hAnsiTheme="minorHAnsi" w:eastAsiaTheme="minorEastAsia" w:cstheme="minorBidi"/>
      <w:sz w:val="22"/>
      <w:szCs w:val="22"/>
      <w:lang w:eastAsia="en-US"/>
    </w:rPr>
  </w:style>
  <w:style w:type="character" w:customStyle="1" w:styleId="325">
    <w:name w:val="Header Char"/>
    <w:semiHidden/>
    <w:qFormat/>
    <w:locked/>
    <w:uiPriority w:val="99"/>
    <w:rPr>
      <w:rFonts w:eastAsia="宋体"/>
      <w:sz w:val="18"/>
    </w:rPr>
  </w:style>
  <w:style w:type="character" w:customStyle="1" w:styleId="326">
    <w:name w:val="HR标题3 Char"/>
    <w:link w:val="236"/>
    <w:qFormat/>
    <w:uiPriority w:val="0"/>
    <w:rPr>
      <w:rFonts w:ascii="Calibri" w:hAnsi="Calibri"/>
      <w:kern w:val="2"/>
      <w:sz w:val="24"/>
      <w:szCs w:val="24"/>
    </w:rPr>
  </w:style>
  <w:style w:type="character" w:customStyle="1" w:styleId="327">
    <w:name w:val="hover39"/>
    <w:qFormat/>
    <w:uiPriority w:val="99"/>
    <w:rPr>
      <w:rFonts w:cs="Times New Roman"/>
      <w:color w:val="FFFFFF"/>
      <w:shd w:val="clear" w:color="auto" w:fill="auto"/>
    </w:rPr>
  </w:style>
  <w:style w:type="character" w:customStyle="1" w:styleId="328">
    <w:name w:val="hover40"/>
    <w:qFormat/>
    <w:uiPriority w:val="99"/>
    <w:rPr>
      <w:rFonts w:cs="Times New Roman"/>
      <w:color w:val="auto"/>
      <w:u w:val="single"/>
    </w:rPr>
  </w:style>
  <w:style w:type="character" w:customStyle="1" w:styleId="329">
    <w:name w:val="z-crt3"/>
    <w:qFormat/>
    <w:uiPriority w:val="0"/>
    <w:rPr>
      <w:color w:val="FFFFFF"/>
      <w:bdr w:val="single" w:color="5295E6" w:sz="4" w:space="0"/>
      <w:shd w:val="clear" w:color="auto" w:fill="5295E6"/>
    </w:rPr>
  </w:style>
  <w:style w:type="character" w:customStyle="1" w:styleId="330">
    <w:name w:val="HTML Markup"/>
    <w:qFormat/>
    <w:uiPriority w:val="0"/>
    <w:rPr>
      <w:vanish/>
      <w:color w:val="FF0000"/>
    </w:rPr>
  </w:style>
  <w:style w:type="character" w:customStyle="1" w:styleId="331">
    <w:name w:val="纯文本 字符"/>
    <w:qFormat/>
    <w:uiPriority w:val="0"/>
    <w:rPr>
      <w:rFonts w:ascii="宋体" w:hAnsi="Courier New"/>
      <w:kern w:val="2"/>
      <w:sz w:val="21"/>
      <w:szCs w:val="21"/>
    </w:rPr>
  </w:style>
  <w:style w:type="character" w:customStyle="1" w:styleId="332">
    <w:name w:val="apple-converted-space"/>
    <w:qFormat/>
    <w:uiPriority w:val="99"/>
  </w:style>
  <w:style w:type="character" w:customStyle="1" w:styleId="333">
    <w:name w:val="Body Text First Indent Char"/>
    <w:qFormat/>
    <w:locked/>
    <w:uiPriority w:val="99"/>
    <w:rPr>
      <w:rFonts w:ascii="宋体" w:hAnsi="宋体" w:eastAsia="宋体"/>
      <w:spacing w:val="20"/>
      <w:sz w:val="24"/>
    </w:rPr>
  </w:style>
  <w:style w:type="character" w:customStyle="1" w:styleId="334">
    <w:name w:val="Char Char3"/>
    <w:qFormat/>
    <w:uiPriority w:val="99"/>
    <w:rPr>
      <w:rFonts w:ascii="Calibri" w:hAnsi="Calibri" w:eastAsia="宋体" w:cs="Calibri"/>
      <w:sz w:val="22"/>
      <w:szCs w:val="22"/>
      <w:lang w:eastAsia="en-US"/>
    </w:rPr>
  </w:style>
  <w:style w:type="character" w:customStyle="1" w:styleId="335">
    <w:name w:val="页眉 Char1"/>
    <w:semiHidden/>
    <w:qFormat/>
    <w:locked/>
    <w:uiPriority w:val="0"/>
    <w:rPr>
      <w:rFonts w:ascii="Calibri" w:hAnsi="Calibri"/>
      <w:sz w:val="18"/>
      <w:szCs w:val="18"/>
    </w:rPr>
  </w:style>
  <w:style w:type="character" w:customStyle="1" w:styleId="336">
    <w:name w:val="first-child"/>
    <w:basedOn w:val="121"/>
    <w:qFormat/>
    <w:uiPriority w:val="0"/>
  </w:style>
  <w:style w:type="character" w:customStyle="1" w:styleId="337">
    <w:name w:val="正文文本缩进 2 Char1"/>
    <w:semiHidden/>
    <w:qFormat/>
    <w:locked/>
    <w:uiPriority w:val="99"/>
    <w:rPr>
      <w:sz w:val="21"/>
      <w:szCs w:val="21"/>
    </w:rPr>
  </w:style>
  <w:style w:type="character" w:customStyle="1" w:styleId="338">
    <w:name w:val="标题 1 Char1"/>
    <w:qFormat/>
    <w:locked/>
    <w:uiPriority w:val="99"/>
    <w:rPr>
      <w:b/>
      <w:iCs/>
      <w:kern w:val="2"/>
      <w:sz w:val="36"/>
    </w:rPr>
  </w:style>
  <w:style w:type="character" w:customStyle="1" w:styleId="339">
    <w:name w:val="hover34"/>
    <w:qFormat/>
    <w:uiPriority w:val="0"/>
    <w:rPr>
      <w:color w:val="FFFFFF"/>
      <w:bdr w:val="single" w:color="5294E5" w:sz="4" w:space="0"/>
      <w:shd w:val="clear" w:color="auto" w:fill="5294E5"/>
    </w:rPr>
  </w:style>
  <w:style w:type="table" w:customStyle="1" w:styleId="340">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41">
    <w:name w:val="浅色网格1"/>
    <w:basedOn w:val="76"/>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eastAsia="Courier New" w:cs="Times New Roman"/>
        <w:b/>
        <w:bCs/>
      </w:rPr>
      <w:tcPr>
        <w:tcBorders>
          <w:top w:val="single" w:color="000000" w:sz="8" w:space="0"/>
          <w:left w:val="single" w:color="000000" w:sz="18" w:space="0"/>
          <w:bottom w:val="single" w:color="000000" w:sz="8" w:space="0"/>
          <w:right w:val="single" w:color="000000" w:sz="8" w:space="0"/>
          <w:insideH w:val="nil"/>
          <w:insideV w:val="single" w:sz="8" w:space="0"/>
          <w:tl2br w:val="nil"/>
          <w:tr2bl w:val="nil"/>
        </w:tcBorders>
      </w:tcPr>
    </w:tblStylePr>
    <w:tblStylePr w:type="lastRow">
      <w:pPr>
        <w:spacing w:before="0" w:after="0" w:line="240" w:lineRule="auto"/>
      </w:pPr>
      <w:rPr>
        <w:rFonts w:eastAsia="Courier New" w:cs="Times New Roman"/>
        <w:b/>
        <w:bCs/>
      </w:rPr>
      <w:tcPr>
        <w:tcBorders>
          <w:top w:val="double" w:color="000000" w:sz="6" w:space="0"/>
          <w:left w:val="single" w:color="000000" w:sz="8" w:space="0"/>
          <w:bottom w:val="single" w:color="000000" w:sz="8" w:space="0"/>
          <w:right w:val="single" w:color="000000" w:sz="8" w:space="0"/>
          <w:insideH w:val="nil"/>
          <w:insideV w:val="single" w:sz="8" w:space="0"/>
          <w:tl2br w:val="nil"/>
          <w:tr2bl w:val="nil"/>
        </w:tcBorders>
      </w:tcPr>
    </w:tblStylePr>
    <w:tblStylePr w:type="firstCol">
      <w:rPr>
        <w:rFonts w:eastAsia="Courier New" w:cs="Times New Roman"/>
        <w:b/>
        <w:bCs/>
      </w:rPr>
    </w:tblStylePr>
    <w:tblStylePr w:type="lastCol">
      <w:rPr>
        <w:rFonts w:eastAsia="Courier New" w:cs="Times New Roman"/>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tcPr>
    </w:tblStylePr>
  </w:style>
  <w:style w:type="character" w:customStyle="1" w:styleId="342">
    <w:name w:val="font11"/>
    <w:basedOn w:val="121"/>
    <w:qFormat/>
    <w:uiPriority w:val="0"/>
    <w:rPr>
      <w:rFonts w:hint="default" w:ascii="Arial" w:hAnsi="Arial" w:cs="Arial"/>
      <w:color w:val="000000"/>
      <w:sz w:val="24"/>
      <w:szCs w:val="24"/>
      <w:u w:val="none"/>
    </w:rPr>
  </w:style>
  <w:style w:type="character" w:customStyle="1" w:styleId="343">
    <w:name w:val="font21"/>
    <w:basedOn w:val="121"/>
    <w:qFormat/>
    <w:uiPriority w:val="0"/>
    <w:rPr>
      <w:rFonts w:hint="eastAsia" w:ascii="仿宋" w:hAnsi="仿宋" w:eastAsia="仿宋" w:cs="仿宋"/>
      <w:color w:val="000000"/>
      <w:sz w:val="24"/>
      <w:szCs w:val="24"/>
      <w:u w:val="none"/>
    </w:rPr>
  </w:style>
  <w:style w:type="paragraph" w:customStyle="1" w:styleId="344">
    <w:name w:val="Text"/>
    <w:basedOn w:val="1"/>
    <w:qFormat/>
    <w:uiPriority w:val="0"/>
    <w:pPr>
      <w:widowControl/>
      <w:tabs>
        <w:tab w:val="left" w:pos="1134"/>
      </w:tabs>
      <w:ind w:left="1134"/>
    </w:pPr>
    <w:rPr>
      <w:rFonts w:ascii="Arial" w:hAnsi="Arial" w:eastAsia="宋体" w:cs="Times New Roman"/>
      <w:kern w:val="0"/>
      <w:sz w:val="22"/>
      <w:szCs w:val="20"/>
      <w:lang w:val="de-DE"/>
    </w:rPr>
  </w:style>
  <w:style w:type="paragraph" w:customStyle="1" w:styleId="345">
    <w:name w:val="1"/>
    <w:basedOn w:val="1"/>
    <w:qFormat/>
    <w:uiPriority w:val="0"/>
    <w:rPr>
      <w:rFonts w:ascii="Times New Roman" w:hAnsi="Times New Roman" w:eastAsia="宋体" w:cs="Times New Roman"/>
      <w:b/>
      <w:szCs w:val="24"/>
    </w:rPr>
  </w:style>
  <w:style w:type="paragraph" w:customStyle="1" w:styleId="346">
    <w:name w:val="1.1"/>
    <w:basedOn w:val="1"/>
    <w:qFormat/>
    <w:uiPriority w:val="0"/>
    <w:pPr>
      <w:widowControl/>
      <w:tabs>
        <w:tab w:val="left" w:pos="425"/>
        <w:tab w:val="left" w:pos="851"/>
      </w:tabs>
    </w:pPr>
    <w:rPr>
      <w:rFonts w:ascii="Times New Roman" w:hAnsi="Times New Roman" w:eastAsia="宋体" w:cs="Times New Roman"/>
      <w:kern w:val="0"/>
      <w:szCs w:val="20"/>
    </w:rPr>
  </w:style>
  <w:style w:type="paragraph" w:customStyle="1" w:styleId="347">
    <w:name w:val="CM39"/>
    <w:basedOn w:val="154"/>
    <w:next w:val="154"/>
    <w:qFormat/>
    <w:uiPriority w:val="0"/>
    <w:pPr>
      <w:spacing w:line="471" w:lineRule="atLeast"/>
    </w:pPr>
    <w:rPr>
      <w:rFonts w:ascii="宋体" w:eastAsia="宋体" w:cs="宋体"/>
      <w:color w:val="auto"/>
    </w:rPr>
  </w:style>
  <w:style w:type="paragraph" w:customStyle="1" w:styleId="348">
    <w:name w:val="CM28"/>
    <w:basedOn w:val="154"/>
    <w:next w:val="154"/>
    <w:qFormat/>
    <w:uiPriority w:val="0"/>
    <w:pPr>
      <w:spacing w:line="468" w:lineRule="atLeast"/>
    </w:pPr>
    <w:rPr>
      <w:rFonts w:ascii="宋体" w:eastAsia="宋体" w:cs="宋体"/>
      <w:color w:val="auto"/>
    </w:rPr>
  </w:style>
  <w:style w:type="paragraph" w:customStyle="1" w:styleId="349">
    <w:name w:val="CM27"/>
    <w:basedOn w:val="154"/>
    <w:next w:val="154"/>
    <w:qFormat/>
    <w:uiPriority w:val="0"/>
    <w:pPr>
      <w:spacing w:line="468" w:lineRule="atLeast"/>
    </w:pPr>
    <w:rPr>
      <w:rFonts w:ascii="宋体" w:eastAsia="宋体" w:cs="宋体"/>
      <w:color w:val="auto"/>
    </w:rPr>
  </w:style>
  <w:style w:type="paragraph" w:customStyle="1" w:styleId="350">
    <w:name w:val="列出段落5"/>
    <w:basedOn w:val="1"/>
    <w:qFormat/>
    <w:uiPriority w:val="34"/>
    <w:pPr>
      <w:ind w:firstLine="420" w:firstLineChars="200"/>
    </w:pPr>
    <w:rPr>
      <w:rFonts w:ascii="Times New Roman" w:hAnsi="Times New Roman" w:eastAsia="宋体" w:cs="Times New Roman"/>
      <w:szCs w:val="24"/>
    </w:rPr>
  </w:style>
  <w:style w:type="character" w:customStyle="1" w:styleId="351">
    <w:name w:val="NormalCharacter"/>
    <w:qFormat/>
    <w:uiPriority w:val="0"/>
  </w:style>
  <w:style w:type="paragraph" w:customStyle="1" w:styleId="352">
    <w:name w:val="标书正文格式"/>
    <w:basedOn w:val="40"/>
    <w:qFormat/>
    <w:uiPriority w:val="0"/>
    <w:pPr>
      <w:spacing w:line="360" w:lineRule="auto"/>
      <w:ind w:firstLine="200" w:firstLineChars="200"/>
    </w:pPr>
    <w:rPr>
      <w:rFonts w:hAnsi="宋体"/>
      <w:color w:val="000000"/>
      <w:sz w:val="24"/>
      <w:szCs w:val="24"/>
    </w:rPr>
  </w:style>
  <w:style w:type="paragraph" w:styleId="35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footer" Target="footer2.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header" Target="header6.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8D8904-8231-4AF7-8786-62D727221267}">
  <ds:schemaRefs/>
</ds:datastoreItem>
</file>

<file path=docProps/app.xml><?xml version="1.0" encoding="utf-8"?>
<Properties xmlns="http://schemas.openxmlformats.org/officeDocument/2006/extended-properties" xmlns:vt="http://schemas.openxmlformats.org/officeDocument/2006/docPropsVTypes">
  <Template>Normal</Template>
  <Pages>89</Pages>
  <Words>179</Words>
  <Characters>192</Characters>
  <Lines>138</Lines>
  <Paragraphs>38</Paragraphs>
  <TotalTime>0</TotalTime>
  <ScaleCrop>false</ScaleCrop>
  <LinksUpToDate>false</LinksUpToDate>
  <CharactersWithSpaces>193</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2025-08-01T07:42:00Z</dcterms:created>
  <dc:creator>邢禹鹏</dc:creator>
  <cp:lastModifiedBy>轻途</cp:lastModifiedBy>
  <cp:lastPrinted>2021-05-21T08:37:00Z</cp:lastPrinted>
  <dcterms:modified xsi:type="dcterms:W3CDTF">2025-08-15T00:43:03Z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FF4C6A924BE44C6FA0FDCE3461965C56</vt:lpwstr>
  </property>
  <property fmtid="{D5CDD505-2E9C-101B-9397-08002B2CF9AE}" pid="4" name="KSOTemplateDocerSaveRecord">
    <vt:lpwstr>eyJoZGlkIjoiODY0NTcxYjI4Y2NjNTJkNmIwYzM2NDk2ZTI0NWYxZjQiLCJ1c2VySWQiOiIxNjcxODY1NzIwIn0=</vt:lpwstr>
  </property>
</Properties>
</file>