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highlight w:val="none"/>
        </w:rPr>
      </w:pPr>
      <w:bookmarkStart w:id="0" w:name="OLE_LINK30"/>
      <w:bookmarkStart w:id="1" w:name="OLE_LINK31"/>
    </w:p>
    <w:p>
      <w:pPr>
        <w:spacing w:line="276" w:lineRule="auto"/>
        <w:jc w:val="center"/>
        <w:rPr>
          <w:rFonts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中国重汽集团济南动力有限公司</w:t>
      </w:r>
    </w:p>
    <w:p>
      <w:pPr>
        <w:spacing w:line="276" w:lineRule="auto"/>
        <w:jc w:val="center"/>
        <w:rPr>
          <w:rFonts w:hint="default" w:ascii="Calibri" w:hAnsi="宋体" w:eastAsia="宋体" w:cs="Times New Roman"/>
          <w:b/>
          <w:bCs/>
          <w:color w:val="000000"/>
          <w:spacing w:val="-8"/>
          <w:sz w:val="48"/>
          <w:szCs w:val="44"/>
          <w:highlight w:val="none"/>
          <w:lang w:val="en-US" w:eastAsia="zh-CN"/>
        </w:rPr>
      </w:pPr>
      <w:r>
        <w:rPr>
          <w:rFonts w:hint="eastAsia" w:ascii="Calibri" w:hAnsi="宋体" w:eastAsia="宋体" w:cs="Times New Roman"/>
          <w:b/>
          <w:bCs/>
          <w:color w:val="000000"/>
          <w:spacing w:val="-8"/>
          <w:sz w:val="48"/>
          <w:szCs w:val="44"/>
          <w:highlight w:val="none"/>
          <w:lang w:val="en-US" w:eastAsia="zh-CN"/>
        </w:rPr>
        <w:t>自动化静压造型线振动落砂机、输送槽区域噪音治理</w:t>
      </w:r>
    </w:p>
    <w:p>
      <w:pPr>
        <w:spacing w:line="276" w:lineRule="auto"/>
        <w:jc w:val="center"/>
        <w:rPr>
          <w:rFonts w:ascii="Calibri" w:hAnsi="Calibri" w:eastAsia="宋体" w:cs="Times New Roman"/>
          <w:b/>
          <w:bCs/>
          <w:color w:val="000000"/>
          <w:spacing w:val="-8"/>
          <w:sz w:val="48"/>
          <w:szCs w:val="44"/>
          <w:highlight w:val="none"/>
        </w:rPr>
      </w:pPr>
    </w:p>
    <w:p>
      <w:pPr>
        <w:jc w:val="right"/>
        <w:rPr>
          <w:rFonts w:ascii="Calibri" w:hAnsi="Calibri" w:eastAsia="宋体" w:cs="Times New Roman"/>
          <w:color w:val="000000"/>
          <w:sz w:val="28"/>
          <w:szCs w:val="28"/>
          <w:highlight w:val="none"/>
        </w:rPr>
      </w:pPr>
      <w:r>
        <w:rPr>
          <w:rFonts w:hint="eastAsia" w:ascii="Calibri" w:hAnsi="Calibri" w:eastAsia="宋体" w:cs="Times New Roman"/>
          <w:color w:val="000000"/>
          <w:sz w:val="28"/>
          <w:szCs w:val="28"/>
          <w:highlight w:val="none"/>
        </w:rPr>
        <w:t xml:space="preserve">                                     </w:t>
      </w:r>
    </w:p>
    <w:p>
      <w:pPr>
        <w:pStyle w:val="17"/>
        <w:rPr>
          <w:highlight w:val="none"/>
        </w:rPr>
      </w:pPr>
    </w:p>
    <w:p>
      <w:pPr>
        <w:pStyle w:val="17"/>
        <w:rPr>
          <w:highlight w:val="none"/>
        </w:rPr>
      </w:pPr>
    </w:p>
    <w:p>
      <w:pPr>
        <w:pStyle w:val="17"/>
        <w:rPr>
          <w:highlight w:val="none"/>
        </w:rPr>
      </w:pPr>
    </w:p>
    <w:p>
      <w:pPr>
        <w:jc w:val="right"/>
        <w:rPr>
          <w:rFonts w:ascii="Calibri" w:hAnsi="Calibri" w:eastAsia="宋体" w:cs="Times New Roman"/>
          <w:color w:val="000000"/>
          <w:sz w:val="28"/>
          <w:szCs w:val="28"/>
          <w:highlight w:val="none"/>
        </w:rPr>
      </w:pPr>
    </w:p>
    <w:p>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招</w:t>
      </w:r>
    </w:p>
    <w:p>
      <w:pPr>
        <w:jc w:val="center"/>
        <w:rPr>
          <w:rFonts w:ascii="黑体" w:hAnsi="宋体" w:eastAsia="黑体" w:cs="Times New Roman"/>
          <w:color w:val="000000"/>
          <w:sz w:val="72"/>
          <w:szCs w:val="72"/>
          <w:highlight w:val="none"/>
        </w:rPr>
      </w:pPr>
    </w:p>
    <w:p>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pPr>
        <w:jc w:val="center"/>
        <w:rPr>
          <w:rFonts w:ascii="黑体" w:hAnsi="宋体" w:eastAsia="黑体" w:cs="Times New Roman"/>
          <w:color w:val="000000"/>
          <w:sz w:val="72"/>
          <w:szCs w:val="72"/>
          <w:highlight w:val="none"/>
        </w:rPr>
      </w:pPr>
    </w:p>
    <w:p>
      <w:pPr>
        <w:jc w:val="center"/>
        <w:rPr>
          <w:rFonts w:ascii="宋体" w:hAnsi="Calibri" w:eastAsia="宋体" w:cs="Times New Roman"/>
          <w:color w:val="000000"/>
          <w:sz w:val="28"/>
          <w:szCs w:val="28"/>
          <w:highlight w:val="none"/>
        </w:rPr>
      </w:pPr>
      <w:r>
        <w:rPr>
          <w:rFonts w:hint="eastAsia" w:ascii="黑体" w:hAnsi="宋体" w:eastAsia="黑体" w:cs="Times New Roman"/>
          <w:color w:val="000000"/>
          <w:sz w:val="72"/>
          <w:szCs w:val="72"/>
          <w:highlight w:val="none"/>
        </w:rPr>
        <w:t>书</w:t>
      </w:r>
    </w:p>
    <w:p>
      <w:pPr>
        <w:spacing w:line="860" w:lineRule="exact"/>
        <w:rPr>
          <w:rFonts w:hint="eastAsia" w:ascii="华文仿宋" w:hAnsi="华文仿宋" w:eastAsia="华文仿宋"/>
          <w:sz w:val="32"/>
          <w:szCs w:val="28"/>
          <w:highlight w:val="none"/>
        </w:rPr>
      </w:pPr>
      <w:r>
        <w:rPr>
          <w:rFonts w:hint="eastAsia" w:ascii="华文仿宋" w:hAnsi="华文仿宋" w:eastAsia="华文仿宋"/>
          <w:sz w:val="32"/>
          <w:szCs w:val="28"/>
          <w:highlight w:val="none"/>
        </w:rPr>
        <w:t xml:space="preserve">                </w:t>
      </w: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pStyle w:val="17"/>
        <w:rPr>
          <w:b/>
          <w:bCs/>
          <w:highlight w:val="none"/>
        </w:rPr>
      </w:pPr>
    </w:p>
    <w:p>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人：中国重汽集团济南动力有限公司</w:t>
      </w:r>
    </w:p>
    <w:p>
      <w:pPr>
        <w:jc w:val="center"/>
        <w:rPr>
          <w:rFonts w:ascii="宋体" w:hAnsi="Calibri" w:eastAsia="宋体" w:cs="Times New Roman"/>
          <w:color w:val="000000"/>
          <w:sz w:val="28"/>
          <w:szCs w:val="28"/>
          <w:highlight w:val="none"/>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5</w:t>
      </w:r>
      <w:r>
        <w:rPr>
          <w:rFonts w:hint="eastAsia" w:ascii="宋体" w:hAnsi="宋体" w:eastAsia="宋体" w:cs="Times New Roman"/>
          <w:color w:val="000000"/>
          <w:sz w:val="28"/>
          <w:szCs w:val="28"/>
          <w:highlight w:val="none"/>
        </w:rPr>
        <w:t>年</w:t>
      </w:r>
      <w:r>
        <w:rPr>
          <w:rFonts w:ascii="Calibri" w:hAnsi="Calibri" w:eastAsia="宋体" w:cs="Times New Roman"/>
          <w:color w:val="000000"/>
          <w:sz w:val="28"/>
          <w:szCs w:val="28"/>
          <w:highlight w:val="none"/>
        </w:rPr>
        <w:t xml:space="preserve"> </w:t>
      </w:r>
      <w:r>
        <w:rPr>
          <w:rFonts w:hint="eastAsia" w:ascii="Calibri" w:hAnsi="Calibri" w:eastAsia="宋体" w:cs="Times New Roman"/>
          <w:color w:val="000000"/>
          <w:sz w:val="28"/>
          <w:szCs w:val="28"/>
          <w:highlight w:val="none"/>
          <w:lang w:val="en-US" w:eastAsia="zh-CN"/>
        </w:rPr>
        <w:t>7</w:t>
      </w:r>
      <w:r>
        <w:rPr>
          <w:rFonts w:hint="eastAsia" w:ascii="Calibri" w:hAnsi="Calibri" w:eastAsia="宋体" w:cs="Times New Roman"/>
          <w:color w:val="000000"/>
          <w:sz w:val="28"/>
          <w:szCs w:val="28"/>
          <w:highlight w:val="none"/>
        </w:rPr>
        <w:t>月</w:t>
      </w:r>
    </w:p>
    <w:p>
      <w:pPr>
        <w:keepNext/>
        <w:keepLines/>
        <w:jc w:val="center"/>
        <w:rPr>
          <w:rFonts w:ascii="Calibri" w:hAnsi="Calibri" w:eastAsia="宋体" w:cs="Times New Roman"/>
          <w:b/>
          <w:bCs/>
          <w:kern w:val="44"/>
          <w:sz w:val="36"/>
          <w:szCs w:val="44"/>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kern w:val="44"/>
          <w:sz w:val="21"/>
          <w:szCs w:val="44"/>
          <w:highlight w:val="none"/>
        </w:rPr>
      </w:sdtEndPr>
      <w:sdtContent>
        <w:p>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pPr>
            <w:pStyle w:val="23"/>
            <w:tabs>
              <w:tab w:val="right" w:leader="dot" w:pos="9071"/>
            </w:tabs>
            <w:spacing w:line="480" w:lineRule="auto"/>
            <w:rPr>
              <w:color w:val="auto"/>
              <w:sz w:val="32"/>
              <w:szCs w:val="32"/>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highlight w:val="none"/>
            </w:rPr>
            <w:fldChar w:fldCharType="begin"/>
          </w:r>
          <w:r>
            <w:rPr>
              <w:highlight w:val="none"/>
            </w:rPr>
            <w:instrText xml:space="preserve"> HYPERLINK \l "_Toc25915" </w:instrText>
          </w:r>
          <w:r>
            <w:rPr>
              <w:highlight w:val="none"/>
            </w:rPr>
            <w:fldChar w:fldCharType="separate"/>
          </w:r>
          <w:r>
            <w:rPr>
              <w:rFonts w:hint="eastAsia" w:ascii="Calibri" w:hAnsi="Calibri"/>
              <w:bCs/>
              <w:color w:val="auto"/>
              <w:kern w:val="44"/>
              <w:sz w:val="32"/>
              <w:szCs w:val="32"/>
              <w:highlight w:val="none"/>
            </w:rPr>
            <w:t>第一部分 投标人须知前附表</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3</w:t>
          </w:r>
        </w:p>
        <w:p>
          <w:pPr>
            <w:pStyle w:val="23"/>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"_Toc15609" </w:instrText>
          </w:r>
          <w:r>
            <w:rPr>
              <w:highlight w:val="none"/>
            </w:rPr>
            <w:fldChar w:fldCharType="separate"/>
          </w:r>
          <w:r>
            <w:rPr>
              <w:rFonts w:hint="eastAsia" w:ascii="Calibri" w:hAnsi="Calibri"/>
              <w:bCs/>
              <w:color w:val="auto"/>
              <w:kern w:val="44"/>
              <w:sz w:val="32"/>
              <w:szCs w:val="32"/>
              <w:highlight w:val="none"/>
            </w:rPr>
            <w:t>第二部分 投标人须知</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7</w:t>
          </w:r>
        </w:p>
        <w:p>
          <w:pPr>
            <w:pStyle w:val="23"/>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"_Toc22879" </w:instrText>
          </w:r>
          <w:r>
            <w:rPr>
              <w:highlight w:val="none"/>
            </w:rPr>
            <w:fldChar w:fldCharType="separate"/>
          </w:r>
          <w:r>
            <w:rPr>
              <w:rFonts w:hint="eastAsia" w:ascii="Calibri" w:hAnsi="Calibri"/>
              <w:bCs/>
              <w:color w:val="auto"/>
              <w:kern w:val="44"/>
              <w:sz w:val="32"/>
              <w:szCs w:val="32"/>
              <w:highlight w:val="none"/>
            </w:rPr>
            <w:t>第三部分 投标文件编制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13</w:t>
          </w:r>
        </w:p>
        <w:p>
          <w:pPr>
            <w:pStyle w:val="23"/>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"_Toc9849" </w:instrText>
          </w:r>
          <w:r>
            <w:rPr>
              <w:highlight w:val="none"/>
            </w:rPr>
            <w:fldChar w:fldCharType="separate"/>
          </w:r>
          <w:r>
            <w:rPr>
              <w:rFonts w:hint="eastAsia" w:ascii="Calibri" w:hAnsi="Calibri"/>
              <w:bCs/>
              <w:color w:val="auto"/>
              <w:kern w:val="44"/>
              <w:sz w:val="32"/>
              <w:szCs w:val="32"/>
              <w:highlight w:val="none"/>
            </w:rPr>
            <w:t>第四部分 技术标书</w:t>
          </w:r>
          <w:r>
            <w:rPr>
              <w:rFonts w:hint="eastAsia" w:ascii="Calibri"/>
              <w:bCs/>
              <w:color w:val="auto"/>
              <w:spacing w:val="-8"/>
              <w:sz w:val="32"/>
              <w:szCs w:val="32"/>
              <w:highlight w:val="none"/>
            </w:rPr>
            <w:t xml:space="preserve"> </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16</w:t>
          </w:r>
        </w:p>
        <w:p>
          <w:pPr>
            <w:pStyle w:val="23"/>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"_Toc28859" </w:instrText>
          </w:r>
          <w:r>
            <w:rPr>
              <w:highlight w:val="none"/>
            </w:rPr>
            <w:fldChar w:fldCharType="separate"/>
          </w:r>
          <w:r>
            <w:rPr>
              <w:rFonts w:hint="eastAsia"/>
              <w:color w:val="auto"/>
              <w:sz w:val="32"/>
              <w:szCs w:val="32"/>
              <w:highlight w:val="none"/>
            </w:rPr>
            <w:t>第五部分</w:t>
          </w:r>
          <w:r>
            <w:rPr>
              <w:color w:val="auto"/>
              <w:sz w:val="32"/>
              <w:szCs w:val="32"/>
              <w:highlight w:val="none"/>
            </w:rPr>
            <w:t xml:space="preserve"> </w:t>
          </w:r>
          <w:r>
            <w:rPr>
              <w:rFonts w:hint="eastAsia"/>
              <w:color w:val="auto"/>
              <w:sz w:val="32"/>
              <w:szCs w:val="32"/>
              <w:highlight w:val="none"/>
            </w:rPr>
            <w:t>设备采购合同</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37</w:t>
          </w:r>
        </w:p>
        <w:p>
          <w:pPr>
            <w:pStyle w:val="23"/>
            <w:tabs>
              <w:tab w:val="right" w:leader="dot" w:pos="9071"/>
            </w:tabs>
            <w:spacing w:line="480" w:lineRule="auto"/>
            <w:rPr>
              <w:highlight w:val="none"/>
            </w:rPr>
          </w:pPr>
          <w:r>
            <w:rPr>
              <w:highlight w:val="none"/>
            </w:rPr>
            <w:fldChar w:fldCharType="begin"/>
          </w:r>
          <w:r>
            <w:rPr>
              <w:highlight w:val="none"/>
            </w:rPr>
            <w:instrText xml:space="preserve"> HYPERLINK \l "_Toc29691" </w:instrText>
          </w:r>
          <w:r>
            <w:rPr>
              <w:highlight w:val="none"/>
            </w:rPr>
            <w:fldChar w:fldCharType="separate"/>
          </w:r>
          <w:r>
            <w:rPr>
              <w:rFonts w:hint="eastAsia" w:ascii="Calibri" w:hAnsi="Calibri"/>
              <w:bCs/>
              <w:color w:val="auto"/>
              <w:kern w:val="44"/>
              <w:sz w:val="32"/>
              <w:szCs w:val="32"/>
              <w:highlight w:val="none"/>
            </w:rPr>
            <w:t>第六部分</w:t>
          </w:r>
          <w:r>
            <w:rPr>
              <w:rFonts w:ascii="Calibri" w:hAnsi="Calibri"/>
              <w:bCs/>
              <w:color w:val="auto"/>
              <w:kern w:val="44"/>
              <w:sz w:val="32"/>
              <w:szCs w:val="32"/>
              <w:highlight w:val="none"/>
            </w:rPr>
            <w:t xml:space="preserve"> </w:t>
          </w:r>
          <w:r>
            <w:rPr>
              <w:rFonts w:hint="eastAsia" w:ascii="Calibri" w:hAnsi="Calibri"/>
              <w:bCs/>
              <w:color w:val="auto"/>
              <w:kern w:val="44"/>
              <w:sz w:val="32"/>
              <w:szCs w:val="32"/>
              <w:highlight w:val="none"/>
            </w:rPr>
            <w:t>投标文件附件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55</w:t>
          </w:r>
        </w:p>
        <w:p>
          <w:pPr>
            <w:pStyle w:val="17"/>
            <w:spacing w:line="480" w:lineRule="auto"/>
            <w:jc w:val="center"/>
            <w:rPr>
              <w:rFonts w:ascii="Calibri" w:hAnsi="Calibri" w:eastAsia="宋体" w:cs="Times New Roman"/>
              <w:b/>
              <w:bCs/>
              <w:kern w:val="44"/>
              <w:sz w:val="36"/>
              <w:szCs w:val="44"/>
              <w:highlight w:val="none"/>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highlight w:val="none"/>
            </w:rPr>
            <w:fldChar w:fldCharType="end"/>
          </w:r>
        </w:p>
      </w:sdtContent>
    </w:sdt>
    <w:p>
      <w:pPr>
        <w:pStyle w:val="17"/>
        <w:numPr>
          <w:ilvl w:val="0"/>
          <w:numId w:val="1"/>
        </w:numPr>
        <w:jc w:val="center"/>
        <w:outlineLvl w:val="0"/>
        <w:rPr>
          <w:rFonts w:ascii="Calibri" w:hAnsi="Calibri" w:eastAsia="宋体" w:cs="Times New Roman"/>
          <w:b/>
          <w:bCs/>
          <w:kern w:val="44"/>
          <w:sz w:val="36"/>
          <w:szCs w:val="44"/>
          <w:highlight w:val="none"/>
        </w:rPr>
      </w:pPr>
      <w:bookmarkStart w:id="2" w:name="_Toc25915"/>
      <w:r>
        <w:rPr>
          <w:rFonts w:hint="eastAsia" w:ascii="Calibri" w:hAnsi="Calibri" w:eastAsia="宋体" w:cs="Times New Roman"/>
          <w:b/>
          <w:bCs/>
          <w:kern w:val="44"/>
          <w:sz w:val="36"/>
          <w:szCs w:val="44"/>
          <w:highlight w:val="none"/>
        </w:rPr>
        <w:t xml:space="preserve"> 投标须知前附表</w:t>
      </w:r>
      <w:bookmarkEnd w:id="2"/>
    </w:p>
    <w:p>
      <w:pPr>
        <w:pStyle w:val="17"/>
        <w:jc w:val="center"/>
        <w:rPr>
          <w:rFonts w:ascii="Calibri" w:hAnsi="Calibri" w:eastAsia="宋体" w:cs="Times New Roman"/>
          <w:b/>
          <w:bCs/>
          <w:kern w:val="44"/>
          <w:sz w:val="36"/>
          <w:szCs w:val="44"/>
          <w:highlight w:val="none"/>
        </w:rPr>
      </w:pPr>
    </w:p>
    <w:p>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本部分是对“投标须知”正文的具体补充和修改，如有不一致，以“前附表”为准。</w:t>
      </w:r>
    </w:p>
    <w:tbl>
      <w:tblPr>
        <w:tblStyle w:val="35"/>
        <w:tblpPr w:leftFromText="180" w:rightFromText="180" w:vertAnchor="text" w:tblpXSpec="center" w:tblpY="1"/>
        <w:tblOverlap w:val="never"/>
        <w:tblW w:w="895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sz w:val="28"/>
                <w:szCs w:val="28"/>
                <w:highlight w:val="none"/>
              </w:rPr>
            </w:pPr>
            <w:bookmarkStart w:id="3" w:name="_Toc346372875"/>
            <w:r>
              <w:rPr>
                <w:rStyle w:val="128"/>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highlight w:val="none"/>
              </w:rPr>
            </w:pPr>
            <w:r>
              <w:rPr>
                <w:rStyle w:val="128"/>
                <w:rFonts w:hint="eastAsia" w:ascii="宋体" w:hAnsi="宋体" w:eastAsia="宋体" w:cs="宋体"/>
                <w:b/>
                <w:sz w:val="28"/>
                <w:szCs w:val="28"/>
                <w:highlight w:val="none"/>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sz w:val="24"/>
                <w:szCs w:val="24"/>
                <w:highlight w:val="none"/>
                <w:u w:val="single"/>
                <w:lang w:val="en-US" w:eastAsia="zh-CN"/>
              </w:rPr>
              <w:t>自动化静压造型线振动落砂机、输送槽区域噪音治理项目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eastAsia="zh-CN"/>
              </w:rPr>
              <w:tab/>
            </w:r>
            <w:r>
              <w:rPr>
                <w:rFonts w:hint="eastAsia" w:ascii="宋体" w:hAnsi="宋体" w:eastAsia="宋体" w:cs="宋体"/>
                <w:sz w:val="24"/>
                <w:szCs w:val="24"/>
                <w:highlight w:val="none"/>
                <w:u w:val="single"/>
                <w:lang w:eastAsia="zh-CN"/>
              </w:rPr>
              <w:t>CGZX2025060226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rPr>
              <w:t>本次项目主要对铸造一线落砂机、输送区域、人工取铁工位隔音房进行更新，新增机械手远程操作隔音间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sz w:val="24"/>
                <w:szCs w:val="24"/>
                <w:highlight w:val="none"/>
                <w:u w:val="single"/>
              </w:rPr>
              <w:t>济南</w:t>
            </w:r>
            <w:r>
              <w:rPr>
                <w:rFonts w:hint="eastAsia" w:ascii="宋体" w:hAnsi="宋体" w:eastAsia="宋体" w:cs="宋体"/>
                <w:sz w:val="24"/>
                <w:szCs w:val="24"/>
                <w:highlight w:val="none"/>
              </w:rPr>
              <w:t>市历城区华奥</w:t>
            </w:r>
            <w:r>
              <w:rPr>
                <w:rFonts w:hint="eastAsia" w:ascii="宋体" w:hAnsi="宋体" w:eastAsia="宋体" w:cs="宋体"/>
                <w:sz w:val="24"/>
                <w:szCs w:val="24"/>
                <w:highlight w:val="none"/>
                <w:u w:val="single"/>
              </w:rPr>
              <w:t>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b/>
                <w:snapToGrid w:val="0"/>
                <w:color w:val="auto"/>
                <w:kern w:val="0"/>
                <w:sz w:val="24"/>
                <w:szCs w:val="24"/>
                <w:highlight w:val="none"/>
              </w:rPr>
              <w:t>商务联系人：</w:t>
            </w:r>
            <w:r>
              <w:rPr>
                <w:rFonts w:hint="eastAsia" w:ascii="宋体" w:hAnsi="宋体" w:eastAsia="宋体" w:cs="宋体"/>
                <w:bCs/>
                <w:snapToGrid w:val="0"/>
                <w:color w:val="auto"/>
                <w:kern w:val="0"/>
                <w:sz w:val="24"/>
                <w:szCs w:val="24"/>
                <w:highlight w:val="none"/>
                <w:lang w:val="en-US" w:eastAsia="zh-CN"/>
              </w:rPr>
              <w:t>王正军</w:t>
            </w:r>
          </w:p>
          <w:p>
            <w:pPr>
              <w:pStyle w:val="17"/>
              <w:ind w:firstLine="482" w:firstLineChars="200"/>
              <w:rPr>
                <w:rFonts w:hint="default" w:eastAsia="宋体"/>
                <w:color w:val="auto"/>
                <w:highlight w:val="none"/>
                <w:lang w:val="en-US" w:eastAsia="zh-CN"/>
              </w:rPr>
            </w:pPr>
            <w:r>
              <w:rPr>
                <w:rFonts w:hint="eastAsia" w:hAnsi="宋体" w:eastAsia="宋体" w:cs="宋体"/>
                <w:b/>
                <w:snapToGrid w:val="0"/>
                <w:color w:val="auto"/>
                <w:kern w:val="0"/>
                <w:sz w:val="24"/>
                <w:szCs w:val="24"/>
                <w:highlight w:val="none"/>
              </w:rPr>
              <w:t>电话：</w:t>
            </w:r>
            <w:r>
              <w:rPr>
                <w:rFonts w:hint="eastAsia" w:hAnsi="宋体" w:eastAsia="宋体" w:cs="宋体"/>
                <w:bCs/>
                <w:snapToGrid w:val="0"/>
                <w:color w:val="auto"/>
                <w:kern w:val="0"/>
                <w:sz w:val="24"/>
                <w:szCs w:val="24"/>
                <w:highlight w:val="none"/>
                <w:lang w:val="en-US" w:eastAsia="zh-CN"/>
              </w:rPr>
              <w:t>15853120942</w:t>
            </w:r>
          </w:p>
          <w:p>
            <w:pPr>
              <w:ind w:firstLine="482" w:firstLineChars="200"/>
              <w:rPr>
                <w:rFonts w:ascii="宋体" w:hAnsi="宋体" w:eastAsia="宋体" w:cs="宋体"/>
                <w:b/>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邮箱：</w:t>
            </w:r>
            <w:r>
              <w:rPr>
                <w:rFonts w:hint="eastAsia" w:ascii="宋体" w:hAnsi="宋体" w:eastAsia="宋体" w:cs="宋体"/>
                <w:b/>
                <w:snapToGrid w:val="0"/>
                <w:color w:val="auto"/>
                <w:kern w:val="0"/>
                <w:sz w:val="24"/>
                <w:szCs w:val="24"/>
                <w:highlight w:val="none"/>
                <w:lang w:val="en-US" w:eastAsia="zh-CN"/>
              </w:rPr>
              <w:t>wangzhengjun</w:t>
            </w:r>
            <w:r>
              <w:rPr>
                <w:rFonts w:hint="eastAsia" w:ascii="宋体" w:hAnsi="宋体" w:eastAsia="宋体" w:cs="宋体"/>
                <w:bCs/>
                <w:snapToGrid w:val="0"/>
                <w:color w:val="auto"/>
                <w:kern w:val="0"/>
                <w:sz w:val="24"/>
                <w:szCs w:val="24"/>
                <w:highlight w:val="none"/>
              </w:rPr>
              <w:t>@sinotruk.com</w:t>
            </w:r>
          </w:p>
          <w:p>
            <w:pPr>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rPr>
              <w:t>技术联系人：</w:t>
            </w:r>
            <w:r>
              <w:rPr>
                <w:rFonts w:hint="eastAsia" w:ascii="宋体" w:hAnsi="宋体" w:eastAsia="宋体" w:cs="宋体"/>
                <w:b/>
                <w:snapToGrid w:val="0"/>
                <w:color w:val="auto"/>
                <w:kern w:val="0"/>
                <w:sz w:val="24"/>
                <w:szCs w:val="24"/>
                <w:highlight w:val="none"/>
                <w:lang w:val="en-US" w:eastAsia="zh-CN"/>
              </w:rPr>
              <w:t>白杨</w:t>
            </w:r>
          </w:p>
          <w:p>
            <w:pPr>
              <w:pStyle w:val="17"/>
              <w:ind w:firstLine="482" w:firstLineChars="200"/>
              <w:rPr>
                <w:color w:val="auto"/>
                <w:highlight w:val="none"/>
              </w:rPr>
            </w:pPr>
            <w:r>
              <w:rPr>
                <w:rFonts w:hint="eastAsia" w:hAnsi="宋体" w:eastAsia="宋体" w:cs="宋体"/>
                <w:b/>
                <w:snapToGrid w:val="0"/>
                <w:color w:val="auto"/>
                <w:kern w:val="0"/>
                <w:sz w:val="24"/>
                <w:szCs w:val="24"/>
                <w:highlight w:val="none"/>
              </w:rPr>
              <w:t>电话：</w:t>
            </w:r>
            <w:r>
              <w:rPr>
                <w:rFonts w:hint="eastAsia" w:hAnsi="宋体" w:eastAsia="宋体" w:cs="宋体"/>
                <w:bCs/>
                <w:snapToGrid w:val="0"/>
                <w:color w:val="auto"/>
                <w:kern w:val="0"/>
                <w:sz w:val="24"/>
                <w:szCs w:val="24"/>
                <w:highlight w:val="none"/>
              </w:rPr>
              <w:t>15165312728</w:t>
            </w:r>
          </w:p>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color w:val="auto"/>
                <w:kern w:val="0"/>
                <w:sz w:val="24"/>
                <w:szCs w:val="24"/>
                <w:highlight w:val="none"/>
              </w:rPr>
              <w:t>邮箱：</w:t>
            </w:r>
            <w:r>
              <w:rPr>
                <w:rFonts w:hint="eastAsia" w:ascii="宋体" w:hAnsi="宋体" w:eastAsia="宋体" w:cs="宋体"/>
                <w:bCs/>
                <w:snapToGrid w:val="0"/>
                <w:color w:val="auto"/>
                <w:kern w:val="0"/>
                <w:sz w:val="24"/>
                <w:szCs w:val="24"/>
                <w:highlight w:val="none"/>
              </w:rPr>
              <w:t>baiyang@sinotruk.com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rPr>
              <w:t>应同时报含税价和不含税价，写明税率</w:t>
            </w:r>
            <w:r>
              <w:rPr>
                <w:rFonts w:hint="eastAsia" w:ascii="宋体" w:hAnsi="宋体" w:eastAsia="宋体" w:cs="Times New Roman"/>
                <w:color w:val="000000"/>
                <w:sz w:val="24"/>
                <w:szCs w:val="24"/>
                <w:highlight w:val="none"/>
              </w:rPr>
              <w:t>）。</w:t>
            </w:r>
          </w:p>
          <w:p>
            <w:pPr>
              <w:pStyle w:val="17"/>
              <w:ind w:firstLine="482" w:firstLineChars="200"/>
              <w:rPr>
                <w:rFonts w:eastAsia="宋体"/>
                <w:highlight w:val="none"/>
              </w:rPr>
            </w:pPr>
            <w:r>
              <w:rPr>
                <w:rFonts w:hint="eastAsia" w:hAnsi="宋体" w:eastAsia="宋体" w:cs="Times New Roman"/>
                <w:b/>
                <w:bCs/>
                <w:color w:val="000000"/>
                <w:sz w:val="24"/>
                <w:szCs w:val="24"/>
                <w:highlight w:val="none"/>
              </w:rPr>
              <w:t>投标限价</w:t>
            </w:r>
            <w:r>
              <w:rPr>
                <w:rFonts w:hint="eastAsia" w:hAnsi="宋体" w:eastAsia="宋体" w:cs="Times New Roman"/>
                <w:color w:val="000000"/>
                <w:sz w:val="24"/>
                <w:szCs w:val="24"/>
                <w:highlight w:val="none"/>
              </w:rPr>
              <w:t>：人民币</w:t>
            </w:r>
            <w:r>
              <w:rPr>
                <w:rFonts w:hint="eastAsia" w:hAnsi="宋体" w:eastAsia="宋体" w:cs="Times New Roman"/>
                <w:b/>
                <w:bCs/>
                <w:color w:val="000000"/>
                <w:sz w:val="24"/>
                <w:szCs w:val="24"/>
                <w:highlight w:val="none"/>
                <w:lang w:val="en-US" w:eastAsia="zh-CN"/>
              </w:rPr>
              <w:t>35.595</w:t>
            </w:r>
            <w:r>
              <w:rPr>
                <w:rFonts w:hint="eastAsia" w:hAnsi="宋体" w:eastAsia="宋体" w:cs="Times New Roman"/>
                <w:color w:val="000000"/>
                <w:sz w:val="24"/>
                <w:szCs w:val="24"/>
                <w:highlight w:val="none"/>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FF0000"/>
                <w:sz w:val="24"/>
                <w:szCs w:val="24"/>
                <w:highlight w:val="none"/>
              </w:rPr>
            </w:pPr>
            <w:r>
              <w:rPr>
                <w:rFonts w:hint="eastAsia" w:hAnsi="宋体" w:eastAsia="宋体" w:cs="宋体"/>
                <w:b/>
                <w:bCs/>
                <w:color w:val="000000"/>
                <w:sz w:val="24"/>
                <w:szCs w:val="24"/>
                <w:highlight w:val="none"/>
              </w:rPr>
              <w:t>投标人条件：</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1.拟标投人必须是在中华人民共和国境内注册的独立法人机构，具有独立承担民事责任能力；注册资金不少于</w:t>
            </w:r>
            <w:r>
              <w:rPr>
                <w:rFonts w:hint="eastAsia" w:hAnsi="宋体" w:eastAsia="宋体" w:cs="宋体"/>
                <w:b/>
                <w:color w:val="000000"/>
                <w:sz w:val="24"/>
                <w:szCs w:val="24"/>
                <w:highlight w:val="none"/>
                <w:u w:val="single"/>
                <w:lang w:val="en-US" w:eastAsia="zh-CN"/>
              </w:rPr>
              <w:t>2</w:t>
            </w:r>
            <w:r>
              <w:rPr>
                <w:rFonts w:hint="eastAsia" w:hAnsi="宋体" w:eastAsia="宋体" w:cs="宋体"/>
                <w:b/>
                <w:color w:val="000000"/>
                <w:sz w:val="24"/>
                <w:szCs w:val="24"/>
                <w:highlight w:val="none"/>
                <w:u w:val="single"/>
              </w:rPr>
              <w:t>00万</w:t>
            </w:r>
            <w:r>
              <w:rPr>
                <w:rFonts w:hint="eastAsia" w:hAnsi="宋体" w:eastAsia="宋体" w:cs="宋体"/>
                <w:color w:val="000000"/>
                <w:sz w:val="24"/>
                <w:szCs w:val="24"/>
                <w:highlight w:val="none"/>
              </w:rPr>
              <w:t>人民币（或等值其他货币）；公司成立</w:t>
            </w:r>
            <w:r>
              <w:rPr>
                <w:rFonts w:hint="eastAsia" w:hAnsi="宋体" w:eastAsia="宋体" w:cs="宋体"/>
                <w:b/>
                <w:color w:val="000000"/>
                <w:sz w:val="24"/>
                <w:szCs w:val="24"/>
                <w:highlight w:val="none"/>
                <w:u w:val="single"/>
              </w:rPr>
              <w:t>三年以上</w:t>
            </w:r>
            <w:r>
              <w:rPr>
                <w:rFonts w:hint="eastAsia" w:hAnsi="宋体" w:eastAsia="宋体" w:cs="宋体"/>
                <w:color w:val="000000"/>
                <w:sz w:val="24"/>
                <w:szCs w:val="24"/>
                <w:highlight w:val="none"/>
              </w:rPr>
              <w:t>（以营业执照成立日期到开标当日满三年为准），且经营范围满足招标人需求；并在人员、设备、资金等方面具有承担本项目的能力；</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2.拟投标人应提供营业执照</w:t>
            </w:r>
            <w:r>
              <w:rPr>
                <w:rFonts w:hint="eastAsia" w:hAnsi="宋体" w:eastAsia="宋体" w:cs="宋体"/>
                <w:b/>
                <w:sz w:val="24"/>
                <w:szCs w:val="24"/>
                <w:highlight w:val="none"/>
              </w:rPr>
              <w:t>副本原件和扫描件（需盖章）</w:t>
            </w:r>
            <w:r>
              <w:rPr>
                <w:rFonts w:hint="eastAsia" w:hAnsi="宋体" w:eastAsia="宋体" w:cs="宋体"/>
                <w:color w:val="000000"/>
                <w:sz w:val="24"/>
                <w:szCs w:val="24"/>
                <w:highlight w:val="none"/>
              </w:rPr>
              <w:t>；</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w:t>
            </w:r>
            <w:r>
              <w:rPr>
                <w:rFonts w:hAnsi="宋体" w:eastAsia="宋体" w:cs="宋体"/>
                <w:sz w:val="24"/>
                <w:szCs w:val="24"/>
                <w:highlight w:val="none"/>
              </w:rPr>
              <w:t>拟投标人在国家市场监督管理总局的《国家企业信用信息公示系统》中查询不存在不良记录</w:t>
            </w:r>
            <w:r>
              <w:rPr>
                <w:rFonts w:hint="eastAsia" w:hAnsi="宋体" w:eastAsia="宋体" w:cs="宋体"/>
                <w:color w:val="000000"/>
                <w:sz w:val="24"/>
                <w:szCs w:val="24"/>
                <w:highlight w:val="none"/>
              </w:rPr>
              <w:t>；</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6.拟投标人</w:t>
            </w:r>
            <w:r>
              <w:rPr>
                <w:rFonts w:hint="eastAsia" w:hAnsi="宋体" w:eastAsia="宋体" w:cs="宋体"/>
                <w:sz w:val="24"/>
                <w:szCs w:val="24"/>
                <w:highlight w:val="none"/>
              </w:rPr>
              <w:t>2021年1月1日至今</w:t>
            </w:r>
            <w:r>
              <w:rPr>
                <w:rFonts w:hint="eastAsia" w:hAnsi="宋体" w:eastAsia="宋体" w:cs="宋体"/>
                <w:color w:val="000000"/>
                <w:sz w:val="24"/>
                <w:szCs w:val="24"/>
                <w:highlight w:val="none"/>
              </w:rPr>
              <w:t>经</w:t>
            </w:r>
            <w:r>
              <w:rPr>
                <w:rFonts w:hint="eastAsia" w:hAnsi="宋体" w:eastAsia="宋体" w:cs="宋体"/>
                <w:b/>
                <w:bCs/>
                <w:color w:val="000000"/>
                <w:sz w:val="24"/>
                <w:szCs w:val="24"/>
                <w:highlight w:val="none"/>
              </w:rPr>
              <w:t>第三方</w:t>
            </w:r>
            <w:r>
              <w:rPr>
                <w:rFonts w:hint="eastAsia"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会计师事务所审计且出具无保留意见的财务审计报告，并加盖公章，包括但不限于报告页、经审计的资产负债表、利润表、现金流量表及报表附注，且未显示异常；</w:t>
            </w:r>
          </w:p>
          <w:p>
            <w:pPr>
              <w:pStyle w:val="17"/>
              <w:ind w:firstLine="480" w:firstLineChars="200"/>
              <w:rPr>
                <w:rFonts w:hAnsi="宋体" w:eastAsia="宋体" w:cs="宋体"/>
                <w:kern w:val="0"/>
                <w:sz w:val="24"/>
                <w:szCs w:val="24"/>
                <w:highlight w:val="none"/>
                <w:lang w:bidi="ar"/>
              </w:rPr>
            </w:pPr>
            <w:r>
              <w:rPr>
                <w:rFonts w:hint="eastAsia" w:hAnsi="宋体" w:eastAsia="宋体" w:cs="宋体"/>
                <w:color w:val="000000"/>
                <w:kern w:val="0"/>
                <w:sz w:val="24"/>
                <w:szCs w:val="24"/>
                <w:highlight w:val="none"/>
              </w:rPr>
              <w:t>7.</w:t>
            </w:r>
            <w:r>
              <w:rPr>
                <w:rFonts w:hint="eastAsia" w:hAnsi="宋体" w:eastAsia="宋体" w:cs="宋体"/>
                <w:color w:val="000000"/>
                <w:sz w:val="24"/>
                <w:szCs w:val="24"/>
                <w:highlight w:val="none"/>
              </w:rPr>
              <w:t>拟投标人有与本次招标内容相同或类似项目业绩，且近3年内无因服务不当而造成重大事故；</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8.</w:t>
            </w:r>
            <w:r>
              <w:rPr>
                <w:rFonts w:hAnsi="宋体" w:eastAsia="宋体" w:cs="宋体"/>
                <w:sz w:val="24"/>
                <w:szCs w:val="24"/>
                <w:highlight w:val="none"/>
              </w:rPr>
              <w:t>拟投标人近三年内在经营活动中无与本项目有关的违法及重大违规情况</w:t>
            </w:r>
            <w:r>
              <w:rPr>
                <w:rFonts w:hint="eastAsia" w:hAnsi="宋体" w:eastAsia="宋体" w:cs="宋体"/>
                <w:color w:val="000000"/>
                <w:sz w:val="24"/>
                <w:szCs w:val="24"/>
                <w:highlight w:val="none"/>
              </w:rPr>
              <w:t>；</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9.拟投标人须认可招标人的工作指令，包括节、假日能正常开展工作的要求；</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10.拟投标人最近半年纳税正常；</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11.拟投标人信用证明材料（征信中心出具的信用报告）未显示异常；</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12.拟投标人的直接或间接股东、法定代表人、董事、监事、高管非重汽员工及其亲属；</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13.如为代理商投标，需获得生产厂家正式授权，提供授权书原件，保证提供原厂售后服务并提供原厂售后服务承诺书原件；</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14.</w:t>
            </w:r>
            <w:r>
              <w:rPr>
                <w:rFonts w:hint="eastAsia" w:hAnsi="宋体" w:eastAsia="宋体" w:cs="宋体"/>
                <w:b/>
                <w:bCs/>
                <w:color w:val="000000"/>
                <w:sz w:val="24"/>
                <w:szCs w:val="24"/>
                <w:highlight w:val="none"/>
              </w:rPr>
              <w:t>本项目不接受联合体投标，</w:t>
            </w:r>
            <w:r>
              <w:rPr>
                <w:rFonts w:hint="eastAsia" w:hAnsi="宋体" w:eastAsia="宋体" w:cs="宋体"/>
                <w:color w:val="000000"/>
                <w:sz w:val="24"/>
                <w:szCs w:val="24"/>
                <w:highlight w:val="none"/>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8</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u w:val="single"/>
                <w:lang w:val="en-US" w:eastAsia="zh-CN"/>
              </w:rPr>
              <w:t>14</w:t>
            </w:r>
            <w:r>
              <w:rPr>
                <w:rFonts w:hint="eastAsia" w:ascii="宋体" w:hAnsi="宋体" w:eastAsia="宋体" w:cs="宋体"/>
                <w:bCs/>
                <w:sz w:val="24"/>
                <w:szCs w:val="24"/>
                <w:highlight w:val="none"/>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ascii="宋体" w:hAnsi="宋体" w:eastAsia="宋体" w:cs="宋体"/>
                <w:sz w:val="24"/>
                <w:szCs w:val="24"/>
                <w:highlight w:val="none"/>
              </w:rPr>
              <w:t>中国重汽官网</w:t>
            </w:r>
            <w:r>
              <w:rPr>
                <w:rFonts w:hint="eastAsia" w:ascii="宋体" w:hAnsi="宋体" w:eastAsia="宋体" w:cs="宋体"/>
                <w:sz w:val="24"/>
                <w:szCs w:val="24"/>
                <w:highlight w:val="none"/>
              </w:rPr>
              <w:t>、山东省阳光采购服务平台、中国招标投标公共服务平台等公开媒体</w:t>
            </w:r>
            <w:r>
              <w:rPr>
                <w:rFonts w:ascii="宋体" w:hAnsi="宋体" w:eastAsia="宋体" w:cs="宋体"/>
                <w:color w:val="000000"/>
                <w:sz w:val="24"/>
                <w:szCs w:val="24"/>
                <w:highlight w:val="none"/>
              </w:rPr>
              <w:t>公布</w:t>
            </w:r>
            <w:r>
              <w:rPr>
                <w:rFonts w:hint="eastAsia" w:ascii="宋体" w:hAnsi="宋体" w:eastAsia="宋体" w:cs="Times New Roman"/>
                <w:color w:val="000000"/>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8</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u w:val="single"/>
                <w:lang w:val="en-US" w:eastAsia="zh-CN"/>
              </w:rPr>
              <w:t>21</w:t>
            </w:r>
            <w:r>
              <w:rPr>
                <w:rFonts w:hint="eastAsia" w:ascii="宋体" w:hAnsi="宋体" w:eastAsia="宋体" w:cs="宋体"/>
                <w:bCs/>
                <w:sz w:val="24"/>
                <w:szCs w:val="24"/>
                <w:highlight w:val="none"/>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：将答疑问题以word文件格式发送至联系人邮件内，并电话联系工作人员查收，</w:t>
            </w:r>
            <w:r>
              <w:rPr>
                <w:rFonts w:hint="eastAsia" w:ascii="宋体" w:hAnsi="宋体" w:eastAsia="宋体" w:cs="宋体"/>
                <w:b/>
                <w:bCs/>
                <w:sz w:val="24"/>
                <w:szCs w:val="24"/>
                <w:highlight w:val="none"/>
              </w:rPr>
              <w:t>邮件名格式为：XXX公司（五个字以内公司简称）XX项目答疑文件。</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领取答疑、澄清和修改文件时间：202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lang w:val="en-US" w:eastAsia="zh-CN"/>
              </w:rPr>
              <w:t>8</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lang w:val="en-US" w:eastAsia="zh-CN"/>
              </w:rPr>
              <w:t>21</w:t>
            </w:r>
            <w:r>
              <w:rPr>
                <w:rFonts w:hint="eastAsia" w:ascii="宋体" w:hAnsi="宋体" w:eastAsia="宋体" w:cs="宋体"/>
                <w:sz w:val="24"/>
                <w:szCs w:val="24"/>
                <w:highlight w:val="none"/>
              </w:rPr>
              <w:t>日17:00前；</w:t>
            </w:r>
          </w:p>
          <w:p>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按照中国重汽e采通“SRM非生产供应商注册手册”（附件15）进行注册</w:t>
            </w:r>
            <w:r>
              <w:rPr>
                <w:rFonts w:hint="eastAsia" w:eastAsia="宋体" w:cs="Times New Roman"/>
                <w:highlight w:val="none"/>
              </w:rPr>
              <w:t>，注册完毕后按照</w:t>
            </w:r>
            <w:r>
              <w:rPr>
                <w:rFonts w:hint="eastAsia" w:eastAsia="宋体" w:cs="宋体"/>
                <w:b/>
                <w:highlight w:val="none"/>
              </w:rPr>
              <w:t>“SRM系统供应商用户手册（附件16）”，</w:t>
            </w:r>
            <w:r>
              <w:rPr>
                <w:rFonts w:hint="eastAsia" w:eastAsia="宋体" w:cs="Times New Roman"/>
                <w:highlight w:val="none"/>
              </w:rPr>
              <w:t>登录</w:t>
            </w:r>
            <w:r>
              <w:rPr>
                <w:rFonts w:hint="eastAsia" w:eastAsia="宋体" w:cs="宋体"/>
                <w:b/>
                <w:highlight w:val="none"/>
              </w:rPr>
              <w:t>重汽e采通平台</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后按照招标文件第三部分投标文件组成资格证明文件中的1.1</w:t>
            </w:r>
            <w:r>
              <w:rPr>
                <w:rFonts w:eastAsia="宋体" w:cs="Times New Roman"/>
                <w:b/>
                <w:bCs/>
                <w:highlight w:val="none"/>
              </w:rPr>
              <w:t>-</w:t>
            </w:r>
            <w:r>
              <w:rPr>
                <w:rFonts w:hint="eastAsia" w:eastAsia="宋体" w:cs="Times New Roman"/>
                <w:b/>
                <w:bCs/>
                <w:highlight w:val="none"/>
              </w:rPr>
              <w:t>1.13准备资料并</w:t>
            </w:r>
            <w:r>
              <w:rPr>
                <w:rFonts w:hint="eastAsia" w:eastAsia="宋体" w:cs="Times New Roman"/>
                <w:highlight w:val="none"/>
              </w:rPr>
              <w:t>上传，资质审查通过即为报名成功</w:t>
            </w:r>
            <w:r>
              <w:rPr>
                <w:rFonts w:hint="eastAsia" w:hAnsi="Courier New" w:eastAsia="宋体" w:cs="Times New Roman"/>
                <w:highlight w:val="none"/>
              </w:rPr>
              <w:t>；公示期间请尽快报名</w:t>
            </w:r>
            <w:r>
              <w:rPr>
                <w:rFonts w:hint="eastAsia" w:eastAsia="宋体" w:cs="宋体"/>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highlight w:val="none"/>
              </w:rPr>
            </w:pPr>
            <w:r>
              <w:rPr>
                <w:rFonts w:hint="eastAsia" w:eastAsia="宋体" w:cs="宋体"/>
                <w:b/>
                <w:bCs/>
                <w:highlight w:val="none"/>
              </w:rPr>
              <w:t>应标截止时间：</w:t>
            </w:r>
            <w:r>
              <w:rPr>
                <w:rFonts w:hint="eastAsia" w:eastAsia="宋体" w:cs="宋体"/>
                <w:highlight w:val="none"/>
              </w:rPr>
              <w:t>202</w:t>
            </w:r>
            <w:r>
              <w:rPr>
                <w:rFonts w:hint="eastAsia" w:eastAsia="宋体" w:cs="宋体"/>
                <w:highlight w:val="none"/>
                <w:lang w:val="en-US" w:eastAsia="zh-CN"/>
              </w:rPr>
              <w:t>5</w:t>
            </w:r>
            <w:r>
              <w:rPr>
                <w:rFonts w:hint="eastAsia" w:eastAsia="宋体" w:cs="宋体"/>
                <w:highlight w:val="none"/>
              </w:rPr>
              <w:t>年</w:t>
            </w:r>
            <w:r>
              <w:rPr>
                <w:rFonts w:hint="eastAsia" w:eastAsia="宋体" w:cs="宋体"/>
                <w:highlight w:val="none"/>
                <w:lang w:val="en-US" w:eastAsia="zh-CN"/>
              </w:rPr>
              <w:t>8</w:t>
            </w:r>
            <w:r>
              <w:rPr>
                <w:rFonts w:hint="eastAsia" w:eastAsia="宋体" w:cs="宋体"/>
                <w:highlight w:val="none"/>
              </w:rPr>
              <w:t>月</w:t>
            </w:r>
            <w:r>
              <w:rPr>
                <w:rFonts w:hint="eastAsia" w:eastAsia="宋体" w:cs="宋体"/>
                <w:highlight w:val="none"/>
                <w:lang w:val="en-US" w:eastAsia="zh-CN"/>
              </w:rPr>
              <w:t>21</w:t>
            </w:r>
            <w:r>
              <w:rPr>
                <w:rFonts w:hint="eastAsia" w:eastAsia="宋体" w:cs="宋体"/>
                <w:highlight w:val="none"/>
              </w:rPr>
              <w:t>日17时00分00秒</w:t>
            </w:r>
          </w:p>
          <w:p>
            <w:pPr>
              <w:pStyle w:val="111"/>
              <w:spacing w:line="240" w:lineRule="auto"/>
              <w:ind w:firstLine="482"/>
              <w:rPr>
                <w:rFonts w:eastAsia="宋体" w:cs="宋体"/>
                <w:highlight w:val="none"/>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highlight w:val="none"/>
              </w:rPr>
            </w:pPr>
            <w:r>
              <w:rPr>
                <w:rFonts w:hint="eastAsia" w:eastAsia="宋体" w:cs="宋体"/>
                <w:bCs/>
                <w:sz w:val="24"/>
                <w:szCs w:val="24"/>
                <w:highlight w:val="none"/>
              </w:rPr>
              <w:t>本项目投标文件分为</w:t>
            </w:r>
            <w:r>
              <w:rPr>
                <w:rFonts w:hint="eastAsia" w:eastAsia="宋体" w:cs="宋体"/>
                <w:b/>
                <w:sz w:val="24"/>
                <w:szCs w:val="24"/>
                <w:highlight w:val="none"/>
              </w:rPr>
              <w:t>纸质版</w:t>
            </w:r>
            <w:r>
              <w:rPr>
                <w:rFonts w:hint="eastAsia" w:eastAsia="宋体" w:cs="宋体"/>
                <w:bCs/>
                <w:sz w:val="24"/>
                <w:szCs w:val="24"/>
                <w:highlight w:val="none"/>
              </w:rPr>
              <w:t>投标文件和</w:t>
            </w:r>
            <w:r>
              <w:rPr>
                <w:rFonts w:hint="eastAsia" w:eastAsia="宋体" w:cs="宋体"/>
                <w:b/>
                <w:sz w:val="24"/>
                <w:szCs w:val="24"/>
                <w:highlight w:val="none"/>
              </w:rPr>
              <w:t>电子版</w:t>
            </w:r>
            <w:r>
              <w:rPr>
                <w:rFonts w:hint="eastAsia" w:eastAsia="宋体" w:cs="宋体"/>
                <w:bCs/>
                <w:sz w:val="24"/>
                <w:szCs w:val="24"/>
                <w:highlight w:val="none"/>
              </w:rPr>
              <w:t>投标文件（电子版为纸质盖章版的扫描件），均由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文件组成，共计3个文件</w:t>
            </w:r>
            <w:r>
              <w:rPr>
                <w:rFonts w:hint="eastAsia" w:ascii="宋体" w:hAnsi="宋体" w:eastAsia="宋体" w:cs="宋体"/>
                <w:bCs/>
                <w:sz w:val="24"/>
                <w:szCs w:val="24"/>
                <w:highlight w:val="none"/>
              </w:rPr>
              <w:t>。</w:t>
            </w:r>
          </w:p>
          <w:p>
            <w:pPr>
              <w:ind w:firstLine="482" w:firstLineChars="200"/>
              <w:rPr>
                <w:rFonts w:ascii="宋体" w:hAnsi="宋体" w:eastAsia="宋体" w:cs="宋体"/>
                <w:b/>
                <w:sz w:val="24"/>
                <w:szCs w:val="24"/>
                <w:highlight w:val="none"/>
              </w:rPr>
            </w:pPr>
            <w:r>
              <w:rPr>
                <w:rFonts w:hint="eastAsia"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pPr>
              <w:ind w:firstLine="480" w:firstLineChars="200"/>
              <w:rPr>
                <w:rFonts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highlight w:val="none"/>
              </w:rPr>
            </w:pPr>
            <w:r>
              <w:rPr>
                <w:rFonts w:hint="eastAsia"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rPr>
              <w:t>平台</w:t>
            </w:r>
            <w:r>
              <w:rPr>
                <w:rFonts w:ascii="宋体" w:hAnsi="宋体" w:eastAsia="宋体" w:cs="宋体"/>
                <w:sz w:val="24"/>
                <w:szCs w:val="24"/>
                <w:highlight w:val="none"/>
              </w:rPr>
              <w:t>上传</w:t>
            </w:r>
            <w:r>
              <w:rPr>
                <w:rFonts w:hint="eastAsia" w:ascii="宋体" w:hAnsi="宋体" w:eastAsia="宋体" w:cs="宋体"/>
                <w:sz w:val="24"/>
                <w:szCs w:val="24"/>
                <w:highlight w:val="none"/>
              </w:rPr>
              <w:t>电子</w:t>
            </w:r>
            <w:r>
              <w:rPr>
                <w:rFonts w:ascii="宋体" w:hAnsi="宋体" w:eastAsia="宋体" w:cs="宋体"/>
                <w:sz w:val="24"/>
                <w:szCs w:val="24"/>
                <w:highlight w:val="none"/>
              </w:rPr>
              <w:t>标书，即便递交了纸版投标文件，一律视为无效投标</w:t>
            </w:r>
            <w:r>
              <w:rPr>
                <w:rFonts w:hint="eastAsia" w:eastAsia="宋体" w:cs="宋体"/>
                <w:b/>
                <w:sz w:val="24"/>
                <w:szCs w:val="24"/>
                <w:highlight w:val="none"/>
              </w:rPr>
              <w:t>。</w:t>
            </w:r>
          </w:p>
          <w:p>
            <w:pPr>
              <w:ind w:firstLine="420" w:firstLineChars="200"/>
              <w:rPr>
                <w:rFonts w:eastAsia="宋体" w:cs="宋体"/>
                <w:bCs/>
                <w:sz w:val="24"/>
                <w:szCs w:val="24"/>
                <w:highlight w:val="none"/>
              </w:rPr>
            </w:pPr>
            <w:r>
              <w:rPr>
                <w:rFonts w:hint="eastAsia"/>
                <w:bCs/>
                <w:highlight w:val="none"/>
              </w:rPr>
              <w:t xml:space="preserve"> </w:t>
            </w:r>
            <w:r>
              <w:rPr>
                <w:rFonts w:hint="eastAsia" w:eastAsia="宋体" w:cs="宋体"/>
                <w:bCs/>
                <w:sz w:val="24"/>
                <w:szCs w:val="24"/>
                <w:highlight w:val="none"/>
              </w:rPr>
              <w:t>纸质版投标文件的份数要求为</w:t>
            </w:r>
            <w:r>
              <w:rPr>
                <w:rFonts w:hint="eastAsia" w:ascii="宋体" w:hAnsi="宋体" w:eastAsia="宋体" w:cs="宋体"/>
                <w:b/>
                <w:sz w:val="24"/>
                <w:szCs w:val="24"/>
                <w:highlight w:val="none"/>
              </w:rPr>
              <w:t>正本一份，</w:t>
            </w:r>
            <w:r>
              <w:rPr>
                <w:rFonts w:hint="eastAsia" w:ascii="宋体" w:hAnsi="宋体" w:eastAsia="宋体" w:cs="宋体"/>
                <w:bCs/>
                <w:sz w:val="24"/>
                <w:szCs w:val="24"/>
                <w:highlight w:val="none"/>
              </w:rPr>
              <w:t>资质投标书、技术投标书及商务投标书的</w:t>
            </w:r>
            <w:r>
              <w:rPr>
                <w:rFonts w:hint="eastAsia" w:eastAsia="宋体" w:cs="宋体"/>
                <w:b/>
                <w:sz w:val="24"/>
                <w:szCs w:val="24"/>
                <w:highlight w:val="none"/>
              </w:rPr>
              <w:t>同类文件封装在一个包封里，包封表面按照附件13标注文件信息；共计三个包封</w:t>
            </w:r>
            <w:r>
              <w:rPr>
                <w:rFonts w:hint="eastAsia" w:eastAsia="宋体" w:cs="宋体"/>
                <w:bCs/>
                <w:sz w:val="24"/>
                <w:szCs w:val="24"/>
                <w:highlight w:val="none"/>
              </w:rPr>
              <w:t>。</w:t>
            </w:r>
          </w:p>
          <w:p>
            <w:pPr>
              <w:pStyle w:val="17"/>
              <w:ind w:firstLine="480" w:firstLineChars="200"/>
              <w:rPr>
                <w:rFonts w:eastAsia="宋体" w:cs="宋体" w:asciiTheme="minorHAnsi" w:hAnsiTheme="minorHAnsi"/>
                <w:bCs/>
                <w:sz w:val="24"/>
                <w:szCs w:val="24"/>
                <w:highlight w:val="none"/>
              </w:rPr>
            </w:pPr>
            <w:r>
              <w:rPr>
                <w:rFonts w:hint="eastAsia" w:eastAsia="宋体" w:cs="宋体" w:asciiTheme="minorHAnsi" w:hAnsiTheme="minorHAnsi"/>
                <w:bCs/>
                <w:sz w:val="24"/>
                <w:szCs w:val="24"/>
                <w:highlight w:val="none"/>
              </w:rPr>
              <w:t>如选择到场参与开标，自行携带纸质投标文件于开标前至开标地点即可。</w:t>
            </w:r>
          </w:p>
          <w:p>
            <w:pPr>
              <w:pStyle w:val="17"/>
              <w:ind w:firstLine="480" w:firstLineChars="200"/>
              <w:rPr>
                <w:rFonts w:eastAsia="宋体" w:cs="宋体" w:asciiTheme="minorHAnsi" w:hAnsiTheme="minorHAnsi"/>
                <w:bCs/>
                <w:sz w:val="24"/>
                <w:szCs w:val="24"/>
                <w:highlight w:val="none"/>
              </w:rPr>
            </w:pPr>
            <w:r>
              <w:rPr>
                <w:rFonts w:hint="eastAsia" w:eastAsia="宋体" w:cs="宋体" w:asciiTheme="minorHAnsi" w:hAnsiTheme="minorHAnsi"/>
                <w:bCs/>
                <w:sz w:val="24"/>
                <w:szCs w:val="24"/>
                <w:highlight w:val="none"/>
              </w:rPr>
              <w:t>如选择线上参与开标，纸质投标文件需在开标日前两天，邮寄到指定地址。</w:t>
            </w:r>
          </w:p>
          <w:p>
            <w:pPr>
              <w:pStyle w:val="17"/>
              <w:rPr>
                <w:rFonts w:hAnsi="宋体" w:eastAsia="宋体" w:cs="Times New Roman"/>
                <w:color w:val="auto"/>
                <w:sz w:val="24"/>
                <w:szCs w:val="24"/>
                <w:highlight w:val="none"/>
              </w:rPr>
            </w:pPr>
            <w:r>
              <w:rPr>
                <w:rFonts w:hint="eastAsia" w:eastAsia="宋体" w:cs="宋体" w:asciiTheme="minorHAnsi" w:hAnsiTheme="minorHAnsi"/>
                <w:b/>
                <w:color w:val="auto"/>
                <w:sz w:val="24"/>
                <w:szCs w:val="24"/>
                <w:highlight w:val="none"/>
              </w:rPr>
              <w:t>邮寄地址：</w:t>
            </w:r>
            <w:r>
              <w:rPr>
                <w:rFonts w:hint="eastAsia" w:hAnsi="宋体" w:eastAsia="宋体" w:cs="Times New Roman"/>
                <w:color w:val="auto"/>
                <w:sz w:val="24"/>
                <w:szCs w:val="24"/>
                <w:highlight w:val="none"/>
              </w:rPr>
              <w:t>山东省济南市世纪大道6677号中国重汽集团济南成型厂</w:t>
            </w:r>
          </w:p>
          <w:p>
            <w:pPr>
              <w:pStyle w:val="17"/>
              <w:rPr>
                <w:rFonts w:hAnsi="宋体" w:eastAsia="宋体" w:cs="Times New Roman"/>
                <w:color w:val="000000"/>
                <w:sz w:val="24"/>
                <w:szCs w:val="24"/>
                <w:highlight w:val="none"/>
              </w:rPr>
            </w:pPr>
            <w:r>
              <w:rPr>
                <w:rFonts w:hint="eastAsia" w:hAnsi="宋体" w:eastAsia="宋体" w:cs="Times New Roman"/>
                <w:b/>
                <w:bCs/>
                <w:color w:val="auto"/>
                <w:sz w:val="24"/>
                <w:szCs w:val="24"/>
                <w:highlight w:val="none"/>
              </w:rPr>
              <w:t>联系人及联系方式：</w:t>
            </w:r>
            <w:r>
              <w:rPr>
                <w:rFonts w:hint="eastAsia" w:ascii="Times New Roman" w:hAnsi="Times New Roman" w:eastAsia="宋体" w:cs="Times New Roman"/>
                <w:color w:val="auto"/>
                <w:sz w:val="24"/>
                <w:szCs w:val="24"/>
                <w:highlight w:val="none"/>
                <w:lang w:val="en-US" w:eastAsia="zh-CN"/>
              </w:rPr>
              <w:t>王正军</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15853120942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sz w:val="24"/>
                <w:szCs w:val="24"/>
                <w:highlight w:val="none"/>
              </w:rPr>
            </w:pPr>
            <w:r>
              <w:rPr>
                <w:rFonts w:hint="eastAsia" w:hAnsi="宋体" w:eastAsia="宋体" w:cs="宋体"/>
                <w:b/>
                <w:bCs/>
                <w:sz w:val="24"/>
                <w:highlight w:val="none"/>
              </w:rPr>
              <w:t>纸质版投标文件和电子版投标文件必须保证内容一致；如确实存在不一致的，以电子标书为准，同时要求投标人对纸版标书做出修正。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spacing w:before="0" w:after="0" w:afterLines="0" w:line="240" w:lineRule="auto"/>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投标文件的装订：</w:t>
            </w:r>
            <w:r>
              <w:rPr>
                <w:rFonts w:hint="eastAsia" w:ascii="宋体" w:hAnsi="宋体" w:eastAsia="宋体" w:cs="宋体"/>
                <w:sz w:val="24"/>
                <w:szCs w:val="24"/>
                <w:highlight w:val="none"/>
              </w:rPr>
              <w:t>投标人必须将投标文件按照资质标文件1册、技术标文件1册、商务标文件1册</w:t>
            </w:r>
            <w:r>
              <w:rPr>
                <w:rFonts w:hint="eastAsia" w:ascii="宋体" w:hAnsi="宋体" w:eastAsia="宋体" w:cs="宋体"/>
                <w:b/>
                <w:bCs/>
                <w:sz w:val="24"/>
                <w:szCs w:val="24"/>
                <w:highlight w:val="none"/>
              </w:rPr>
              <w:t>分别进行</w:t>
            </w:r>
            <w:r>
              <w:rPr>
                <w:rFonts w:hint="eastAsia" w:ascii="宋体" w:hAnsi="宋体" w:eastAsia="宋体" w:cs="宋体"/>
                <w:bCs/>
                <w:sz w:val="24"/>
                <w:szCs w:val="24"/>
                <w:highlight w:val="none"/>
              </w:rPr>
              <w:t>胶装</w:t>
            </w:r>
            <w:r>
              <w:rPr>
                <w:rFonts w:hint="eastAsia" w:ascii="宋体" w:hAnsi="宋体" w:eastAsia="宋体" w:cs="宋体"/>
                <w:sz w:val="24"/>
                <w:szCs w:val="24"/>
                <w:highlight w:val="none"/>
              </w:rPr>
              <w:t>，各自不允许超过两册。</w:t>
            </w:r>
          </w:p>
          <w:p>
            <w:pPr>
              <w:pStyle w:val="17"/>
              <w:rPr>
                <w:rFonts w:eastAsia="宋体" w:cs="宋体" w:asciiTheme="minorHAnsi" w:hAnsiTheme="minorHAnsi"/>
                <w:b/>
                <w:sz w:val="24"/>
                <w:szCs w:val="24"/>
                <w:highlight w:val="none"/>
              </w:rPr>
            </w:pPr>
            <w:r>
              <w:rPr>
                <w:rFonts w:hint="eastAsia" w:hAnsi="宋体" w:eastAsia="宋体" w:cs="宋体"/>
                <w:b/>
                <w:bCs/>
                <w:sz w:val="24"/>
                <w:szCs w:val="24"/>
                <w:highlight w:val="none"/>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none"/>
                <w:u w:val="single"/>
              </w:rPr>
              <w:t>202</w:t>
            </w:r>
            <w:r>
              <w:rPr>
                <w:rFonts w:hint="eastAsia" w:hAnsi="宋体" w:eastAsia="宋体" w:cs="宋体"/>
                <w:sz w:val="24"/>
                <w:szCs w:val="24"/>
                <w:highlight w:val="none"/>
                <w:u w:val="single"/>
                <w:lang w:val="en-US" w:eastAsia="zh-CN"/>
              </w:rPr>
              <w:t>5</w:t>
            </w:r>
            <w:r>
              <w:rPr>
                <w:rFonts w:hint="eastAsia" w:hAnsi="宋体" w:eastAsia="宋体" w:cs="宋体"/>
                <w:sz w:val="24"/>
                <w:szCs w:val="24"/>
                <w:highlight w:val="none"/>
              </w:rPr>
              <w:t>年</w:t>
            </w:r>
            <w:r>
              <w:rPr>
                <w:rFonts w:hint="eastAsia" w:hAnsi="宋体" w:eastAsia="宋体" w:cs="宋体"/>
                <w:sz w:val="24"/>
                <w:szCs w:val="24"/>
                <w:highlight w:val="none"/>
                <w:u w:val="single"/>
                <w:lang w:val="en-US" w:eastAsia="zh-CN"/>
              </w:rPr>
              <w:t>8</w:t>
            </w:r>
            <w:r>
              <w:rPr>
                <w:rFonts w:hint="eastAsia" w:hAnsi="宋体" w:eastAsia="宋体" w:cs="宋体"/>
                <w:sz w:val="24"/>
                <w:szCs w:val="24"/>
                <w:highlight w:val="none"/>
              </w:rPr>
              <w:t>月</w:t>
            </w:r>
            <w:r>
              <w:rPr>
                <w:rFonts w:hint="eastAsia" w:hAnsi="宋体" w:eastAsia="宋体" w:cs="宋体"/>
                <w:sz w:val="24"/>
                <w:szCs w:val="24"/>
                <w:highlight w:val="none"/>
                <w:u w:val="single"/>
                <w:lang w:val="en-US" w:eastAsia="zh-CN"/>
              </w:rPr>
              <w:t>22</w:t>
            </w:r>
            <w:r>
              <w:rPr>
                <w:rFonts w:hint="eastAsia" w:hAnsi="宋体" w:eastAsia="宋体" w:cs="宋体"/>
                <w:sz w:val="24"/>
                <w:szCs w:val="24"/>
                <w:highlight w:val="none"/>
              </w:rPr>
              <w:t>日</w:t>
            </w:r>
            <w:r>
              <w:rPr>
                <w:rFonts w:hint="eastAsia" w:hAnsi="宋体" w:eastAsia="宋体" w:cs="宋体"/>
                <w:kern w:val="0"/>
                <w:sz w:val="24"/>
                <w:szCs w:val="24"/>
                <w:highlight w:val="none"/>
              </w:rPr>
              <w:t>上午9</w:t>
            </w:r>
            <w:r>
              <w:rPr>
                <w:rFonts w:hint="eastAsia" w:hAnsi="宋体" w:eastAsia="宋体" w:cs="宋体"/>
                <w:sz w:val="24"/>
                <w:szCs w:val="24"/>
                <w:highlight w:val="none"/>
              </w:rPr>
              <w:t>:00:00（北京时间）</w:t>
            </w:r>
          </w:p>
          <w:p>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注：请务必在投标文件递交截止时间前完成投标操作，截止时间精确到秒，逾期将无法投标。请自行掌握时间，避免无法投标</w:t>
            </w:r>
            <w:r>
              <w:rPr>
                <w:rFonts w:hint="eastAsia" w:eastAsia="宋体" w:cs="宋体"/>
                <w:b/>
                <w:bCs/>
                <w:sz w:val="24"/>
                <w:szCs w:val="28"/>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000.00元</w:t>
            </w:r>
          </w:p>
          <w:p>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收款账户：中国重汽集团济南动力有限公司</w:t>
            </w:r>
            <w:r>
              <w:rPr>
                <w:rFonts w:hint="eastAsia" w:ascii="宋体" w:hAnsi="宋体" w:eastAsia="宋体" w:cs="宋体"/>
                <w:b/>
                <w:bCs/>
                <w:color w:val="000000"/>
                <w:kern w:val="0"/>
                <w:sz w:val="24"/>
                <w:szCs w:val="24"/>
                <w:highlight w:val="none"/>
              </w:rPr>
              <w:tab/>
            </w:r>
          </w:p>
          <w:p>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收款账号：371899991010003152396</w:t>
            </w:r>
          </w:p>
          <w:p>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开户行名称：交通银行山东省分行</w:t>
            </w:r>
          </w:p>
          <w:p>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开户行行号：301451000017</w:t>
            </w:r>
          </w:p>
          <w:p>
            <w:pPr>
              <w:ind w:firstLine="482" w:firstLineChars="200"/>
              <w:rPr>
                <w:rFonts w:ascii="宋体" w:hAnsi="宋体" w:eastAsia="宋体" w:cs="宋体"/>
                <w:sz w:val="24"/>
                <w:szCs w:val="24"/>
                <w:highlight w:val="none"/>
              </w:rPr>
            </w:pPr>
            <w:r>
              <w:rPr>
                <w:rFonts w:hint="eastAsia" w:ascii="宋体" w:hAnsi="宋体" w:eastAsia="宋体" w:cs="宋体"/>
                <w:b/>
                <w:bCs/>
                <w:color w:val="000000"/>
                <w:kern w:val="0"/>
                <w:sz w:val="24"/>
                <w:szCs w:val="24"/>
                <w:highlight w:val="none"/>
              </w:rPr>
              <w:t>转账附言请备注用途：例：XX（投标、履约）保证金、XX工牌工本费、XX货款等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ascii="宋体" w:hAnsi="宋体" w:cs="宋体"/>
                <w:sz w:val="24"/>
                <w:szCs w:val="24"/>
                <w:highlight w:val="none"/>
              </w:rPr>
            </w:pPr>
            <w:r>
              <w:rPr>
                <w:rFonts w:hint="eastAsia" w:ascii="宋体" w:hAnsi="宋体" w:cs="宋体"/>
                <w:b/>
                <w:bCs/>
                <w:sz w:val="24"/>
                <w:szCs w:val="24"/>
                <w:highlight w:val="none"/>
              </w:rPr>
              <w:t>保证金缴纳截止时间：</w:t>
            </w:r>
            <w:r>
              <w:rPr>
                <w:rFonts w:hint="eastAsia" w:ascii="宋体" w:hAnsi="宋体" w:cs="宋体"/>
                <w:sz w:val="24"/>
                <w:szCs w:val="24"/>
                <w:highlight w:val="none"/>
              </w:rPr>
              <w:t>20</w:t>
            </w:r>
            <w:r>
              <w:rPr>
                <w:rFonts w:ascii="宋体" w:hAnsi="宋体" w:cs="宋体"/>
                <w:sz w:val="24"/>
                <w:szCs w:val="24"/>
                <w:highlight w:val="none"/>
              </w:rPr>
              <w:t>2</w:t>
            </w:r>
            <w:r>
              <w:rPr>
                <w:rFonts w:hint="eastAsia" w:ascii="宋体" w:hAnsi="宋体" w:cs="宋体"/>
                <w:sz w:val="24"/>
                <w:szCs w:val="24"/>
                <w:highlight w:val="none"/>
                <w:lang w:val="en-US" w:eastAsia="zh-CN"/>
              </w:rPr>
              <w:t>5</w:t>
            </w:r>
            <w:r>
              <w:rPr>
                <w:rFonts w:hint="eastAsia" w:ascii="宋体" w:hAnsi="宋体" w:cs="宋体"/>
                <w:sz w:val="24"/>
                <w:szCs w:val="24"/>
                <w:highlight w:val="none"/>
              </w:rPr>
              <w:t>年</w:t>
            </w:r>
            <w:r>
              <w:rPr>
                <w:rFonts w:hint="eastAsia" w:ascii="宋体" w:hAnsi="宋体" w:cs="宋体"/>
                <w:sz w:val="24"/>
                <w:szCs w:val="24"/>
                <w:highlight w:val="none"/>
                <w:lang w:val="en-US" w:eastAsia="zh-CN"/>
              </w:rPr>
              <w:t>8</w:t>
            </w:r>
            <w:r>
              <w:rPr>
                <w:rFonts w:hint="eastAsia" w:ascii="宋体" w:hAnsi="宋体" w:cs="宋体"/>
                <w:sz w:val="24"/>
                <w:szCs w:val="24"/>
                <w:highlight w:val="none"/>
              </w:rPr>
              <w:t>月</w:t>
            </w:r>
            <w:r>
              <w:rPr>
                <w:rFonts w:hint="eastAsia" w:ascii="宋体" w:hAnsi="宋体" w:cs="宋体"/>
                <w:sz w:val="24"/>
                <w:szCs w:val="24"/>
                <w:highlight w:val="none"/>
                <w:lang w:val="en-US" w:eastAsia="zh-CN"/>
              </w:rPr>
              <w:t>21</w:t>
            </w:r>
            <w:r>
              <w:rPr>
                <w:rFonts w:hint="eastAsia" w:ascii="宋体" w:hAnsi="宋体" w:cs="宋体"/>
                <w:sz w:val="24"/>
                <w:szCs w:val="24"/>
                <w:highlight w:val="none"/>
              </w:rPr>
              <w:t>日1</w:t>
            </w:r>
            <w:r>
              <w:rPr>
                <w:rFonts w:ascii="宋体" w:hAnsi="宋体" w:cs="宋体"/>
                <w:sz w:val="24"/>
                <w:szCs w:val="24"/>
                <w:highlight w:val="none"/>
              </w:rPr>
              <w:t>7</w:t>
            </w:r>
            <w:r>
              <w:rPr>
                <w:rFonts w:hint="eastAsia" w:ascii="宋体" w:hAnsi="宋体" w:cs="宋体"/>
                <w:sz w:val="24"/>
                <w:szCs w:val="24"/>
                <w:highlight w:val="none"/>
              </w:rPr>
              <w:t>：</w:t>
            </w:r>
            <w:r>
              <w:rPr>
                <w:rFonts w:ascii="宋体" w:hAnsi="宋体" w:cs="宋体"/>
                <w:sz w:val="24"/>
                <w:szCs w:val="24"/>
                <w:highlight w:val="none"/>
              </w:rPr>
              <w:t>0</w:t>
            </w:r>
            <w:r>
              <w:rPr>
                <w:rFonts w:hint="eastAsia" w:ascii="宋体" w:hAnsi="宋体" w:cs="宋体"/>
                <w:sz w:val="24"/>
                <w:szCs w:val="24"/>
                <w:highlight w:val="none"/>
              </w:rPr>
              <w:t>0前（同应标截止时间）</w:t>
            </w:r>
          </w:p>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对于没有中标的投标人，投标保证金将于招标人内部完成中标人评审并确认最终中标人后在30工作日内予以原路返还（无息）；对于中标方，投标保证金将在签订合同后30个工作日内原路返还（无息）。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cs="宋体"/>
                <w:sz w:val="24"/>
                <w:szCs w:val="24"/>
                <w:highlight w:val="none"/>
              </w:rPr>
              <w:t>20</w:t>
            </w:r>
            <w:r>
              <w:rPr>
                <w:rFonts w:ascii="宋体" w:hAnsi="宋体" w:cs="宋体"/>
                <w:sz w:val="24"/>
                <w:szCs w:val="24"/>
                <w:highlight w:val="none"/>
              </w:rPr>
              <w:t>2</w:t>
            </w:r>
            <w:r>
              <w:rPr>
                <w:rFonts w:hint="eastAsia" w:ascii="宋体" w:hAnsi="宋体" w:cs="宋体"/>
                <w:sz w:val="24"/>
                <w:szCs w:val="24"/>
                <w:highlight w:val="none"/>
                <w:lang w:val="en-US" w:eastAsia="zh-CN"/>
              </w:rPr>
              <w:t>5</w:t>
            </w:r>
            <w:r>
              <w:rPr>
                <w:rFonts w:hint="eastAsia" w:ascii="宋体" w:hAnsi="宋体" w:cs="宋体"/>
                <w:sz w:val="24"/>
                <w:szCs w:val="24"/>
                <w:highlight w:val="none"/>
              </w:rPr>
              <w:t>年</w:t>
            </w:r>
            <w:r>
              <w:rPr>
                <w:rFonts w:hint="eastAsia" w:ascii="宋体" w:hAnsi="宋体" w:cs="宋体"/>
                <w:sz w:val="24"/>
                <w:szCs w:val="24"/>
                <w:highlight w:val="none"/>
                <w:lang w:val="en-US" w:eastAsia="zh-CN"/>
              </w:rPr>
              <w:t>8</w:t>
            </w:r>
            <w:r>
              <w:rPr>
                <w:rFonts w:hint="eastAsia" w:ascii="宋体" w:hAnsi="宋体" w:cs="宋体"/>
                <w:sz w:val="24"/>
                <w:szCs w:val="24"/>
                <w:highlight w:val="none"/>
              </w:rPr>
              <w:t>月</w:t>
            </w:r>
            <w:r>
              <w:rPr>
                <w:rFonts w:hint="eastAsia" w:ascii="宋体" w:hAnsi="宋体" w:cs="宋体"/>
                <w:sz w:val="24"/>
                <w:szCs w:val="24"/>
                <w:highlight w:val="none"/>
                <w:lang w:val="en-US" w:eastAsia="zh-CN"/>
              </w:rPr>
              <w:t>25</w:t>
            </w:r>
            <w:r>
              <w:rPr>
                <w:rFonts w:hint="eastAsia" w:ascii="宋体" w:hAnsi="宋体" w:cs="宋体"/>
                <w:sz w:val="24"/>
                <w:szCs w:val="24"/>
                <w:highlight w:val="none"/>
              </w:rPr>
              <w:t>日</w:t>
            </w:r>
            <w:bookmarkStart w:id="128" w:name="_GoBack"/>
            <w:bookmarkEnd w:id="128"/>
            <w:r>
              <w:rPr>
                <w:rFonts w:hint="eastAsia" w:ascii="宋体" w:hAnsi="宋体" w:cs="宋体"/>
                <w:sz w:val="24"/>
                <w:szCs w:val="24"/>
                <w:highlight w:val="none"/>
              </w:rPr>
              <w:t>9:</w:t>
            </w:r>
            <w:r>
              <w:rPr>
                <w:rFonts w:ascii="宋体" w:hAnsi="宋体" w:cs="宋体"/>
                <w:sz w:val="24"/>
                <w:szCs w:val="24"/>
                <w:highlight w:val="none"/>
              </w:rPr>
              <w:t>0</w:t>
            </w:r>
            <w:r>
              <w:rPr>
                <w:rFonts w:hint="eastAsia" w:ascii="宋体" w:hAnsi="宋体" w:cs="宋体"/>
                <w:sz w:val="24"/>
                <w:szCs w:val="24"/>
                <w:highlight w:val="none"/>
              </w:rPr>
              <w:t>0:00</w:t>
            </w:r>
            <w:r>
              <w:rPr>
                <w:rFonts w:hint="eastAsia" w:ascii="宋体" w:hAnsi="宋体" w:eastAsia="宋体" w:cs="宋体"/>
                <w:kern w:val="0"/>
                <w:sz w:val="24"/>
                <w:szCs w:val="24"/>
                <w:highlight w:val="none"/>
              </w:rPr>
              <w:t>。</w:t>
            </w:r>
          </w:p>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rPr>
              <w:t>济南市</w:t>
            </w:r>
            <w:r>
              <w:rPr>
                <w:rFonts w:hint="eastAsia" w:ascii="宋体" w:hAnsi="宋体" w:eastAsia="宋体" w:cs="Times New Roman"/>
                <w:color w:val="000000"/>
                <w:sz w:val="24"/>
                <w:szCs w:val="24"/>
                <w:highlight w:val="none"/>
              </w:rPr>
              <w:t>历城区</w:t>
            </w:r>
            <w:r>
              <w:rPr>
                <w:rFonts w:hint="eastAsia" w:ascii="宋体" w:hAnsi="宋体" w:eastAsia="宋体" w:cs="宋体"/>
                <w:sz w:val="24"/>
                <w:szCs w:val="24"/>
                <w:highlight w:val="none"/>
              </w:rPr>
              <w:t>华奥路777号重汽科技大厦1311会议室。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评标方法：资质标审核→唱标→商务标评审。技术标入围后，原则上选取</w:t>
            </w:r>
            <w:r>
              <w:rPr>
                <w:rFonts w:hint="eastAsia" w:ascii="宋体" w:hAnsi="宋体" w:eastAsia="宋体" w:cs="Times New Roman"/>
                <w:b/>
                <w:bCs/>
                <w:color w:val="000000"/>
                <w:sz w:val="24"/>
                <w:szCs w:val="24"/>
                <w:highlight w:val="none"/>
              </w:rPr>
              <w:t>最低价中标</w:t>
            </w:r>
            <w:r>
              <w:rPr>
                <w:rFonts w:hint="eastAsia" w:ascii="宋体" w:hAnsi="宋体" w:eastAsia="宋体" w:cs="宋体"/>
                <w:sz w:val="24"/>
                <w:szCs w:val="24"/>
                <w:highlight w:val="none"/>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自合同签定生效之日起，</w:t>
            </w:r>
            <w:r>
              <w:rPr>
                <w:rFonts w:hint="eastAsia" w:hAnsi="宋体" w:eastAsia="宋体" w:cs="宋体"/>
                <w:color w:val="000000"/>
                <w:sz w:val="24"/>
                <w:szCs w:val="24"/>
                <w:highlight w:val="none"/>
                <w:lang w:val="en-US" w:eastAsia="zh-CN"/>
              </w:rPr>
              <w:t>45</w:t>
            </w:r>
            <w:r>
              <w:rPr>
                <w:rFonts w:hint="eastAsia" w:hAnsi="宋体" w:eastAsia="宋体" w:cs="宋体"/>
                <w:color w:val="000000"/>
                <w:sz w:val="24"/>
                <w:szCs w:val="24"/>
                <w:highlight w:val="none"/>
              </w:rPr>
              <w:t>个日历日之内交货至供货地点。</w:t>
            </w:r>
          </w:p>
          <w:p>
            <w:pPr>
              <w:pStyle w:val="17"/>
              <w:ind w:firstLine="480" w:firstLineChars="200"/>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rPr>
              <w:t>接续</w:t>
            </w:r>
            <w:r>
              <w:rPr>
                <w:rFonts w:hint="eastAsia" w:hAnsi="宋体" w:eastAsia="宋体" w:cs="宋体"/>
                <w:color w:val="000000"/>
                <w:sz w:val="24"/>
                <w:szCs w:val="24"/>
                <w:highlight w:val="none"/>
                <w:lang w:val="en-US" w:eastAsia="zh-CN"/>
              </w:rPr>
              <w:t>2</w:t>
            </w:r>
            <w:r>
              <w:rPr>
                <w:rFonts w:hint="eastAsia" w:hAnsi="宋体" w:eastAsia="宋体" w:cs="宋体"/>
                <w:color w:val="000000"/>
                <w:sz w:val="24"/>
                <w:szCs w:val="24"/>
                <w:highlight w:val="none"/>
              </w:rPr>
              <w:t>0个日历日之内完成</w:t>
            </w:r>
            <w:r>
              <w:rPr>
                <w:rFonts w:hint="eastAsia" w:hAnsi="宋体" w:eastAsia="宋体" w:cs="宋体"/>
                <w:color w:val="000000"/>
                <w:sz w:val="24"/>
                <w:szCs w:val="24"/>
                <w:highlight w:val="none"/>
                <w:lang w:val="en-US" w:eastAsia="zh-CN"/>
              </w:rPr>
              <w:t>安装调试。</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接续30个日历日之内完成终验收。</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安装调试工期超过规定时间的，投标人应当随标书提供详细的工期计划。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hAnsi="宋体" w:eastAsia="宋体" w:cs="宋体"/>
                <w:color w:val="000000"/>
                <w:sz w:val="24"/>
                <w:szCs w:val="24"/>
                <w:highlight w:val="none"/>
              </w:rPr>
              <w:t>济南市高新区华奥路777号重汽科技中心园区。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pPr>
              <w:pStyle w:val="34"/>
              <w:numPr>
                <w:ilvl w:val="0"/>
                <w:numId w:val="0"/>
              </w:numPr>
              <w:adjustRightInd w:val="0"/>
              <w:spacing w:after="0" w:line="240" w:lineRule="auto"/>
              <w:ind w:left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1.设备全部到齐，卖方提交金额为合同价款30%的收据并附带下列单据，经买方依照财务制度审核无误后30个工作日支付合同价款的30%。</w:t>
            </w:r>
          </w:p>
          <w:p>
            <w:pPr>
              <w:pStyle w:val="34"/>
              <w:numPr>
                <w:ilvl w:val="0"/>
                <w:numId w:val="0"/>
              </w:numPr>
              <w:adjustRightInd w:val="0"/>
              <w:spacing w:after="0" w:line="240" w:lineRule="auto"/>
              <w:ind w:left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2.设备全部到齐，经现场安装、调试、终验收合格交付使用后，卖方提交金额为合同价款60%的收据并附带下列单据，经买方依照财务制度审核无误后30个工作日支付合同价款的60%。</w:t>
            </w:r>
          </w:p>
          <w:p>
            <w:pPr>
              <w:pStyle w:val="34"/>
              <w:numPr>
                <w:ilvl w:val="0"/>
                <w:numId w:val="0"/>
              </w:numPr>
              <w:adjustRightInd w:val="0"/>
              <w:spacing w:after="0" w:line="240" w:lineRule="auto"/>
              <w:ind w:left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a.金额为该合同设备价格70%的增值税专用发票（含复印件二份），具体开票信息详见发票信息表，根据表中所列分别开具增值税发票。</w:t>
            </w:r>
          </w:p>
          <w:p>
            <w:pPr>
              <w:pStyle w:val="34"/>
              <w:numPr>
                <w:ilvl w:val="0"/>
                <w:numId w:val="0"/>
              </w:numPr>
              <w:adjustRightInd w:val="0"/>
              <w:spacing w:after="0" w:line="240" w:lineRule="auto"/>
              <w:ind w:left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b.该套设备最终验收报告的原件及其复印件两份。</w:t>
            </w:r>
          </w:p>
          <w:p>
            <w:pPr>
              <w:pStyle w:val="34"/>
              <w:numPr>
                <w:ilvl w:val="0"/>
                <w:numId w:val="0"/>
              </w:numPr>
              <w:adjustRightInd w:val="0"/>
              <w:spacing w:after="0" w:line="240" w:lineRule="auto"/>
              <w:ind w:leftChars="200"/>
              <w:rPr>
                <w:rFonts w:ascii="宋体" w:hAnsi="宋体" w:eastAsia="宋体" w:cs="宋体"/>
                <w:sz w:val="24"/>
                <w:szCs w:val="24"/>
                <w:highlight w:val="none"/>
              </w:rPr>
            </w:pPr>
            <w:r>
              <w:rPr>
                <w:rFonts w:hint="eastAsia" w:ascii="宋体" w:hAnsi="宋体" w:cs="宋体"/>
                <w:sz w:val="24"/>
                <w:szCs w:val="24"/>
                <w:highlight w:val="none"/>
                <w:lang w:val="en-US" w:eastAsia="zh-CN"/>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名称：中国重汽集团济南动力有限公司</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地址：章丘市圣井唐王山路北潘王路西</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纳税人识别号：91370100787411873C</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开户行：中国银行章丘支行</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电话：0531-58062198</w:t>
            </w:r>
          </w:p>
          <w:p>
            <w:pPr>
              <w:ind w:firstLine="480" w:firstLineChars="200"/>
              <w:rPr>
                <w:rFonts w:ascii="宋体" w:hAnsi="宋体" w:cs="宋体"/>
                <w:bCs/>
                <w:sz w:val="24"/>
                <w:szCs w:val="24"/>
                <w:highlight w:val="none"/>
              </w:rPr>
            </w:pPr>
            <w:r>
              <w:rPr>
                <w:rFonts w:hint="eastAsia" w:ascii="宋体" w:hAnsi="宋体" w:eastAsia="宋体" w:cs="宋体"/>
                <w:color w:val="000000"/>
                <w:sz w:val="24"/>
                <w:szCs w:val="24"/>
                <w:highlight w:val="none"/>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highlight w:val="none"/>
              </w:rPr>
            </w:pPr>
            <w:r>
              <w:rPr>
                <w:rFonts w:hint="eastAsia" w:ascii="宋体" w:hAnsi="宋体" w:eastAsia="宋体" w:cs="宋体"/>
                <w:b/>
                <w:bCs/>
                <w:sz w:val="24"/>
                <w:szCs w:val="24"/>
                <w:highlight w:val="none"/>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中标方应在合同签订后15日内需根据设计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17"/>
        <w:jc w:val="center"/>
        <w:outlineLvl w:val="0"/>
        <w:rPr>
          <w:rFonts w:ascii="Calibri" w:hAnsi="Calibri" w:eastAsia="宋体" w:cs="Times New Roman"/>
          <w:b/>
          <w:bCs/>
          <w:kern w:val="44"/>
          <w:sz w:val="36"/>
          <w:szCs w:val="44"/>
          <w:highlight w:val="none"/>
        </w:rPr>
      </w:pPr>
      <w:bookmarkStart w:id="4" w:name="_Toc15609"/>
      <w:r>
        <w:rPr>
          <w:rFonts w:hint="eastAsia" w:ascii="Calibri" w:hAnsi="Calibri" w:eastAsia="宋体" w:cs="Times New Roman"/>
          <w:b/>
          <w:bCs/>
          <w:kern w:val="44"/>
          <w:sz w:val="36"/>
          <w:szCs w:val="44"/>
          <w:highlight w:val="none"/>
        </w:rPr>
        <w:t>第二部分 投标须知</w:t>
      </w:r>
      <w:bookmarkEnd w:id="4"/>
    </w:p>
    <w:p>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一、项目名称</w:t>
      </w:r>
    </w:p>
    <w:p>
      <w:pPr>
        <w:spacing w:line="360" w:lineRule="auto"/>
        <w:ind w:left="1679" w:leftChars="228" w:hanging="1200" w:hangingChars="500"/>
        <w:rPr>
          <w:rFonts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7"/>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见《投标须知前附表》。</w:t>
      </w:r>
    </w:p>
    <w:p>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7"/>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四、投标说明</w:t>
      </w:r>
    </w:p>
    <w:p>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1.报名方式</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“SRM系统供应商用户手册（附件16）”登录系统，</w:t>
      </w:r>
      <w:r>
        <w:rPr>
          <w:rFonts w:hint="eastAsia" w:ascii="宋体" w:hAnsi="宋体" w:eastAsia="宋体" w:cs="宋体"/>
          <w:color w:val="000000"/>
          <w:sz w:val="24"/>
          <w:szCs w:val="24"/>
          <w:highlight w:val="none"/>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投标保证金缴纳的时候，</w:t>
      </w:r>
      <w:r>
        <w:rPr>
          <w:rFonts w:hint="eastAsia" w:ascii="宋体" w:hAnsi="宋体" w:eastAsia="宋体" w:cs="宋体"/>
          <w:b/>
          <w:bCs/>
          <w:color w:val="000000"/>
          <w:sz w:val="24"/>
          <w:szCs w:val="24"/>
          <w:highlight w:val="none"/>
        </w:rPr>
        <w:t>务必备注所投标的项目名称</w:t>
      </w:r>
      <w:r>
        <w:rPr>
          <w:rFonts w:hint="eastAsia" w:ascii="宋体" w:hAnsi="宋体" w:eastAsia="宋体" w:cs="宋体"/>
          <w:color w:val="000000"/>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投标条件</w:t>
      </w:r>
    </w:p>
    <w:p>
      <w:pPr>
        <w:pStyle w:val="17"/>
        <w:spacing w:line="360" w:lineRule="auto"/>
        <w:ind w:firstLine="480"/>
        <w:rPr>
          <w:rFonts w:hAnsi="宋体" w:eastAsia="宋体" w:cs="宋体"/>
          <w:b/>
          <w:color w:val="000000"/>
          <w:sz w:val="24"/>
          <w:szCs w:val="24"/>
          <w:highlight w:val="none"/>
        </w:rPr>
      </w:pPr>
      <w:r>
        <w:rPr>
          <w:rFonts w:hint="eastAsia" w:hAnsi="宋体" w:eastAsia="宋体" w:cs="宋体"/>
          <w:b/>
          <w:bCs/>
          <w:color w:val="000000"/>
          <w:sz w:val="24"/>
          <w:szCs w:val="24"/>
          <w:highlight w:val="none"/>
        </w:rPr>
        <w:t>对于中国境内投标人，投标条件详见招标文件“第一部分投标须知前附表1.6”。</w:t>
      </w:r>
    </w:p>
    <w:p>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3.报价</w:t>
      </w:r>
    </w:p>
    <w:p>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3.1</w:t>
      </w:r>
      <w:r>
        <w:rPr>
          <w:rFonts w:hint="eastAsia" w:hAnsi="宋体" w:eastAsia="宋体" w:cs="宋体"/>
          <w:sz w:val="24"/>
          <w:szCs w:val="24"/>
          <w:highlight w:val="none"/>
        </w:rPr>
        <w:t>本次招投标为</w:t>
      </w:r>
      <w:r>
        <w:rPr>
          <w:rFonts w:hint="eastAsia" w:hAnsi="宋体" w:eastAsia="宋体" w:cs="宋体"/>
          <w:color w:val="000000"/>
          <w:sz w:val="24"/>
          <w:szCs w:val="24"/>
          <w:highlight w:val="none"/>
        </w:rPr>
        <w:t>公开招标</w:t>
      </w:r>
      <w:r>
        <w:rPr>
          <w:rFonts w:hint="eastAsia" w:hAnsi="宋体" w:eastAsia="宋体" w:cs="宋体"/>
          <w:b/>
          <w:sz w:val="24"/>
          <w:szCs w:val="24"/>
          <w:highlight w:val="none"/>
        </w:rPr>
        <w:t>；</w:t>
      </w:r>
      <w:r>
        <w:rPr>
          <w:rFonts w:hint="eastAsia" w:hAnsi="宋体" w:eastAsia="宋体" w:cs="宋体"/>
          <w:color w:val="000000"/>
          <w:sz w:val="24"/>
          <w:szCs w:val="24"/>
          <w:highlight w:val="none"/>
        </w:rPr>
        <w:t>评标流程以及规则详见本部分第六条评标原则。</w:t>
      </w:r>
    </w:p>
    <w:p>
      <w:pPr>
        <w:spacing w:line="360" w:lineRule="auto"/>
        <w:ind w:firstLine="235" w:firstLineChars="98"/>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元【人民币（应同时报含税价和不含税价并写明税率）】。</w:t>
      </w:r>
    </w:p>
    <w:p>
      <w:pPr>
        <w:keepNext/>
        <w:keepLines/>
        <w:spacing w:line="360" w:lineRule="auto"/>
        <w:ind w:firstLine="482" w:firstLineChars="200"/>
        <w:outlineLvl w:val="2"/>
        <w:rPr>
          <w:rFonts w:ascii="宋体" w:hAnsi="宋体" w:eastAsia="宋体" w:cs="宋体"/>
          <w:sz w:val="24"/>
          <w:szCs w:val="24"/>
          <w:highlight w:val="none"/>
        </w:rPr>
      </w:pPr>
      <w:r>
        <w:rPr>
          <w:rFonts w:hint="eastAsia" w:ascii="宋体" w:hAnsi="宋体" w:eastAsia="宋体" w:cs="宋体"/>
          <w:b/>
          <w:bCs/>
          <w:color w:val="000000"/>
          <w:sz w:val="24"/>
          <w:szCs w:val="24"/>
          <w:highlight w:val="none"/>
        </w:rPr>
        <w:t>4.设备要求：</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4.1投标设备技术参数和总体要求按《技术标书》执行；</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4.2设备制造完毕经出厂检验合格后方能发货；</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4.3设备包装按国家或部颁标准执行；</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4.4设备交货要求直接发货至合同指定地点，否则买方有权拒绝接受货物；</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4.5投标企业按技术规范书提报设备详细技术资料；</w:t>
      </w:r>
    </w:p>
    <w:p>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4.7设备设施颜色严格执行我公司企业标准《设备设施颜色标识》（Q/ZZ30070</w:t>
      </w:r>
    </w:p>
    <w:p>
      <w:pPr>
        <w:pStyle w:val="17"/>
        <w:spacing w:line="360" w:lineRule="auto"/>
        <w:rPr>
          <w:rFonts w:hAnsi="宋体" w:eastAsia="宋体" w:cs="宋体"/>
          <w:color w:val="000000"/>
          <w:sz w:val="24"/>
          <w:szCs w:val="24"/>
          <w:highlight w:val="none"/>
        </w:rPr>
      </w:pPr>
      <w:r>
        <w:rPr>
          <w:rFonts w:hint="eastAsia" w:hAnsi="宋体" w:eastAsia="宋体" w:cs="宋体"/>
          <w:color w:val="000000"/>
          <w:sz w:val="24"/>
          <w:szCs w:val="24"/>
          <w:highlight w:val="none"/>
        </w:rPr>
        <w:t>—2020）。</w:t>
      </w:r>
    </w:p>
    <w:p>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5.其他要求</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6.询标</w:t>
      </w:r>
    </w:p>
    <w:p>
      <w:pPr>
        <w:keepNext/>
        <w:keepLines/>
        <w:spacing w:line="360" w:lineRule="auto"/>
        <w:ind w:firstLine="480" w:firstLineChars="200"/>
        <w:rPr>
          <w:rFonts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凡对本次招标提出的询问，均以招标人的书面答复为准。</w:t>
      </w:r>
    </w:p>
    <w:p>
      <w:pPr>
        <w:keepNext/>
        <w:keepLines/>
        <w:spacing w:line="360" w:lineRule="auto"/>
        <w:outlineLvl w:val="1"/>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五、议程安排</w:t>
      </w:r>
    </w:p>
    <w:p>
      <w:pPr>
        <w:keepNext/>
        <w:keepLines/>
        <w:spacing w:line="360" w:lineRule="auto"/>
        <w:ind w:firstLine="482" w:firstLineChars="200"/>
        <w:outlineLvl w:val="2"/>
        <w:rPr>
          <w:rFonts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1.发标时间</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sz w:val="24"/>
          <w:szCs w:val="24"/>
          <w:highlight w:val="none"/>
        </w:rPr>
        <w:t>中国重汽官网、山东省阳光采购服务平台、中国招标投标公共服务平台等公开媒体</w:t>
      </w:r>
      <w:r>
        <w:rPr>
          <w:rFonts w:hint="eastAsia" w:ascii="宋体" w:hAnsi="宋体" w:eastAsia="宋体" w:cs="宋体"/>
          <w:color w:val="000000"/>
          <w:sz w:val="24"/>
          <w:szCs w:val="24"/>
          <w:highlight w:val="none"/>
        </w:rPr>
        <w:t>公布。</w:t>
      </w:r>
    </w:p>
    <w:p>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见《投标须知前附表》第二条，逾期不受理。</w:t>
      </w:r>
    </w:p>
    <w:p>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4.投标报名</w:t>
      </w:r>
    </w:p>
    <w:p>
      <w:pPr>
        <w:keepNext/>
        <w:keepLines/>
        <w:spacing w:line="360" w:lineRule="auto"/>
        <w:ind w:firstLine="482"/>
        <w:rPr>
          <w:rFonts w:ascii="宋体" w:hAnsi="宋体" w:eastAsia="宋体" w:cs="宋体"/>
          <w:sz w:val="24"/>
          <w:szCs w:val="24"/>
          <w:highlight w:val="none"/>
        </w:rPr>
      </w:pPr>
      <w:r>
        <w:rPr>
          <w:rFonts w:hint="eastAsia" w:ascii="宋体" w:hAnsi="宋体" w:eastAsia="宋体" w:cs="宋体"/>
          <w:sz w:val="24"/>
          <w:szCs w:val="24"/>
          <w:highlight w:val="none"/>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1"/>
        <w:ind w:firstLine="480"/>
        <w:rPr>
          <w:rFonts w:eastAsia="宋体" w:cs="宋体"/>
          <w:highlight w:val="none"/>
        </w:rPr>
      </w:pPr>
      <w:r>
        <w:rPr>
          <w:rFonts w:hint="eastAsia" w:eastAsia="宋体" w:cs="宋体"/>
          <w:highlight w:val="none"/>
        </w:rPr>
        <w:t>4.2招标人银行账户信息如下：见《投标须知前附表》4.2。</w:t>
      </w:r>
    </w:p>
    <w:p>
      <w:pPr>
        <w:pStyle w:val="111"/>
        <w:ind w:firstLine="480"/>
        <w:rPr>
          <w:rFonts w:eastAsia="宋体" w:cs="宋体"/>
          <w:highlight w:val="none"/>
        </w:rPr>
      </w:pPr>
      <w:r>
        <w:rPr>
          <w:rFonts w:hint="eastAsia" w:eastAsia="宋体" w:cs="宋体"/>
          <w:highlight w:val="none"/>
        </w:rPr>
        <w:t>转账附言：公司名称+项目名称+投标保证金；</w:t>
      </w:r>
    </w:p>
    <w:p>
      <w:pPr>
        <w:pStyle w:val="111"/>
        <w:ind w:firstLine="480"/>
        <w:rPr>
          <w:rFonts w:eastAsia="宋体" w:cs="宋体"/>
          <w:highlight w:val="none"/>
        </w:rPr>
      </w:pPr>
      <w:r>
        <w:rPr>
          <w:rFonts w:hint="eastAsia" w:eastAsia="宋体" w:cs="宋体"/>
          <w:highlight w:val="none"/>
        </w:rPr>
        <w:t>对于没有中标的投标人，投标保证金将于招标人内部完成中标人评审并确认最终中标人后在30工作日内予以原路返还（无息）；对于中标方，投标保证金将在签订合同后30个工作日内原路返还（无息）；</w:t>
      </w:r>
    </w:p>
    <w:p>
      <w:pPr>
        <w:pStyle w:val="111"/>
        <w:ind w:firstLine="480"/>
        <w:rPr>
          <w:rFonts w:eastAsia="宋体" w:cs="宋体"/>
          <w:highlight w:val="none"/>
        </w:rPr>
      </w:pPr>
      <w:r>
        <w:rPr>
          <w:rFonts w:hint="eastAsia" w:eastAsia="宋体" w:cs="宋体"/>
          <w:highlight w:val="none"/>
        </w:rPr>
        <w:t>4.3说明</w:t>
      </w:r>
    </w:p>
    <w:p>
      <w:pPr>
        <w:pStyle w:val="111"/>
        <w:ind w:firstLine="480"/>
        <w:rPr>
          <w:rFonts w:eastAsia="宋体" w:cs="宋体"/>
          <w:highlight w:val="none"/>
        </w:rPr>
      </w:pPr>
      <w:r>
        <w:rPr>
          <w:rFonts w:hint="eastAsia" w:eastAsia="宋体" w:cs="宋体"/>
          <w:highlight w:val="none"/>
        </w:rPr>
        <w:t>4.3.1 投标人在向招标人出示《投标保证金缴纳凭证》后方可进行投标；</w:t>
      </w:r>
    </w:p>
    <w:p>
      <w:pPr>
        <w:pStyle w:val="111"/>
        <w:ind w:firstLine="480"/>
        <w:rPr>
          <w:rFonts w:eastAsia="宋体" w:cs="宋体"/>
          <w:highlight w:val="none"/>
        </w:rPr>
      </w:pPr>
      <w:r>
        <w:rPr>
          <w:rFonts w:hint="eastAsia" w:eastAsia="宋体" w:cs="宋体"/>
          <w:highlight w:val="none"/>
        </w:rPr>
        <w:t>4.3.2 发生以下情况时，招标人有权没收保证金：</w:t>
      </w:r>
    </w:p>
    <w:p>
      <w:pPr>
        <w:pStyle w:val="111"/>
        <w:ind w:firstLine="480"/>
        <w:rPr>
          <w:rFonts w:eastAsia="宋体" w:cs="宋体"/>
          <w:highlight w:val="none"/>
        </w:rPr>
      </w:pPr>
      <w:r>
        <w:rPr>
          <w:rFonts w:hint="eastAsia" w:eastAsia="宋体" w:cs="宋体"/>
          <w:highlight w:val="none"/>
        </w:rPr>
        <w:t>4.3.2.1 截至开标前3天，投标人无正当理由且未以书面形式递交说明而在投标截止日不来投标的；</w:t>
      </w:r>
    </w:p>
    <w:p>
      <w:pPr>
        <w:pStyle w:val="111"/>
        <w:ind w:firstLine="480"/>
        <w:rPr>
          <w:rFonts w:eastAsia="宋体" w:cs="宋体"/>
          <w:highlight w:val="none"/>
        </w:rPr>
      </w:pPr>
      <w:r>
        <w:rPr>
          <w:rFonts w:hint="eastAsia" w:eastAsia="宋体" w:cs="宋体"/>
          <w:highlight w:val="none"/>
        </w:rPr>
        <w:t>4.3.2.2 投标人递送投标文件后，无正当理由放弃投标的；</w:t>
      </w:r>
    </w:p>
    <w:p>
      <w:pPr>
        <w:pStyle w:val="111"/>
        <w:ind w:firstLine="480"/>
        <w:rPr>
          <w:rFonts w:eastAsia="宋体" w:cs="宋体"/>
          <w:highlight w:val="none"/>
        </w:rPr>
      </w:pPr>
      <w:r>
        <w:rPr>
          <w:rFonts w:hint="eastAsia" w:eastAsia="宋体" w:cs="宋体"/>
          <w:highlight w:val="none"/>
        </w:rPr>
        <w:t>4.3.2.3若为视频开标，招标过程中澄清函等资料原件未按要求提交的；</w:t>
      </w:r>
    </w:p>
    <w:p>
      <w:pPr>
        <w:pStyle w:val="111"/>
        <w:ind w:firstLine="480"/>
        <w:rPr>
          <w:rFonts w:eastAsia="宋体" w:cs="宋体"/>
          <w:highlight w:val="none"/>
        </w:rPr>
      </w:pPr>
      <w:r>
        <w:rPr>
          <w:rFonts w:hint="eastAsia" w:eastAsia="宋体" w:cs="宋体"/>
          <w:highlight w:val="none"/>
        </w:rPr>
        <w:t>4.3.2.4自中标通知书发出之日起30日内，中标人无正当理由不签订合同的；</w:t>
      </w:r>
    </w:p>
    <w:p>
      <w:pPr>
        <w:pStyle w:val="111"/>
        <w:ind w:firstLine="480"/>
        <w:rPr>
          <w:rFonts w:eastAsia="宋体" w:cs="宋体"/>
          <w:highlight w:val="none"/>
        </w:rPr>
      </w:pPr>
      <w:r>
        <w:rPr>
          <w:rFonts w:hint="eastAsia" w:eastAsia="宋体" w:cs="宋体"/>
          <w:highlight w:val="none"/>
        </w:rPr>
        <w:t>4.3.2.5投标人在投标过程中被查实有串标、围标、陪标等违规违纪行为的；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4.3.2.6投标人有违约违规行为或被投诉、举报的，在调查处理期间，保证金暂不退还，待调查处理结束后按有关规定处理。</w:t>
      </w:r>
    </w:p>
    <w:p>
      <w:pPr>
        <w:pStyle w:val="111"/>
        <w:ind w:firstLine="480"/>
        <w:rPr>
          <w:rFonts w:eastAsia="宋体" w:cs="宋体"/>
          <w:highlight w:val="none"/>
        </w:rPr>
      </w:pPr>
      <w:r>
        <w:rPr>
          <w:rFonts w:hint="eastAsia" w:eastAsia="宋体" w:cs="宋体"/>
          <w:highlight w:val="none"/>
        </w:rPr>
        <w:t>4.4投标报名截止时间</w:t>
      </w:r>
    </w:p>
    <w:p>
      <w:pPr>
        <w:pStyle w:val="111"/>
        <w:ind w:firstLine="480"/>
        <w:rPr>
          <w:rFonts w:eastAsia="宋体" w:cs="宋体"/>
          <w:highlight w:val="none"/>
        </w:rPr>
      </w:pPr>
      <w:r>
        <w:rPr>
          <w:rFonts w:hint="eastAsia" w:eastAsia="宋体" w:cs="宋体"/>
          <w:highlight w:val="none"/>
        </w:rPr>
        <w:t>报名方式：见《投标须知前附表》2.3。</w:t>
      </w:r>
    </w:p>
    <w:p>
      <w:pPr>
        <w:pStyle w:val="111"/>
        <w:ind w:firstLine="480"/>
        <w:rPr>
          <w:rFonts w:eastAsia="宋体" w:cs="宋体"/>
          <w:highlight w:val="none"/>
        </w:rPr>
      </w:pPr>
      <w:r>
        <w:rPr>
          <w:rFonts w:hint="eastAsia" w:eastAsia="宋体" w:cs="宋体"/>
          <w:highlight w:val="none"/>
        </w:rPr>
        <w:t>报名提交资料：均为盖章电子扫描版，用“公司名称+文件名称”命名。</w:t>
      </w:r>
    </w:p>
    <w:p>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如果是代理商投标</w:t>
      </w:r>
      <w:r>
        <w:rPr>
          <w:rFonts w:hint="eastAsia" w:ascii="宋体" w:hAnsi="宋体" w:eastAsia="宋体" w:cs="宋体"/>
          <w:color w:val="000000"/>
          <w:sz w:val="24"/>
          <w:szCs w:val="24"/>
          <w:highlight w:val="none"/>
        </w:rPr>
        <w:t>，除上述a)b)中要求的资料，要另外携带生产商的授权书、原厂售后服务承诺书。</w:t>
      </w:r>
    </w:p>
    <w:p>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5.开标时间</w:t>
      </w:r>
    </w:p>
    <w:p>
      <w:pPr>
        <w:keepNext/>
        <w:keepLines/>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见《投标须知前附表》5.1，若有变动另行通知。</w:t>
      </w:r>
    </w:p>
    <w:p>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6.开标方式</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原则上来现场参与开标。如因特殊情况无法现场参与，需在开标前三日，通知招标人，由招标人创建视频链接，并在报名结束后统一通知。</w:t>
      </w:r>
    </w:p>
    <w:p>
      <w:pPr>
        <w:spacing w:line="360" w:lineRule="auto"/>
        <w:jc w:val="left"/>
        <w:outlineLvl w:val="1"/>
        <w:rPr>
          <w:rFonts w:ascii="宋体" w:hAnsi="宋体" w:eastAsia="宋体" w:cs="宋体"/>
          <w:b/>
          <w:sz w:val="24"/>
          <w:szCs w:val="24"/>
          <w:highlight w:val="none"/>
        </w:rPr>
      </w:pPr>
      <w:bookmarkStart w:id="6" w:name="_Toc33265752"/>
      <w:bookmarkStart w:id="7" w:name="_Toc33285487"/>
      <w:bookmarkStart w:id="8" w:name="_Toc33266627"/>
      <w:bookmarkStart w:id="9" w:name="_Toc33265653"/>
      <w:bookmarkStart w:id="10" w:name="_Toc33267001"/>
      <w:bookmarkStart w:id="11" w:name="_Toc33266950"/>
      <w:bookmarkStart w:id="12" w:name="_Toc33266914"/>
      <w:r>
        <w:rPr>
          <w:rFonts w:hint="eastAsia" w:ascii="宋体" w:hAnsi="宋体" w:eastAsia="宋体" w:cs="宋体"/>
          <w:b/>
          <w:sz w:val="24"/>
          <w:szCs w:val="24"/>
          <w:highlight w:val="none"/>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1.评标</w:t>
      </w:r>
    </w:p>
    <w:p>
      <w:pPr>
        <w:adjustRightInd w:val="0"/>
        <w:snapToGrid w:val="0"/>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sz w:val="24"/>
          <w:szCs w:val="24"/>
          <w:highlight w:val="none"/>
        </w:rPr>
        <w:t>本次招标采用</w:t>
      </w:r>
      <w:r>
        <w:rPr>
          <w:rFonts w:hint="eastAsia" w:ascii="宋体" w:hAnsi="宋体" w:eastAsia="宋体" w:cs="宋体"/>
          <w:b/>
          <w:bCs/>
          <w:sz w:val="24"/>
          <w:szCs w:val="24"/>
          <w:highlight w:val="none"/>
        </w:rPr>
        <w:t>最低价中标</w:t>
      </w:r>
      <w:bookmarkStart w:id="14" w:name="_Toc33285489"/>
      <w:bookmarkStart w:id="15" w:name="_Toc33266628"/>
      <w:bookmarkStart w:id="16" w:name="_Toc33265654"/>
      <w:bookmarkStart w:id="17" w:name="_Toc33265753"/>
      <w:bookmarkStart w:id="18" w:name="_Toc33267002"/>
      <w:bookmarkStart w:id="19" w:name="_Toc33266951"/>
      <w:bookmarkStart w:id="20" w:name="_Toc395116634"/>
      <w:bookmarkStart w:id="21" w:name="_Toc33266915"/>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本着公平、公正、公开的原则，在通过技术标综合评审后入围的前提下，选择最低价确定中标人</w:t>
      </w:r>
      <w:r>
        <w:rPr>
          <w:rFonts w:hint="eastAsia" w:ascii="宋体" w:hAnsi="宋体" w:eastAsia="宋体" w:cs="宋体"/>
          <w:b/>
          <w:color w:val="000000"/>
          <w:sz w:val="24"/>
          <w:szCs w:val="24"/>
          <w:highlight w:val="none"/>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pPr>
        <w:pStyle w:val="17"/>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按照第三部分第三条投标文件组成资格证明文件中的1.1-1.12准备资料，上传完毕后，等待审核</w:t>
      </w:r>
      <w:r>
        <w:rPr>
          <w:rFonts w:hint="eastAsia" w:ascii="宋体" w:hAnsi="宋体" w:eastAsia="宋体" w:cs="宋体"/>
          <w:b/>
          <w:color w:val="000000"/>
          <w:sz w:val="24"/>
          <w:szCs w:val="24"/>
          <w:highlight w:val="none"/>
        </w:rPr>
        <w:t>；</w:t>
      </w:r>
    </w:p>
    <w:p>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pPr>
        <w:numPr>
          <w:ilvl w:val="0"/>
          <w:numId w:val="8"/>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注意：投标人均需要自带笔记本电脑在重汽e采通进行自主投标和提交澄清函；投标和提交澄清函均有时间限制，超时未提交的按无效处理。</w:t>
      </w:r>
    </w:p>
    <w:p>
      <w:pPr>
        <w:numPr>
          <w:ilvl w:val="0"/>
          <w:numId w:val="9"/>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中标人确定：原则上</w:t>
      </w:r>
      <w:r>
        <w:rPr>
          <w:rFonts w:hint="eastAsia" w:ascii="宋体" w:hAnsi="宋体" w:eastAsia="宋体" w:cs="宋体"/>
          <w:b/>
          <w:bCs/>
          <w:sz w:val="24"/>
          <w:szCs w:val="24"/>
          <w:highlight w:val="none"/>
        </w:rPr>
        <w:t>最低价</w:t>
      </w:r>
      <w:r>
        <w:rPr>
          <w:rFonts w:hint="eastAsia" w:ascii="宋体" w:hAnsi="宋体" w:eastAsia="宋体" w:cs="宋体"/>
          <w:b/>
          <w:sz w:val="24"/>
          <w:szCs w:val="24"/>
          <w:highlight w:val="none"/>
        </w:rPr>
        <w:t>中标。</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highlight w:val="none"/>
          <w:lang w:bidi="ar"/>
        </w:rPr>
        <w:t>变更意向中标人</w:t>
      </w:r>
      <w:r>
        <w:rPr>
          <w:rFonts w:hint="eastAsia" w:ascii="宋体" w:hAnsi="宋体" w:eastAsia="宋体" w:cs="宋体"/>
          <w:color w:val="000000"/>
          <w:sz w:val="24"/>
          <w:szCs w:val="24"/>
          <w:highlight w:val="none"/>
        </w:rPr>
        <w:t>。</w:t>
      </w:r>
    </w:p>
    <w:p>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七、合同签订</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1.招标人根据评标工作小组的评标结果确定中标人，在重汽e采通平台公布中标结果，并发送中标通知。</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5.合同以双方最终签署的版本为准。</w:t>
      </w:r>
    </w:p>
    <w:p>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八、废标及终止招标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pPr>
        <w:pStyle w:val="17"/>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（14）投标人报价均超过采购预算的；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5</w:t>
      </w:r>
      <w:r>
        <w:rPr>
          <w:rFonts w:hint="eastAsia" w:ascii="宋体" w:hAnsi="宋体" w:eastAsia="宋体" w:cs="宋体"/>
          <w:color w:val="000000"/>
          <w:sz w:val="24"/>
          <w:szCs w:val="24"/>
          <w:highlight w:val="none"/>
        </w:rPr>
        <w:t>）法律、法规规定的其他情况。</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22" w:name="OLE_LINK25"/>
      <w:bookmarkStart w:id="23" w:name="OLE_LINK27"/>
      <w:bookmarkStart w:id="24" w:name="OLE_LINK26"/>
      <w:bookmarkStart w:id="25" w:name="OLE_LINK29"/>
      <w:bookmarkStart w:id="26" w:name="OLE_LINK28"/>
      <w:r>
        <w:rPr>
          <w:rFonts w:hint="eastAsia" w:ascii="宋体" w:hAnsi="宋体" w:eastAsia="宋体" w:cs="宋体"/>
          <w:bCs/>
          <w:sz w:val="24"/>
          <w:szCs w:val="24"/>
          <w:highlight w:val="none"/>
        </w:rPr>
        <w:t>；</w:t>
      </w:r>
      <w:bookmarkEnd w:id="22"/>
      <w:bookmarkEnd w:id="23"/>
      <w:bookmarkEnd w:id="24"/>
      <w:bookmarkEnd w:id="25"/>
      <w:bookmarkEnd w:id="26"/>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pPr>
        <w:pStyle w:val="17"/>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ascii="宋体" w:hAnsi="宋体" w:eastAsia="宋体" w:cs="宋体"/>
          <w:b/>
          <w:color w:val="000000"/>
          <w:sz w:val="24"/>
          <w:szCs w:val="24"/>
          <w:highlight w:val="none"/>
        </w:rPr>
      </w:pPr>
      <w:r>
        <w:rPr>
          <w:rFonts w:hint="eastAsia" w:ascii="宋体" w:hAnsi="宋体" w:eastAsia="宋体" w:cs="宋体"/>
          <w:b/>
          <w:bCs/>
          <w:sz w:val="24"/>
          <w:szCs w:val="24"/>
          <w:highlight w:val="none"/>
        </w:rPr>
        <w:t>九、本次招标最终解释权</w:t>
      </w:r>
      <w:r>
        <w:rPr>
          <w:rFonts w:hint="eastAsia" w:ascii="宋体" w:hAnsi="宋体" w:eastAsia="宋体" w:cs="宋体"/>
          <w:b/>
          <w:color w:val="000000"/>
          <w:sz w:val="24"/>
          <w:szCs w:val="24"/>
          <w:highlight w:val="none"/>
        </w:rPr>
        <w:t>归中国重汽集团济南动力有限公司。</w:t>
      </w:r>
    </w:p>
    <w:p>
      <w:pPr>
        <w:pStyle w:val="17"/>
        <w:spacing w:line="360" w:lineRule="auto"/>
        <w:jc w:val="center"/>
        <w:rPr>
          <w:rFonts w:hAnsi="宋体" w:eastAsia="宋体" w:cs="宋体"/>
          <w:b/>
          <w:bCs/>
          <w:kern w:val="44"/>
          <w:sz w:val="24"/>
          <w:szCs w:val="24"/>
          <w:highlight w:val="none"/>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17"/>
        <w:numPr>
          <w:ilvl w:val="255"/>
          <w:numId w:val="0"/>
        </w:numPr>
        <w:jc w:val="center"/>
        <w:outlineLvl w:val="0"/>
        <w:rPr>
          <w:rFonts w:ascii="Calibri" w:hAnsi="Calibri" w:eastAsia="宋体" w:cs="Times New Roman"/>
          <w:b/>
          <w:bCs/>
          <w:kern w:val="44"/>
          <w:sz w:val="36"/>
          <w:szCs w:val="44"/>
          <w:highlight w:val="none"/>
        </w:rPr>
      </w:pPr>
      <w:bookmarkStart w:id="27" w:name="_Toc22879"/>
      <w:r>
        <w:rPr>
          <w:rFonts w:hint="eastAsia" w:ascii="Calibri" w:hAnsi="Calibri" w:eastAsia="宋体" w:cs="Times New Roman"/>
          <w:b/>
          <w:bCs/>
          <w:kern w:val="44"/>
          <w:sz w:val="36"/>
          <w:szCs w:val="44"/>
          <w:highlight w:val="none"/>
        </w:rPr>
        <w:t>第三部分 投标文件编制</w:t>
      </w:r>
      <w:bookmarkEnd w:id="27"/>
    </w:p>
    <w:p>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一、投标文件的编制</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2.投标文件和与投标有关的所有文件均应使用中文。</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二、投标文件资料</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1.投标人所投标设备详细技术资料清单，在标书中列示说明；</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B、售后服务机构或网点（名称、地址、联系人、电话）。</w:t>
      </w:r>
    </w:p>
    <w:p>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C、针对本项目的技术服务团队情况（人员数量、姓名、电话、专业资质等）。</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D、日常维护保养及故障排除措施保证。</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color w:val="000000"/>
          <w:sz w:val="24"/>
          <w:szCs w:val="24"/>
          <w:highlight w:val="none"/>
        </w:rPr>
        <w:t>3.投标人关于包装、运输、检验、交付、安装、调试、培训等方案，均需在投标文件中列示说明。</w:t>
      </w:r>
    </w:p>
    <w:p>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三、投标文件的组成</w:t>
      </w:r>
    </w:p>
    <w:p>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sz w:val="24"/>
          <w:szCs w:val="24"/>
          <w:highlight w:val="none"/>
        </w:rPr>
        <w:t>本项目投标文件分为</w:t>
      </w:r>
      <w:r>
        <w:rPr>
          <w:rFonts w:hint="eastAsia" w:ascii="宋体" w:hAnsi="宋体" w:eastAsia="宋体" w:cs="宋体"/>
          <w:b/>
          <w:sz w:val="24"/>
          <w:szCs w:val="24"/>
          <w:highlight w:val="none"/>
        </w:rPr>
        <w:t>纸质版</w:t>
      </w:r>
      <w:r>
        <w:rPr>
          <w:rFonts w:hint="eastAsia" w:ascii="宋体" w:hAnsi="宋体" w:eastAsia="宋体" w:cs="宋体"/>
          <w:bCs/>
          <w:sz w:val="24"/>
          <w:szCs w:val="24"/>
          <w:highlight w:val="none"/>
        </w:rPr>
        <w:t>投标文件和</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宋体"/>
          <w:bCs/>
          <w:color w:val="000000"/>
          <w:sz w:val="24"/>
          <w:szCs w:val="24"/>
          <w:highlight w:val="none"/>
        </w:rPr>
        <w:t>个文件。</w:t>
      </w:r>
    </w:p>
    <w:p>
      <w:pPr>
        <w:spacing w:line="360" w:lineRule="auto"/>
        <w:ind w:firstLine="482" w:firstLineChars="200"/>
        <w:rPr>
          <w:rFonts w:ascii="宋体" w:hAnsi="宋体" w:eastAsia="宋体" w:cs="宋体"/>
          <w:bCs/>
          <w:color w:val="000000"/>
          <w:sz w:val="24"/>
          <w:szCs w:val="24"/>
          <w:highlight w:val="none"/>
        </w:rPr>
      </w:pPr>
      <w:r>
        <w:rPr>
          <w:rFonts w:hint="eastAsia" w:ascii="宋体" w:hAnsi="宋体" w:eastAsia="宋体" w:cs="宋体"/>
          <w:b/>
          <w:color w:val="000000"/>
          <w:sz w:val="24"/>
          <w:szCs w:val="24"/>
          <w:highlight w:val="none"/>
        </w:rPr>
        <w:t>投标文件的份数要求及投递方式</w:t>
      </w:r>
      <w:r>
        <w:rPr>
          <w:rFonts w:hint="eastAsia" w:ascii="宋体" w:hAnsi="宋体" w:eastAsia="宋体" w:cs="宋体"/>
          <w:bCs/>
          <w:color w:val="000000"/>
          <w:sz w:val="24"/>
          <w:szCs w:val="24"/>
          <w:highlight w:val="none"/>
        </w:rPr>
        <w:t>，见《投标须知前附表》第3条。</w:t>
      </w:r>
    </w:p>
    <w:p>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详见附件格式1—13，其余未尽事宜请按各单位习惯制定即可。</w:t>
      </w:r>
    </w:p>
    <w:p>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bCs/>
          <w:sz w:val="24"/>
          <w:szCs w:val="24"/>
          <w:highlight w:val="none"/>
        </w:rPr>
        <w:t>1.《投标文件（资质标）》包括</w:t>
      </w:r>
      <w:r>
        <w:rPr>
          <w:rFonts w:hint="eastAsia" w:ascii="宋体" w:hAnsi="宋体" w:eastAsia="宋体" w:cs="宋体"/>
          <w:color w:val="000000"/>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highlight w:val="none"/>
        </w:rPr>
        <w:t>；</w:t>
      </w:r>
    </w:p>
    <w:p>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1.6投标人在国家企业信用信息公示系统中无与本项目有关的行政处罚、经营异常和失信信息的声明；（附投标当日系统内相关截图）</w:t>
      </w:r>
    </w:p>
    <w:p>
      <w:pPr>
        <w:spacing w:line="360" w:lineRule="auto"/>
        <w:ind w:firstLine="480" w:firstLineChars="200"/>
        <w:rPr>
          <w:highlight w:val="none"/>
        </w:rPr>
      </w:pPr>
      <w:r>
        <w:rPr>
          <w:rFonts w:hint="eastAsia" w:ascii="宋体" w:hAnsi="宋体" w:eastAsia="宋体" w:cs="宋体"/>
          <w:color w:val="000000"/>
          <w:sz w:val="24"/>
          <w:szCs w:val="24"/>
          <w:highlight w:val="none"/>
        </w:rPr>
        <w:t>1.7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1.8企业信用证明材料（征信中心出具的信用报告）；</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1.9代理商投标要携带生产商的授权书、原厂售后服务承诺书，根据实际情况提供即可，无格式限制</w:t>
      </w:r>
      <w:r>
        <w:rPr>
          <w:rFonts w:hint="eastAsia" w:hAnsi="宋体" w:eastAsia="宋体" w:cs="宋体"/>
          <w:color w:val="000000"/>
          <w:sz w:val="24"/>
          <w:szCs w:val="24"/>
          <w:highlight w:val="none"/>
        </w:rPr>
        <w:t>（包括所代理品牌针对项目的唯一授权书）</w:t>
      </w:r>
      <w:r>
        <w:rPr>
          <w:rFonts w:hint="eastAsia" w:ascii="宋体" w:hAnsi="宋体" w:eastAsia="宋体" w:cs="宋体"/>
          <w:color w:val="000000"/>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1.10企业最近半年的完税证明，并附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1.11保密承诺函（附件4）；</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1.12 2021年1月1日至今，企业近三年同类项目业绩证明，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1.13投标保证金缴纳凭证，同时正文描述付款账号、户名、开户行名称、开户行行号、保证金金额。</w:t>
      </w:r>
    </w:p>
    <w:p>
      <w:pPr>
        <w:spacing w:line="360" w:lineRule="auto"/>
        <w:ind w:firstLine="482" w:firstLineChars="200"/>
        <w:rPr>
          <w:rFonts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2.1技术规格偏离表（附件5-1），</w:t>
      </w:r>
      <w:r>
        <w:rPr>
          <w:rFonts w:hint="eastAsia" w:ascii="宋体" w:hAnsi="宋体" w:eastAsia="宋体" w:cs="宋体"/>
          <w:b/>
          <w:color w:val="000000"/>
          <w:sz w:val="24"/>
          <w:szCs w:val="24"/>
          <w:highlight w:val="none"/>
        </w:rPr>
        <w:t>必须先进行两列要求一一对照，不允许直接写无偏离；</w:t>
      </w:r>
    </w:p>
    <w:p>
      <w:pPr>
        <w:spacing w:line="360" w:lineRule="auto"/>
        <w:ind w:firstLine="480" w:firstLineChars="200"/>
        <w:rPr>
          <w:rFonts w:hAnsi="宋体" w:eastAsia="宋体" w:cs="宋体"/>
          <w:b/>
          <w:color w:val="000000"/>
          <w:sz w:val="24"/>
          <w:szCs w:val="24"/>
          <w:highlight w:val="none"/>
        </w:rPr>
      </w:pPr>
      <w:r>
        <w:rPr>
          <w:rFonts w:hint="eastAsia" w:ascii="宋体" w:hAnsi="宋体" w:eastAsia="宋体" w:cs="宋体"/>
          <w:bCs/>
          <w:color w:val="000000"/>
          <w:sz w:val="24"/>
          <w:szCs w:val="24"/>
          <w:highlight w:val="none"/>
        </w:rPr>
        <w:t>2.2</w:t>
      </w:r>
      <w:r>
        <w:rPr>
          <w:rFonts w:hint="eastAsia" w:hAnsi="宋体" w:eastAsia="宋体" w:cs="宋体"/>
          <w:color w:val="000000"/>
          <w:sz w:val="24"/>
          <w:szCs w:val="24"/>
          <w:highlight w:val="none"/>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none"/>
        </w:rPr>
        <w:t>注意：</w:t>
      </w:r>
      <w:r>
        <w:rPr>
          <w:rFonts w:hint="eastAsia" w:hAnsi="宋体" w:eastAsia="宋体" w:cs="宋体"/>
          <w:b/>
          <w:color w:val="000000"/>
          <w:sz w:val="24"/>
          <w:szCs w:val="24"/>
          <w:highlight w:val="none"/>
        </w:rPr>
        <w:t>此表在技术标书中，禁止出现任何分项价格及项目总价；</w:t>
      </w:r>
    </w:p>
    <w:p>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2.4供货期及保证措施；</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2.5产品的技术服务和售后服务内容及措施；</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2.6交货进度及计划；</w:t>
      </w:r>
    </w:p>
    <w:p>
      <w:pPr>
        <w:spacing w:line="360" w:lineRule="auto"/>
        <w:ind w:firstLine="480" w:firstLineChars="200"/>
        <w:rPr>
          <w:rFonts w:ascii="宋体" w:hAnsi="宋体" w:eastAsia="宋体" w:cs="宋体"/>
          <w:color w:val="000000"/>
          <w:sz w:val="24"/>
          <w:szCs w:val="24"/>
          <w:highlight w:val="none"/>
        </w:rPr>
      </w:pPr>
      <w:bookmarkStart w:id="29" w:name="_Toc536542319"/>
      <w:r>
        <w:rPr>
          <w:rFonts w:hint="eastAsia" w:ascii="宋体" w:hAnsi="宋体" w:eastAsia="宋体" w:cs="宋体"/>
          <w:color w:val="000000"/>
          <w:sz w:val="24"/>
          <w:szCs w:val="24"/>
          <w:highlight w:val="none"/>
        </w:rPr>
        <w:t>2.7投标产品技术支持材料</w:t>
      </w:r>
      <w:bookmarkEnd w:id="29"/>
      <w:r>
        <w:rPr>
          <w:rFonts w:hint="eastAsia" w:ascii="宋体" w:hAnsi="宋体" w:eastAsia="宋体" w:cs="宋体"/>
          <w:color w:val="000000"/>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2.8设备质量承诺函（附件7）；</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2.9投标人需提交的其它资料。</w:t>
      </w:r>
    </w:p>
    <w:p>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3.1开标一览表（附件8）；</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3.2投标报价明细表（附件9-1至9-5）</w:t>
      </w:r>
      <w:r>
        <w:rPr>
          <w:rFonts w:hint="eastAsia" w:ascii="宋体" w:hAnsi="宋体" w:eastAsia="宋体" w:cs="宋体"/>
          <w:b/>
          <w:color w:val="000000"/>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3.3商务条款偏离表（附件10）</w:t>
      </w:r>
      <w:bookmarkStart w:id="30" w:name="OLE_LINK18"/>
      <w:bookmarkStart w:id="31" w:name="OLE_LINK19"/>
      <w:r>
        <w:rPr>
          <w:rFonts w:hint="eastAsia" w:ascii="宋体" w:hAnsi="宋体" w:eastAsia="宋体" w:cs="宋体"/>
          <w:b/>
          <w:color w:val="000000"/>
          <w:sz w:val="24"/>
          <w:szCs w:val="24"/>
          <w:highlight w:val="none"/>
        </w:rPr>
        <w:t>；</w:t>
      </w:r>
      <w:bookmarkEnd w:id="30"/>
      <w:bookmarkEnd w:id="31"/>
      <w:r>
        <w:rPr>
          <w:rFonts w:hint="eastAsia" w:ascii="宋体" w:hAnsi="宋体" w:eastAsia="宋体" w:cs="宋体"/>
          <w:color w:val="000000"/>
          <w:sz w:val="24"/>
          <w:szCs w:val="24"/>
          <w:highlight w:val="none"/>
        </w:rPr>
        <w:t xml:space="preserve"> </w:t>
      </w:r>
    </w:p>
    <w:p>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3.4投标人承诺（附件11）</w:t>
      </w:r>
      <w:r>
        <w:rPr>
          <w:rFonts w:hint="eastAsia" w:ascii="宋体" w:hAnsi="宋体" w:eastAsia="宋体" w:cs="宋体"/>
          <w:b/>
          <w:color w:val="000000"/>
          <w:sz w:val="24"/>
          <w:szCs w:val="24"/>
          <w:highlight w:val="none"/>
        </w:rPr>
        <w:t>；</w:t>
      </w:r>
    </w:p>
    <w:p>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3.5服务承诺函（附件12），</w:t>
      </w:r>
      <w:r>
        <w:rPr>
          <w:rFonts w:hint="eastAsia" w:ascii="宋体" w:hAnsi="宋体" w:eastAsia="宋体" w:cs="宋体"/>
          <w:b/>
          <w:color w:val="000000"/>
          <w:sz w:val="24"/>
          <w:szCs w:val="24"/>
          <w:highlight w:val="none"/>
        </w:rPr>
        <w:t>需写明质保期以外服务费用情况</w:t>
      </w:r>
      <w:r>
        <w:rPr>
          <w:rFonts w:hint="eastAsia" w:ascii="宋体" w:hAnsi="宋体" w:eastAsia="宋体" w:cs="宋体"/>
          <w:color w:val="000000"/>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3.6按招标文件投标人须知和技术规格书中要求提供的有关文件。</w:t>
      </w:r>
    </w:p>
    <w:p>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四、投标文件格式</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详见第六部分投标文件附件格式1—13，其余未尽事宜请按各单位习惯制定即可。</w:t>
      </w:r>
    </w:p>
    <w:p>
      <w:pPr>
        <w:pStyle w:val="17"/>
        <w:jc w:val="center"/>
        <w:rPr>
          <w:rFonts w:ascii="Calibri" w:hAnsi="Calibri" w:eastAsia="宋体" w:cs="Times New Roman"/>
          <w:b/>
          <w:bCs/>
          <w:kern w:val="44"/>
          <w:sz w:val="36"/>
          <w:szCs w:val="44"/>
          <w:highlight w:val="none"/>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highlight w:val="none"/>
        </w:rPr>
      </w:pPr>
      <w:bookmarkStart w:id="32" w:name="_Toc9849"/>
      <w:r>
        <w:rPr>
          <w:rFonts w:hint="eastAsia" w:ascii="Calibri" w:hAnsi="Calibri" w:eastAsia="宋体" w:cs="Times New Roman"/>
          <w:b/>
          <w:bCs/>
          <w:kern w:val="44"/>
          <w:sz w:val="36"/>
          <w:szCs w:val="44"/>
          <w:highlight w:val="none"/>
        </w:rPr>
        <w:t>第四部分 技术标书</w:t>
      </w:r>
      <w:bookmarkEnd w:id="32"/>
    </w:p>
    <w:p>
      <w:pPr>
        <w:pStyle w:val="17"/>
        <w:rPr>
          <w:highlight w:val="none"/>
        </w:rPr>
      </w:pPr>
    </w:p>
    <w:p>
      <w:pPr>
        <w:keepNext/>
        <w:keepLines/>
        <w:jc w:val="center"/>
        <w:rPr>
          <w:rFonts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中国重汽集团济南动力有限公司</w:t>
      </w:r>
    </w:p>
    <w:p>
      <w:pPr>
        <w:spacing w:line="276" w:lineRule="auto"/>
        <w:jc w:val="center"/>
        <w:rPr>
          <w:rFonts w:ascii="Calibri" w:hAnsi="Calibri"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lang w:val="en-US" w:eastAsia="zh-CN"/>
        </w:rPr>
        <w:t>自动化静压造型线振动落砂机、输送槽区域噪音治理</w:t>
      </w:r>
      <w:r>
        <w:rPr>
          <w:rFonts w:hint="eastAsia" w:ascii="Calibri" w:hAnsi="宋体" w:eastAsia="宋体" w:cs="Times New Roman"/>
          <w:b/>
          <w:bCs/>
          <w:color w:val="000000"/>
          <w:spacing w:val="-8"/>
          <w:sz w:val="48"/>
          <w:szCs w:val="44"/>
          <w:highlight w:val="none"/>
        </w:rPr>
        <w:t>项目</w:t>
      </w:r>
      <w:r>
        <w:rPr>
          <w:rFonts w:ascii="Calibri" w:hAnsi="Calibri" w:eastAsia="宋体" w:cs="Times New Roman"/>
          <w:b/>
          <w:bCs/>
          <w:color w:val="000000"/>
          <w:spacing w:val="-8"/>
          <w:sz w:val="48"/>
          <w:szCs w:val="44"/>
          <w:highlight w:val="none"/>
        </w:rPr>
        <w:t xml:space="preserve"> </w:t>
      </w:r>
    </w:p>
    <w:p>
      <w:pPr>
        <w:jc w:val="right"/>
        <w:rPr>
          <w:rFonts w:ascii="Calibri" w:hAnsi="Calibri" w:eastAsia="宋体" w:cs="Times New Roman"/>
          <w:color w:val="000000"/>
          <w:sz w:val="28"/>
          <w:szCs w:val="28"/>
          <w:highlight w:val="none"/>
        </w:rPr>
      </w:pPr>
    </w:p>
    <w:p>
      <w:pPr>
        <w:pStyle w:val="17"/>
        <w:rPr>
          <w:highlight w:val="none"/>
        </w:rPr>
      </w:pPr>
    </w:p>
    <w:p>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pPr>
        <w:pStyle w:val="17"/>
        <w:rPr>
          <w:highlight w:val="none"/>
        </w:rPr>
      </w:pPr>
    </w:p>
    <w:p>
      <w:pPr>
        <w:pStyle w:val="17"/>
        <w:rPr>
          <w:rFonts w:ascii="黑体" w:hAnsi="宋体" w:eastAsia="黑体" w:cs="Times New Roman"/>
          <w:color w:val="000000"/>
          <w:sz w:val="72"/>
          <w:szCs w:val="72"/>
          <w:highlight w:val="none"/>
        </w:rPr>
      </w:pPr>
    </w:p>
    <w:p>
      <w:pPr>
        <w:pStyle w:val="17"/>
        <w:rPr>
          <w:rFonts w:ascii="黑体" w:hAnsi="宋体" w:eastAsia="黑体" w:cs="Times New Roman"/>
          <w:color w:val="000000"/>
          <w:sz w:val="72"/>
          <w:szCs w:val="72"/>
          <w:highlight w:val="none"/>
        </w:rPr>
      </w:pPr>
    </w:p>
    <w:p>
      <w:pPr>
        <w:spacing w:line="860" w:lineRule="exact"/>
        <w:rPr>
          <w:rFonts w:hint="eastAsia" w:ascii="华文仿宋" w:hAnsi="华文仿宋" w:eastAsia="华文仿宋"/>
          <w:sz w:val="32"/>
          <w:szCs w:val="28"/>
          <w:highlight w:val="none"/>
        </w:rPr>
      </w:pPr>
      <w:r>
        <w:rPr>
          <w:rFonts w:hint="eastAsia" w:ascii="华文仿宋" w:hAnsi="华文仿宋" w:eastAsia="华文仿宋"/>
          <w:sz w:val="32"/>
          <w:szCs w:val="28"/>
          <w:highlight w:val="none"/>
        </w:rPr>
        <w:t xml:space="preserve">               </w:t>
      </w:r>
    </w:p>
    <w:p>
      <w:pPr>
        <w:pStyle w:val="2"/>
        <w:rPr>
          <w:highlight w:val="none"/>
        </w:rPr>
      </w:pPr>
    </w:p>
    <w:p>
      <w:pPr>
        <w:rPr>
          <w:highlight w:val="none"/>
        </w:rPr>
      </w:pPr>
    </w:p>
    <w:p>
      <w:pPr>
        <w:pStyle w:val="2"/>
        <w:rPr>
          <w:highlight w:val="none"/>
        </w:rPr>
      </w:pPr>
    </w:p>
    <w:p>
      <w:pPr>
        <w:rPr>
          <w:highlight w:val="none"/>
        </w:rPr>
      </w:pPr>
    </w:p>
    <w:p>
      <w:pPr>
        <w:pStyle w:val="17"/>
        <w:rPr>
          <w:b/>
          <w:bCs/>
          <w:highlight w:val="none"/>
        </w:rPr>
      </w:pPr>
    </w:p>
    <w:p>
      <w:pPr>
        <w:jc w:val="center"/>
        <w:rPr>
          <w:rFonts w:ascii="宋体" w:hAnsi="宋体"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人：中国重汽集团济南成型厂</w:t>
      </w:r>
    </w:p>
    <w:p>
      <w:pPr>
        <w:jc w:val="center"/>
        <w:rPr>
          <w:rFonts w:ascii="Calibri" w:hAnsi="Calibri" w:eastAsia="宋体" w:cs="Times New Roman"/>
          <w:b/>
          <w:bCs/>
          <w:kern w:val="44"/>
          <w:sz w:val="36"/>
          <w:szCs w:val="44"/>
          <w:highlight w:val="none"/>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5</w:t>
      </w:r>
      <w:r>
        <w:rPr>
          <w:rFonts w:hint="eastAsia" w:ascii="宋体" w:hAnsi="宋体"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6</w:t>
      </w:r>
      <w:r>
        <w:rPr>
          <w:rFonts w:hint="eastAsia" w:ascii="Calibri" w:hAnsi="Calibri" w:eastAsia="宋体" w:cs="Times New Roman"/>
          <w:color w:val="000000"/>
          <w:sz w:val="28"/>
          <w:szCs w:val="28"/>
          <w:highlight w:val="none"/>
        </w:rPr>
        <w:t>月</w:t>
      </w:r>
    </w:p>
    <w:p>
      <w:pPr>
        <w:spacing w:line="360" w:lineRule="auto"/>
        <w:rPr>
          <w:rFonts w:ascii="宋体" w:hAnsi="宋体" w:eastAsia="宋体" w:cs="Times New Roman"/>
          <w:b/>
          <w:sz w:val="36"/>
          <w:szCs w:val="36"/>
          <w:highlight w:val="none"/>
        </w:rPr>
        <w:sectPr>
          <w:headerReference r:id="rId11" w:type="default"/>
          <w:footerReference r:id="rId12" w:type="default"/>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highlight w:val="none"/>
        </w:rPr>
      </w:pPr>
      <w:bookmarkStart w:id="33" w:name="_Toc169605883"/>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p>
    <w:p>
      <w:pPr>
        <w:keepNext/>
        <w:keepLines/>
        <w:spacing w:before="120" w:after="120" w:line="480" w:lineRule="exact"/>
        <w:jc w:val="center"/>
        <w:outlineLvl w:val="2"/>
        <w:rPr>
          <w:rFonts w:ascii="Arial" w:hAnsi="Arial" w:eastAsia="宋体" w:cs="Times New Roman"/>
          <w:b/>
          <w:bCs/>
          <w:sz w:val="24"/>
          <w:szCs w:val="24"/>
          <w:highlight w:val="none"/>
        </w:rPr>
      </w:pPr>
      <w:bookmarkStart w:id="34" w:name="_Toc169605878"/>
      <w:r>
        <w:rPr>
          <w:rFonts w:hint="eastAsia" w:ascii="Arial" w:hAnsi="Arial" w:eastAsia="宋体" w:cs="Times New Roman"/>
          <w:b/>
          <w:bCs/>
          <w:sz w:val="24"/>
          <w:szCs w:val="24"/>
          <w:highlight w:val="none"/>
        </w:rPr>
        <w:t>第一节</w:t>
      </w:r>
      <w:r>
        <w:rPr>
          <w:rFonts w:ascii="Arial" w:hAnsi="Arial" w:eastAsia="宋体" w:cs="Times New Roman"/>
          <w:b/>
          <w:bCs/>
          <w:sz w:val="24"/>
          <w:szCs w:val="24"/>
          <w:highlight w:val="none"/>
        </w:rPr>
        <w:t xml:space="preserve">  </w:t>
      </w:r>
      <w:r>
        <w:rPr>
          <w:rFonts w:hint="eastAsia" w:ascii="Arial" w:hAnsi="Arial" w:eastAsia="宋体" w:cs="Times New Roman"/>
          <w:b/>
          <w:bCs/>
          <w:sz w:val="24"/>
          <w:szCs w:val="24"/>
          <w:highlight w:val="none"/>
        </w:rPr>
        <w:t>使用环境</w:t>
      </w:r>
      <w:bookmarkEnd w:id="34"/>
    </w:p>
    <w:p>
      <w:pPr>
        <w:spacing w:line="360" w:lineRule="auto"/>
        <w:outlineLvl w:val="3"/>
        <w:rPr>
          <w:rFonts w:ascii="宋体" w:hAnsi="宋体" w:eastAsia="宋体" w:cs="宋体"/>
          <w:color w:val="000000"/>
          <w:sz w:val="24"/>
          <w:szCs w:val="24"/>
          <w:highlight w:val="none"/>
        </w:rPr>
      </w:pPr>
      <w:r>
        <w:rPr>
          <w:rFonts w:hint="eastAsia" w:ascii="宋体" w:hAnsi="宋体" w:eastAsia="宋体" w:cs="宋体"/>
          <w:sz w:val="24"/>
          <w:szCs w:val="24"/>
          <w:highlight w:val="none"/>
        </w:rPr>
        <w:t>一、项目名称：</w:t>
      </w:r>
      <w:r>
        <w:rPr>
          <w:rFonts w:hint="eastAsia" w:ascii="宋体" w:hAnsi="宋体" w:eastAsia="宋体" w:cs="宋体"/>
          <w:sz w:val="24"/>
          <w:szCs w:val="24"/>
          <w:highlight w:val="none"/>
          <w:lang w:val="en-US" w:eastAsia="zh-CN"/>
        </w:rPr>
        <w:t>自动化静压造型线振动落砂机、输送槽区域噪音治理</w:t>
      </w:r>
      <w:r>
        <w:rPr>
          <w:rFonts w:hint="eastAsia" w:ascii="宋体" w:hAnsi="宋体" w:eastAsia="宋体" w:cs="宋体"/>
          <w:color w:val="000000"/>
          <w:sz w:val="24"/>
          <w:szCs w:val="24"/>
          <w:highlight w:val="none"/>
        </w:rPr>
        <w:t>。</w:t>
      </w:r>
    </w:p>
    <w:p>
      <w:pPr>
        <w:spacing w:line="360" w:lineRule="auto"/>
        <w:outlineLvl w:val="3"/>
        <w:rPr>
          <w:rFonts w:ascii="宋体" w:hAnsi="宋体" w:eastAsia="宋体" w:cs="宋体"/>
          <w:sz w:val="24"/>
          <w:szCs w:val="24"/>
          <w:highlight w:val="none"/>
          <w:shd w:val="pct10" w:color="auto" w:fill="FFFFFF"/>
        </w:rPr>
      </w:pPr>
      <w:r>
        <w:rPr>
          <w:rFonts w:hint="eastAsia" w:ascii="宋体" w:hAnsi="宋体" w:eastAsia="宋体" w:cs="宋体"/>
          <w:sz w:val="24"/>
          <w:szCs w:val="24"/>
          <w:highlight w:val="none"/>
        </w:rPr>
        <w:t>二、建设地点：</w:t>
      </w:r>
      <w:r>
        <w:rPr>
          <w:rFonts w:hint="eastAsia" w:ascii="宋体" w:hAnsi="宋体" w:eastAsia="宋体" w:cs="宋体"/>
          <w:color w:val="000000"/>
          <w:sz w:val="24"/>
          <w:szCs w:val="24"/>
          <w:highlight w:val="none"/>
        </w:rPr>
        <w:t>济南成型厂铸造一线。</w:t>
      </w:r>
    </w:p>
    <w:p>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三、使用地点：</w:t>
      </w:r>
      <w:r>
        <w:rPr>
          <w:rFonts w:hint="eastAsia" w:ascii="宋体" w:hAnsi="宋体" w:eastAsia="宋体" w:cs="宋体"/>
          <w:color w:val="000000"/>
          <w:sz w:val="24"/>
          <w:szCs w:val="24"/>
          <w:highlight w:val="none"/>
        </w:rPr>
        <w:t>济南成型厂铸造一线。</w:t>
      </w:r>
    </w:p>
    <w:p>
      <w:pPr>
        <w:spacing w:line="360" w:lineRule="auto"/>
        <w:outlineLvl w:val="3"/>
        <w:rPr>
          <w:rFonts w:ascii="宋体" w:hAnsi="宋体" w:eastAsia="宋体" w:cs="宋体"/>
          <w:bCs/>
          <w:sz w:val="24"/>
          <w:szCs w:val="24"/>
          <w:highlight w:val="none"/>
        </w:rPr>
      </w:pPr>
      <w:r>
        <w:rPr>
          <w:rFonts w:hint="eastAsia" w:ascii="宋体" w:hAnsi="宋体" w:eastAsia="宋体" w:cs="宋体"/>
          <w:sz w:val="24"/>
          <w:szCs w:val="24"/>
          <w:highlight w:val="none"/>
        </w:rPr>
        <w:t>四、工作制度：</w:t>
      </w:r>
      <w:r>
        <w:rPr>
          <w:rFonts w:hint="eastAsia" w:ascii="宋体" w:hAnsi="宋体" w:eastAsia="宋体" w:cs="宋体"/>
          <w:bCs/>
          <w:sz w:val="24"/>
          <w:szCs w:val="24"/>
          <w:highlight w:val="none"/>
        </w:rPr>
        <w:t>全年工作365天、 双班制、设备年时基数</w:t>
      </w:r>
      <w:r>
        <w:rPr>
          <w:rFonts w:ascii="宋体" w:hAnsi="宋体" w:eastAsia="宋体" w:cs="宋体"/>
          <w:bCs/>
          <w:sz w:val="24"/>
          <w:szCs w:val="24"/>
          <w:highlight w:val="none"/>
        </w:rPr>
        <w:t>5840</w:t>
      </w:r>
      <w:r>
        <w:rPr>
          <w:rFonts w:hint="eastAsia" w:ascii="宋体" w:hAnsi="宋体" w:eastAsia="宋体" w:cs="宋体"/>
          <w:bCs/>
          <w:sz w:val="24"/>
          <w:szCs w:val="24"/>
          <w:highlight w:val="none"/>
        </w:rPr>
        <w:t>小时。</w:t>
      </w:r>
    </w:p>
    <w:p>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五、使用地点区域自然环境：</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5.1.海拔高度：1000m以下。</w:t>
      </w:r>
    </w:p>
    <w:p>
      <w:pPr>
        <w:spacing w:line="360" w:lineRule="auto"/>
        <w:ind w:left="719" w:leftChars="228" w:hanging="240" w:hangingChars="100"/>
        <w:rPr>
          <w:rFonts w:ascii="宋体" w:hAnsi="宋体" w:eastAsia="宋体" w:cs="宋体"/>
          <w:bCs/>
          <w:sz w:val="24"/>
          <w:szCs w:val="24"/>
          <w:highlight w:val="none"/>
        </w:rPr>
      </w:pPr>
      <w:r>
        <w:rPr>
          <w:rFonts w:hint="eastAsia" w:ascii="宋体" w:hAnsi="宋体" w:eastAsia="宋体" w:cs="宋体"/>
          <w:bCs/>
          <w:sz w:val="24"/>
          <w:szCs w:val="24"/>
          <w:highlight w:val="none"/>
        </w:rPr>
        <w:t>5.2.环境温度：室外极端最低温度-</w:t>
      </w:r>
      <w:r>
        <w:rPr>
          <w:rFonts w:ascii="宋体" w:hAnsi="宋体" w:eastAsia="宋体" w:cs="宋体"/>
          <w:bCs/>
          <w:sz w:val="24"/>
          <w:szCs w:val="24"/>
          <w:highlight w:val="none"/>
        </w:rPr>
        <w:t>20</w:t>
      </w:r>
      <w:r>
        <w:rPr>
          <w:rFonts w:hint="eastAsia" w:ascii="宋体" w:hAnsi="宋体" w:eastAsia="宋体" w:cs="宋体"/>
          <w:bCs/>
          <w:sz w:val="24"/>
          <w:szCs w:val="24"/>
          <w:highlight w:val="none"/>
        </w:rPr>
        <w:t>℃、极端最高温度50℃，昼夜最大温差25℃；室内温度-10～42℃。</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5.3.相对湿度：年平均59%，最大95%、最小15%。</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5.4  降雨量：日最大降雨量298.4mm、年总降雨量685mm。</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5.5  最大风速：15m/s。</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5.6  最大积雪厚度：190mm。</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5.7  地震烈度：七度。</w:t>
      </w:r>
    </w:p>
    <w:p>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 xml:space="preserve">六、能源环境： </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6.1  电力：中国制式，供电电压380V±15%/220V±15%，供电频率50Hz±2%。</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6.2  给水：市政自来水，0.20 MPa。</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6.3  蒸汽：市政蒸汽，0.6 MPa±0.1。</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6.4  压缩空气：自备空压机自产压缩空气，0.5-0.7MPa。</w:t>
      </w:r>
    </w:p>
    <w:p>
      <w:pPr>
        <w:spacing w:line="360" w:lineRule="auto"/>
        <w:ind w:firstLine="480" w:firstLineChars="200"/>
        <w:rPr>
          <w:rFonts w:ascii="宋体" w:hAnsi="宋体" w:eastAsia="宋体" w:cs="宋体"/>
          <w:bCs/>
          <w:sz w:val="24"/>
          <w:szCs w:val="24"/>
          <w:highlight w:val="none"/>
        </w:rPr>
      </w:pPr>
    </w:p>
    <w:p>
      <w:pPr>
        <w:spacing w:line="360" w:lineRule="auto"/>
        <w:ind w:firstLine="480" w:firstLineChars="200"/>
        <w:rPr>
          <w:rFonts w:ascii="宋体" w:hAnsi="宋体" w:eastAsia="宋体" w:cs="宋体"/>
          <w:bCs/>
          <w:sz w:val="24"/>
          <w:szCs w:val="24"/>
          <w:highlight w:val="none"/>
        </w:rPr>
      </w:pPr>
    </w:p>
    <w:p>
      <w:pPr>
        <w:spacing w:line="360" w:lineRule="auto"/>
        <w:ind w:firstLine="480" w:firstLineChars="200"/>
        <w:rPr>
          <w:rFonts w:ascii="宋体" w:hAnsi="宋体" w:eastAsia="宋体" w:cs="宋体"/>
          <w:bCs/>
          <w:sz w:val="24"/>
          <w:szCs w:val="24"/>
          <w:highlight w:val="none"/>
        </w:rPr>
      </w:pPr>
    </w:p>
    <w:p>
      <w:pPr>
        <w:spacing w:line="360" w:lineRule="auto"/>
        <w:ind w:firstLine="480" w:firstLineChars="200"/>
        <w:rPr>
          <w:rFonts w:ascii="宋体" w:hAnsi="宋体" w:eastAsia="宋体" w:cs="宋体"/>
          <w:bCs/>
          <w:sz w:val="24"/>
          <w:szCs w:val="24"/>
          <w:highlight w:val="none"/>
        </w:rPr>
      </w:pPr>
    </w:p>
    <w:p>
      <w:pPr>
        <w:spacing w:line="360" w:lineRule="auto"/>
        <w:ind w:firstLine="480" w:firstLineChars="200"/>
        <w:rPr>
          <w:rFonts w:ascii="宋体" w:hAnsi="宋体" w:eastAsia="宋体" w:cs="宋体"/>
          <w:bCs/>
          <w:sz w:val="24"/>
          <w:szCs w:val="24"/>
          <w:highlight w:val="none"/>
        </w:rPr>
      </w:pPr>
    </w:p>
    <w:p>
      <w:pPr>
        <w:spacing w:line="360" w:lineRule="auto"/>
        <w:ind w:firstLine="480" w:firstLineChars="200"/>
        <w:rPr>
          <w:rFonts w:ascii="宋体" w:hAnsi="宋体" w:eastAsia="宋体" w:cs="宋体"/>
          <w:bCs/>
          <w:sz w:val="24"/>
          <w:szCs w:val="24"/>
          <w:highlight w:val="none"/>
        </w:rPr>
      </w:pPr>
    </w:p>
    <w:p>
      <w:pPr>
        <w:spacing w:line="360" w:lineRule="auto"/>
        <w:ind w:firstLine="480" w:firstLineChars="200"/>
        <w:rPr>
          <w:rFonts w:ascii="宋体" w:hAnsi="宋体" w:eastAsia="宋体" w:cs="宋体"/>
          <w:bCs/>
          <w:sz w:val="24"/>
          <w:szCs w:val="24"/>
          <w:highlight w:val="none"/>
        </w:rPr>
      </w:pPr>
    </w:p>
    <w:p>
      <w:pPr>
        <w:spacing w:line="360" w:lineRule="auto"/>
        <w:ind w:firstLine="480" w:firstLineChars="200"/>
        <w:rPr>
          <w:rFonts w:ascii="宋体" w:hAnsi="宋体" w:eastAsia="宋体" w:cs="宋体"/>
          <w:bCs/>
          <w:sz w:val="24"/>
          <w:szCs w:val="24"/>
          <w:highlight w:val="none"/>
        </w:rPr>
      </w:pPr>
    </w:p>
    <w:p>
      <w:pPr>
        <w:keepNext/>
        <w:keepLines/>
        <w:spacing w:before="120" w:after="120" w:line="480" w:lineRule="exact"/>
        <w:jc w:val="center"/>
        <w:outlineLvl w:val="2"/>
        <w:rPr>
          <w:rFonts w:ascii="宋体" w:hAnsi="Arial" w:eastAsia="宋体" w:cs="Times New Roman"/>
          <w:b/>
          <w:bCs/>
          <w:sz w:val="24"/>
          <w:szCs w:val="24"/>
          <w:highlight w:val="none"/>
        </w:rPr>
      </w:pPr>
      <w:r>
        <w:rPr>
          <w:rFonts w:hint="eastAsia" w:ascii="宋体" w:hAnsi="宋体" w:eastAsia="宋体" w:cs="Times New Roman"/>
          <w:b/>
          <w:bCs/>
          <w:sz w:val="24"/>
          <w:szCs w:val="24"/>
          <w:highlight w:val="none"/>
        </w:rPr>
        <w:t>第二节</w:t>
      </w:r>
      <w:r>
        <w:rPr>
          <w:rFonts w:ascii="宋体" w:hAnsi="宋体" w:eastAsia="宋体" w:cs="Times New Roman"/>
          <w:b/>
          <w:bCs/>
          <w:sz w:val="24"/>
          <w:szCs w:val="24"/>
          <w:highlight w:val="none"/>
        </w:rPr>
        <w:t xml:space="preserve">  </w:t>
      </w:r>
      <w:r>
        <w:rPr>
          <w:rFonts w:hint="eastAsia" w:ascii="宋体" w:hAnsi="宋体" w:eastAsia="宋体" w:cs="Times New Roman"/>
          <w:b/>
          <w:bCs/>
          <w:sz w:val="24"/>
          <w:szCs w:val="24"/>
          <w:highlight w:val="none"/>
        </w:rPr>
        <w:t>采购货物概况</w:t>
      </w:r>
    </w:p>
    <w:p>
      <w:pPr>
        <w:spacing w:line="420" w:lineRule="exact"/>
        <w:outlineLvl w:val="3"/>
        <w:rPr>
          <w:rFonts w:ascii="宋体" w:hAnsi="宋体" w:eastAsia="宋体" w:cs="宋体"/>
          <w:sz w:val="24"/>
          <w:szCs w:val="24"/>
          <w:highlight w:val="none"/>
          <w:u w:val="single"/>
          <w:shd w:val="pct10" w:color="auto" w:fill="FFFFFF"/>
        </w:rPr>
      </w:pPr>
      <w:r>
        <w:rPr>
          <w:rFonts w:hint="eastAsia" w:ascii="宋体" w:hAnsi="宋体" w:eastAsia="宋体" w:cs="宋体"/>
          <w:b/>
          <w:sz w:val="24"/>
          <w:szCs w:val="24"/>
          <w:highlight w:val="none"/>
        </w:rPr>
        <w:t>一、货物名称：</w:t>
      </w:r>
      <w:r>
        <w:rPr>
          <w:rFonts w:hint="eastAsia" w:ascii="宋体" w:hAnsi="宋体" w:eastAsia="宋体" w:cs="宋体"/>
          <w:b w:val="0"/>
          <w:bCs/>
          <w:sz w:val="24"/>
          <w:szCs w:val="24"/>
          <w:highlight w:val="none"/>
          <w:lang w:val="en-US" w:eastAsia="zh-CN"/>
        </w:rPr>
        <w:t>自动化静压造型线振动落砂机、输送槽区域噪音治理</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b/>
          <w:sz w:val="24"/>
          <w:szCs w:val="24"/>
          <w:highlight w:val="none"/>
          <w:u w:val="single"/>
        </w:rPr>
        <w:t>1</w:t>
      </w:r>
      <w:r>
        <w:rPr>
          <w:rFonts w:hint="eastAsia" w:ascii="宋体" w:hAnsi="宋体" w:eastAsia="宋体" w:cs="宋体"/>
          <w:sz w:val="24"/>
          <w:szCs w:val="24"/>
          <w:highlight w:val="none"/>
          <w:u w:val="single"/>
          <w:shd w:val="pct10" w:color="auto" w:fill="FFFFFF"/>
        </w:rPr>
        <w:t>套</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b/>
          <w:sz w:val="24"/>
          <w:szCs w:val="24"/>
          <w:highlight w:val="none"/>
        </w:rPr>
      </w:pPr>
      <w:r>
        <w:rPr>
          <w:rFonts w:hint="eastAsia" w:ascii="宋体" w:hAnsi="宋体" w:eastAsia="宋体" w:cs="宋体"/>
          <w:b/>
          <w:sz w:val="24"/>
          <w:szCs w:val="24"/>
          <w:highlight w:val="none"/>
        </w:rPr>
        <w:t>三、分投分中：不允许</w:t>
      </w:r>
    </w:p>
    <w:p>
      <w:pPr>
        <w:jc w:val="center"/>
        <w:rPr>
          <w:rFonts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4089"/>
        <w:gridCol w:w="836"/>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序号</w:t>
            </w:r>
          </w:p>
        </w:tc>
        <w:tc>
          <w:tcPr>
            <w:tcW w:w="2472" w:type="dxa"/>
            <w:vAlign w:val="center"/>
          </w:tcPr>
          <w:p>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名称</w:t>
            </w:r>
          </w:p>
        </w:tc>
        <w:tc>
          <w:tcPr>
            <w:tcW w:w="4089" w:type="dxa"/>
            <w:vAlign w:val="center"/>
          </w:tcPr>
          <w:p>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型号规格</w:t>
            </w:r>
          </w:p>
        </w:tc>
        <w:tc>
          <w:tcPr>
            <w:tcW w:w="836" w:type="dxa"/>
            <w:vAlign w:val="center"/>
          </w:tcPr>
          <w:p>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单位</w:t>
            </w:r>
          </w:p>
        </w:tc>
        <w:tc>
          <w:tcPr>
            <w:tcW w:w="782" w:type="dxa"/>
            <w:vAlign w:val="center"/>
          </w:tcPr>
          <w:p>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2472" w:type="dxa"/>
            <w:vAlign w:val="center"/>
          </w:tcPr>
          <w:p>
            <w:pPr>
              <w:widowControl/>
              <w:spacing w:line="0" w:lineRule="atLeast"/>
              <w:jc w:val="left"/>
              <w:textAlignment w:val="center"/>
              <w:rPr>
                <w:rFonts w:hint="eastAsia" w:ascii="宋体" w:hAnsi="宋体" w:eastAsia="宋体" w:cs="宋体"/>
                <w:sz w:val="24"/>
                <w:szCs w:val="24"/>
                <w:highlight w:val="none"/>
                <w:lang w:eastAsia="zh-CN"/>
              </w:rPr>
            </w:pPr>
            <w:r>
              <w:rPr>
                <w:rFonts w:hint="eastAsia" w:ascii="宋体" w:hAnsi="宋体" w:eastAsia="宋体" w:cs="宋体"/>
                <w:color w:val="000000"/>
                <w:kern w:val="0"/>
                <w:sz w:val="24"/>
                <w:szCs w:val="24"/>
                <w:highlight w:val="none"/>
                <w:lang w:bidi="ar"/>
              </w:rPr>
              <w:t>振动输送隔音房</w:t>
            </w:r>
            <w:r>
              <w:rPr>
                <w:rFonts w:hint="eastAsia" w:ascii="宋体" w:hAnsi="宋体" w:eastAsia="宋体" w:cs="宋体"/>
                <w:color w:val="000000"/>
                <w:kern w:val="0"/>
                <w:sz w:val="24"/>
                <w:szCs w:val="24"/>
                <w:highlight w:val="none"/>
                <w:lang w:val="en-US" w:eastAsia="zh-CN" w:bidi="ar"/>
              </w:rPr>
              <w:t>更新（20m*10.6m*6.2m）</w:t>
            </w:r>
          </w:p>
        </w:tc>
        <w:tc>
          <w:tcPr>
            <w:tcW w:w="4089" w:type="dxa"/>
            <w:vAlign w:val="center"/>
          </w:tcPr>
          <w:p>
            <w:pPr>
              <w:spacing w:line="36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消音板</w:t>
            </w:r>
            <w:r>
              <w:rPr>
                <w:rFonts w:hint="eastAsia" w:ascii="宋体" w:hAnsi="宋体" w:eastAsia="宋体" w:cs="宋体"/>
                <w:sz w:val="24"/>
                <w:szCs w:val="24"/>
                <w:highlight w:val="none"/>
                <w:lang w:eastAsia="zh-CN"/>
              </w:rPr>
              <w:t>（厚度≥120mm，钢板厚度≥2mm）、</w:t>
            </w:r>
            <w:r>
              <w:rPr>
                <w:rFonts w:hint="eastAsia" w:ascii="宋体" w:hAnsi="宋体" w:eastAsia="宋体" w:cs="宋体"/>
                <w:sz w:val="24"/>
                <w:szCs w:val="24"/>
                <w:highlight w:val="none"/>
              </w:rPr>
              <w:t>立柱</w:t>
            </w:r>
            <w:r>
              <w:rPr>
                <w:rFonts w:hint="eastAsia" w:ascii="宋体" w:hAnsi="宋体" w:eastAsia="宋体" w:cs="宋体"/>
                <w:sz w:val="24"/>
                <w:szCs w:val="24"/>
                <w:highlight w:val="none"/>
                <w:lang w:val="en-US" w:eastAsia="zh-CN"/>
              </w:rPr>
              <w:t>及主</w:t>
            </w:r>
            <w:r>
              <w:rPr>
                <w:rFonts w:hint="eastAsia" w:ascii="宋体" w:hAnsi="宋体" w:eastAsia="宋体" w:cs="宋体"/>
                <w:sz w:val="24"/>
                <w:szCs w:val="24"/>
                <w:highlight w:val="none"/>
              </w:rPr>
              <w:t>框梁</w:t>
            </w:r>
            <w:r>
              <w:rPr>
                <w:rFonts w:hint="eastAsia" w:ascii="宋体" w:hAnsi="宋体" w:eastAsia="宋体" w:cs="宋体"/>
                <w:sz w:val="24"/>
                <w:szCs w:val="24"/>
                <w:highlight w:val="none"/>
                <w:lang w:eastAsia="zh-CN"/>
              </w:rPr>
              <w:t>（方管120*4，镀锌）、</w:t>
            </w:r>
            <w:r>
              <w:rPr>
                <w:rFonts w:hint="eastAsia" w:ascii="宋体" w:hAnsi="宋体" w:eastAsia="宋体" w:cs="宋体"/>
                <w:sz w:val="24"/>
                <w:szCs w:val="24"/>
                <w:highlight w:val="none"/>
              </w:rPr>
              <w:t>米字型梁</w:t>
            </w:r>
            <w:r>
              <w:rPr>
                <w:rFonts w:hint="eastAsia" w:ascii="宋体" w:hAnsi="宋体" w:eastAsia="宋体" w:cs="宋体"/>
                <w:sz w:val="24"/>
                <w:szCs w:val="24"/>
                <w:highlight w:val="none"/>
                <w:lang w:eastAsia="zh-CN"/>
              </w:rPr>
              <w:t>（矩形管40*60*3，镀锌）、D16</w:t>
            </w:r>
            <w:r>
              <w:rPr>
                <w:rFonts w:hint="eastAsia" w:ascii="宋体" w:hAnsi="宋体" w:eastAsia="宋体" w:cs="宋体"/>
                <w:sz w:val="24"/>
                <w:szCs w:val="24"/>
                <w:highlight w:val="none"/>
              </w:rPr>
              <w:t>镀锌穿线管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LED照明系统</w:t>
            </w:r>
            <w:r>
              <w:rPr>
                <w:rFonts w:hint="eastAsia" w:ascii="宋体" w:hAnsi="宋体" w:eastAsia="宋体" w:cs="宋体"/>
                <w:sz w:val="24"/>
                <w:szCs w:val="24"/>
                <w:highlight w:val="none"/>
                <w:lang w:eastAsia="zh-CN"/>
              </w:rPr>
              <w:t>（照明灯，报警指示灯，两个应急疏散指示牌及其控制开关、线路）、</w:t>
            </w:r>
            <w:r>
              <w:rPr>
                <w:rFonts w:hint="eastAsia" w:ascii="宋体" w:hAnsi="宋体" w:eastAsia="宋体" w:cs="宋体"/>
                <w:sz w:val="24"/>
                <w:szCs w:val="24"/>
                <w:highlight w:val="none"/>
              </w:rPr>
              <w:t>桥架</w:t>
            </w:r>
            <w:r>
              <w:rPr>
                <w:rFonts w:hint="eastAsia" w:ascii="宋体" w:hAnsi="宋体" w:eastAsia="宋体" w:cs="宋体"/>
                <w:sz w:val="24"/>
                <w:szCs w:val="24"/>
                <w:highlight w:val="none"/>
                <w:lang w:eastAsia="zh-CN"/>
              </w:rPr>
              <w:t>（100*100*1.5）、</w:t>
            </w:r>
            <w:r>
              <w:rPr>
                <w:rFonts w:hint="eastAsia" w:ascii="宋体" w:hAnsi="宋体" w:eastAsia="宋体" w:cs="宋体"/>
                <w:sz w:val="24"/>
                <w:szCs w:val="24"/>
                <w:highlight w:val="none"/>
              </w:rPr>
              <w:t>手动双开门</w:t>
            </w:r>
            <w:r>
              <w:rPr>
                <w:rFonts w:hint="eastAsia" w:ascii="宋体" w:hAnsi="宋体" w:eastAsia="宋体" w:cs="宋体"/>
                <w:sz w:val="24"/>
                <w:szCs w:val="24"/>
                <w:highlight w:val="none"/>
                <w:lang w:val="en-US" w:eastAsia="zh-CN"/>
              </w:rPr>
              <w:t>2个</w:t>
            </w:r>
            <w:r>
              <w:rPr>
                <w:rFonts w:hint="eastAsia" w:ascii="宋体" w:hAnsi="宋体" w:eastAsia="宋体" w:cs="宋体"/>
                <w:sz w:val="24"/>
                <w:szCs w:val="24"/>
                <w:highlight w:val="none"/>
                <w:lang w:eastAsia="zh-CN"/>
              </w:rPr>
              <w:t>（3m*3m，主材与消音房体一致）、</w:t>
            </w:r>
            <w:r>
              <w:rPr>
                <w:rFonts w:hint="eastAsia" w:ascii="宋体" w:hAnsi="宋体" w:eastAsia="宋体" w:cs="宋体"/>
                <w:sz w:val="24"/>
                <w:szCs w:val="24"/>
                <w:highlight w:val="none"/>
              </w:rPr>
              <w:t>其他辅材</w:t>
            </w:r>
          </w:p>
        </w:tc>
        <w:tc>
          <w:tcPr>
            <w:tcW w:w="836" w:type="dxa"/>
            <w:vAlign w:val="center"/>
          </w:tcPr>
          <w:p>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782" w:type="dxa"/>
            <w:vAlign w:val="center"/>
          </w:tcPr>
          <w:p>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2472" w:type="dxa"/>
            <w:vAlign w:val="center"/>
          </w:tcPr>
          <w:p>
            <w:pPr>
              <w:widowControl/>
              <w:spacing w:line="0" w:lineRule="atLeast"/>
              <w:jc w:val="left"/>
              <w:textAlignment w:val="center"/>
              <w:rPr>
                <w:rFonts w:hint="default" w:ascii="宋体" w:hAnsi="宋体" w:eastAsia="宋体" w:cs="宋体"/>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取铁工位隔音房新制（4.5m*8.6m*4.3m）</w:t>
            </w:r>
          </w:p>
        </w:tc>
        <w:tc>
          <w:tcPr>
            <w:tcW w:w="4089" w:type="dxa"/>
            <w:vAlign w:val="center"/>
          </w:tcPr>
          <w:p>
            <w:pPr>
              <w:widowControl/>
              <w:jc w:val="left"/>
              <w:textAlignment w:val="center"/>
              <w:rPr>
                <w:rFonts w:ascii="宋体" w:hAnsi="宋体" w:eastAsia="宋体" w:cs="宋体"/>
                <w:sz w:val="24"/>
                <w:szCs w:val="24"/>
                <w:highlight w:val="none"/>
              </w:rPr>
            </w:pPr>
            <w:r>
              <w:rPr>
                <w:rFonts w:hint="eastAsia" w:ascii="宋体" w:hAnsi="宋体" w:eastAsia="宋体" w:cs="宋体"/>
                <w:sz w:val="24"/>
                <w:szCs w:val="24"/>
                <w:highlight w:val="none"/>
              </w:rPr>
              <w:t>消音板</w:t>
            </w:r>
            <w:r>
              <w:rPr>
                <w:rFonts w:hint="eastAsia" w:ascii="宋体" w:hAnsi="宋体" w:eastAsia="宋体" w:cs="宋体"/>
                <w:sz w:val="24"/>
                <w:szCs w:val="24"/>
                <w:highlight w:val="none"/>
                <w:lang w:eastAsia="zh-CN"/>
              </w:rPr>
              <w:t>（厚度≥120mm，钢板厚度≥2mm）、</w:t>
            </w:r>
            <w:r>
              <w:rPr>
                <w:rFonts w:hint="eastAsia" w:ascii="宋体" w:hAnsi="宋体" w:eastAsia="宋体" w:cs="宋体"/>
                <w:sz w:val="24"/>
                <w:szCs w:val="24"/>
                <w:highlight w:val="none"/>
              </w:rPr>
              <w:t>立柱</w:t>
            </w:r>
            <w:r>
              <w:rPr>
                <w:rFonts w:hint="eastAsia" w:ascii="宋体" w:hAnsi="宋体" w:eastAsia="宋体" w:cs="宋体"/>
                <w:sz w:val="24"/>
                <w:szCs w:val="24"/>
                <w:highlight w:val="none"/>
                <w:lang w:val="en-US" w:eastAsia="zh-CN"/>
              </w:rPr>
              <w:t>及主</w:t>
            </w:r>
            <w:r>
              <w:rPr>
                <w:rFonts w:hint="eastAsia" w:ascii="宋体" w:hAnsi="宋体" w:eastAsia="宋体" w:cs="宋体"/>
                <w:sz w:val="24"/>
                <w:szCs w:val="24"/>
                <w:highlight w:val="none"/>
              </w:rPr>
              <w:t>框梁</w:t>
            </w:r>
            <w:r>
              <w:rPr>
                <w:rFonts w:hint="eastAsia" w:ascii="宋体" w:hAnsi="宋体" w:eastAsia="宋体" w:cs="宋体"/>
                <w:sz w:val="24"/>
                <w:szCs w:val="24"/>
                <w:highlight w:val="none"/>
                <w:lang w:eastAsia="zh-CN"/>
              </w:rPr>
              <w:t>（方管120*4，镀锌）、</w:t>
            </w:r>
            <w:r>
              <w:rPr>
                <w:rFonts w:hint="eastAsia" w:ascii="宋体" w:hAnsi="宋体" w:eastAsia="宋体" w:cs="宋体"/>
                <w:sz w:val="24"/>
                <w:szCs w:val="24"/>
                <w:highlight w:val="none"/>
              </w:rPr>
              <w:t>米字型梁</w:t>
            </w:r>
            <w:r>
              <w:rPr>
                <w:rFonts w:hint="eastAsia" w:ascii="宋体" w:hAnsi="宋体" w:eastAsia="宋体" w:cs="宋体"/>
                <w:sz w:val="24"/>
                <w:szCs w:val="24"/>
                <w:highlight w:val="none"/>
                <w:lang w:eastAsia="zh-CN"/>
              </w:rPr>
              <w:t>（矩形管40*60*3，镀锌）、D16</w:t>
            </w:r>
            <w:r>
              <w:rPr>
                <w:rFonts w:hint="eastAsia" w:ascii="宋体" w:hAnsi="宋体" w:eastAsia="宋体" w:cs="宋体"/>
                <w:sz w:val="24"/>
                <w:szCs w:val="24"/>
                <w:highlight w:val="none"/>
              </w:rPr>
              <w:t>镀锌穿线管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LED照明系统</w:t>
            </w:r>
            <w:r>
              <w:rPr>
                <w:rFonts w:hint="eastAsia" w:ascii="宋体" w:hAnsi="宋体" w:eastAsia="宋体" w:cs="宋体"/>
                <w:sz w:val="24"/>
                <w:szCs w:val="24"/>
                <w:highlight w:val="none"/>
                <w:lang w:eastAsia="zh-CN"/>
              </w:rPr>
              <w:t>（照明灯，报警指示灯，两个应急疏散指示牌及其控制开关、线路）、</w:t>
            </w:r>
            <w:r>
              <w:rPr>
                <w:rFonts w:hint="eastAsia" w:ascii="宋体" w:hAnsi="宋体" w:eastAsia="宋体" w:cs="宋体"/>
                <w:sz w:val="24"/>
                <w:szCs w:val="24"/>
                <w:highlight w:val="none"/>
              </w:rPr>
              <w:t>桥架</w:t>
            </w:r>
            <w:r>
              <w:rPr>
                <w:rFonts w:hint="eastAsia" w:ascii="宋体" w:hAnsi="宋体" w:eastAsia="宋体" w:cs="宋体"/>
                <w:sz w:val="24"/>
                <w:szCs w:val="24"/>
                <w:highlight w:val="none"/>
                <w:lang w:eastAsia="zh-CN"/>
              </w:rPr>
              <w:t>（100*100*1.5）、</w:t>
            </w:r>
            <w:r>
              <w:rPr>
                <w:rFonts w:hint="eastAsia" w:ascii="宋体" w:hAnsi="宋体" w:eastAsia="宋体" w:cs="宋体"/>
                <w:sz w:val="24"/>
                <w:szCs w:val="24"/>
                <w:highlight w:val="none"/>
              </w:rPr>
              <w:t>手动双开门</w:t>
            </w:r>
            <w:r>
              <w:rPr>
                <w:rFonts w:hint="eastAsia" w:ascii="宋体" w:hAnsi="宋体" w:eastAsia="宋体" w:cs="宋体"/>
                <w:sz w:val="24"/>
                <w:szCs w:val="24"/>
                <w:highlight w:val="none"/>
                <w:lang w:val="en-US" w:eastAsia="zh-CN"/>
              </w:rPr>
              <w:t>1个</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m*</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m，主材与消音房体一致）、</w:t>
            </w:r>
            <w:r>
              <w:rPr>
                <w:rFonts w:hint="eastAsia" w:ascii="宋体" w:hAnsi="宋体" w:eastAsia="宋体" w:cs="宋体"/>
                <w:sz w:val="24"/>
                <w:szCs w:val="24"/>
                <w:highlight w:val="none"/>
              </w:rPr>
              <w:t>其他辅材</w:t>
            </w:r>
          </w:p>
        </w:tc>
        <w:tc>
          <w:tcPr>
            <w:tcW w:w="836" w:type="dxa"/>
            <w:vAlign w:val="center"/>
          </w:tcPr>
          <w:p>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782" w:type="dxa"/>
            <w:vAlign w:val="center"/>
          </w:tcPr>
          <w:p>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w:t>
            </w:r>
          </w:p>
        </w:tc>
        <w:tc>
          <w:tcPr>
            <w:tcW w:w="2472" w:type="dxa"/>
            <w:vAlign w:val="center"/>
          </w:tcPr>
          <w:p>
            <w:pPr>
              <w:widowControl/>
              <w:spacing w:line="0" w:lineRule="atLeast"/>
              <w:jc w:val="left"/>
              <w:textAlignment w:val="center"/>
              <w:rPr>
                <w:rFonts w:hint="eastAsia" w:ascii="宋体" w:hAnsi="宋体" w:eastAsia="宋体" w:cs="宋体"/>
                <w:sz w:val="24"/>
                <w:szCs w:val="24"/>
                <w:highlight w:val="none"/>
                <w:lang w:eastAsia="zh-CN"/>
              </w:rPr>
            </w:pPr>
            <w:r>
              <w:rPr>
                <w:rFonts w:hint="eastAsia" w:ascii="宋体" w:hAnsi="宋体" w:eastAsia="宋体" w:cs="宋体"/>
                <w:color w:val="000000"/>
                <w:kern w:val="0"/>
                <w:sz w:val="24"/>
                <w:szCs w:val="24"/>
                <w:highlight w:val="none"/>
                <w:lang w:bidi="ar"/>
              </w:rPr>
              <w:t>抓取机械手远程控制室隔音房新制</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val="en-US" w:eastAsia="zh-CN" w:bidi="ar"/>
              </w:rPr>
              <w:t>6m*3m*3m</w:t>
            </w:r>
            <w:r>
              <w:rPr>
                <w:rFonts w:hint="eastAsia" w:ascii="宋体" w:hAnsi="宋体" w:eastAsia="宋体" w:cs="宋体"/>
                <w:color w:val="000000"/>
                <w:kern w:val="0"/>
                <w:sz w:val="24"/>
                <w:szCs w:val="24"/>
                <w:highlight w:val="none"/>
                <w:lang w:eastAsia="zh-CN" w:bidi="ar"/>
              </w:rPr>
              <w:t>）</w:t>
            </w:r>
          </w:p>
        </w:tc>
        <w:tc>
          <w:tcPr>
            <w:tcW w:w="4089" w:type="dxa"/>
            <w:vAlign w:val="center"/>
          </w:tcPr>
          <w:p>
            <w:pPr>
              <w:spacing w:line="360" w:lineRule="exact"/>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消音板</w:t>
            </w:r>
            <w:r>
              <w:rPr>
                <w:rFonts w:hint="eastAsia" w:ascii="宋体" w:hAnsi="宋体" w:eastAsia="宋体" w:cs="宋体"/>
                <w:sz w:val="24"/>
                <w:szCs w:val="24"/>
                <w:highlight w:val="none"/>
                <w:lang w:eastAsia="zh-CN"/>
              </w:rPr>
              <w:t>（厚度≥</w:t>
            </w:r>
            <w:r>
              <w:rPr>
                <w:rFonts w:hint="eastAsia" w:ascii="宋体" w:hAnsi="宋体" w:eastAsia="宋体" w:cs="宋体"/>
                <w:sz w:val="24"/>
                <w:szCs w:val="24"/>
                <w:highlight w:val="none"/>
                <w:lang w:val="en-US" w:eastAsia="zh-CN"/>
              </w:rPr>
              <w:t>80</w:t>
            </w:r>
            <w:r>
              <w:rPr>
                <w:rFonts w:hint="eastAsia" w:ascii="宋体" w:hAnsi="宋体" w:eastAsia="宋体" w:cs="宋体"/>
                <w:sz w:val="24"/>
                <w:szCs w:val="24"/>
                <w:highlight w:val="none"/>
                <w:lang w:eastAsia="zh-CN"/>
              </w:rPr>
              <w:t>mm，钢板厚度≥</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lang w:eastAsia="zh-CN"/>
              </w:rPr>
              <w:t>mm）、</w:t>
            </w:r>
            <w:r>
              <w:rPr>
                <w:rFonts w:hint="eastAsia" w:ascii="宋体" w:hAnsi="宋体" w:eastAsia="宋体" w:cs="宋体"/>
                <w:sz w:val="24"/>
                <w:szCs w:val="24"/>
                <w:highlight w:val="none"/>
              </w:rPr>
              <w:t>立柱</w:t>
            </w:r>
            <w:r>
              <w:rPr>
                <w:rFonts w:hint="eastAsia" w:ascii="宋体" w:hAnsi="宋体" w:eastAsia="宋体" w:cs="宋体"/>
                <w:sz w:val="24"/>
                <w:szCs w:val="24"/>
                <w:highlight w:val="none"/>
                <w:lang w:val="en-US" w:eastAsia="zh-CN"/>
              </w:rPr>
              <w:t>及主</w:t>
            </w:r>
            <w:r>
              <w:rPr>
                <w:rFonts w:hint="eastAsia" w:ascii="宋体" w:hAnsi="宋体" w:eastAsia="宋体" w:cs="宋体"/>
                <w:sz w:val="24"/>
                <w:szCs w:val="24"/>
                <w:highlight w:val="none"/>
              </w:rPr>
              <w:t>框梁</w:t>
            </w:r>
            <w:r>
              <w:rPr>
                <w:rFonts w:hint="eastAsia" w:ascii="宋体" w:hAnsi="宋体" w:eastAsia="宋体" w:cs="宋体"/>
                <w:sz w:val="24"/>
                <w:szCs w:val="24"/>
                <w:highlight w:val="none"/>
                <w:lang w:eastAsia="zh-CN"/>
              </w:rPr>
              <w:t>（方管1</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0*4，镀锌）、</w:t>
            </w:r>
            <w:r>
              <w:rPr>
                <w:rFonts w:hint="eastAsia" w:ascii="宋体" w:hAnsi="宋体" w:eastAsia="宋体" w:cs="宋体"/>
                <w:sz w:val="24"/>
                <w:szCs w:val="24"/>
                <w:highlight w:val="none"/>
              </w:rPr>
              <w:t>米字型梁</w:t>
            </w:r>
            <w:r>
              <w:rPr>
                <w:rFonts w:hint="eastAsia" w:ascii="宋体" w:hAnsi="宋体" w:eastAsia="宋体" w:cs="宋体"/>
                <w:sz w:val="24"/>
                <w:szCs w:val="24"/>
                <w:highlight w:val="none"/>
                <w:lang w:eastAsia="zh-CN"/>
              </w:rPr>
              <w:t>（矩形管40*60*3，镀锌）、D16</w:t>
            </w:r>
            <w:r>
              <w:rPr>
                <w:rFonts w:hint="eastAsia" w:ascii="宋体" w:hAnsi="宋体" w:eastAsia="宋体" w:cs="宋体"/>
                <w:sz w:val="24"/>
                <w:szCs w:val="24"/>
                <w:highlight w:val="none"/>
              </w:rPr>
              <w:t>镀锌穿线管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LED照明系统</w:t>
            </w:r>
            <w:r>
              <w:rPr>
                <w:rFonts w:hint="eastAsia" w:ascii="宋体" w:hAnsi="宋体" w:eastAsia="宋体" w:cs="宋体"/>
                <w:sz w:val="24"/>
                <w:szCs w:val="24"/>
                <w:highlight w:val="none"/>
                <w:lang w:eastAsia="zh-CN"/>
              </w:rPr>
              <w:t>（照明灯，报警指示灯，两个应急疏散指示牌及其控制开关、线路）、</w:t>
            </w:r>
            <w:r>
              <w:rPr>
                <w:rFonts w:hint="eastAsia" w:ascii="宋体" w:hAnsi="宋体" w:eastAsia="宋体" w:cs="宋体"/>
                <w:sz w:val="24"/>
                <w:szCs w:val="24"/>
                <w:highlight w:val="none"/>
              </w:rPr>
              <w:t>桥架</w:t>
            </w:r>
            <w:r>
              <w:rPr>
                <w:rFonts w:hint="eastAsia" w:ascii="宋体" w:hAnsi="宋体" w:eastAsia="宋体" w:cs="宋体"/>
                <w:sz w:val="24"/>
                <w:szCs w:val="24"/>
                <w:highlight w:val="none"/>
                <w:lang w:eastAsia="zh-CN"/>
              </w:rPr>
              <w:t>（100*100*1.5）、</w:t>
            </w:r>
            <w:r>
              <w:rPr>
                <w:rFonts w:hint="eastAsia" w:ascii="宋体" w:hAnsi="宋体" w:eastAsia="宋体" w:cs="宋体"/>
                <w:sz w:val="24"/>
                <w:szCs w:val="24"/>
                <w:highlight w:val="none"/>
              </w:rPr>
              <w:t>手动双开门</w:t>
            </w:r>
            <w:r>
              <w:rPr>
                <w:rFonts w:hint="eastAsia" w:ascii="宋体" w:hAnsi="宋体" w:eastAsia="宋体" w:cs="宋体"/>
                <w:sz w:val="24"/>
                <w:szCs w:val="24"/>
                <w:highlight w:val="none"/>
                <w:lang w:val="en-US" w:eastAsia="zh-CN"/>
              </w:rPr>
              <w:t>1个</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1.6</w:t>
            </w:r>
            <w:r>
              <w:rPr>
                <w:rFonts w:hint="eastAsia" w:ascii="宋体" w:hAnsi="宋体" w:eastAsia="宋体" w:cs="宋体"/>
                <w:sz w:val="24"/>
                <w:szCs w:val="24"/>
                <w:highlight w:val="none"/>
                <w:lang w:eastAsia="zh-CN"/>
              </w:rPr>
              <w:t>m*</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m，主材与消音房体一致）、</w:t>
            </w:r>
            <w:r>
              <w:rPr>
                <w:rFonts w:hint="eastAsia" w:ascii="宋体" w:hAnsi="宋体" w:eastAsia="宋体" w:cs="宋体"/>
                <w:sz w:val="24"/>
                <w:szCs w:val="24"/>
                <w:highlight w:val="none"/>
              </w:rPr>
              <w:t>玻璃窗</w:t>
            </w:r>
            <w:r>
              <w:rPr>
                <w:rFonts w:hint="eastAsia" w:ascii="宋体" w:hAnsi="宋体" w:eastAsia="宋体" w:cs="宋体"/>
                <w:sz w:val="24"/>
                <w:szCs w:val="24"/>
                <w:highlight w:val="none"/>
                <w:lang w:val="en-US" w:eastAsia="zh-CN"/>
              </w:rPr>
              <w:t>2个</w:t>
            </w:r>
            <w:r>
              <w:rPr>
                <w:rFonts w:hint="eastAsia" w:ascii="宋体" w:hAnsi="宋体" w:eastAsia="宋体" w:cs="宋体"/>
                <w:sz w:val="24"/>
                <w:szCs w:val="24"/>
                <w:highlight w:val="none"/>
                <w:lang w:eastAsia="zh-CN"/>
              </w:rPr>
              <w:t>（1.8*1.6）、空调新风系统</w:t>
            </w:r>
            <w:r>
              <w:rPr>
                <w:rFonts w:hint="eastAsia" w:ascii="宋体" w:hAnsi="宋体" w:eastAsia="宋体" w:cs="宋体"/>
                <w:sz w:val="24"/>
                <w:szCs w:val="24"/>
                <w:highlight w:val="none"/>
                <w:lang w:val="en-US" w:eastAsia="zh-CN"/>
              </w:rPr>
              <w:t>一套</w:t>
            </w:r>
            <w:r>
              <w:rPr>
                <w:rFonts w:hint="eastAsia" w:ascii="宋体" w:hAnsi="宋体" w:eastAsia="宋体" w:cs="宋体"/>
                <w:sz w:val="24"/>
                <w:szCs w:val="24"/>
                <w:highlight w:val="none"/>
                <w:lang w:eastAsia="zh-CN"/>
              </w:rPr>
              <w:t>（3P）</w:t>
            </w:r>
          </w:p>
        </w:tc>
        <w:tc>
          <w:tcPr>
            <w:tcW w:w="836" w:type="dxa"/>
            <w:vAlign w:val="center"/>
          </w:tcPr>
          <w:p>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782" w:type="dxa"/>
            <w:vAlign w:val="center"/>
          </w:tcPr>
          <w:p>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36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p>
        </w:tc>
        <w:tc>
          <w:tcPr>
            <w:tcW w:w="2472" w:type="dxa"/>
            <w:vAlign w:val="center"/>
          </w:tcPr>
          <w:p>
            <w:pPr>
              <w:spacing w:line="36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安装、调试</w:t>
            </w:r>
          </w:p>
        </w:tc>
        <w:tc>
          <w:tcPr>
            <w:tcW w:w="4089" w:type="dxa"/>
            <w:vAlign w:val="center"/>
          </w:tcPr>
          <w:p>
            <w:pPr>
              <w:spacing w:line="360" w:lineRule="exact"/>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旧设备拆除、新</w:t>
            </w:r>
            <w:r>
              <w:rPr>
                <w:rFonts w:hint="eastAsia" w:ascii="宋体" w:hAnsi="宋体" w:eastAsia="宋体" w:cs="宋体"/>
                <w:sz w:val="24"/>
                <w:szCs w:val="24"/>
                <w:highlight w:val="none"/>
              </w:rPr>
              <w:t>设备安装、调试</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原设备线路及原除尘系统恢复</w:t>
            </w:r>
          </w:p>
        </w:tc>
        <w:tc>
          <w:tcPr>
            <w:tcW w:w="836" w:type="dxa"/>
            <w:vAlign w:val="center"/>
          </w:tcPr>
          <w:p>
            <w:pPr>
              <w:spacing w:line="36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宗</w:t>
            </w:r>
          </w:p>
        </w:tc>
        <w:tc>
          <w:tcPr>
            <w:tcW w:w="782" w:type="dxa"/>
            <w:vAlign w:val="center"/>
          </w:tcPr>
          <w:p>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36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p>
        </w:tc>
        <w:tc>
          <w:tcPr>
            <w:tcW w:w="2472" w:type="dxa"/>
            <w:vAlign w:val="center"/>
          </w:tcPr>
          <w:p>
            <w:pPr>
              <w:spacing w:line="360" w:lineRule="exact"/>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运输</w:t>
            </w:r>
          </w:p>
        </w:tc>
        <w:tc>
          <w:tcPr>
            <w:tcW w:w="4089" w:type="dxa"/>
            <w:vAlign w:val="center"/>
          </w:tcPr>
          <w:p>
            <w:pPr>
              <w:spacing w:line="360" w:lineRule="exact"/>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新设备运输及旧设备厂内物流运输</w:t>
            </w:r>
          </w:p>
        </w:tc>
        <w:tc>
          <w:tcPr>
            <w:tcW w:w="836" w:type="dxa"/>
            <w:vAlign w:val="center"/>
          </w:tcPr>
          <w:p>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次</w:t>
            </w:r>
          </w:p>
        </w:tc>
        <w:tc>
          <w:tcPr>
            <w:tcW w:w="782" w:type="dxa"/>
            <w:vAlign w:val="center"/>
          </w:tcPr>
          <w:p>
            <w:pPr>
              <w:spacing w:line="36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2472" w:type="dxa"/>
            <w:vAlign w:val="center"/>
          </w:tcPr>
          <w:p>
            <w:pPr>
              <w:spacing w:line="360" w:lineRule="exact"/>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噪音</w:t>
            </w:r>
            <w:r>
              <w:rPr>
                <w:rFonts w:hint="eastAsia" w:ascii="宋体" w:hAnsi="宋体" w:eastAsia="宋体" w:cs="宋体"/>
                <w:sz w:val="24"/>
                <w:szCs w:val="24"/>
                <w:highlight w:val="none"/>
              </w:rPr>
              <w:t>检测</w:t>
            </w:r>
          </w:p>
        </w:tc>
        <w:tc>
          <w:tcPr>
            <w:tcW w:w="4089" w:type="dxa"/>
            <w:vAlign w:val="center"/>
          </w:tcPr>
          <w:p>
            <w:pPr>
              <w:spacing w:line="360" w:lineRule="exact"/>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第三方噪音检测费用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设备终验收依据，以检测合格为准，≥1次</w:t>
            </w:r>
          </w:p>
        </w:tc>
        <w:tc>
          <w:tcPr>
            <w:tcW w:w="836" w:type="dxa"/>
            <w:vAlign w:val="center"/>
          </w:tcPr>
          <w:p>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次</w:t>
            </w:r>
          </w:p>
        </w:tc>
        <w:tc>
          <w:tcPr>
            <w:tcW w:w="782" w:type="dxa"/>
            <w:vAlign w:val="center"/>
          </w:tcPr>
          <w:p>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r>
    </w:tbl>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numPr>
          <w:ilvl w:val="0"/>
          <w:numId w:val="3"/>
        </w:numPr>
        <w:spacing w:line="360" w:lineRule="auto"/>
        <w:ind w:firstLine="480" w:firstLineChars="200"/>
        <w:rPr>
          <w:szCs w:val="21"/>
          <w:highlight w:val="none"/>
        </w:rPr>
      </w:pPr>
      <w:r>
        <w:rPr>
          <w:rFonts w:hint="eastAsia" w:ascii="宋体" w:hAnsi="宋体" w:eastAsia="宋体" w:cs="宋体"/>
          <w:bCs/>
          <w:sz w:val="24"/>
          <w:szCs w:val="24"/>
          <w:highlight w:val="none"/>
        </w:rPr>
        <w:t>本表“供货方式”指：交钥匙方式——包括制造、运输、定点卸货、安装、调试</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lang w:val="en-US" w:eastAsia="zh-CN"/>
        </w:rPr>
        <w:t>相关设备线路及除尘系统恢复、噪音检测等</w:t>
      </w:r>
      <w:r>
        <w:rPr>
          <w:rFonts w:hint="eastAsia" w:ascii="宋体" w:hAnsi="宋体" w:eastAsia="宋体" w:cs="宋体"/>
          <w:bCs/>
          <w:sz w:val="24"/>
          <w:szCs w:val="24"/>
          <w:highlight w:val="none"/>
        </w:rPr>
        <w:t>。</w:t>
      </w:r>
    </w:p>
    <w:p>
      <w:pPr>
        <w:spacing w:line="360" w:lineRule="auto"/>
        <w:outlineLvl w:val="3"/>
        <w:rPr>
          <w:rFonts w:ascii="宋体" w:hAnsi="宋体" w:eastAsia="宋体" w:cs="宋体"/>
          <w:b/>
          <w:sz w:val="24"/>
          <w:szCs w:val="24"/>
          <w:highlight w:val="none"/>
        </w:rPr>
      </w:pPr>
      <w:r>
        <w:rPr>
          <w:rFonts w:hint="eastAsia" w:ascii="宋体" w:hAnsi="宋体" w:eastAsia="宋体" w:cs="宋体"/>
          <w:b/>
          <w:sz w:val="24"/>
          <w:szCs w:val="24"/>
          <w:highlight w:val="none"/>
        </w:rPr>
        <w:t>四、采购货物特别说明</w:t>
      </w:r>
    </w:p>
    <w:p>
      <w:pPr>
        <w:spacing w:line="360" w:lineRule="auto"/>
        <w:ind w:firstLine="480" w:firstLineChars="200"/>
        <w:rPr>
          <w:rFonts w:ascii="宋体" w:hAnsi="宋体" w:eastAsia="宋体" w:cs="Times New Roman"/>
          <w:szCs w:val="20"/>
          <w:highlight w:val="none"/>
        </w:rPr>
      </w:pPr>
      <w:r>
        <w:rPr>
          <w:rFonts w:hint="eastAsia" w:ascii="宋体" w:hAnsi="宋体" w:eastAsia="宋体" w:cs="宋体"/>
          <w:sz w:val="24"/>
          <w:szCs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highlight w:val="none"/>
        </w:rPr>
        <w:t>。</w:t>
      </w:r>
    </w:p>
    <w:p>
      <w:pPr>
        <w:widowControl/>
        <w:jc w:val="left"/>
        <w:rPr>
          <w:highlight w:val="none"/>
        </w:rPr>
      </w:pPr>
      <w:r>
        <w:rPr>
          <w:highlight w:val="none"/>
        </w:rPr>
        <w:br w:type="page"/>
      </w:r>
    </w:p>
    <w:p>
      <w:pPr>
        <w:keepNext/>
        <w:keepLines/>
        <w:spacing w:before="120" w:after="120" w:line="480" w:lineRule="exact"/>
        <w:jc w:val="center"/>
        <w:outlineLvl w:val="1"/>
        <w:rPr>
          <w:rFonts w:ascii="宋体" w:hAnsi="Calibri" w:eastAsia="宋体" w:cs="Times New Roman"/>
          <w:bCs/>
          <w:kern w:val="44"/>
          <w:sz w:val="28"/>
          <w:szCs w:val="28"/>
          <w:highlight w:val="none"/>
        </w:rPr>
      </w:pPr>
      <w:bookmarkStart w:id="35" w:name="_Toc169605880"/>
      <w:r>
        <w:rPr>
          <w:rFonts w:hint="eastAsia" w:ascii="宋体" w:hAnsi="宋体" w:eastAsia="宋体" w:cs="Times New Roman"/>
          <w:b/>
          <w:bCs/>
          <w:kern w:val="44"/>
          <w:sz w:val="28"/>
          <w:szCs w:val="28"/>
          <w:highlight w:val="none"/>
        </w:rPr>
        <w:t>第二章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技术要求</w:t>
      </w:r>
      <w:bookmarkEnd w:id="35"/>
    </w:p>
    <w:p>
      <w:pPr>
        <w:pStyle w:val="112"/>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一、特别提示</w:t>
      </w:r>
    </w:p>
    <w:p>
      <w:pPr>
        <w:spacing w:line="36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3</w:t>
      </w:r>
      <w:r>
        <w:rPr>
          <w:rFonts w:hint="eastAsia" w:ascii="宋体" w:hAnsi="宋体" w:eastAsia="宋体" w:cs="Times New Roman"/>
          <w:sz w:val="24"/>
          <w:szCs w:val="24"/>
          <w:highlight w:val="none"/>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bCs/>
          <w:sz w:val="24"/>
          <w:szCs w:val="24"/>
          <w:highlight w:val="none"/>
        </w:rPr>
        <w:t>4</w:t>
      </w:r>
      <w:r>
        <w:rPr>
          <w:rFonts w:hint="eastAsia" w:ascii="宋体" w:hAnsi="宋体" w:eastAsia="宋体" w:cs="Times New Roman"/>
          <w:bCs/>
          <w:sz w:val="24"/>
          <w:szCs w:val="24"/>
          <w:highlight w:val="none"/>
        </w:rPr>
        <w:t>.投标人应根据招投标货物具体要求，提出</w:t>
      </w:r>
      <w:r>
        <w:rPr>
          <w:rFonts w:hint="eastAsia" w:ascii="宋体" w:hAnsi="宋体" w:eastAsia="宋体" w:cs="Times New Roman"/>
          <w:sz w:val="24"/>
          <w:szCs w:val="24"/>
          <w:highlight w:val="none"/>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highlight w:val="none"/>
        </w:rPr>
      </w:pPr>
      <w:r>
        <w:rPr>
          <w:rFonts w:hint="eastAsia" w:ascii="宋体" w:hAnsi="宋体" w:eastAsia="宋体" w:cs="Times New Roman"/>
          <w:sz w:val="24"/>
          <w:szCs w:val="24"/>
          <w:highlight w:val="none"/>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6</w:t>
      </w:r>
      <w:r>
        <w:rPr>
          <w:rFonts w:hint="eastAsia" w:ascii="宋体" w:hAnsi="宋体" w:eastAsia="宋体" w:cs="Times New Roman"/>
          <w:sz w:val="24"/>
          <w:szCs w:val="24"/>
          <w:highlight w:val="none"/>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7</w:t>
      </w:r>
      <w:r>
        <w:rPr>
          <w:rFonts w:hint="eastAsia" w:ascii="宋体" w:hAnsi="宋体" w:eastAsia="宋体" w:cs="Times New Roman"/>
          <w:sz w:val="24"/>
          <w:szCs w:val="24"/>
          <w:highlight w:val="none"/>
        </w:rPr>
        <w:t>.投标文件中，针对“特别提示”条款所做的回应，将作为投标人能否中标的重要依据之一。</w:t>
      </w:r>
    </w:p>
    <w:p>
      <w:pPr>
        <w:pStyle w:val="112"/>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二、基本要求</w:t>
      </w:r>
    </w:p>
    <w:p>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1</w:t>
      </w:r>
      <w:r>
        <w:rPr>
          <w:rFonts w:hint="eastAsia" w:ascii="宋体" w:hAnsi="宋体" w:eastAsia="宋体" w:cs="Times New Roman"/>
          <w:sz w:val="24"/>
          <w:szCs w:val="24"/>
          <w:highlight w:val="none"/>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2</w:t>
      </w:r>
      <w:r>
        <w:rPr>
          <w:rFonts w:hint="eastAsia" w:ascii="宋体" w:hAnsi="宋体" w:eastAsia="宋体" w:cs="Times New Roman"/>
          <w:sz w:val="24"/>
          <w:szCs w:val="24"/>
          <w:highlight w:val="none"/>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3</w:t>
      </w:r>
      <w:r>
        <w:rPr>
          <w:rFonts w:hint="eastAsia" w:ascii="宋体" w:hAnsi="宋体" w:eastAsia="宋体" w:cs="Times New Roman"/>
          <w:sz w:val="24"/>
          <w:szCs w:val="24"/>
          <w:highlight w:val="none"/>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4</w:t>
      </w:r>
      <w:r>
        <w:rPr>
          <w:rFonts w:hint="eastAsia" w:ascii="宋体" w:hAnsi="宋体" w:eastAsia="宋体" w:cs="Times New Roman"/>
          <w:sz w:val="24"/>
          <w:szCs w:val="24"/>
          <w:highlight w:val="none"/>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5</w:t>
      </w:r>
      <w:r>
        <w:rPr>
          <w:rFonts w:hint="eastAsia" w:ascii="宋体" w:hAnsi="宋体" w:eastAsia="宋体" w:cs="Times New Roman"/>
          <w:sz w:val="24"/>
          <w:szCs w:val="24"/>
          <w:highlight w:val="none"/>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6</w:t>
      </w:r>
      <w:r>
        <w:rPr>
          <w:rFonts w:hint="eastAsia" w:ascii="宋体" w:hAnsi="宋体" w:eastAsia="宋体" w:cs="Times New Roman"/>
          <w:sz w:val="24"/>
          <w:szCs w:val="24"/>
          <w:highlight w:val="none"/>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7.图纸要求</w:t>
      </w:r>
    </w:p>
    <w:p>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7.</w:t>
      </w:r>
      <w:r>
        <w:rPr>
          <w:rFonts w:hint="eastAsia" w:ascii="宋体" w:hAnsi="宋体" w:eastAsia="宋体" w:cs="Times New Roman"/>
          <w:sz w:val="24"/>
          <w:szCs w:val="24"/>
          <w:highlight w:val="none"/>
          <w:lang w:val="en-US" w:eastAsia="zh-CN"/>
        </w:rPr>
        <w:t>1</w:t>
      </w:r>
      <w:r>
        <w:rPr>
          <w:rFonts w:hint="eastAsia" w:ascii="宋体" w:hAnsi="宋体" w:eastAsia="宋体" w:cs="Times New Roman"/>
          <w:sz w:val="24"/>
          <w:szCs w:val="24"/>
          <w:highlight w:val="none"/>
        </w:rPr>
        <w:t xml:space="preserve"> 投标方需在终验收前提供最新的</w:t>
      </w:r>
      <w:r>
        <w:rPr>
          <w:rFonts w:hint="eastAsia" w:ascii="宋体" w:hAnsi="宋体" w:eastAsia="宋体" w:cs="Times New Roman"/>
          <w:sz w:val="24"/>
          <w:szCs w:val="24"/>
          <w:highlight w:val="none"/>
          <w:lang w:val="en-US" w:eastAsia="zh-CN"/>
        </w:rPr>
        <w:t>货物详细安装及电气接线</w:t>
      </w:r>
      <w:r>
        <w:rPr>
          <w:rFonts w:hint="eastAsia" w:ascii="宋体" w:hAnsi="宋体" w:eastAsia="宋体" w:cs="Times New Roman"/>
          <w:sz w:val="24"/>
          <w:szCs w:val="24"/>
          <w:highlight w:val="none"/>
        </w:rPr>
        <w:t>图纸，图纸要求为可编辑原格式（EPLAN、CAD 格式）且与实际接线一致。</w:t>
      </w:r>
    </w:p>
    <w:p>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7.</w:t>
      </w:r>
      <w:r>
        <w:rPr>
          <w:rFonts w:hint="eastAsia" w:ascii="宋体" w:hAnsi="宋体" w:eastAsia="宋体" w:cs="Times New Roman"/>
          <w:sz w:val="24"/>
          <w:szCs w:val="24"/>
          <w:highlight w:val="none"/>
          <w:lang w:val="en-US" w:eastAsia="zh-CN"/>
        </w:rPr>
        <w:t>2</w:t>
      </w:r>
      <w:r>
        <w:rPr>
          <w:rFonts w:hint="eastAsia" w:ascii="宋体" w:hAnsi="宋体" w:eastAsia="宋体" w:cs="Times New Roman"/>
          <w:sz w:val="24"/>
          <w:szCs w:val="24"/>
          <w:highlight w:val="none"/>
        </w:rPr>
        <w:t>投标方提供所有备件详细明细（excel），包括备件名称、规格型号、品牌、数量等，非标件需提供详细订货号。</w:t>
      </w:r>
    </w:p>
    <w:p>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7.</w:t>
      </w:r>
      <w:r>
        <w:rPr>
          <w:rFonts w:hint="eastAsia" w:ascii="宋体" w:hAnsi="宋体" w:eastAsia="宋体" w:cs="Times New Roman"/>
          <w:sz w:val="24"/>
          <w:szCs w:val="24"/>
          <w:highlight w:val="none"/>
          <w:lang w:val="en-US" w:eastAsia="zh-CN"/>
        </w:rPr>
        <w:t>3</w:t>
      </w:r>
      <w:r>
        <w:rPr>
          <w:rFonts w:hint="eastAsia" w:ascii="宋体" w:hAnsi="宋体" w:eastAsia="宋体" w:cs="Times New Roman"/>
          <w:sz w:val="24"/>
          <w:szCs w:val="24"/>
          <w:highlight w:val="none"/>
        </w:rPr>
        <w:t>仪器、仪表、控制器、特殊用途传感器等，</w:t>
      </w:r>
      <w:r>
        <w:rPr>
          <w:rFonts w:hint="eastAsia" w:ascii="宋体" w:hAnsi="宋体" w:eastAsia="宋体" w:cs="Times New Roman"/>
          <w:sz w:val="24"/>
          <w:szCs w:val="24"/>
          <w:highlight w:val="none"/>
          <w:lang w:val="en-US" w:eastAsia="zh-CN"/>
        </w:rPr>
        <w:t>如有</w:t>
      </w:r>
      <w:r>
        <w:rPr>
          <w:rFonts w:hint="eastAsia" w:ascii="宋体" w:hAnsi="宋体" w:eastAsia="宋体" w:cs="Times New Roman"/>
          <w:sz w:val="24"/>
          <w:szCs w:val="24"/>
          <w:highlight w:val="none"/>
        </w:rPr>
        <w:t>需提供设备使用说明书</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合格证等</w:t>
      </w:r>
      <w:r>
        <w:rPr>
          <w:rFonts w:hint="eastAsia" w:ascii="宋体" w:hAnsi="宋体" w:eastAsia="宋体" w:cs="Times New Roman"/>
          <w:sz w:val="24"/>
          <w:szCs w:val="24"/>
          <w:highlight w:val="none"/>
        </w:rPr>
        <w:t>。</w:t>
      </w:r>
    </w:p>
    <w:p>
      <w:pPr>
        <w:pStyle w:val="112"/>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三、技术要求</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 </w:t>
      </w:r>
      <w:bookmarkStart w:id="36" w:name="_Toc169605881"/>
      <w:r>
        <w:rPr>
          <w:rFonts w:hint="eastAsia" w:ascii="宋体" w:hAnsi="宋体" w:eastAsia="宋体" w:cs="宋体"/>
          <w:sz w:val="24"/>
          <w:szCs w:val="24"/>
          <w:highlight w:val="none"/>
        </w:rPr>
        <w:t>隔音房结构</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全封闭隔音墙，有孔洞处采取辅助设施消音。穿过孔洞的设备或管件，在其穿孔处应采用软体减振密封、防火泥或打发泡剂。电缆/桥架穿过隔音墙处须符合电气要求及隔音效果</w:t>
      </w:r>
      <w:r>
        <w:rPr>
          <w:rFonts w:hint="eastAsia" w:ascii="宋体" w:hAnsi="宋体" w:eastAsia="宋体" w:cs="宋体"/>
          <w:sz w:val="24"/>
          <w:szCs w:val="24"/>
          <w:highlight w:val="none"/>
          <w:lang w:eastAsia="zh-CN"/>
        </w:rPr>
        <w:t>；</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隔音墙的墙壁应具有足够的隔声量，以隔断空气声的传播，同时又要减少墙内混响声和防止固体声的传递</w:t>
      </w:r>
      <w:r>
        <w:rPr>
          <w:rFonts w:hint="eastAsia" w:ascii="宋体" w:hAnsi="宋体" w:eastAsia="宋体" w:cs="宋体"/>
          <w:sz w:val="24"/>
          <w:szCs w:val="24"/>
          <w:highlight w:val="none"/>
          <w:lang w:eastAsia="zh-CN"/>
        </w:rPr>
        <w:t>；</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在墙壁构件相接处的缝隙，要采取密封措施，以减少噪音外泄。机器和隔音墙之间需要留有通道空隙及维修空间，机器和隔音墙支撑之间、隔音墙与基础之间应考虑减振措施。为了减少噪声的辐射面积，其形状应与该声源装置的轮廓相对应；并考虑满足检修监测方便、通风良好、进排气及其消声器正常工作的要求。防止墙内空气声的驻波效应，使隔声量出现低谷；</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1.4所有设备均应正确设计和制造，不应有过度的应力、振动、温升、磨损、腐蚀、老化等其它问题</w:t>
      </w:r>
      <w:r>
        <w:rPr>
          <w:rFonts w:hint="eastAsia" w:ascii="宋体" w:hAnsi="宋体" w:eastAsia="宋体" w:cs="宋体"/>
          <w:sz w:val="24"/>
          <w:szCs w:val="24"/>
          <w:highlight w:val="none"/>
        </w:rPr>
        <w:t>；</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1.5隔音房顶部采用拼接式活顶设计，满足500kg/平方米的承重要求，同时顶板可分组拆卸、吊装及恢复，便于后期设备维修进行吊装作业。</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2隔音房材料</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2.1隔声墙的墙壁材料应具有足够大的透射损失LTL。所有材质均具备阻燃抗燃特性。</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2.2隔声墙的墙壁材料采用Q235B钢板。隔音房墙体总厚度</w:t>
      </w:r>
      <w:r>
        <w:rPr>
          <w:rFonts w:ascii="宋体" w:hAnsi="宋体" w:eastAsia="宋体" w:cs="宋体"/>
          <w:sz w:val="24"/>
          <w:szCs w:val="24"/>
          <w:highlight w:val="none"/>
        </w:rPr>
        <w:t>≥</w:t>
      </w:r>
      <w:r>
        <w:rPr>
          <w:rFonts w:hint="eastAsia" w:ascii="宋体" w:hAnsi="宋体" w:eastAsia="宋体" w:cs="宋体"/>
          <w:sz w:val="24"/>
          <w:szCs w:val="24"/>
          <w:highlight w:val="none"/>
          <w:lang w:val="en-US" w:eastAsia="zh-CN"/>
        </w:rPr>
        <w:t>120mm，钢材厚度大于等于2mm；操作间墙体总厚度</w:t>
      </w:r>
      <w:r>
        <w:rPr>
          <w:rFonts w:ascii="宋体" w:hAnsi="宋体" w:eastAsia="宋体" w:cs="宋体"/>
          <w:sz w:val="24"/>
          <w:szCs w:val="24"/>
          <w:highlight w:val="none"/>
        </w:rPr>
        <w:t>≥</w:t>
      </w:r>
      <w:r>
        <w:rPr>
          <w:rFonts w:hint="eastAsia" w:ascii="宋体" w:hAnsi="宋体" w:eastAsia="宋体" w:cs="宋体"/>
          <w:sz w:val="24"/>
          <w:szCs w:val="24"/>
          <w:highlight w:val="none"/>
          <w:lang w:val="en-US" w:eastAsia="zh-CN"/>
        </w:rPr>
        <w:t>80mm，钢材厚度大于等于1.5mm。</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2.3内层吸隔声材料：夹层选用复合式阻燃玻璃纤维隔音棉和高密度防火布，XK阻隔高频放射板。隔音房墙体玻璃纤维棉厚度不小于100mm，操作间墙体玻璃纤维棉厚度不小于70mm，玻璃纤维棉密封不得有漏出现象。</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2.4外表面采用高温220℃成型喷塑处理，喷塑桔纹表面耐磨耐用、抗划痕。颜色选用Ral9002。</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2.5为防止固体传声，隔声墙与安装基础表面间铺设隔振材料。</w:t>
      </w:r>
    </w:p>
    <w:p>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2.6门缝装橡胶密封条，保证门关闭后的隔音房外周边距离隔音板任意点1米处的噪音≤85dB。</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3设备主要配置</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3.1隔音房尺寸：</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落砂机输送槽隔音房：20m*10.6m*6.2m</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取铁区域隔音房：4.5m*8.6m*4.3m</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新增机械手远程操作间：6m*3m*3m</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落砂机输送槽隔音房南侧设置两个双开门，尺寸3m*3m，便于叉车进出，门框采取防撞措施；取铁区域隔音房南侧及西侧均设置1个双开门，尺寸约2m*2m；机械手远程操作间北面东侧设置1.6m*2m双开门1个，北侧安装1.8m*1.6m采光窗2个。</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3.3根据现有位置预留除尘风口，并负责对接恢复除尘罩。</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3.4每个隔音房增加两个应急疏散指示牌，操作间的所有照明更换为使用安全电压的LED照明系统，所有新增线路由中标方负责。</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3.5在取铁工位，震动落砂机传出方向需有隔音、吸音软装置，减小震动输送区域噪音传播至取铁工位，确保取铁工位环境噪音≤85dB；</w:t>
      </w:r>
    </w:p>
    <w:p>
      <w:pPr>
        <w:spacing w:line="36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4关键参数</w:t>
      </w:r>
    </w:p>
    <w:tbl>
      <w:tblPr>
        <w:tblStyle w:val="35"/>
        <w:tblW w:w="8875" w:type="dxa"/>
        <w:tblInd w:w="211" w:type="dxa"/>
        <w:tblLayout w:type="fixed"/>
        <w:tblCellMar>
          <w:top w:w="0" w:type="dxa"/>
          <w:left w:w="108" w:type="dxa"/>
          <w:bottom w:w="0" w:type="dxa"/>
          <w:right w:w="108" w:type="dxa"/>
        </w:tblCellMar>
      </w:tblPr>
      <w:tblGrid>
        <w:gridCol w:w="925"/>
        <w:gridCol w:w="2725"/>
        <w:gridCol w:w="3938"/>
        <w:gridCol w:w="1287"/>
      </w:tblGrid>
      <w:tr>
        <w:tblPrEx>
          <w:tblCellMar>
            <w:top w:w="0" w:type="dxa"/>
            <w:left w:w="108" w:type="dxa"/>
            <w:bottom w:w="0" w:type="dxa"/>
            <w:right w:w="108" w:type="dxa"/>
          </w:tblCellMar>
        </w:tblPrEx>
        <w:trPr>
          <w:trHeight w:val="270" w:hRule="atLeast"/>
        </w:trPr>
        <w:tc>
          <w:tcPr>
            <w:tcW w:w="9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序号</w:t>
            </w:r>
          </w:p>
        </w:tc>
        <w:tc>
          <w:tcPr>
            <w:tcW w:w="2725"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名 称</w:t>
            </w:r>
          </w:p>
        </w:tc>
        <w:tc>
          <w:tcPr>
            <w:tcW w:w="3938"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参数</w:t>
            </w:r>
          </w:p>
        </w:tc>
        <w:tc>
          <w:tcPr>
            <w:tcW w:w="1287"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备注</w:t>
            </w:r>
          </w:p>
        </w:tc>
      </w:tr>
      <w:tr>
        <w:tblPrEx>
          <w:tblCellMar>
            <w:top w:w="0" w:type="dxa"/>
            <w:left w:w="108" w:type="dxa"/>
            <w:bottom w:w="0" w:type="dxa"/>
            <w:right w:w="108" w:type="dxa"/>
          </w:tblCellMar>
        </w:tblPrEx>
        <w:trPr>
          <w:trHeight w:val="942" w:hRule="atLeast"/>
        </w:trPr>
        <w:tc>
          <w:tcPr>
            <w:tcW w:w="925"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w:t>
            </w:r>
          </w:p>
        </w:tc>
        <w:tc>
          <w:tcPr>
            <w:tcW w:w="2725"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隔音房板材</w:t>
            </w:r>
          </w:p>
        </w:tc>
        <w:tc>
          <w:tcPr>
            <w:tcW w:w="3938"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厚度≥120mm，钢板厚度≥2mm，隔音、吸音等功能性环保材料</w:t>
            </w:r>
          </w:p>
        </w:tc>
        <w:tc>
          <w:tcPr>
            <w:tcW w:w="1287"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highlight w:val="none"/>
                <w:lang w:val="en-US" w:eastAsia="zh-CN" w:bidi="ar-SA"/>
              </w:rPr>
            </w:pPr>
          </w:p>
        </w:tc>
      </w:tr>
      <w:tr>
        <w:tblPrEx>
          <w:tblCellMar>
            <w:top w:w="0" w:type="dxa"/>
            <w:left w:w="108" w:type="dxa"/>
            <w:bottom w:w="0" w:type="dxa"/>
            <w:right w:w="108" w:type="dxa"/>
          </w:tblCellMar>
        </w:tblPrEx>
        <w:trPr>
          <w:trHeight w:val="787" w:hRule="atLeast"/>
        </w:trPr>
        <w:tc>
          <w:tcPr>
            <w:tcW w:w="925"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w:t>
            </w:r>
          </w:p>
        </w:tc>
        <w:tc>
          <w:tcPr>
            <w:tcW w:w="2725"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操作间板材</w:t>
            </w:r>
          </w:p>
        </w:tc>
        <w:tc>
          <w:tcPr>
            <w:tcW w:w="3938"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厚度≥80mm，钢板厚度≥1.5mm，隔音、吸音等功能性环保材料</w:t>
            </w:r>
          </w:p>
        </w:tc>
        <w:tc>
          <w:tcPr>
            <w:tcW w:w="1287"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highlight w:val="none"/>
                <w:lang w:val="en-US" w:eastAsia="zh-CN" w:bidi="ar-SA"/>
              </w:rPr>
            </w:pPr>
          </w:p>
        </w:tc>
      </w:tr>
      <w:tr>
        <w:tblPrEx>
          <w:tblCellMar>
            <w:top w:w="0" w:type="dxa"/>
            <w:left w:w="108" w:type="dxa"/>
            <w:bottom w:w="0" w:type="dxa"/>
            <w:right w:w="108" w:type="dxa"/>
          </w:tblCellMar>
        </w:tblPrEx>
        <w:trPr>
          <w:trHeight w:val="446" w:hRule="atLeast"/>
        </w:trPr>
        <w:tc>
          <w:tcPr>
            <w:tcW w:w="925"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w:t>
            </w:r>
          </w:p>
        </w:tc>
        <w:tc>
          <w:tcPr>
            <w:tcW w:w="2725"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照明系统</w:t>
            </w:r>
          </w:p>
        </w:tc>
        <w:tc>
          <w:tcPr>
            <w:tcW w:w="3938"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80W LED投光灯</w:t>
            </w:r>
          </w:p>
        </w:tc>
        <w:tc>
          <w:tcPr>
            <w:tcW w:w="1287"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highlight w:val="none"/>
                <w:lang w:val="en-US" w:eastAsia="zh-CN" w:bidi="ar-SA"/>
              </w:rPr>
            </w:pPr>
          </w:p>
        </w:tc>
      </w:tr>
      <w:tr>
        <w:tblPrEx>
          <w:tblCellMar>
            <w:top w:w="0" w:type="dxa"/>
            <w:left w:w="108" w:type="dxa"/>
            <w:bottom w:w="0" w:type="dxa"/>
            <w:right w:w="108" w:type="dxa"/>
          </w:tblCellMar>
        </w:tblPrEx>
        <w:trPr>
          <w:trHeight w:val="431" w:hRule="atLeast"/>
        </w:trPr>
        <w:tc>
          <w:tcPr>
            <w:tcW w:w="925"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w:t>
            </w:r>
          </w:p>
        </w:tc>
        <w:tc>
          <w:tcPr>
            <w:tcW w:w="2725"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取铁工位</w:t>
            </w:r>
          </w:p>
        </w:tc>
        <w:tc>
          <w:tcPr>
            <w:tcW w:w="3938"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工位环境噪</w:t>
            </w:r>
            <w:r>
              <w:rPr>
                <w:rFonts w:hint="eastAsia" w:ascii="宋体" w:hAnsi="宋体" w:eastAsia="宋体" w:cs="宋体"/>
                <w:bCs w:val="0"/>
                <w:color w:val="auto"/>
                <w:sz w:val="24"/>
                <w:szCs w:val="24"/>
                <w:highlight w:val="none"/>
                <w:lang w:val="en-US" w:eastAsia="zh-CN"/>
              </w:rPr>
              <w:t>声</w:t>
            </w:r>
            <w:r>
              <w:rPr>
                <w:rFonts w:hint="eastAsia" w:ascii="宋体" w:hAnsi="宋体" w:eastAsia="宋体" w:cs="宋体"/>
                <w:color w:val="auto"/>
                <w:kern w:val="0"/>
                <w:sz w:val="24"/>
                <w:szCs w:val="24"/>
                <w:highlight w:val="none"/>
                <w:lang w:val="en-US" w:eastAsia="zh-CN" w:bidi="ar-SA"/>
              </w:rPr>
              <w:t>≤85dB</w:t>
            </w:r>
          </w:p>
        </w:tc>
        <w:tc>
          <w:tcPr>
            <w:tcW w:w="1287"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highlight w:val="none"/>
                <w:lang w:val="en-US" w:eastAsia="zh-CN" w:bidi="ar-SA"/>
              </w:rPr>
            </w:pPr>
          </w:p>
        </w:tc>
      </w:tr>
      <w:tr>
        <w:tblPrEx>
          <w:tblCellMar>
            <w:top w:w="0" w:type="dxa"/>
            <w:left w:w="108" w:type="dxa"/>
            <w:bottom w:w="0" w:type="dxa"/>
            <w:right w:w="108" w:type="dxa"/>
          </w:tblCellMar>
        </w:tblPrEx>
        <w:trPr>
          <w:trHeight w:val="451" w:hRule="atLeast"/>
        </w:trPr>
        <w:tc>
          <w:tcPr>
            <w:tcW w:w="9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5</w:t>
            </w:r>
          </w:p>
        </w:tc>
        <w:tc>
          <w:tcPr>
            <w:tcW w:w="272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隔音房外周边</w:t>
            </w:r>
          </w:p>
        </w:tc>
        <w:tc>
          <w:tcPr>
            <w:tcW w:w="3938"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噪声≤85dB</w:t>
            </w:r>
          </w:p>
        </w:tc>
        <w:tc>
          <w:tcPr>
            <w:tcW w:w="128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highlight w:val="none"/>
                <w:lang w:val="en-US" w:eastAsia="zh-CN" w:bidi="ar-SA"/>
              </w:rPr>
            </w:pPr>
          </w:p>
        </w:tc>
      </w:tr>
      <w:tr>
        <w:tblPrEx>
          <w:tblCellMar>
            <w:top w:w="0" w:type="dxa"/>
            <w:left w:w="108" w:type="dxa"/>
            <w:bottom w:w="0" w:type="dxa"/>
            <w:right w:w="108" w:type="dxa"/>
          </w:tblCellMar>
        </w:tblPrEx>
        <w:trPr>
          <w:trHeight w:val="270" w:hRule="atLeast"/>
        </w:trPr>
        <w:tc>
          <w:tcPr>
            <w:tcW w:w="9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6</w:t>
            </w:r>
          </w:p>
        </w:tc>
        <w:tc>
          <w:tcPr>
            <w:tcW w:w="27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安全出口、紧急照明等应急系统</w:t>
            </w:r>
          </w:p>
        </w:tc>
        <w:tc>
          <w:tcPr>
            <w:tcW w:w="393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符合国标</w:t>
            </w:r>
          </w:p>
        </w:tc>
        <w:tc>
          <w:tcPr>
            <w:tcW w:w="128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highlight w:val="none"/>
                <w:lang w:val="en-US" w:eastAsia="zh-CN" w:bidi="ar-SA"/>
              </w:rPr>
            </w:pPr>
          </w:p>
        </w:tc>
      </w:tr>
    </w:tbl>
    <w:p>
      <w:pPr>
        <w:spacing w:line="360" w:lineRule="auto"/>
        <w:ind w:firstLine="560" w:firstLineChars="200"/>
        <w:rPr>
          <w:rFonts w:hint="eastAsia" w:ascii="宋体" w:hAnsi="宋体" w:eastAsia="宋体" w:cs="宋体"/>
          <w:sz w:val="24"/>
          <w:szCs w:val="24"/>
          <w:highlight w:val="none"/>
          <w:lang w:val="en-US" w:eastAsia="zh-CN"/>
        </w:rPr>
      </w:pPr>
      <w:r>
        <w:rPr>
          <w:rFonts w:hint="eastAsia" w:ascii="宋体" w:hAnsi="宋体" w:eastAsia="宋体" w:cs="宋体"/>
          <w:sz w:val="28"/>
          <w:szCs w:val="28"/>
          <w:highlight w:val="none"/>
        </w:rPr>
        <w:drawing>
          <wp:inline distT="0" distB="0" distL="114300" distR="114300">
            <wp:extent cx="5570220" cy="2708275"/>
            <wp:effectExtent l="0" t="0" r="11430" b="1587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3"/>
                    <a:stretch>
                      <a:fillRect/>
                    </a:stretch>
                  </pic:blipFill>
                  <pic:spPr>
                    <a:xfrm>
                      <a:off x="0" y="0"/>
                      <a:ext cx="5570220" cy="2708275"/>
                    </a:xfrm>
                    <a:prstGeom prst="rect">
                      <a:avLst/>
                    </a:prstGeom>
                    <a:noFill/>
                    <a:ln>
                      <a:noFill/>
                    </a:ln>
                  </pic:spPr>
                </pic:pic>
              </a:graphicData>
            </a:graphic>
          </wp:inline>
        </w:drawing>
      </w:r>
    </w:p>
    <w:p>
      <w:pPr>
        <w:pStyle w:val="117"/>
        <w:spacing w:line="360" w:lineRule="auto"/>
        <w:rPr>
          <w:rFonts w:ascii="宋体" w:hAnsi="宋体" w:cs="宋体"/>
          <w:color w:val="auto"/>
          <w:highlight w:val="none"/>
        </w:rPr>
      </w:pPr>
      <w:r>
        <w:rPr>
          <w:rFonts w:hint="eastAsia" w:ascii="宋体" w:hAnsi="宋体" w:cs="宋体"/>
          <w:color w:val="auto"/>
          <w:highlight w:val="none"/>
        </w:rPr>
        <w:t>四、执行标准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5.采购货物如果采用国际标准，其执行标准由投标人提供、招标人确认。</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6.采购货物所涉及的标准不统一时，原则上按照最严格标准执行。</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7.涉及的主要标准表</w:t>
      </w:r>
    </w:p>
    <w:p>
      <w:pPr>
        <w:pStyle w:val="17"/>
        <w:rPr>
          <w:rFonts w:hAnsi="宋体" w:eastAsia="宋体" w:cs="宋体"/>
          <w:sz w:val="24"/>
          <w:szCs w:val="24"/>
          <w:highlight w:val="none"/>
        </w:rPr>
      </w:pPr>
    </w:p>
    <w:tbl>
      <w:tblPr>
        <w:tblStyle w:val="35"/>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4352"/>
        <w:gridCol w:w="2318"/>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8" w:type="dxa"/>
            <w:vAlign w:val="center"/>
          </w:tcPr>
          <w:p>
            <w:pPr>
              <w:jc w:val="center"/>
              <w:rPr>
                <w:rFonts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4352" w:type="dxa"/>
            <w:vAlign w:val="center"/>
          </w:tcPr>
          <w:p>
            <w:pPr>
              <w:jc w:val="center"/>
              <w:rPr>
                <w:rFonts w:ascii="宋体" w:hAnsi="宋体" w:eastAsia="宋体" w:cs="宋体"/>
                <w:b/>
                <w:sz w:val="24"/>
                <w:szCs w:val="24"/>
                <w:highlight w:val="none"/>
              </w:rPr>
            </w:pPr>
            <w:r>
              <w:rPr>
                <w:rFonts w:hint="eastAsia" w:ascii="宋体" w:hAnsi="宋体" w:eastAsia="宋体" w:cs="宋体"/>
                <w:b/>
                <w:sz w:val="24"/>
                <w:szCs w:val="24"/>
                <w:highlight w:val="none"/>
              </w:rPr>
              <w:t>标准名称</w:t>
            </w:r>
          </w:p>
        </w:tc>
        <w:tc>
          <w:tcPr>
            <w:tcW w:w="2318" w:type="dxa"/>
            <w:vAlign w:val="center"/>
          </w:tcPr>
          <w:p>
            <w:pPr>
              <w:jc w:val="center"/>
              <w:rPr>
                <w:rFonts w:ascii="宋体" w:hAnsi="宋体" w:eastAsia="宋体" w:cs="宋体"/>
                <w:b/>
                <w:sz w:val="24"/>
                <w:szCs w:val="24"/>
                <w:highlight w:val="none"/>
              </w:rPr>
            </w:pPr>
            <w:r>
              <w:rPr>
                <w:rFonts w:hint="eastAsia" w:ascii="宋体" w:hAnsi="宋体" w:eastAsia="宋体" w:cs="宋体"/>
                <w:b/>
                <w:sz w:val="24"/>
                <w:szCs w:val="24"/>
                <w:highlight w:val="none"/>
              </w:rPr>
              <w:t>标准编号</w:t>
            </w:r>
          </w:p>
        </w:tc>
        <w:tc>
          <w:tcPr>
            <w:tcW w:w="1665" w:type="dxa"/>
            <w:vAlign w:val="center"/>
          </w:tcPr>
          <w:p>
            <w:pPr>
              <w:jc w:val="center"/>
              <w:rPr>
                <w:rFonts w:ascii="宋体" w:hAnsi="宋体" w:eastAsia="宋体" w:cs="宋体"/>
                <w:b/>
                <w:sz w:val="24"/>
                <w:szCs w:val="24"/>
                <w:highlight w:val="none"/>
              </w:rPr>
            </w:pPr>
            <w:r>
              <w:rPr>
                <w:rFonts w:hint="eastAsia" w:ascii="宋体" w:hAnsi="宋体" w:eastAsia="宋体" w:cs="宋体"/>
                <w:b/>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pPr>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w:t>
            </w:r>
          </w:p>
        </w:tc>
        <w:tc>
          <w:tcPr>
            <w:tcW w:w="4352" w:type="dxa"/>
            <w:shd w:val="clear" w:color="auto" w:fill="auto"/>
            <w:vAlign w:val="center"/>
          </w:tcPr>
          <w:p>
            <w:pPr>
              <w:spacing w:line="36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《工业企业厂界噪声标准》</w:t>
            </w:r>
          </w:p>
        </w:tc>
        <w:tc>
          <w:tcPr>
            <w:tcW w:w="2318" w:type="dxa"/>
            <w:shd w:val="clear" w:color="auto" w:fill="auto"/>
            <w:vAlign w:val="center"/>
          </w:tcPr>
          <w:p>
            <w:pPr>
              <w:spacing w:line="36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GB12348-2008</w:t>
            </w:r>
          </w:p>
        </w:tc>
        <w:tc>
          <w:tcPr>
            <w:tcW w:w="1665" w:type="dxa"/>
            <w:vAlign w:val="center"/>
          </w:tcPr>
          <w:p>
            <w:pPr>
              <w:spacing w:line="360" w:lineRule="auto"/>
              <w:jc w:val="center"/>
              <w:rPr>
                <w:rFonts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pPr>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w:t>
            </w:r>
          </w:p>
        </w:tc>
        <w:tc>
          <w:tcPr>
            <w:tcW w:w="4352" w:type="dxa"/>
            <w:shd w:val="clear" w:color="auto" w:fill="auto"/>
            <w:vAlign w:val="center"/>
          </w:tcPr>
          <w:p>
            <w:pPr>
              <w:spacing w:line="36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《工业企业噪声控制设计规范》</w:t>
            </w:r>
          </w:p>
        </w:tc>
        <w:tc>
          <w:tcPr>
            <w:tcW w:w="2318" w:type="dxa"/>
            <w:shd w:val="clear" w:color="auto" w:fill="auto"/>
            <w:vAlign w:val="center"/>
          </w:tcPr>
          <w:p>
            <w:pPr>
              <w:pStyle w:val="30"/>
              <w:widowControl/>
              <w:shd w:val="clear" w:color="auto" w:fill="FFFFFF"/>
              <w:spacing w:before="0" w:beforeAutospacing="0" w:after="0" w:afterAutospacing="0"/>
              <w:ind w:left="0" w:leftChars="0" w:right="0" w:righ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GB／T50087-2013</w:t>
            </w:r>
          </w:p>
        </w:tc>
        <w:tc>
          <w:tcPr>
            <w:tcW w:w="1665" w:type="dxa"/>
            <w:vAlign w:val="center"/>
          </w:tcPr>
          <w:p>
            <w:pPr>
              <w:spacing w:line="360" w:lineRule="auto"/>
              <w:jc w:val="center"/>
              <w:rPr>
                <w:rFonts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pPr>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w:t>
            </w:r>
          </w:p>
        </w:tc>
        <w:tc>
          <w:tcPr>
            <w:tcW w:w="4352" w:type="dxa"/>
            <w:shd w:val="clear" w:color="auto" w:fill="auto"/>
            <w:vAlign w:val="center"/>
          </w:tcPr>
          <w:p>
            <w:pPr>
              <w:spacing w:line="36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《钢结构工程施工及验收规范》</w:t>
            </w:r>
          </w:p>
        </w:tc>
        <w:tc>
          <w:tcPr>
            <w:tcW w:w="2318" w:type="dxa"/>
            <w:shd w:val="clear" w:color="auto" w:fill="auto"/>
            <w:vAlign w:val="center"/>
          </w:tcPr>
          <w:p>
            <w:pPr>
              <w:pStyle w:val="13"/>
              <w:tabs>
                <w:tab w:val="left" w:pos="105"/>
                <w:tab w:val="left" w:pos="315"/>
              </w:tabs>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GB50205-2001</w:t>
            </w:r>
          </w:p>
        </w:tc>
        <w:tc>
          <w:tcPr>
            <w:tcW w:w="1665" w:type="dxa"/>
            <w:vAlign w:val="center"/>
          </w:tcPr>
          <w:p>
            <w:pPr>
              <w:spacing w:line="360" w:lineRule="auto"/>
              <w:jc w:val="center"/>
              <w:rPr>
                <w:rFonts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pPr>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w:t>
            </w:r>
          </w:p>
        </w:tc>
        <w:tc>
          <w:tcPr>
            <w:tcW w:w="4352" w:type="dxa"/>
            <w:shd w:val="clear" w:color="auto" w:fill="auto"/>
            <w:vAlign w:val="center"/>
          </w:tcPr>
          <w:p>
            <w:pPr>
              <w:spacing w:line="36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《工业场所有害因素职业接触限制》</w:t>
            </w:r>
          </w:p>
        </w:tc>
        <w:tc>
          <w:tcPr>
            <w:tcW w:w="2318" w:type="dxa"/>
            <w:shd w:val="clear" w:color="auto" w:fill="auto"/>
            <w:vAlign w:val="center"/>
          </w:tcPr>
          <w:p>
            <w:pPr>
              <w:pStyle w:val="13"/>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GBZ 2.1—2007</w:t>
            </w:r>
          </w:p>
        </w:tc>
        <w:tc>
          <w:tcPr>
            <w:tcW w:w="1665" w:type="dxa"/>
            <w:vAlign w:val="center"/>
          </w:tcPr>
          <w:p>
            <w:pPr>
              <w:spacing w:line="360" w:lineRule="auto"/>
              <w:jc w:val="center"/>
              <w:rPr>
                <w:rFonts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pPr>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5</w:t>
            </w:r>
          </w:p>
        </w:tc>
        <w:tc>
          <w:tcPr>
            <w:tcW w:w="4352" w:type="dxa"/>
            <w:shd w:val="clear" w:color="auto" w:fill="auto"/>
            <w:vAlign w:val="center"/>
          </w:tcPr>
          <w:p>
            <w:pPr>
              <w:spacing w:line="36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《采暖通风与空气调节设计规范》</w:t>
            </w:r>
          </w:p>
        </w:tc>
        <w:tc>
          <w:tcPr>
            <w:tcW w:w="2318" w:type="dxa"/>
            <w:shd w:val="clear" w:color="auto" w:fill="auto"/>
            <w:vAlign w:val="center"/>
          </w:tcPr>
          <w:p>
            <w:pPr>
              <w:pStyle w:val="13"/>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GB50019-2003</w:t>
            </w:r>
          </w:p>
        </w:tc>
        <w:tc>
          <w:tcPr>
            <w:tcW w:w="1665" w:type="dxa"/>
            <w:vAlign w:val="center"/>
          </w:tcPr>
          <w:p>
            <w:pPr>
              <w:spacing w:line="360" w:lineRule="auto"/>
              <w:jc w:val="center"/>
              <w:rPr>
                <w:rFonts w:ascii="宋体" w:hAnsi="宋体" w:eastAsia="宋体" w:cs="宋体"/>
                <w:bCs/>
                <w:sz w:val="24"/>
                <w:szCs w:val="24"/>
                <w:highlight w:val="none"/>
              </w:rPr>
            </w:pPr>
          </w:p>
        </w:tc>
      </w:tr>
    </w:tbl>
    <w:p>
      <w:pPr>
        <w:spacing w:line="360" w:lineRule="auto"/>
        <w:ind w:firstLine="480" w:firstLineChars="200"/>
        <w:rPr>
          <w:rFonts w:ascii="Calibri" w:hAnsi="Calibri" w:eastAsia="宋体" w:cs="Times New Roman"/>
          <w:b/>
          <w:bCs/>
          <w:kern w:val="44"/>
          <w:sz w:val="28"/>
          <w:szCs w:val="28"/>
          <w:highlight w:val="none"/>
        </w:rPr>
      </w:pPr>
      <w:r>
        <w:rPr>
          <w:rFonts w:hint="eastAsia" w:ascii="宋体" w:hAnsi="宋体" w:eastAsia="宋体" w:cs="宋体"/>
          <w:sz w:val="24"/>
          <w:szCs w:val="24"/>
          <w:highlight w:val="none"/>
        </w:rPr>
        <w:t xml:space="preserve">  </w:t>
      </w:r>
      <w:r>
        <w:rPr>
          <w:rFonts w:hint="eastAsia" w:ascii="Calibri" w:hAnsi="Calibri" w:eastAsia="宋体" w:cs="Times New Roman"/>
          <w:b/>
          <w:bCs/>
          <w:kern w:val="44"/>
          <w:sz w:val="28"/>
          <w:szCs w:val="28"/>
          <w:highlight w:val="none"/>
        </w:rPr>
        <w:br w:type="page"/>
      </w:r>
    </w:p>
    <w:p>
      <w:pPr>
        <w:keepNext/>
        <w:keepLines/>
        <w:jc w:val="center"/>
        <w:outlineLvl w:val="1"/>
        <w:rPr>
          <w:rFonts w:ascii="Calibri" w:hAnsi="Calibri" w:eastAsia="宋体" w:cs="Times New Roman"/>
          <w:b/>
          <w:bCs/>
          <w:kern w:val="44"/>
          <w:sz w:val="28"/>
          <w:szCs w:val="28"/>
          <w:highlight w:val="none"/>
        </w:rPr>
      </w:pPr>
    </w:p>
    <w:p>
      <w:pPr>
        <w:keepNext/>
        <w:keepLines/>
        <w:jc w:val="center"/>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供货范围及供货方式</w:t>
      </w:r>
      <w:bookmarkEnd w:id="36"/>
    </w:p>
    <w:p>
      <w:pPr>
        <w:rPr>
          <w:highlight w:val="none"/>
        </w:rPr>
      </w:pPr>
    </w:p>
    <w:p>
      <w:pPr>
        <w:keepNext/>
        <w:keepLines/>
        <w:spacing w:line="360" w:lineRule="auto"/>
        <w:jc w:val="center"/>
        <w:outlineLvl w:val="2"/>
        <w:rPr>
          <w:rFonts w:ascii="宋体" w:hAnsi="宋体" w:eastAsia="宋体" w:cs="宋体"/>
          <w:b/>
          <w:bCs/>
          <w:sz w:val="24"/>
          <w:szCs w:val="32"/>
          <w:highlight w:val="none"/>
        </w:rPr>
      </w:pPr>
      <w:bookmarkStart w:id="37" w:name="_Toc169605882"/>
      <w:r>
        <w:rPr>
          <w:rFonts w:hint="eastAsia" w:ascii="宋体" w:hAnsi="宋体" w:eastAsia="宋体" w:cs="宋体"/>
          <w:b/>
          <w:bCs/>
          <w:sz w:val="24"/>
          <w:szCs w:val="32"/>
          <w:highlight w:val="none"/>
        </w:rPr>
        <w:t>第一节  供货范围</w:t>
      </w:r>
      <w:bookmarkEnd w:id="37"/>
    </w:p>
    <w:p>
      <w:pPr>
        <w:spacing w:line="420" w:lineRule="exact"/>
        <w:ind w:firstLine="482" w:firstLineChars="200"/>
        <w:outlineLvl w:val="3"/>
        <w:rPr>
          <w:rFonts w:ascii="宋体" w:hAnsi="宋体" w:eastAsia="宋体" w:cs="宋体"/>
          <w:color w:val="auto"/>
          <w:sz w:val="24"/>
          <w:szCs w:val="24"/>
          <w:highlight w:val="none"/>
        </w:rPr>
      </w:pPr>
      <w:r>
        <w:rPr>
          <w:rFonts w:hint="eastAsia" w:ascii="宋体" w:hAnsi="宋体" w:eastAsia="宋体" w:cs="宋体"/>
          <w:b/>
          <w:bCs/>
          <w:sz w:val="24"/>
          <w:szCs w:val="24"/>
          <w:highlight w:val="none"/>
        </w:rPr>
        <w:t>一、</w:t>
      </w:r>
      <w:r>
        <w:rPr>
          <w:rFonts w:hint="eastAsia" w:ascii="宋体" w:hAnsi="宋体" w:eastAsia="宋体" w:cs="宋体"/>
          <w:b/>
          <w:bCs/>
          <w:color w:val="auto"/>
          <w:sz w:val="24"/>
          <w:szCs w:val="24"/>
          <w:highlight w:val="none"/>
        </w:rPr>
        <w:t>供货范围（按照组成项目主要构成一览表的所有最小单元逐一列示，要涵盖培训等内容）</w:t>
      </w:r>
    </w:p>
    <w:tbl>
      <w:tblPr>
        <w:tblStyle w:val="3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序号</w:t>
            </w:r>
          </w:p>
        </w:tc>
        <w:tc>
          <w:tcPr>
            <w:tcW w:w="2977" w:type="dxa"/>
            <w:vAlign w:val="center"/>
          </w:tcPr>
          <w:p>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名称</w:t>
            </w:r>
          </w:p>
        </w:tc>
        <w:tc>
          <w:tcPr>
            <w:tcW w:w="992" w:type="dxa"/>
            <w:vAlign w:val="center"/>
          </w:tcPr>
          <w:p>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单位</w:t>
            </w:r>
          </w:p>
        </w:tc>
        <w:tc>
          <w:tcPr>
            <w:tcW w:w="1134" w:type="dxa"/>
            <w:vAlign w:val="center"/>
          </w:tcPr>
          <w:p>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数量</w:t>
            </w:r>
          </w:p>
        </w:tc>
        <w:tc>
          <w:tcPr>
            <w:tcW w:w="2835" w:type="dxa"/>
            <w:vAlign w:val="center"/>
          </w:tcPr>
          <w:p>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2977" w:type="dxa"/>
            <w:vAlign w:val="center"/>
          </w:tcPr>
          <w:p>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振动输送隔音房</w:t>
            </w:r>
            <w:r>
              <w:rPr>
                <w:rFonts w:hint="eastAsia" w:ascii="宋体" w:hAnsi="宋体" w:eastAsia="宋体" w:cs="宋体"/>
                <w:color w:val="000000"/>
                <w:kern w:val="0"/>
                <w:sz w:val="24"/>
                <w:szCs w:val="24"/>
                <w:highlight w:val="none"/>
                <w:lang w:val="en-US" w:eastAsia="zh-CN" w:bidi="ar"/>
              </w:rPr>
              <w:t>更新（20m*10.6m*6.2m）</w:t>
            </w:r>
          </w:p>
        </w:tc>
        <w:tc>
          <w:tcPr>
            <w:tcW w:w="992"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1</w:t>
            </w:r>
          </w:p>
        </w:tc>
        <w:tc>
          <w:tcPr>
            <w:tcW w:w="2835" w:type="dxa"/>
            <w:shd w:val="clear" w:color="auto" w:fill="auto"/>
            <w:vAlign w:val="center"/>
          </w:tcPr>
          <w:p>
            <w:pPr>
              <w:spacing w:line="360" w:lineRule="exact"/>
              <w:jc w:val="center"/>
              <w:rPr>
                <w:rFonts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消音板</w:t>
            </w:r>
            <w:r>
              <w:rPr>
                <w:rFonts w:hint="eastAsia" w:ascii="宋体" w:hAnsi="宋体" w:eastAsia="宋体" w:cs="宋体"/>
                <w:sz w:val="24"/>
                <w:szCs w:val="24"/>
                <w:highlight w:val="none"/>
                <w:lang w:eastAsia="zh-CN"/>
              </w:rPr>
              <w:t>（厚度≥120mm，钢板厚度≥2mm）、</w:t>
            </w:r>
            <w:r>
              <w:rPr>
                <w:rFonts w:hint="eastAsia" w:ascii="宋体" w:hAnsi="宋体" w:eastAsia="宋体" w:cs="宋体"/>
                <w:sz w:val="24"/>
                <w:szCs w:val="24"/>
                <w:highlight w:val="none"/>
              </w:rPr>
              <w:t>立柱</w:t>
            </w:r>
            <w:r>
              <w:rPr>
                <w:rFonts w:hint="eastAsia" w:ascii="宋体" w:hAnsi="宋体" w:eastAsia="宋体" w:cs="宋体"/>
                <w:sz w:val="24"/>
                <w:szCs w:val="24"/>
                <w:highlight w:val="none"/>
                <w:lang w:val="en-US" w:eastAsia="zh-CN"/>
              </w:rPr>
              <w:t>及主</w:t>
            </w:r>
            <w:r>
              <w:rPr>
                <w:rFonts w:hint="eastAsia" w:ascii="宋体" w:hAnsi="宋体" w:eastAsia="宋体" w:cs="宋体"/>
                <w:sz w:val="24"/>
                <w:szCs w:val="24"/>
                <w:highlight w:val="none"/>
              </w:rPr>
              <w:t>框梁</w:t>
            </w:r>
            <w:r>
              <w:rPr>
                <w:rFonts w:hint="eastAsia" w:ascii="宋体" w:hAnsi="宋体" w:eastAsia="宋体" w:cs="宋体"/>
                <w:sz w:val="24"/>
                <w:szCs w:val="24"/>
                <w:highlight w:val="none"/>
                <w:lang w:eastAsia="zh-CN"/>
              </w:rPr>
              <w:t>（方管120*4，镀锌）、</w:t>
            </w:r>
            <w:r>
              <w:rPr>
                <w:rFonts w:hint="eastAsia" w:ascii="宋体" w:hAnsi="宋体" w:eastAsia="宋体" w:cs="宋体"/>
                <w:sz w:val="24"/>
                <w:szCs w:val="24"/>
                <w:highlight w:val="none"/>
              </w:rPr>
              <w:t>米字型梁</w:t>
            </w:r>
            <w:r>
              <w:rPr>
                <w:rFonts w:hint="eastAsia" w:ascii="宋体" w:hAnsi="宋体" w:eastAsia="宋体" w:cs="宋体"/>
                <w:sz w:val="24"/>
                <w:szCs w:val="24"/>
                <w:highlight w:val="none"/>
                <w:lang w:eastAsia="zh-CN"/>
              </w:rPr>
              <w:t>（矩形管40*60*3，镀锌）、D16</w:t>
            </w:r>
            <w:r>
              <w:rPr>
                <w:rFonts w:hint="eastAsia" w:ascii="宋体" w:hAnsi="宋体" w:eastAsia="宋体" w:cs="宋体"/>
                <w:sz w:val="24"/>
                <w:szCs w:val="24"/>
                <w:highlight w:val="none"/>
              </w:rPr>
              <w:t>镀锌穿线管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LED照明系统</w:t>
            </w:r>
            <w:r>
              <w:rPr>
                <w:rFonts w:hint="eastAsia" w:ascii="宋体" w:hAnsi="宋体" w:eastAsia="宋体" w:cs="宋体"/>
                <w:sz w:val="24"/>
                <w:szCs w:val="24"/>
                <w:highlight w:val="none"/>
                <w:lang w:eastAsia="zh-CN"/>
              </w:rPr>
              <w:t>（照明灯，报警指示灯，两个应急疏散指示牌及其控制开关、线路）、</w:t>
            </w:r>
            <w:r>
              <w:rPr>
                <w:rFonts w:hint="eastAsia" w:ascii="宋体" w:hAnsi="宋体" w:eastAsia="宋体" w:cs="宋体"/>
                <w:sz w:val="24"/>
                <w:szCs w:val="24"/>
                <w:highlight w:val="none"/>
              </w:rPr>
              <w:t>桥架</w:t>
            </w:r>
            <w:r>
              <w:rPr>
                <w:rFonts w:hint="eastAsia" w:ascii="宋体" w:hAnsi="宋体" w:eastAsia="宋体" w:cs="宋体"/>
                <w:sz w:val="24"/>
                <w:szCs w:val="24"/>
                <w:highlight w:val="none"/>
                <w:lang w:eastAsia="zh-CN"/>
              </w:rPr>
              <w:t>（100*100*1.5）、</w:t>
            </w:r>
            <w:r>
              <w:rPr>
                <w:rFonts w:hint="eastAsia" w:ascii="宋体" w:hAnsi="宋体" w:eastAsia="宋体" w:cs="宋体"/>
                <w:sz w:val="24"/>
                <w:szCs w:val="24"/>
                <w:highlight w:val="none"/>
              </w:rPr>
              <w:t>手动双开门</w:t>
            </w:r>
            <w:r>
              <w:rPr>
                <w:rFonts w:hint="eastAsia" w:ascii="宋体" w:hAnsi="宋体" w:eastAsia="宋体" w:cs="宋体"/>
                <w:sz w:val="24"/>
                <w:szCs w:val="24"/>
                <w:highlight w:val="none"/>
                <w:lang w:val="en-US" w:eastAsia="zh-CN"/>
              </w:rPr>
              <w:t>2个</w:t>
            </w:r>
            <w:r>
              <w:rPr>
                <w:rFonts w:hint="eastAsia" w:ascii="宋体" w:hAnsi="宋体" w:eastAsia="宋体" w:cs="宋体"/>
                <w:sz w:val="24"/>
                <w:szCs w:val="24"/>
                <w:highlight w:val="none"/>
                <w:lang w:eastAsia="zh-CN"/>
              </w:rPr>
              <w:t>（3m*3m，主材与消音房体一致）、</w:t>
            </w:r>
            <w:r>
              <w:rPr>
                <w:rFonts w:hint="eastAsia" w:ascii="宋体" w:hAnsi="宋体" w:eastAsia="宋体" w:cs="宋体"/>
                <w:sz w:val="24"/>
                <w:szCs w:val="24"/>
                <w:highlight w:val="none"/>
              </w:rPr>
              <w:t>其他辅材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2977" w:type="dxa"/>
            <w:vAlign w:val="center"/>
          </w:tcPr>
          <w:p>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取铁工位隔音房新制（4.5m*8.6m*4.3m）</w:t>
            </w:r>
          </w:p>
        </w:tc>
        <w:tc>
          <w:tcPr>
            <w:tcW w:w="992"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1</w:t>
            </w:r>
          </w:p>
        </w:tc>
        <w:tc>
          <w:tcPr>
            <w:tcW w:w="2835" w:type="dxa"/>
            <w:shd w:val="clear" w:color="auto" w:fill="auto"/>
            <w:vAlign w:val="center"/>
          </w:tcPr>
          <w:p>
            <w:pPr>
              <w:widowControl/>
              <w:jc w:val="center"/>
              <w:textAlignment w:val="center"/>
              <w:rPr>
                <w:rFonts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消音板</w:t>
            </w:r>
            <w:r>
              <w:rPr>
                <w:rFonts w:hint="eastAsia" w:ascii="宋体" w:hAnsi="宋体" w:eastAsia="宋体" w:cs="宋体"/>
                <w:sz w:val="24"/>
                <w:szCs w:val="24"/>
                <w:highlight w:val="none"/>
                <w:lang w:eastAsia="zh-CN"/>
              </w:rPr>
              <w:t>（厚度≥120mm，钢板厚度≥2mm）、</w:t>
            </w:r>
            <w:r>
              <w:rPr>
                <w:rFonts w:hint="eastAsia" w:ascii="宋体" w:hAnsi="宋体" w:eastAsia="宋体" w:cs="宋体"/>
                <w:sz w:val="24"/>
                <w:szCs w:val="24"/>
                <w:highlight w:val="none"/>
              </w:rPr>
              <w:t>立柱</w:t>
            </w:r>
            <w:r>
              <w:rPr>
                <w:rFonts w:hint="eastAsia" w:ascii="宋体" w:hAnsi="宋体" w:eastAsia="宋体" w:cs="宋体"/>
                <w:sz w:val="24"/>
                <w:szCs w:val="24"/>
                <w:highlight w:val="none"/>
                <w:lang w:val="en-US" w:eastAsia="zh-CN"/>
              </w:rPr>
              <w:t>及主</w:t>
            </w:r>
            <w:r>
              <w:rPr>
                <w:rFonts w:hint="eastAsia" w:ascii="宋体" w:hAnsi="宋体" w:eastAsia="宋体" w:cs="宋体"/>
                <w:sz w:val="24"/>
                <w:szCs w:val="24"/>
                <w:highlight w:val="none"/>
              </w:rPr>
              <w:t>框梁</w:t>
            </w:r>
            <w:r>
              <w:rPr>
                <w:rFonts w:hint="eastAsia" w:ascii="宋体" w:hAnsi="宋体" w:eastAsia="宋体" w:cs="宋体"/>
                <w:sz w:val="24"/>
                <w:szCs w:val="24"/>
                <w:highlight w:val="none"/>
                <w:lang w:eastAsia="zh-CN"/>
              </w:rPr>
              <w:t>（方管120*4，镀锌）、</w:t>
            </w:r>
            <w:r>
              <w:rPr>
                <w:rFonts w:hint="eastAsia" w:ascii="宋体" w:hAnsi="宋体" w:eastAsia="宋体" w:cs="宋体"/>
                <w:sz w:val="24"/>
                <w:szCs w:val="24"/>
                <w:highlight w:val="none"/>
              </w:rPr>
              <w:t>米字型梁</w:t>
            </w:r>
            <w:r>
              <w:rPr>
                <w:rFonts w:hint="eastAsia" w:ascii="宋体" w:hAnsi="宋体" w:eastAsia="宋体" w:cs="宋体"/>
                <w:sz w:val="24"/>
                <w:szCs w:val="24"/>
                <w:highlight w:val="none"/>
                <w:lang w:eastAsia="zh-CN"/>
              </w:rPr>
              <w:t>（矩形管40*60*3，镀锌）、D16</w:t>
            </w:r>
            <w:r>
              <w:rPr>
                <w:rFonts w:hint="eastAsia" w:ascii="宋体" w:hAnsi="宋体" w:eastAsia="宋体" w:cs="宋体"/>
                <w:sz w:val="24"/>
                <w:szCs w:val="24"/>
                <w:highlight w:val="none"/>
              </w:rPr>
              <w:t>镀锌穿线管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LED照明系统</w:t>
            </w:r>
            <w:r>
              <w:rPr>
                <w:rFonts w:hint="eastAsia" w:ascii="宋体" w:hAnsi="宋体" w:eastAsia="宋体" w:cs="宋体"/>
                <w:sz w:val="24"/>
                <w:szCs w:val="24"/>
                <w:highlight w:val="none"/>
                <w:lang w:eastAsia="zh-CN"/>
              </w:rPr>
              <w:t>（照明灯，报警指示灯，两个应急疏散指示牌及其控制开关、线路）、</w:t>
            </w:r>
            <w:r>
              <w:rPr>
                <w:rFonts w:hint="eastAsia" w:ascii="宋体" w:hAnsi="宋体" w:eastAsia="宋体" w:cs="宋体"/>
                <w:sz w:val="24"/>
                <w:szCs w:val="24"/>
                <w:highlight w:val="none"/>
              </w:rPr>
              <w:t>桥架</w:t>
            </w:r>
            <w:r>
              <w:rPr>
                <w:rFonts w:hint="eastAsia" w:ascii="宋体" w:hAnsi="宋体" w:eastAsia="宋体" w:cs="宋体"/>
                <w:sz w:val="24"/>
                <w:szCs w:val="24"/>
                <w:highlight w:val="none"/>
                <w:lang w:eastAsia="zh-CN"/>
              </w:rPr>
              <w:t>（100*100*1.5）、</w:t>
            </w:r>
            <w:r>
              <w:rPr>
                <w:rFonts w:hint="eastAsia" w:ascii="宋体" w:hAnsi="宋体" w:eastAsia="宋体" w:cs="宋体"/>
                <w:sz w:val="24"/>
                <w:szCs w:val="24"/>
                <w:highlight w:val="none"/>
              </w:rPr>
              <w:t>手动双开门</w:t>
            </w:r>
            <w:r>
              <w:rPr>
                <w:rFonts w:hint="eastAsia" w:ascii="宋体" w:hAnsi="宋体" w:eastAsia="宋体" w:cs="宋体"/>
                <w:sz w:val="24"/>
                <w:szCs w:val="24"/>
                <w:highlight w:val="none"/>
                <w:lang w:val="en-US" w:eastAsia="zh-CN"/>
              </w:rPr>
              <w:t>1个</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m*</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m，主材与消音房体一致）、</w:t>
            </w:r>
            <w:r>
              <w:rPr>
                <w:rFonts w:hint="eastAsia" w:ascii="宋体" w:hAnsi="宋体" w:eastAsia="宋体" w:cs="宋体"/>
                <w:sz w:val="24"/>
                <w:szCs w:val="24"/>
                <w:highlight w:val="none"/>
              </w:rPr>
              <w:t>其他辅材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3</w:t>
            </w:r>
          </w:p>
        </w:tc>
        <w:tc>
          <w:tcPr>
            <w:tcW w:w="2977" w:type="dxa"/>
            <w:vAlign w:val="center"/>
          </w:tcPr>
          <w:p>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抓取机械手远程控制室隔音房新制</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val="en-US" w:eastAsia="zh-CN" w:bidi="ar"/>
              </w:rPr>
              <w:t>6m*3m*3m</w:t>
            </w:r>
            <w:r>
              <w:rPr>
                <w:rFonts w:hint="eastAsia" w:ascii="宋体" w:hAnsi="宋体" w:eastAsia="宋体" w:cs="宋体"/>
                <w:color w:val="000000"/>
                <w:kern w:val="0"/>
                <w:sz w:val="24"/>
                <w:szCs w:val="24"/>
                <w:highlight w:val="none"/>
                <w:lang w:eastAsia="zh-CN" w:bidi="ar"/>
              </w:rPr>
              <w:t>）</w:t>
            </w:r>
          </w:p>
        </w:tc>
        <w:tc>
          <w:tcPr>
            <w:tcW w:w="992"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1</w:t>
            </w:r>
          </w:p>
        </w:tc>
        <w:tc>
          <w:tcPr>
            <w:tcW w:w="2835" w:type="dxa"/>
            <w:shd w:val="clear" w:color="auto" w:fill="auto"/>
            <w:vAlign w:val="center"/>
          </w:tcPr>
          <w:p>
            <w:pPr>
              <w:spacing w:line="360" w:lineRule="exac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消音板</w:t>
            </w:r>
            <w:r>
              <w:rPr>
                <w:rFonts w:hint="eastAsia" w:ascii="宋体" w:hAnsi="宋体" w:eastAsia="宋体" w:cs="宋体"/>
                <w:sz w:val="24"/>
                <w:szCs w:val="24"/>
                <w:highlight w:val="none"/>
                <w:lang w:eastAsia="zh-CN"/>
              </w:rPr>
              <w:t>（厚度≥</w:t>
            </w:r>
            <w:r>
              <w:rPr>
                <w:rFonts w:hint="eastAsia" w:ascii="宋体" w:hAnsi="宋体" w:eastAsia="宋体" w:cs="宋体"/>
                <w:sz w:val="24"/>
                <w:szCs w:val="24"/>
                <w:highlight w:val="none"/>
                <w:lang w:val="en-US" w:eastAsia="zh-CN"/>
              </w:rPr>
              <w:t>80</w:t>
            </w:r>
            <w:r>
              <w:rPr>
                <w:rFonts w:hint="eastAsia" w:ascii="宋体" w:hAnsi="宋体" w:eastAsia="宋体" w:cs="宋体"/>
                <w:sz w:val="24"/>
                <w:szCs w:val="24"/>
                <w:highlight w:val="none"/>
                <w:lang w:eastAsia="zh-CN"/>
              </w:rPr>
              <w:t>mm，钢板厚度≥</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lang w:eastAsia="zh-CN"/>
              </w:rPr>
              <w:t>mm）、</w:t>
            </w:r>
            <w:r>
              <w:rPr>
                <w:rFonts w:hint="eastAsia" w:ascii="宋体" w:hAnsi="宋体" w:eastAsia="宋体" w:cs="宋体"/>
                <w:sz w:val="24"/>
                <w:szCs w:val="24"/>
                <w:highlight w:val="none"/>
              </w:rPr>
              <w:t>立柱</w:t>
            </w:r>
            <w:r>
              <w:rPr>
                <w:rFonts w:hint="eastAsia" w:ascii="宋体" w:hAnsi="宋体" w:eastAsia="宋体" w:cs="宋体"/>
                <w:sz w:val="24"/>
                <w:szCs w:val="24"/>
                <w:highlight w:val="none"/>
                <w:lang w:val="en-US" w:eastAsia="zh-CN"/>
              </w:rPr>
              <w:t>及主</w:t>
            </w:r>
            <w:r>
              <w:rPr>
                <w:rFonts w:hint="eastAsia" w:ascii="宋体" w:hAnsi="宋体" w:eastAsia="宋体" w:cs="宋体"/>
                <w:sz w:val="24"/>
                <w:szCs w:val="24"/>
                <w:highlight w:val="none"/>
              </w:rPr>
              <w:t>框梁</w:t>
            </w:r>
            <w:r>
              <w:rPr>
                <w:rFonts w:hint="eastAsia" w:ascii="宋体" w:hAnsi="宋体" w:eastAsia="宋体" w:cs="宋体"/>
                <w:sz w:val="24"/>
                <w:szCs w:val="24"/>
                <w:highlight w:val="none"/>
                <w:lang w:eastAsia="zh-CN"/>
              </w:rPr>
              <w:t>（方管1</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0*4，镀锌）、</w:t>
            </w:r>
            <w:r>
              <w:rPr>
                <w:rFonts w:hint="eastAsia" w:ascii="宋体" w:hAnsi="宋体" w:eastAsia="宋体" w:cs="宋体"/>
                <w:sz w:val="24"/>
                <w:szCs w:val="24"/>
                <w:highlight w:val="none"/>
              </w:rPr>
              <w:t>米字型梁</w:t>
            </w:r>
            <w:r>
              <w:rPr>
                <w:rFonts w:hint="eastAsia" w:ascii="宋体" w:hAnsi="宋体" w:eastAsia="宋体" w:cs="宋体"/>
                <w:sz w:val="24"/>
                <w:szCs w:val="24"/>
                <w:highlight w:val="none"/>
                <w:lang w:eastAsia="zh-CN"/>
              </w:rPr>
              <w:t>（矩形管40*60*3，镀锌）、D16</w:t>
            </w:r>
            <w:r>
              <w:rPr>
                <w:rFonts w:hint="eastAsia" w:ascii="宋体" w:hAnsi="宋体" w:eastAsia="宋体" w:cs="宋体"/>
                <w:sz w:val="24"/>
                <w:szCs w:val="24"/>
                <w:highlight w:val="none"/>
              </w:rPr>
              <w:t>镀锌穿线管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LED照明系统</w:t>
            </w:r>
            <w:r>
              <w:rPr>
                <w:rFonts w:hint="eastAsia" w:ascii="宋体" w:hAnsi="宋体" w:eastAsia="宋体" w:cs="宋体"/>
                <w:sz w:val="24"/>
                <w:szCs w:val="24"/>
                <w:highlight w:val="none"/>
                <w:lang w:eastAsia="zh-CN"/>
              </w:rPr>
              <w:t>（照明灯，报警指示灯，两个应急疏散指示牌及其控制开关、线路）、</w:t>
            </w:r>
            <w:r>
              <w:rPr>
                <w:rFonts w:hint="eastAsia" w:ascii="宋体" w:hAnsi="宋体" w:eastAsia="宋体" w:cs="宋体"/>
                <w:sz w:val="24"/>
                <w:szCs w:val="24"/>
                <w:highlight w:val="none"/>
              </w:rPr>
              <w:t>桥架</w:t>
            </w:r>
            <w:r>
              <w:rPr>
                <w:rFonts w:hint="eastAsia" w:ascii="宋体" w:hAnsi="宋体" w:eastAsia="宋体" w:cs="宋体"/>
                <w:sz w:val="24"/>
                <w:szCs w:val="24"/>
                <w:highlight w:val="none"/>
                <w:lang w:eastAsia="zh-CN"/>
              </w:rPr>
              <w:t>（100*100*1.5）、</w:t>
            </w:r>
            <w:r>
              <w:rPr>
                <w:rFonts w:hint="eastAsia" w:ascii="宋体" w:hAnsi="宋体" w:eastAsia="宋体" w:cs="宋体"/>
                <w:sz w:val="24"/>
                <w:szCs w:val="24"/>
                <w:highlight w:val="none"/>
              </w:rPr>
              <w:t>手动双开门</w:t>
            </w:r>
            <w:r>
              <w:rPr>
                <w:rFonts w:hint="eastAsia" w:ascii="宋体" w:hAnsi="宋体" w:eastAsia="宋体" w:cs="宋体"/>
                <w:sz w:val="24"/>
                <w:szCs w:val="24"/>
                <w:highlight w:val="none"/>
                <w:lang w:val="en-US" w:eastAsia="zh-CN"/>
              </w:rPr>
              <w:t>1个</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1.6</w:t>
            </w:r>
            <w:r>
              <w:rPr>
                <w:rFonts w:hint="eastAsia" w:ascii="宋体" w:hAnsi="宋体" w:eastAsia="宋体" w:cs="宋体"/>
                <w:sz w:val="24"/>
                <w:szCs w:val="24"/>
                <w:highlight w:val="none"/>
                <w:lang w:eastAsia="zh-CN"/>
              </w:rPr>
              <w:t>m*</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m，主材与消音房体一致）、</w:t>
            </w:r>
            <w:r>
              <w:rPr>
                <w:rFonts w:hint="eastAsia" w:ascii="宋体" w:hAnsi="宋体" w:eastAsia="宋体" w:cs="宋体"/>
                <w:sz w:val="24"/>
                <w:szCs w:val="24"/>
                <w:highlight w:val="none"/>
              </w:rPr>
              <w:t>玻璃窗</w:t>
            </w:r>
            <w:r>
              <w:rPr>
                <w:rFonts w:hint="eastAsia" w:ascii="宋体" w:hAnsi="宋体" w:eastAsia="宋体" w:cs="宋体"/>
                <w:sz w:val="24"/>
                <w:szCs w:val="24"/>
                <w:highlight w:val="none"/>
                <w:lang w:val="en-US" w:eastAsia="zh-CN"/>
              </w:rPr>
              <w:t>2个</w:t>
            </w:r>
            <w:r>
              <w:rPr>
                <w:rFonts w:hint="eastAsia" w:ascii="宋体" w:hAnsi="宋体" w:eastAsia="宋体" w:cs="宋体"/>
                <w:sz w:val="24"/>
                <w:szCs w:val="24"/>
                <w:highlight w:val="none"/>
                <w:lang w:eastAsia="zh-CN"/>
              </w:rPr>
              <w:t>（1.8*1.6）、空调新风系统</w:t>
            </w:r>
            <w:r>
              <w:rPr>
                <w:rFonts w:hint="eastAsia" w:ascii="宋体" w:hAnsi="宋体" w:eastAsia="宋体" w:cs="宋体"/>
                <w:sz w:val="24"/>
                <w:szCs w:val="24"/>
                <w:highlight w:val="none"/>
                <w:lang w:val="en-US" w:eastAsia="zh-CN"/>
              </w:rPr>
              <w:t>一套</w:t>
            </w:r>
            <w:r>
              <w:rPr>
                <w:rFonts w:hint="eastAsia" w:ascii="宋体" w:hAnsi="宋体" w:eastAsia="宋体" w:cs="宋体"/>
                <w:sz w:val="24"/>
                <w:szCs w:val="24"/>
                <w:highlight w:val="none"/>
                <w:lang w:eastAsia="zh-CN"/>
              </w:rPr>
              <w:t>（3P）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60" w:after="6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4</w:t>
            </w:r>
          </w:p>
        </w:tc>
        <w:tc>
          <w:tcPr>
            <w:tcW w:w="2977" w:type="dxa"/>
            <w:vAlign w:val="center"/>
          </w:tcPr>
          <w:p>
            <w:pPr>
              <w:widowControl/>
              <w:spacing w:line="0" w:lineRule="atLeast"/>
              <w:jc w:val="center"/>
              <w:textAlignment w:val="center"/>
              <w:rPr>
                <w:rFonts w:ascii="宋体" w:hAnsi="宋体" w:eastAsia="宋体" w:cs="宋体"/>
                <w:szCs w:val="21"/>
                <w:highlight w:val="none"/>
              </w:rPr>
            </w:pPr>
            <w:r>
              <w:rPr>
                <w:rFonts w:hint="eastAsia" w:ascii="宋体" w:hAnsi="宋体" w:eastAsia="宋体" w:cs="宋体"/>
                <w:color w:val="000000"/>
                <w:kern w:val="0"/>
                <w:sz w:val="24"/>
                <w:szCs w:val="24"/>
                <w:highlight w:val="none"/>
                <w:lang w:bidi="ar"/>
              </w:rPr>
              <w:t>安全防护</w:t>
            </w:r>
          </w:p>
        </w:tc>
        <w:tc>
          <w:tcPr>
            <w:tcW w:w="992" w:type="dxa"/>
            <w:vAlign w:val="center"/>
          </w:tcPr>
          <w:p>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pPr>
              <w:spacing w:line="0" w:lineRule="atLeast"/>
              <w:jc w:val="center"/>
              <w:rPr>
                <w:rFonts w:ascii="宋体" w:hAnsi="宋体" w:eastAsia="宋体" w:cs="宋体"/>
                <w:sz w:val="24"/>
                <w:szCs w:val="24"/>
                <w:highlight w:val="none"/>
              </w:rPr>
            </w:pPr>
            <w:r>
              <w:rPr>
                <w:rFonts w:hint="eastAsia" w:ascii="宋体" w:hAnsi="宋体" w:eastAsia="宋体" w:cs="宋体"/>
                <w:kern w:val="1"/>
                <w:sz w:val="24"/>
                <w:szCs w:val="24"/>
                <w:highlight w:val="none"/>
                <w:lang w:val="en-US" w:eastAsia="zh-CN"/>
              </w:rPr>
              <w:t>1</w:t>
            </w:r>
          </w:p>
        </w:tc>
        <w:tc>
          <w:tcPr>
            <w:tcW w:w="2835" w:type="dxa"/>
            <w:vAlign w:val="center"/>
          </w:tcPr>
          <w:p>
            <w:pPr>
              <w:spacing w:line="360" w:lineRule="auto"/>
              <w:jc w:val="center"/>
              <w:textAlignment w:val="center"/>
              <w:rPr>
                <w:rFonts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60" w:after="6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5</w:t>
            </w:r>
          </w:p>
        </w:tc>
        <w:tc>
          <w:tcPr>
            <w:tcW w:w="2977" w:type="dxa"/>
            <w:vAlign w:val="center"/>
          </w:tcPr>
          <w:p>
            <w:pPr>
              <w:widowControl/>
              <w:spacing w:line="0" w:lineRule="atLeast"/>
              <w:jc w:val="center"/>
              <w:textAlignment w:val="center"/>
              <w:rPr>
                <w:rFonts w:hint="default" w:ascii="宋体" w:hAnsi="宋体" w:eastAsia="宋体" w:cs="宋体"/>
                <w:szCs w:val="21"/>
                <w:highlight w:val="none"/>
                <w:lang w:val="en-US" w:eastAsia="zh-CN"/>
              </w:rPr>
            </w:pPr>
            <w:r>
              <w:rPr>
                <w:rFonts w:hint="eastAsia" w:ascii="宋体" w:hAnsi="宋体" w:eastAsia="宋体" w:cs="宋体"/>
                <w:sz w:val="24"/>
                <w:szCs w:val="24"/>
                <w:highlight w:val="none"/>
                <w:lang w:val="en-US" w:eastAsia="zh-CN"/>
              </w:rPr>
              <w:t>原有隔音房拆除</w:t>
            </w:r>
          </w:p>
        </w:tc>
        <w:tc>
          <w:tcPr>
            <w:tcW w:w="992" w:type="dxa"/>
            <w:vAlign w:val="center"/>
          </w:tcPr>
          <w:p>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2</w:t>
            </w:r>
          </w:p>
        </w:tc>
        <w:tc>
          <w:tcPr>
            <w:tcW w:w="2835" w:type="dxa"/>
            <w:vAlign w:val="center"/>
          </w:tcPr>
          <w:p>
            <w:pPr>
              <w:spacing w:line="360" w:lineRule="auto"/>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原有隔音房运至厂内指定位置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60" w:after="6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6</w:t>
            </w:r>
          </w:p>
        </w:tc>
        <w:tc>
          <w:tcPr>
            <w:tcW w:w="2977" w:type="dxa"/>
            <w:vAlign w:val="center"/>
          </w:tcPr>
          <w:p>
            <w:pPr>
              <w:widowControl/>
              <w:spacing w:line="0" w:lineRule="atLeast"/>
              <w:jc w:val="center"/>
              <w:textAlignment w:val="center"/>
              <w:rPr>
                <w:rFonts w:hint="default" w:ascii="宋体" w:hAnsi="宋体" w:eastAsia="宋体" w:cs="宋体"/>
                <w:szCs w:val="21"/>
                <w:highlight w:val="none"/>
                <w:lang w:val="en-US" w:eastAsia="zh-CN"/>
              </w:rPr>
            </w:pPr>
            <w:r>
              <w:rPr>
                <w:rFonts w:hint="eastAsia" w:ascii="宋体" w:hAnsi="宋体" w:eastAsia="宋体" w:cs="宋体"/>
                <w:color w:val="000000"/>
                <w:kern w:val="0"/>
                <w:sz w:val="24"/>
                <w:szCs w:val="24"/>
                <w:highlight w:val="none"/>
                <w:lang w:bidi="ar"/>
              </w:rPr>
              <w:t>电控</w:t>
            </w:r>
            <w:r>
              <w:rPr>
                <w:rFonts w:hint="eastAsia" w:ascii="宋体" w:hAnsi="宋体" w:eastAsia="宋体" w:cs="宋体"/>
                <w:color w:val="000000"/>
                <w:kern w:val="0"/>
                <w:sz w:val="24"/>
                <w:szCs w:val="24"/>
                <w:highlight w:val="none"/>
                <w:lang w:val="en-US" w:eastAsia="zh-CN" w:bidi="ar"/>
              </w:rPr>
              <w:t>系统恢复</w:t>
            </w:r>
          </w:p>
        </w:tc>
        <w:tc>
          <w:tcPr>
            <w:tcW w:w="992" w:type="dxa"/>
            <w:vAlign w:val="center"/>
          </w:tcPr>
          <w:p>
            <w:pPr>
              <w:spacing w:line="360" w:lineRule="auto"/>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1134" w:type="dxa"/>
            <w:vAlign w:val="center"/>
          </w:tcPr>
          <w:p>
            <w:pPr>
              <w:spacing w:line="0" w:lineRule="atLeast"/>
              <w:jc w:val="center"/>
              <w:rPr>
                <w:rFonts w:ascii="宋体" w:hAnsi="宋体" w:eastAsia="宋体" w:cs="宋体"/>
                <w:sz w:val="24"/>
                <w:szCs w:val="24"/>
                <w:highlight w:val="none"/>
              </w:rPr>
            </w:pPr>
            <w:r>
              <w:rPr>
                <w:rFonts w:hint="eastAsia" w:ascii="宋体" w:hAnsi="宋体" w:eastAsia="宋体" w:cs="宋体"/>
                <w:kern w:val="1"/>
                <w:sz w:val="24"/>
                <w:szCs w:val="24"/>
                <w:highlight w:val="none"/>
                <w:lang w:val="en-US" w:eastAsia="zh-CN"/>
              </w:rPr>
              <w:t>1</w:t>
            </w:r>
          </w:p>
        </w:tc>
        <w:tc>
          <w:tcPr>
            <w:tcW w:w="2835" w:type="dxa"/>
            <w:vAlign w:val="center"/>
          </w:tcPr>
          <w:p>
            <w:pPr>
              <w:spacing w:line="360" w:lineRule="auto"/>
              <w:jc w:val="center"/>
              <w:textAlignment w:val="center"/>
              <w:rPr>
                <w:rFonts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7</w:t>
            </w:r>
          </w:p>
        </w:tc>
        <w:tc>
          <w:tcPr>
            <w:tcW w:w="2977" w:type="dxa"/>
            <w:vAlign w:val="center"/>
          </w:tcPr>
          <w:p>
            <w:pPr>
              <w:widowControl/>
              <w:spacing w:line="0" w:lineRule="atLeast"/>
              <w:jc w:val="center"/>
              <w:textAlignment w:val="center"/>
              <w:rPr>
                <w:rFonts w:hint="default" w:ascii="宋体" w:hAnsi="宋体" w:eastAsia="宋体" w:cs="宋体"/>
                <w:szCs w:val="21"/>
                <w:highlight w:val="none"/>
                <w:lang w:val="en-US" w:eastAsia="zh-CN"/>
              </w:rPr>
            </w:pPr>
            <w:r>
              <w:rPr>
                <w:rFonts w:hint="eastAsia" w:ascii="宋体" w:hAnsi="宋体" w:eastAsia="宋体" w:cs="宋体"/>
                <w:color w:val="000000"/>
                <w:kern w:val="0"/>
                <w:sz w:val="24"/>
                <w:szCs w:val="24"/>
                <w:highlight w:val="none"/>
                <w:lang w:bidi="ar"/>
              </w:rPr>
              <w:t>除尘</w:t>
            </w:r>
            <w:r>
              <w:rPr>
                <w:rFonts w:hint="eastAsia" w:ascii="宋体" w:hAnsi="宋体" w:eastAsia="宋体" w:cs="宋体"/>
                <w:color w:val="000000"/>
                <w:kern w:val="0"/>
                <w:sz w:val="24"/>
                <w:szCs w:val="24"/>
                <w:highlight w:val="none"/>
                <w:lang w:val="en-US" w:eastAsia="zh-CN" w:bidi="ar"/>
              </w:rPr>
              <w:t>管道及除尘罩恢复</w:t>
            </w:r>
          </w:p>
        </w:tc>
        <w:tc>
          <w:tcPr>
            <w:tcW w:w="992" w:type="dxa"/>
            <w:vAlign w:val="center"/>
          </w:tcPr>
          <w:p>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宗</w:t>
            </w:r>
          </w:p>
        </w:tc>
        <w:tc>
          <w:tcPr>
            <w:tcW w:w="1134" w:type="dxa"/>
            <w:vAlign w:val="center"/>
          </w:tcPr>
          <w:p>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2835" w:type="dxa"/>
            <w:vAlign w:val="center"/>
          </w:tcPr>
          <w:p>
            <w:pPr>
              <w:spacing w:line="360" w:lineRule="auto"/>
              <w:jc w:val="center"/>
              <w:textAlignment w:val="center"/>
              <w:rPr>
                <w:rFonts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8</w:t>
            </w:r>
          </w:p>
        </w:tc>
        <w:tc>
          <w:tcPr>
            <w:tcW w:w="2977" w:type="dxa"/>
            <w:vAlign w:val="center"/>
          </w:tcPr>
          <w:p>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包装、运输、保险</w:t>
            </w:r>
          </w:p>
        </w:tc>
        <w:tc>
          <w:tcPr>
            <w:tcW w:w="992" w:type="dxa"/>
            <w:vAlign w:val="center"/>
          </w:tcPr>
          <w:p>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宗</w:t>
            </w:r>
          </w:p>
        </w:tc>
        <w:tc>
          <w:tcPr>
            <w:tcW w:w="1134" w:type="dxa"/>
            <w:vAlign w:val="center"/>
          </w:tcPr>
          <w:p>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835" w:type="dxa"/>
            <w:shd w:val="clear" w:color="auto" w:fill="auto"/>
            <w:vAlign w:val="center"/>
          </w:tcPr>
          <w:p>
            <w:pPr>
              <w:spacing w:line="360" w:lineRule="exact"/>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新设备运输及旧设备厂内物流运输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129" w:type="dxa"/>
            <w:vAlign w:val="center"/>
          </w:tcPr>
          <w:p>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9</w:t>
            </w:r>
          </w:p>
        </w:tc>
        <w:tc>
          <w:tcPr>
            <w:tcW w:w="2977" w:type="dxa"/>
            <w:vAlign w:val="center"/>
          </w:tcPr>
          <w:p>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安装、调试</w:t>
            </w:r>
          </w:p>
        </w:tc>
        <w:tc>
          <w:tcPr>
            <w:tcW w:w="992" w:type="dxa"/>
            <w:vAlign w:val="center"/>
          </w:tcPr>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宗</w:t>
            </w:r>
          </w:p>
        </w:tc>
        <w:tc>
          <w:tcPr>
            <w:tcW w:w="1134" w:type="dxa"/>
            <w:vAlign w:val="center"/>
          </w:tcPr>
          <w:p>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835" w:type="dxa"/>
            <w:shd w:val="clear" w:color="auto" w:fill="auto"/>
            <w:vAlign w:val="center"/>
          </w:tcPr>
          <w:p>
            <w:pPr>
              <w:spacing w:line="360" w:lineRule="exact"/>
              <w:jc w:val="center"/>
              <w:rPr>
                <w:rFonts w:hint="default" w:ascii="宋体" w:hAnsi="宋体" w:eastAsia="宋体" w:cs="宋体"/>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1129" w:type="dxa"/>
            <w:vAlign w:val="center"/>
          </w:tcPr>
          <w:p>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10</w:t>
            </w:r>
          </w:p>
        </w:tc>
        <w:tc>
          <w:tcPr>
            <w:tcW w:w="2977" w:type="dxa"/>
            <w:vAlign w:val="center"/>
          </w:tcPr>
          <w:p>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噪音</w:t>
            </w:r>
            <w:r>
              <w:rPr>
                <w:rFonts w:hint="eastAsia" w:ascii="宋体" w:hAnsi="宋体" w:eastAsia="宋体" w:cs="宋体"/>
                <w:sz w:val="24"/>
                <w:szCs w:val="24"/>
                <w:highlight w:val="none"/>
              </w:rPr>
              <w:t>检测</w:t>
            </w:r>
          </w:p>
        </w:tc>
        <w:tc>
          <w:tcPr>
            <w:tcW w:w="992" w:type="dxa"/>
            <w:vAlign w:val="center"/>
          </w:tcPr>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次</w:t>
            </w:r>
          </w:p>
        </w:tc>
        <w:tc>
          <w:tcPr>
            <w:tcW w:w="1134" w:type="dxa"/>
            <w:vAlign w:val="center"/>
          </w:tcPr>
          <w:p>
            <w:pPr>
              <w:spacing w:line="0" w:lineRule="atLeast"/>
              <w:jc w:val="center"/>
              <w:rPr>
                <w:rFonts w:hint="eastAsia" w:ascii="宋体" w:hAnsi="宋体" w:eastAsia="宋体" w:cs="宋体"/>
                <w:sz w:val="24"/>
                <w:szCs w:val="24"/>
                <w:highlight w:val="none"/>
              </w:rPr>
            </w:pPr>
            <w:r>
              <w:rPr>
                <w:rFonts w:hint="eastAsia" w:ascii="宋体" w:hAnsi="宋体" w:eastAsia="宋体" w:cs="宋体"/>
                <w:kern w:val="1"/>
                <w:sz w:val="24"/>
                <w:szCs w:val="24"/>
                <w:highlight w:val="none"/>
                <w:lang w:val="en-US" w:eastAsia="zh-CN"/>
              </w:rPr>
              <w:t>1</w:t>
            </w:r>
          </w:p>
        </w:tc>
        <w:tc>
          <w:tcPr>
            <w:tcW w:w="2835" w:type="dxa"/>
            <w:shd w:val="clear" w:color="auto" w:fill="auto"/>
            <w:vAlign w:val="center"/>
          </w:tcPr>
          <w:p>
            <w:pPr>
              <w:spacing w:line="360" w:lineRule="exact"/>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具有CMA认证的</w:t>
            </w:r>
            <w:r>
              <w:rPr>
                <w:rFonts w:hint="eastAsia" w:ascii="宋体" w:hAnsi="宋体" w:eastAsia="宋体" w:cs="宋体"/>
                <w:sz w:val="24"/>
                <w:szCs w:val="24"/>
                <w:highlight w:val="none"/>
              </w:rPr>
              <w:t>第三方</w:t>
            </w:r>
            <w:r>
              <w:rPr>
                <w:rFonts w:hint="eastAsia" w:ascii="宋体" w:hAnsi="宋体" w:eastAsia="宋体" w:cs="宋体"/>
                <w:sz w:val="24"/>
                <w:szCs w:val="24"/>
                <w:highlight w:val="none"/>
                <w:lang w:val="en-US" w:eastAsia="zh-CN"/>
              </w:rPr>
              <w:t>专业检测单位</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设备终验收依据，1-3次（超过3次视为设备质量问题，招标方有权终止合同并索赔）</w:t>
            </w:r>
          </w:p>
        </w:tc>
      </w:tr>
    </w:tbl>
    <w:p>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（一）一般界定</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如果终验收完成后，投标人有需要收回的配件、附件、材料等，应当在投标文件的技术偏离条款中，予以详细说明；否则视同包括在供货范围之内。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3.包括货物维护维修所必需的专用工具。</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（二）供货范围边界界定</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买方提供符合本技术标书中“采购货物概况”和“使用环境”章节所列明品质的电力、自来水、压缩空气、蒸汽、天然气（或煤气）管线至系统接口，如：系统电力接口的接线端，水、气等外围管线端联接法兰外端面。</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二、备品备件、易损件和专用耗材供货范围</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三、技术资料供货范围</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sz w:val="24"/>
          <w:szCs w:val="24"/>
          <w:highlight w:val="none"/>
        </w:rPr>
        <w:t>1.在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u w:val="single"/>
          <w:shd w:val="pct10" w:color="auto" w:fill="FFFFFF"/>
          <w:lang w:val="en-US" w:eastAsia="zh-CN"/>
        </w:rPr>
        <w:t>10</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8.本条款所列的技术资料、图片、影像等，投标人应各提供5套，其中2套为电子版光盘；每份技术文件应装有目录清单。</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四、供货范围特别提示</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如果投标人认为本节所列的供货范围难以满足，则仍需要按照本要求提供，但该部分货物应当在投标报价中单独列明货物名称及品质、货值。</w:t>
      </w:r>
    </w:p>
    <w:p>
      <w:pPr>
        <w:pStyle w:val="17"/>
        <w:spacing w:line="360" w:lineRule="auto"/>
        <w:rPr>
          <w:highlight w:val="none"/>
        </w:rPr>
      </w:pPr>
    </w:p>
    <w:p>
      <w:pPr>
        <w:keepNext/>
        <w:keepLines/>
        <w:spacing w:line="360" w:lineRule="auto"/>
        <w:jc w:val="center"/>
        <w:outlineLvl w:val="2"/>
        <w:rPr>
          <w:rFonts w:ascii="宋体" w:hAnsi="宋体" w:eastAsia="宋体" w:cs="宋体"/>
          <w:b/>
          <w:bCs/>
          <w:sz w:val="24"/>
          <w:szCs w:val="32"/>
          <w:highlight w:val="none"/>
        </w:rPr>
      </w:pPr>
      <w:r>
        <w:rPr>
          <w:rFonts w:hint="eastAsia" w:ascii="宋体" w:hAnsi="宋体" w:eastAsia="宋体" w:cs="宋体"/>
          <w:b/>
          <w:bCs/>
          <w:sz w:val="24"/>
          <w:szCs w:val="32"/>
          <w:highlight w:val="none"/>
        </w:rPr>
        <w:t>第二节  供货方式</w:t>
      </w:r>
    </w:p>
    <w:p>
      <w:pPr>
        <w:spacing w:line="360" w:lineRule="auto"/>
        <w:ind w:firstLine="482" w:firstLineChars="200"/>
        <w:outlineLvl w:val="3"/>
        <w:rPr>
          <w:rFonts w:ascii="宋体" w:hAnsi="宋体" w:eastAsia="宋体" w:cs="宋体"/>
          <w:sz w:val="24"/>
          <w:szCs w:val="24"/>
          <w:highlight w:val="none"/>
        </w:rPr>
      </w:pPr>
      <w:r>
        <w:rPr>
          <w:rFonts w:hint="eastAsia" w:ascii="宋体" w:hAnsi="宋体" w:eastAsia="宋体" w:cs="宋体"/>
          <w:b/>
          <w:sz w:val="24"/>
          <w:szCs w:val="24"/>
          <w:highlight w:val="none"/>
        </w:rPr>
        <w:t>一、供货方式</w:t>
      </w:r>
    </w:p>
    <w:p>
      <w:pPr>
        <w:spacing w:line="360" w:lineRule="auto"/>
        <w:ind w:firstLine="480" w:firstLineChars="200"/>
        <w:rPr>
          <w:rFonts w:ascii="宋体" w:hAnsi="宋体" w:eastAsia="宋体" w:cs="宋体"/>
          <w:b/>
          <w:i/>
          <w:sz w:val="24"/>
          <w:szCs w:val="24"/>
          <w:highlight w:val="none"/>
        </w:rPr>
      </w:pPr>
      <w:r>
        <w:rPr>
          <w:rFonts w:hint="eastAsia" w:ascii="宋体" w:hAnsi="宋体" w:eastAsia="宋体" w:cs="宋体"/>
          <w:sz w:val="24"/>
          <w:szCs w:val="24"/>
          <w:highlight w:val="none"/>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二、供货地点：</w:t>
      </w:r>
      <w:r>
        <w:rPr>
          <w:rFonts w:hint="eastAsia" w:ascii="宋体" w:hAnsi="宋体" w:eastAsia="宋体" w:cs="宋体"/>
          <w:color w:val="000000"/>
          <w:sz w:val="24"/>
          <w:szCs w:val="24"/>
          <w:highlight w:val="none"/>
          <w:u w:val="single"/>
        </w:rPr>
        <w:t>济南市</w:t>
      </w:r>
      <w:r>
        <w:rPr>
          <w:rFonts w:hint="eastAsia" w:ascii="宋体" w:hAnsi="宋体" w:eastAsia="宋体" w:cs="宋体"/>
          <w:color w:val="000000"/>
          <w:sz w:val="24"/>
          <w:szCs w:val="24"/>
          <w:highlight w:val="none"/>
          <w:u w:val="single"/>
          <w:lang w:val="en-US" w:eastAsia="zh-CN"/>
        </w:rPr>
        <w:t>章丘区世纪大道6677号济南成型厂</w:t>
      </w:r>
      <w:r>
        <w:rPr>
          <w:rFonts w:hint="eastAsia" w:ascii="宋体" w:hAnsi="宋体" w:eastAsia="宋体" w:cs="宋体"/>
          <w:sz w:val="24"/>
          <w:szCs w:val="24"/>
          <w:highlight w:val="none"/>
        </w:rPr>
        <w:t>。</w:t>
      </w:r>
    </w:p>
    <w:p>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1.自合同签定生效之日起，</w:t>
      </w:r>
      <w:r>
        <w:rPr>
          <w:rFonts w:hint="eastAsia" w:ascii="宋体" w:hAnsi="宋体" w:eastAsia="宋体" w:cs="宋体"/>
          <w:sz w:val="24"/>
          <w:szCs w:val="24"/>
          <w:highlight w:val="none"/>
          <w:u w:val="single"/>
          <w:lang w:val="en-US" w:eastAsia="zh-CN"/>
        </w:rPr>
        <w:t>45</w:t>
      </w:r>
      <w:r>
        <w:rPr>
          <w:rFonts w:hint="eastAsia" w:ascii="宋体" w:hAnsi="宋体" w:eastAsia="宋体" w:cs="宋体"/>
          <w:sz w:val="24"/>
          <w:szCs w:val="24"/>
          <w:highlight w:val="none"/>
        </w:rPr>
        <w:t>个日历日之内交货至供货地点</w:t>
      </w:r>
      <w:r>
        <w:rPr>
          <w:rFonts w:ascii="宋体" w:hAnsi="宋体" w:eastAsia="宋体" w:cs="宋体"/>
          <w:sz w:val="24"/>
          <w:szCs w:val="24"/>
          <w:highlight w:val="none"/>
        </w:rPr>
        <w:t>。</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2.接续</w:t>
      </w:r>
      <w:r>
        <w:rPr>
          <w:rFonts w:hint="eastAsia" w:ascii="宋体" w:hAnsi="宋体" w:eastAsia="宋体" w:cs="宋体"/>
          <w:sz w:val="24"/>
          <w:szCs w:val="24"/>
          <w:highlight w:val="none"/>
          <w:u w:val="single"/>
          <w:shd w:val="pct10" w:color="auto" w:fill="FFFFFF"/>
        </w:rPr>
        <w:t>30</w:t>
      </w:r>
      <w:r>
        <w:rPr>
          <w:rFonts w:hint="eastAsia" w:ascii="宋体" w:hAnsi="宋体" w:eastAsia="宋体" w:cs="宋体"/>
          <w:sz w:val="24"/>
          <w:szCs w:val="24"/>
          <w:highlight w:val="none"/>
        </w:rPr>
        <w:t>个日历日之内完成终验收。</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四、包装</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8.包装箱应连续编号，不应出现重复编号。</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五、运输</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2.同批货物（或设备）应统一包装、编号运输。</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highlight w:val="none"/>
        </w:rPr>
      </w:pPr>
    </w:p>
    <w:p>
      <w:pPr>
        <w:widowControl/>
        <w:jc w:val="center"/>
        <w:rPr>
          <w:rFonts w:ascii="宋体" w:hAnsi="宋体" w:eastAsia="宋体" w:cs="宋体"/>
          <w:b/>
          <w:bCs/>
          <w:sz w:val="24"/>
          <w:szCs w:val="32"/>
          <w:highlight w:val="none"/>
        </w:rPr>
      </w:pPr>
      <w:r>
        <w:rPr>
          <w:rFonts w:hint="eastAsia" w:ascii="宋体" w:hAnsi="宋体" w:eastAsia="宋体" w:cs="宋体"/>
          <w:b/>
          <w:bCs/>
          <w:sz w:val="24"/>
          <w:szCs w:val="32"/>
          <w:highlight w:val="none"/>
        </w:rPr>
        <w:t>第二节  供货方式</w:t>
      </w:r>
      <w:bookmarkEnd w:id="33"/>
    </w:p>
    <w:p>
      <w:pPr>
        <w:spacing w:line="360" w:lineRule="auto"/>
        <w:ind w:firstLine="482" w:firstLineChars="200"/>
        <w:outlineLvl w:val="3"/>
        <w:rPr>
          <w:rFonts w:ascii="宋体" w:hAnsi="宋体" w:eastAsia="宋体" w:cs="宋体"/>
          <w:sz w:val="24"/>
          <w:szCs w:val="24"/>
          <w:highlight w:val="none"/>
        </w:rPr>
      </w:pPr>
      <w:r>
        <w:rPr>
          <w:rFonts w:hint="eastAsia" w:ascii="宋体" w:hAnsi="宋体" w:eastAsia="宋体" w:cs="宋体"/>
          <w:b/>
          <w:sz w:val="24"/>
          <w:szCs w:val="24"/>
          <w:highlight w:val="none"/>
        </w:rPr>
        <w:t>一、供货方式</w:t>
      </w:r>
    </w:p>
    <w:p>
      <w:pPr>
        <w:spacing w:line="360" w:lineRule="auto"/>
        <w:ind w:firstLine="480" w:firstLineChars="200"/>
        <w:rPr>
          <w:rFonts w:ascii="宋体" w:hAnsi="宋体" w:eastAsia="宋体" w:cs="宋体"/>
          <w:b/>
          <w:i/>
          <w:sz w:val="24"/>
          <w:szCs w:val="24"/>
          <w:highlight w:val="none"/>
        </w:rPr>
      </w:pPr>
      <w:r>
        <w:rPr>
          <w:rFonts w:hint="eastAsia" w:ascii="宋体" w:hAnsi="宋体" w:eastAsia="宋体" w:cs="宋体"/>
          <w:sz w:val="24"/>
          <w:szCs w:val="24"/>
          <w:highlight w:val="none"/>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二、供货地点：</w:t>
      </w:r>
      <w:r>
        <w:rPr>
          <w:rFonts w:hint="eastAsia" w:ascii="宋体" w:hAnsi="宋体" w:eastAsia="宋体" w:cs="宋体"/>
          <w:color w:val="000000"/>
          <w:sz w:val="24"/>
          <w:szCs w:val="24"/>
          <w:highlight w:val="none"/>
          <w:u w:val="single"/>
        </w:rPr>
        <w:t>济南市</w:t>
      </w:r>
      <w:r>
        <w:rPr>
          <w:rFonts w:hint="eastAsia" w:ascii="宋体" w:hAnsi="宋体" w:eastAsia="宋体" w:cs="宋体"/>
          <w:color w:val="000000"/>
          <w:sz w:val="24"/>
          <w:szCs w:val="24"/>
          <w:highlight w:val="none"/>
          <w:u w:val="single"/>
          <w:lang w:val="en-US" w:eastAsia="zh-CN"/>
        </w:rPr>
        <w:t>章丘区世纪大道6677号济南成型厂</w:t>
      </w:r>
      <w:r>
        <w:rPr>
          <w:rFonts w:hint="eastAsia" w:ascii="宋体" w:hAnsi="宋体" w:eastAsia="宋体" w:cs="宋体"/>
          <w:sz w:val="24"/>
          <w:szCs w:val="24"/>
          <w:highlight w:val="none"/>
        </w:rPr>
        <w:t>。</w:t>
      </w:r>
    </w:p>
    <w:p>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1.自合同签定生效之日起，</w:t>
      </w:r>
      <w:r>
        <w:rPr>
          <w:rFonts w:hint="eastAsia" w:ascii="宋体" w:hAnsi="宋体" w:eastAsia="宋体" w:cs="宋体"/>
          <w:sz w:val="24"/>
          <w:szCs w:val="24"/>
          <w:highlight w:val="none"/>
          <w:u w:val="single"/>
          <w:lang w:val="en-US" w:eastAsia="zh-CN"/>
        </w:rPr>
        <w:t>45</w:t>
      </w:r>
      <w:r>
        <w:rPr>
          <w:rFonts w:hint="eastAsia" w:ascii="宋体" w:hAnsi="宋体" w:eastAsia="宋体" w:cs="宋体"/>
          <w:sz w:val="24"/>
          <w:szCs w:val="24"/>
          <w:highlight w:val="none"/>
        </w:rPr>
        <w:t>个日历日之内交货至供货地点</w:t>
      </w:r>
      <w:r>
        <w:rPr>
          <w:rFonts w:ascii="宋体" w:hAnsi="宋体" w:eastAsia="宋体" w:cs="宋体"/>
          <w:sz w:val="24"/>
          <w:szCs w:val="24"/>
          <w:highlight w:val="none"/>
        </w:rPr>
        <w:t>。</w:t>
      </w:r>
    </w:p>
    <w:p>
      <w:pPr>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2.接续</w:t>
      </w:r>
      <w:r>
        <w:rPr>
          <w:rFonts w:hint="eastAsia" w:ascii="宋体" w:hAnsi="宋体" w:eastAsia="宋体" w:cs="宋体"/>
          <w:sz w:val="24"/>
          <w:szCs w:val="24"/>
          <w:highlight w:val="none"/>
          <w:u w:val="single"/>
          <w:shd w:val="pct10" w:color="auto" w:fill="FFFFFF"/>
          <w:lang w:val="en-US" w:eastAsia="zh-CN"/>
        </w:rPr>
        <w:t>2</w:t>
      </w:r>
      <w:r>
        <w:rPr>
          <w:rFonts w:hint="eastAsia" w:ascii="宋体" w:hAnsi="宋体" w:eastAsia="宋体" w:cs="宋体"/>
          <w:sz w:val="24"/>
          <w:szCs w:val="24"/>
          <w:highlight w:val="none"/>
          <w:u w:val="single"/>
          <w:shd w:val="pct10" w:color="auto" w:fill="FFFFFF"/>
        </w:rPr>
        <w:t>0</w:t>
      </w:r>
      <w:r>
        <w:rPr>
          <w:rFonts w:hint="eastAsia" w:ascii="宋体" w:hAnsi="宋体" w:eastAsia="宋体" w:cs="宋体"/>
          <w:sz w:val="24"/>
          <w:szCs w:val="24"/>
          <w:highlight w:val="none"/>
        </w:rPr>
        <w:t>个日历日之内完成</w:t>
      </w:r>
      <w:r>
        <w:rPr>
          <w:rFonts w:hint="eastAsia" w:ascii="宋体" w:hAnsi="宋体" w:eastAsia="宋体" w:cs="宋体"/>
          <w:sz w:val="24"/>
          <w:szCs w:val="24"/>
          <w:highlight w:val="none"/>
          <w:lang w:val="en-US" w:eastAsia="zh-CN"/>
        </w:rPr>
        <w:t>安装调试。</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接续</w:t>
      </w:r>
      <w:r>
        <w:rPr>
          <w:rFonts w:hint="eastAsia" w:ascii="宋体" w:hAnsi="宋体" w:eastAsia="宋体" w:cs="宋体"/>
          <w:sz w:val="24"/>
          <w:szCs w:val="24"/>
          <w:highlight w:val="none"/>
          <w:u w:val="single"/>
          <w:shd w:val="pct10" w:color="auto" w:fill="FFFFFF"/>
        </w:rPr>
        <w:t>30</w:t>
      </w:r>
      <w:r>
        <w:rPr>
          <w:rFonts w:hint="eastAsia" w:ascii="宋体" w:hAnsi="宋体" w:eastAsia="宋体" w:cs="宋体"/>
          <w:sz w:val="24"/>
          <w:szCs w:val="24"/>
          <w:highlight w:val="none"/>
        </w:rPr>
        <w:t>个日历日之内完成终验收。</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四、包装</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8.包装箱应连续编号，不应出现重复编号。</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五、运输</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2.同批货物（或设备）应统一包装、编号运输。</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highlight w:val="none"/>
        </w:rPr>
      </w:pPr>
    </w:p>
    <w:p>
      <w:pPr>
        <w:widowControl/>
        <w:jc w:val="left"/>
        <w:rPr>
          <w:rFonts w:ascii="宋体" w:hAnsi="Calibri" w:eastAsia="宋体" w:cs="Times New Roman"/>
          <w:szCs w:val="20"/>
          <w:highlight w:val="none"/>
        </w:rPr>
      </w:pPr>
      <w:r>
        <w:rPr>
          <w:rFonts w:ascii="宋体" w:hAnsi="Calibri" w:eastAsia="宋体" w:cs="Times New Roman"/>
          <w:szCs w:val="20"/>
          <w:highlight w:val="none"/>
        </w:rPr>
        <w:br w:type="page"/>
      </w:r>
    </w:p>
    <w:p>
      <w:pPr>
        <w:keepNext/>
        <w:keepLines/>
        <w:spacing w:line="360" w:lineRule="auto"/>
        <w:jc w:val="center"/>
        <w:outlineLvl w:val="1"/>
        <w:rPr>
          <w:rFonts w:ascii="Calibri" w:hAnsi="Calibri" w:eastAsia="宋体" w:cs="Times New Roman"/>
          <w:b/>
          <w:bCs/>
          <w:kern w:val="44"/>
          <w:sz w:val="28"/>
          <w:szCs w:val="28"/>
          <w:highlight w:val="none"/>
        </w:rPr>
      </w:pPr>
      <w:bookmarkStart w:id="38" w:name="_Toc169605884"/>
      <w:r>
        <w:rPr>
          <w:rFonts w:hint="eastAsia" w:ascii="Calibri" w:hAnsi="Calibri" w:eastAsia="宋体" w:cs="Times New Roman"/>
          <w:b/>
          <w:bCs/>
          <w:kern w:val="44"/>
          <w:sz w:val="28"/>
          <w:szCs w:val="28"/>
          <w:highlight w:val="none"/>
        </w:rPr>
        <w:t>第四章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质保期及售后服务</w:t>
      </w:r>
      <w:bookmarkEnd w:id="38"/>
    </w:p>
    <w:p>
      <w:pPr>
        <w:pStyle w:val="117"/>
        <w:spacing w:line="360" w:lineRule="auto"/>
        <w:rPr>
          <w:highlight w:val="none"/>
        </w:rPr>
      </w:pPr>
      <w:r>
        <w:rPr>
          <w:rFonts w:hint="eastAsia"/>
          <w:highlight w:val="none"/>
        </w:rPr>
        <w:t>一、质保期及质保要求</w:t>
      </w:r>
    </w:p>
    <w:p>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.全部供货范围内的设备、材料、零配件和工器具等，除合同特别约定外，其质保期均自终验收签字生效之日起</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12</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个月。</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.质保期终止之日起</w:t>
      </w:r>
      <w:r>
        <w:rPr>
          <w:rFonts w:hint="eastAsia" w:ascii="宋体" w:hAnsi="宋体" w:eastAsia="宋体" w:cs="宋体"/>
          <w:sz w:val="24"/>
          <w:szCs w:val="24"/>
          <w:highlight w:val="none"/>
          <w:u w:val="single"/>
        </w:rPr>
        <w:t>一年内</w:t>
      </w:r>
      <w:r>
        <w:rPr>
          <w:rFonts w:hint="eastAsia" w:ascii="宋体" w:hAnsi="宋体" w:eastAsia="宋体" w:cs="宋体"/>
          <w:sz w:val="24"/>
          <w:szCs w:val="24"/>
          <w:highlight w:val="none"/>
        </w:rPr>
        <w:t>重复出现的质保期之内出现的故障，仍属质保范围而且应当免费。</w:t>
      </w:r>
    </w:p>
    <w:p>
      <w:pPr>
        <w:pStyle w:val="117"/>
        <w:spacing w:line="360" w:lineRule="auto"/>
        <w:rPr>
          <w:rFonts w:ascii="宋体" w:hAnsi="宋体" w:cs="宋体"/>
          <w:highlight w:val="none"/>
        </w:rPr>
      </w:pPr>
      <w:r>
        <w:rPr>
          <w:rFonts w:hint="eastAsia" w:ascii="宋体" w:hAnsi="宋体" w:cs="宋体"/>
          <w:highlight w:val="none"/>
        </w:rPr>
        <w:t>二、技术及培训服务</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none"/>
          <w:u w:val="single"/>
          <w:shd w:val="pct10" w:color="auto" w:fill="FFFFFF"/>
        </w:rPr>
        <w:t>3</w:t>
      </w:r>
      <w:r>
        <w:rPr>
          <w:rFonts w:hint="eastAsia" w:ascii="宋体" w:hAnsi="宋体" w:eastAsia="宋体" w:cs="宋体"/>
          <w:color w:val="000000"/>
          <w:sz w:val="24"/>
          <w:szCs w:val="24"/>
          <w:highlight w:val="none"/>
        </w:rPr>
        <w:t>个日历日。</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2.应免费提供一定数量的培训资料。</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7"/>
        <w:spacing w:line="360" w:lineRule="auto"/>
        <w:rPr>
          <w:rFonts w:ascii="宋体" w:hAnsi="宋体" w:cs="宋体"/>
          <w:highlight w:val="none"/>
        </w:rPr>
      </w:pPr>
      <w:r>
        <w:rPr>
          <w:rFonts w:hint="eastAsia" w:ascii="宋体" w:hAnsi="宋体" w:cs="宋体"/>
          <w:highlight w:val="none"/>
        </w:rPr>
        <w:t>三、安装调试及验收服务</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6.服务缺陷视同货物缺陷和履约延期。</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en-US" w:eastAsia="zh-CN"/>
        </w:rPr>
        <w:t>提供</w:t>
      </w:r>
      <w:r>
        <w:rPr>
          <w:rFonts w:hint="eastAsia" w:ascii="宋体" w:hAnsi="宋体" w:eastAsia="宋体" w:cs="宋体"/>
          <w:color w:val="000000"/>
          <w:sz w:val="24"/>
          <w:szCs w:val="24"/>
          <w:highlight w:val="none"/>
        </w:rPr>
        <w:t>外购件、易损件</w:t>
      </w:r>
      <w:r>
        <w:rPr>
          <w:rFonts w:hint="eastAsia" w:ascii="宋体" w:hAnsi="宋体" w:eastAsia="宋体" w:cs="宋体"/>
          <w:color w:val="000000"/>
          <w:sz w:val="24"/>
          <w:szCs w:val="24"/>
          <w:highlight w:val="none"/>
          <w:lang w:val="en-US" w:eastAsia="zh-CN"/>
        </w:rPr>
        <w:t>等所有</w:t>
      </w:r>
      <w:r>
        <w:rPr>
          <w:rFonts w:hint="eastAsia" w:ascii="宋体" w:hAnsi="宋体" w:eastAsia="宋体" w:cs="宋体"/>
          <w:color w:val="000000"/>
          <w:sz w:val="24"/>
          <w:szCs w:val="24"/>
          <w:highlight w:val="none"/>
        </w:rPr>
        <w:t>备件的清单（包括名称、规格型号、数量、生产厂家等）</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外购标准元器件的产品样本及使用说明书</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电机、变频器需配备铭牌照片，专机件的厂家联系方式</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 xml:space="preserve">。  </w:t>
      </w:r>
    </w:p>
    <w:p>
      <w:pPr>
        <w:adjustRightInd w:val="0"/>
        <w:snapToGrid w:val="0"/>
        <w:spacing w:line="360" w:lineRule="auto"/>
        <w:ind w:firstLine="480" w:firstLineChars="200"/>
        <w:rPr>
          <w:rFonts w:hint="default" w:eastAsia="宋体"/>
          <w:highlight w:val="none"/>
          <w:lang w:val="en-US" w:eastAsia="zh-CN"/>
        </w:rPr>
      </w:pPr>
      <w:r>
        <w:rPr>
          <w:rFonts w:hint="eastAsia" w:ascii="宋体" w:hAnsi="宋体" w:eastAsia="宋体" w:cs="宋体"/>
          <w:color w:val="000000"/>
          <w:sz w:val="24"/>
          <w:szCs w:val="24"/>
          <w:highlight w:val="none"/>
          <w:lang w:val="en-US" w:eastAsia="zh-CN"/>
        </w:rPr>
        <w:t>8.提供</w:t>
      </w:r>
      <w:r>
        <w:rPr>
          <w:rFonts w:hint="eastAsia" w:ascii="宋体" w:hAnsi="宋体" w:eastAsia="宋体" w:cs="宋体"/>
          <w:color w:val="000000"/>
          <w:sz w:val="24"/>
          <w:szCs w:val="24"/>
          <w:highlight w:val="none"/>
        </w:rPr>
        <w:t>所有电气原理图、接线图元器件布置图、现场电缆敷设图、电缆表、用户的控制程序和监控程序的备份</w:t>
      </w:r>
      <w:r>
        <w:rPr>
          <w:rFonts w:hint="eastAsia" w:ascii="宋体" w:hAnsi="宋体" w:eastAsia="宋体" w:cs="宋体"/>
          <w:color w:val="000000"/>
          <w:sz w:val="24"/>
          <w:szCs w:val="24"/>
          <w:highlight w:val="none"/>
          <w:lang w:val="en-US" w:eastAsia="zh-CN"/>
        </w:rPr>
        <w:t>等资料</w:t>
      </w:r>
      <w:r>
        <w:rPr>
          <w:rFonts w:hint="eastAsia" w:ascii="宋体" w:hAnsi="宋体" w:eastAsia="宋体" w:cs="宋体"/>
          <w:color w:val="000000"/>
          <w:sz w:val="24"/>
          <w:szCs w:val="24"/>
          <w:highlight w:val="none"/>
        </w:rPr>
        <w:t xml:space="preserve">。 </w:t>
      </w:r>
    </w:p>
    <w:p>
      <w:pPr>
        <w:pStyle w:val="117"/>
        <w:spacing w:line="360" w:lineRule="auto"/>
        <w:rPr>
          <w:rFonts w:ascii="宋体" w:hAnsi="宋体" w:cs="宋体"/>
          <w:highlight w:val="none"/>
        </w:rPr>
      </w:pPr>
      <w:r>
        <w:rPr>
          <w:rFonts w:hint="eastAsia" w:ascii="宋体" w:hAnsi="宋体" w:cs="宋体"/>
          <w:highlight w:val="none"/>
        </w:rPr>
        <w:t>四、售后服务</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2.如发现所提供的货物存在问题，需要卖方解决或配合解决时：在质保期之内，应在接到通知后</w:t>
      </w:r>
      <w:r>
        <w:rPr>
          <w:rFonts w:hint="eastAsia" w:ascii="宋体" w:hAnsi="宋体" w:eastAsia="宋体" w:cs="宋体"/>
          <w:color w:val="000000"/>
          <w:sz w:val="24"/>
          <w:szCs w:val="24"/>
          <w:highlight w:val="none"/>
          <w:u w:val="single"/>
          <w:shd w:val="pct10" w:color="auto" w:fill="FFFFFF"/>
        </w:rPr>
        <w:t>24</w:t>
      </w:r>
      <w:r>
        <w:rPr>
          <w:rFonts w:hint="eastAsia" w:ascii="宋体" w:hAnsi="宋体" w:eastAsia="宋体" w:cs="宋体"/>
          <w:color w:val="000000"/>
          <w:sz w:val="24"/>
          <w:szCs w:val="24"/>
          <w:highlight w:val="none"/>
        </w:rPr>
        <w:t>小时内派有关人员到达现场；在质保期之外，应在接到通知后</w:t>
      </w:r>
      <w:r>
        <w:rPr>
          <w:rFonts w:hint="eastAsia" w:ascii="宋体" w:hAnsi="宋体" w:eastAsia="宋体" w:cs="宋体"/>
          <w:color w:val="000000"/>
          <w:sz w:val="24"/>
          <w:szCs w:val="24"/>
          <w:highlight w:val="none"/>
          <w:u w:val="single"/>
          <w:shd w:val="pct10" w:color="auto" w:fill="FFFFFF"/>
        </w:rPr>
        <w:t>72</w:t>
      </w:r>
      <w:r>
        <w:rPr>
          <w:rFonts w:hint="eastAsia" w:ascii="宋体" w:hAnsi="宋体" w:eastAsia="宋体" w:cs="宋体"/>
          <w:color w:val="000000"/>
          <w:sz w:val="24"/>
          <w:szCs w:val="24"/>
          <w:highlight w:val="none"/>
        </w:rPr>
        <w:t>小时内派有关人员到达现场。</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3.卖方派往买方使用现场的人员，应具有较高的业务素质；现场解决问题时，不得无故拖延或推迟，应为买方提供最佳的服务。</w:t>
      </w:r>
    </w:p>
    <w:p>
      <w:pPr>
        <w:pStyle w:val="117"/>
        <w:spacing w:line="360" w:lineRule="auto"/>
        <w:rPr>
          <w:rFonts w:ascii="宋体" w:hAnsi="宋体" w:cs="宋体"/>
          <w:highlight w:val="none"/>
        </w:rPr>
      </w:pPr>
      <w:r>
        <w:rPr>
          <w:rFonts w:hint="eastAsia" w:ascii="宋体" w:hAnsi="宋体" w:cs="宋体"/>
          <w:highlight w:val="none"/>
        </w:rPr>
        <w:t>五、其它服务</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3.本章节条款所列“免费”，并非指定不可收费，而是指招标文件、投标文件、答疑文件、技术交流文件、技术标书和合同等范围之外，投标人不可另行收取的费用。</w:t>
      </w:r>
    </w:p>
    <w:p>
      <w:pPr>
        <w:pStyle w:val="17"/>
        <w:rPr>
          <w:rFonts w:eastAsia="宋体"/>
          <w:highlight w:val="none"/>
        </w:rPr>
      </w:pPr>
      <w:r>
        <w:rPr>
          <w:rFonts w:eastAsia="宋体"/>
          <w:highlight w:val="none"/>
        </w:rPr>
        <w:br w:type="page"/>
      </w:r>
    </w:p>
    <w:p>
      <w:pPr>
        <w:keepNext/>
        <w:keepLines/>
        <w:spacing w:line="360" w:lineRule="auto"/>
        <w:jc w:val="center"/>
        <w:outlineLvl w:val="1"/>
        <w:rPr>
          <w:rFonts w:ascii="Calibri" w:hAnsi="Calibri" w:eastAsia="宋体" w:cs="Times New Roman"/>
          <w:b/>
          <w:bCs/>
          <w:kern w:val="44"/>
          <w:sz w:val="28"/>
          <w:szCs w:val="28"/>
          <w:highlight w:val="none"/>
        </w:rPr>
      </w:pPr>
      <w:bookmarkStart w:id="39" w:name="_Toc465187646"/>
      <w:r>
        <w:rPr>
          <w:rFonts w:hint="eastAsia" w:ascii="Calibri" w:hAnsi="Calibri" w:eastAsia="宋体" w:cs="Times New Roman"/>
          <w:b/>
          <w:bCs/>
          <w:kern w:val="44"/>
          <w:sz w:val="28"/>
          <w:szCs w:val="28"/>
          <w:highlight w:val="none"/>
        </w:rPr>
        <w:t>第五章  预验收和终验收</w:t>
      </w:r>
      <w:bookmarkEnd w:id="39"/>
    </w:p>
    <w:p>
      <w:pPr>
        <w:pStyle w:val="117"/>
        <w:spacing w:line="360" w:lineRule="auto"/>
        <w:rPr>
          <w:rFonts w:ascii="宋体" w:hAnsi="宋体" w:cs="宋体"/>
          <w:highlight w:val="none"/>
        </w:rPr>
      </w:pPr>
      <w:r>
        <w:rPr>
          <w:rFonts w:hint="eastAsia" w:ascii="宋体" w:hAnsi="宋体" w:cs="宋体"/>
          <w:highlight w:val="none"/>
        </w:rPr>
        <w:t>一、验收依据和验收标准</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2.如果验收过程中，发现招标文件、投标文件、答疑文件、技术交流文件等与技术标书、合同存在差异，原则上以涉及条款中对买方最有利条款为验收依据。</w:t>
      </w:r>
    </w:p>
    <w:p>
      <w:pPr>
        <w:pStyle w:val="117"/>
        <w:spacing w:line="360" w:lineRule="auto"/>
        <w:rPr>
          <w:rFonts w:ascii="宋体" w:hAnsi="宋体" w:cs="宋体"/>
          <w:highlight w:val="none"/>
        </w:rPr>
      </w:pPr>
      <w:r>
        <w:rPr>
          <w:rFonts w:hint="eastAsia" w:ascii="宋体" w:hAnsi="宋体" w:cs="宋体"/>
          <w:highlight w:val="none"/>
        </w:rPr>
        <w:t>二、检验</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7"/>
        <w:spacing w:line="360" w:lineRule="auto"/>
        <w:rPr>
          <w:rFonts w:ascii="宋体" w:hAnsi="宋体" w:cs="宋体"/>
          <w:highlight w:val="none"/>
        </w:rPr>
      </w:pPr>
      <w:r>
        <w:rPr>
          <w:rFonts w:hint="eastAsia" w:ascii="宋体" w:hAnsi="宋体" w:cs="宋体"/>
          <w:highlight w:val="none"/>
        </w:rPr>
        <w:t>三、验收基本条件</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1.4 货物标牌完整、清晰、明确。</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 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2.终验收一般条件</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2.2 货物安装调试完毕，并至少经过了验收要求的负荷试运行。</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2.5 试运行期间或之后无维修、调整等行为（特殊情况除外）。</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2.6 货物质量、技术性能等，达到签定的技术标书和合同规定的终验收标准。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3.终验收基本要求</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 出现下列问题之一，视作验收失败：</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3.1.1 设备验收时，其参数无法满足招标书中的技术要求。</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3.1.2 在整个验收过程中发生关键零部件损坏或重大故障；</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3.1.3 一般性故障超过</w:t>
      </w:r>
      <w:r>
        <w:rPr>
          <w:rFonts w:hint="eastAsia" w:ascii="宋体" w:hAnsi="宋体" w:eastAsia="宋体" w:cs="宋体"/>
          <w:sz w:val="24"/>
          <w:szCs w:val="24"/>
          <w:highlight w:val="none"/>
          <w:u w:val="single"/>
          <w:shd w:val="pct10" w:color="auto" w:fill="FFFFFF"/>
        </w:rPr>
        <w:t>2</w:t>
      </w:r>
      <w:r>
        <w:rPr>
          <w:rFonts w:hint="eastAsia" w:ascii="宋体" w:hAnsi="宋体" w:eastAsia="宋体" w:cs="宋体"/>
          <w:sz w:val="24"/>
          <w:szCs w:val="24"/>
          <w:highlight w:val="none"/>
        </w:rPr>
        <w:t>次；</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3.1.4 更换的零部件货值超过总货值的</w:t>
      </w:r>
      <w:r>
        <w:rPr>
          <w:rFonts w:hint="eastAsia" w:ascii="宋体" w:hAnsi="宋体" w:eastAsia="宋体" w:cs="宋体"/>
          <w:sz w:val="24"/>
          <w:szCs w:val="24"/>
          <w:highlight w:val="none"/>
          <w:u w:val="single"/>
          <w:shd w:val="pct10" w:color="auto" w:fill="FFFFFF"/>
        </w:rPr>
        <w:t>1</w:t>
      </w:r>
      <w:r>
        <w:rPr>
          <w:rFonts w:hint="eastAsia" w:ascii="宋体" w:hAnsi="宋体" w:eastAsia="宋体" w:cs="宋体"/>
          <w:sz w:val="24"/>
          <w:szCs w:val="24"/>
          <w:highlight w:val="none"/>
        </w:rPr>
        <w:t>%。</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 累计负载运行实际性能（或生产率）达不到合同规定；</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3.3 终验收原则上要求一次完成。若一次验收不成功，最多允许两次；如果出现第三次验收失败，重新作价或退货；</w:t>
      </w:r>
    </w:p>
    <w:p>
      <w:pPr>
        <w:adjustRightInd w:val="0"/>
        <w:snapToGrid w:val="0"/>
        <w:spacing w:line="360" w:lineRule="auto"/>
        <w:ind w:firstLine="480" w:firstLineChars="200"/>
        <w:rPr>
          <w:rFonts w:ascii="宋体" w:hAnsi="宋体" w:eastAsia="宋体"/>
          <w:sz w:val="24"/>
          <w:szCs w:val="24"/>
          <w:highlight w:val="none"/>
        </w:rPr>
      </w:pPr>
      <w:r>
        <w:rPr>
          <w:rFonts w:hint="eastAsia" w:ascii="宋体" w:hAnsi="宋体" w:eastAsia="宋体" w:cs="宋体"/>
          <w:sz w:val="24"/>
          <w:szCs w:val="24"/>
          <w:highlight w:val="none"/>
        </w:rPr>
        <w:t>3.4 终验收通过后买卖双方共同签署终验收报告，并移交、核对全部供货范围内物品。</w:t>
      </w:r>
    </w:p>
    <w:p>
      <w:pPr>
        <w:pStyle w:val="17"/>
        <w:spacing w:line="360" w:lineRule="auto"/>
        <w:rPr>
          <w:highlight w:val="none"/>
        </w:rPr>
      </w:pPr>
    </w:p>
    <w:p>
      <w:pPr>
        <w:pStyle w:val="130"/>
        <w:spacing w:line="360" w:lineRule="auto"/>
        <w:outlineLvl w:val="1"/>
        <w:rPr>
          <w:rFonts w:eastAsia="宋体"/>
          <w:b/>
          <w:bCs w:val="0"/>
          <w:iCs/>
          <w:color w:val="auto"/>
          <w:sz w:val="28"/>
          <w:highlight w:val="none"/>
        </w:rPr>
      </w:pPr>
      <w:bookmarkStart w:id="40" w:name="_Toc465187647"/>
      <w:r>
        <w:rPr>
          <w:rFonts w:eastAsia="宋体"/>
          <w:b/>
          <w:bCs w:val="0"/>
          <w:iCs/>
          <w:color w:val="auto"/>
          <w:sz w:val="28"/>
          <w:highlight w:val="none"/>
        </w:rPr>
        <w:t>第六章  投标技术文件一般要求</w:t>
      </w:r>
      <w:bookmarkEnd w:id="40"/>
    </w:p>
    <w:p>
      <w:pPr>
        <w:pStyle w:val="117"/>
        <w:spacing w:line="360" w:lineRule="auto"/>
        <w:rPr>
          <w:color w:val="auto"/>
          <w:highlight w:val="none"/>
        </w:rPr>
      </w:pPr>
      <w:r>
        <w:rPr>
          <w:color w:val="auto"/>
          <w:highlight w:val="none"/>
        </w:rPr>
        <w:t>一、技术文件一般内容要求</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6.1备品备件、易损件和专用耗材明细表：</w:t>
      </w:r>
    </w:p>
    <w:p>
      <w:pPr>
        <w:adjustRightInd w:val="0"/>
        <w:snapToGrid w:val="0"/>
        <w:spacing w:line="420" w:lineRule="exact"/>
        <w:ind w:firstLine="1890" w:firstLineChars="900"/>
        <w:rPr>
          <w:rFonts w:ascii="宋体" w:hAnsi="宋体" w:eastAsia="宋体" w:cs="宋体"/>
          <w:highlight w:val="none"/>
        </w:rPr>
      </w:pPr>
      <w:r>
        <w:rPr>
          <w:rFonts w:hint="eastAsia" w:ascii="宋体" w:hAnsi="宋体" w:eastAsia="宋体" w:cs="宋体"/>
          <w:highlight w:val="none"/>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序号</w:t>
            </w:r>
          </w:p>
        </w:tc>
        <w:tc>
          <w:tcPr>
            <w:tcW w:w="1924"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名称</w:t>
            </w:r>
          </w:p>
        </w:tc>
        <w:tc>
          <w:tcPr>
            <w:tcW w:w="1236"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型号规格</w:t>
            </w:r>
          </w:p>
        </w:tc>
        <w:tc>
          <w:tcPr>
            <w:tcW w:w="720"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单位</w:t>
            </w:r>
          </w:p>
        </w:tc>
        <w:tc>
          <w:tcPr>
            <w:tcW w:w="720"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数量</w:t>
            </w:r>
          </w:p>
        </w:tc>
        <w:tc>
          <w:tcPr>
            <w:tcW w:w="720"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单价</w:t>
            </w:r>
          </w:p>
        </w:tc>
        <w:tc>
          <w:tcPr>
            <w:tcW w:w="720"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总价</w:t>
            </w:r>
          </w:p>
        </w:tc>
        <w:tc>
          <w:tcPr>
            <w:tcW w:w="2235"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top"/>
          </w:tcPr>
          <w:p>
            <w:pPr>
              <w:adjustRightInd w:val="0"/>
              <w:snapToGrid w:val="0"/>
              <w:spacing w:line="360" w:lineRule="exact"/>
              <w:jc w:val="center"/>
              <w:rPr>
                <w:rFonts w:hint="eastAsia" w:ascii="宋体" w:hAnsi="宋体" w:eastAsia="宋体" w:cs="宋体"/>
                <w:highlight w:val="none"/>
                <w:lang w:val="en-US" w:eastAsia="zh-CN"/>
              </w:rPr>
            </w:pPr>
          </w:p>
        </w:tc>
        <w:tc>
          <w:tcPr>
            <w:tcW w:w="1924" w:type="dxa"/>
            <w:vAlign w:val="top"/>
          </w:tcPr>
          <w:p>
            <w:pPr>
              <w:adjustRightInd w:val="0"/>
              <w:snapToGrid w:val="0"/>
              <w:spacing w:line="360" w:lineRule="exact"/>
              <w:rPr>
                <w:rFonts w:hint="eastAsia" w:ascii="宋体" w:hAnsi="宋体" w:eastAsia="宋体" w:cs="宋体"/>
                <w:highlight w:val="none"/>
                <w:lang w:val="en-US" w:eastAsia="zh-CN"/>
              </w:rPr>
            </w:pPr>
          </w:p>
        </w:tc>
        <w:tc>
          <w:tcPr>
            <w:tcW w:w="1236" w:type="dxa"/>
            <w:vAlign w:val="top"/>
          </w:tcPr>
          <w:p>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pPr>
              <w:adjustRightInd w:val="0"/>
              <w:snapToGrid w:val="0"/>
              <w:spacing w:line="360" w:lineRule="exact"/>
              <w:rPr>
                <w:rFonts w:hint="eastAsia" w:ascii="宋体" w:hAnsi="宋体" w:eastAsia="宋体" w:cs="宋体"/>
                <w:highlight w:val="none"/>
                <w:lang w:val="en-US" w:eastAsia="zh-CN"/>
              </w:rPr>
            </w:pPr>
          </w:p>
        </w:tc>
        <w:tc>
          <w:tcPr>
            <w:tcW w:w="2235" w:type="dxa"/>
            <w:vAlign w:val="bottom"/>
          </w:tcPr>
          <w:p>
            <w:pPr>
              <w:keepNext w:val="0"/>
              <w:keepLines w:val="0"/>
              <w:widowControl/>
              <w:suppressLineNumbers w:val="0"/>
              <w:jc w:val="left"/>
              <w:textAlignment w:val="bottom"/>
              <w:rPr>
                <w:rFonts w:ascii="宋体" w:hAnsi="宋体" w:eastAsia="宋体" w:cs="宋体"/>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top"/>
          </w:tcPr>
          <w:p>
            <w:pPr>
              <w:adjustRightInd w:val="0"/>
              <w:snapToGrid w:val="0"/>
              <w:spacing w:line="360" w:lineRule="exact"/>
              <w:jc w:val="center"/>
              <w:rPr>
                <w:rFonts w:hint="eastAsia" w:ascii="宋体" w:hAnsi="宋体" w:eastAsia="宋体" w:cs="宋体"/>
                <w:highlight w:val="none"/>
                <w:lang w:val="en-US" w:eastAsia="zh-CN"/>
              </w:rPr>
            </w:pPr>
          </w:p>
        </w:tc>
        <w:tc>
          <w:tcPr>
            <w:tcW w:w="1924" w:type="dxa"/>
            <w:vAlign w:val="bottom"/>
          </w:tcPr>
          <w:p>
            <w:pPr>
              <w:adjustRightInd w:val="0"/>
              <w:snapToGrid w:val="0"/>
              <w:spacing w:line="360" w:lineRule="exact"/>
              <w:rPr>
                <w:rFonts w:hint="eastAsia" w:ascii="宋体" w:hAnsi="宋体" w:eastAsia="宋体" w:cs="宋体"/>
                <w:highlight w:val="none"/>
                <w:lang w:val="en-US" w:eastAsia="zh-CN"/>
              </w:rPr>
            </w:pPr>
          </w:p>
        </w:tc>
        <w:tc>
          <w:tcPr>
            <w:tcW w:w="1236" w:type="dxa"/>
            <w:vAlign w:val="bottom"/>
          </w:tcPr>
          <w:p>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pPr>
              <w:adjustRightInd w:val="0"/>
              <w:snapToGrid w:val="0"/>
              <w:spacing w:line="360" w:lineRule="exact"/>
              <w:rPr>
                <w:rFonts w:hint="eastAsia" w:ascii="宋体" w:hAnsi="宋体" w:eastAsia="宋体" w:cs="宋体"/>
                <w:highlight w:val="none"/>
                <w:lang w:val="en-US" w:eastAsia="zh-CN"/>
              </w:rPr>
            </w:pPr>
          </w:p>
        </w:tc>
        <w:tc>
          <w:tcPr>
            <w:tcW w:w="720" w:type="dxa"/>
            <w:vAlign w:val="bottom"/>
          </w:tcPr>
          <w:p>
            <w:pPr>
              <w:adjustRightInd w:val="0"/>
              <w:snapToGrid w:val="0"/>
              <w:spacing w:line="360" w:lineRule="exact"/>
              <w:rPr>
                <w:rFonts w:hint="eastAsia" w:ascii="宋体" w:hAnsi="宋体" w:eastAsia="宋体" w:cs="宋体"/>
                <w:highlight w:val="none"/>
                <w:lang w:val="en-US" w:eastAsia="zh-CN"/>
              </w:rPr>
            </w:pPr>
          </w:p>
        </w:tc>
        <w:tc>
          <w:tcPr>
            <w:tcW w:w="720" w:type="dxa"/>
            <w:vAlign w:val="bottom"/>
          </w:tcPr>
          <w:p>
            <w:pPr>
              <w:adjustRightInd w:val="0"/>
              <w:snapToGrid w:val="0"/>
              <w:spacing w:line="360" w:lineRule="exact"/>
              <w:rPr>
                <w:rFonts w:hint="eastAsia" w:ascii="宋体" w:hAnsi="宋体" w:eastAsia="宋体" w:cs="宋体"/>
                <w:highlight w:val="none"/>
                <w:lang w:val="en-US" w:eastAsia="zh-CN"/>
              </w:rPr>
            </w:pPr>
          </w:p>
        </w:tc>
        <w:tc>
          <w:tcPr>
            <w:tcW w:w="2235" w:type="dxa"/>
            <w:vAlign w:val="bottom"/>
          </w:tcPr>
          <w:p>
            <w:pPr>
              <w:keepNext w:val="0"/>
              <w:keepLines w:val="0"/>
              <w:widowControl/>
              <w:suppressLineNumbers w:val="0"/>
              <w:jc w:val="left"/>
              <w:textAlignment w:val="bottom"/>
              <w:rPr>
                <w:rFonts w:hint="eastAsia" w:ascii="宋体" w:hAnsi="宋体" w:eastAsia="宋体" w:cs="宋体"/>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top"/>
          </w:tcPr>
          <w:p>
            <w:pPr>
              <w:adjustRightInd w:val="0"/>
              <w:snapToGrid w:val="0"/>
              <w:spacing w:line="360" w:lineRule="exact"/>
              <w:jc w:val="center"/>
              <w:rPr>
                <w:rFonts w:hint="eastAsia" w:ascii="宋体" w:hAnsi="宋体" w:eastAsia="宋体" w:cs="宋体"/>
                <w:highlight w:val="none"/>
                <w:lang w:val="en-US" w:eastAsia="zh-CN"/>
              </w:rPr>
            </w:pPr>
          </w:p>
        </w:tc>
        <w:tc>
          <w:tcPr>
            <w:tcW w:w="1924" w:type="dxa"/>
            <w:vAlign w:val="top"/>
          </w:tcPr>
          <w:p>
            <w:pPr>
              <w:adjustRightInd w:val="0"/>
              <w:snapToGrid w:val="0"/>
              <w:spacing w:line="360" w:lineRule="exact"/>
              <w:rPr>
                <w:rFonts w:hint="eastAsia" w:ascii="宋体" w:hAnsi="宋体" w:eastAsia="宋体" w:cs="宋体"/>
                <w:highlight w:val="none"/>
                <w:lang w:val="en-US" w:eastAsia="zh-CN"/>
              </w:rPr>
            </w:pPr>
          </w:p>
        </w:tc>
        <w:tc>
          <w:tcPr>
            <w:tcW w:w="1236" w:type="dxa"/>
            <w:vAlign w:val="top"/>
          </w:tcPr>
          <w:p>
            <w:pPr>
              <w:adjustRightInd w:val="0"/>
              <w:snapToGrid w:val="0"/>
              <w:spacing w:line="360" w:lineRule="exact"/>
              <w:rPr>
                <w:rFonts w:hint="default" w:ascii="宋体" w:hAnsi="宋体" w:eastAsia="宋体" w:cs="宋体"/>
                <w:highlight w:val="none"/>
                <w:lang w:val="en-US" w:eastAsia="zh-CN"/>
              </w:rPr>
            </w:pPr>
          </w:p>
        </w:tc>
        <w:tc>
          <w:tcPr>
            <w:tcW w:w="720" w:type="dxa"/>
            <w:vAlign w:val="top"/>
          </w:tcPr>
          <w:p>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pPr>
              <w:adjustRightInd w:val="0"/>
              <w:snapToGrid w:val="0"/>
              <w:spacing w:line="360" w:lineRule="exact"/>
              <w:rPr>
                <w:rFonts w:hint="default" w:ascii="宋体" w:hAnsi="宋体" w:eastAsia="宋体" w:cs="宋体"/>
                <w:highlight w:val="none"/>
                <w:lang w:val="en-US" w:eastAsia="zh-CN"/>
              </w:rPr>
            </w:pPr>
          </w:p>
        </w:tc>
        <w:tc>
          <w:tcPr>
            <w:tcW w:w="720" w:type="dxa"/>
            <w:vAlign w:val="top"/>
          </w:tcPr>
          <w:p>
            <w:pPr>
              <w:adjustRightInd w:val="0"/>
              <w:snapToGrid w:val="0"/>
              <w:spacing w:line="360" w:lineRule="exact"/>
              <w:rPr>
                <w:rFonts w:hint="default" w:ascii="宋体" w:hAnsi="宋体" w:eastAsia="宋体" w:cs="宋体"/>
                <w:highlight w:val="none"/>
                <w:lang w:val="en-US" w:eastAsia="zh-CN"/>
              </w:rPr>
            </w:pPr>
          </w:p>
        </w:tc>
        <w:tc>
          <w:tcPr>
            <w:tcW w:w="2235" w:type="dxa"/>
            <w:vAlign w:val="bottom"/>
          </w:tcPr>
          <w:p>
            <w:pPr>
              <w:keepNext w:val="0"/>
              <w:keepLines w:val="0"/>
              <w:widowControl/>
              <w:suppressLineNumbers w:val="0"/>
              <w:jc w:val="left"/>
              <w:textAlignment w:val="bottom"/>
              <w:rPr>
                <w:rFonts w:hint="eastAsia" w:ascii="宋体" w:hAnsi="宋体" w:eastAsia="宋体" w:cs="宋体"/>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bl>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6.3应当尽可能将货物的配置列全、列细，这将有助于投标人胜出；</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6.5  本条款表格中的制造商，应当为全称或公认的简称。</w:t>
      </w:r>
    </w:p>
    <w:p>
      <w:pPr>
        <w:pStyle w:val="117"/>
        <w:spacing w:line="360" w:lineRule="auto"/>
        <w:rPr>
          <w:rFonts w:ascii="宋体" w:hAnsi="宋体" w:cs="宋体"/>
          <w:color w:val="auto"/>
          <w:highlight w:val="none"/>
        </w:rPr>
      </w:pPr>
      <w:r>
        <w:rPr>
          <w:rFonts w:hint="eastAsia" w:ascii="宋体" w:hAnsi="宋体" w:cs="宋体"/>
          <w:color w:val="auto"/>
          <w:highlight w:val="none"/>
        </w:rPr>
        <w:t>二、技术文件中货物报价格式要求</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2.如果投标总报价与其它价格出现错误或不一致，将有可能导致废标。</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5.要求投标总报价、分项报价、明细报价之间应当具有相互间对应关系以及填报分项和明细报价，仅为便于评标而不妨碍投标人以最合适的形式签署合同。</w:t>
      </w:r>
    </w:p>
    <w:p>
      <w:pPr>
        <w:pStyle w:val="117"/>
        <w:spacing w:line="360" w:lineRule="auto"/>
        <w:rPr>
          <w:rFonts w:ascii="宋体" w:hAnsi="宋体" w:cs="宋体"/>
          <w:color w:val="auto"/>
          <w:highlight w:val="none"/>
        </w:rPr>
      </w:pPr>
      <w:r>
        <w:rPr>
          <w:rFonts w:hint="eastAsia" w:ascii="宋体" w:hAnsi="宋体" w:cs="宋体"/>
          <w:color w:val="auto"/>
          <w:highlight w:val="none"/>
        </w:rPr>
        <w:t>三、验收标准及内容要求</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p>
    <w:p>
      <w:pPr>
        <w:pStyle w:val="3"/>
        <w:spacing w:before="120" w:after="120" w:line="360" w:lineRule="auto"/>
        <w:rPr>
          <w:rFonts w:ascii="宋体" w:hAnsi="宋体" w:eastAsia="宋体" w:cs="宋体"/>
          <w:b w:val="0"/>
          <w:sz w:val="24"/>
          <w:szCs w:val="24"/>
          <w:highlight w:val="none"/>
        </w:rPr>
        <w:sectPr>
          <w:footerReference r:id="rId14" w:type="first"/>
          <w:footerReference r:id="rId13" w:type="default"/>
          <w:pgSz w:w="11906" w:h="16838"/>
          <w:pgMar w:top="1588" w:right="1418" w:bottom="1134" w:left="1418" w:header="851" w:footer="992" w:gutter="0"/>
          <w:pgNumType w:fmt="numberInDash"/>
          <w:cols w:space="720" w:num="1"/>
          <w:titlePg/>
          <w:docGrid w:linePitch="312" w:charSpace="0"/>
        </w:sectPr>
      </w:pPr>
      <w:bookmarkStart w:id="41" w:name="_Toc465187648"/>
    </w:p>
    <w:p>
      <w:pPr>
        <w:pStyle w:val="130"/>
        <w:outlineLvl w:val="1"/>
        <w:rPr>
          <w:rFonts w:ascii="宋体" w:hAnsi="宋体" w:eastAsia="宋体" w:cs="宋体"/>
          <w:b/>
          <w:bCs w:val="0"/>
          <w:iCs/>
          <w:color w:val="auto"/>
          <w:sz w:val="28"/>
          <w:szCs w:val="22"/>
          <w:highlight w:val="none"/>
        </w:rPr>
      </w:pPr>
      <w:r>
        <w:rPr>
          <w:rFonts w:hint="eastAsia" w:ascii="宋体" w:hAnsi="宋体" w:eastAsia="宋体" w:cs="宋体"/>
          <w:b/>
          <w:bCs w:val="0"/>
          <w:iCs/>
          <w:color w:val="auto"/>
          <w:sz w:val="28"/>
          <w:szCs w:val="22"/>
          <w:highlight w:val="none"/>
        </w:rPr>
        <w:t>第七章  其它要求及说明</w:t>
      </w:r>
      <w:bookmarkEnd w:id="41"/>
    </w:p>
    <w:p>
      <w:pPr>
        <w:pStyle w:val="117"/>
        <w:spacing w:line="360" w:lineRule="auto"/>
        <w:rPr>
          <w:rFonts w:ascii="宋体" w:hAnsi="宋体" w:cs="宋体"/>
          <w:color w:val="auto"/>
          <w:highlight w:val="none"/>
        </w:rPr>
      </w:pPr>
      <w:r>
        <w:rPr>
          <w:rFonts w:hint="eastAsia" w:ascii="宋体" w:hAnsi="宋体" w:cs="宋体"/>
          <w:color w:val="auto"/>
          <w:highlight w:val="none"/>
        </w:rPr>
        <w:t>一、要求</w:t>
      </w:r>
    </w:p>
    <w:p>
      <w:pPr>
        <w:pStyle w:val="20"/>
        <w:spacing w:after="0" w:line="360" w:lineRule="auto"/>
        <w:ind w:left="0" w:leftChars="0"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4.应附有其它与投标人、采购货物有关的荣誉证书或资料。</w:t>
      </w:r>
    </w:p>
    <w:p>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5.1国家相关机构颁发的有效期之内所必需的《生产许可证》；</w:t>
      </w:r>
    </w:p>
    <w:p>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5.2产品（或技术）鉴定报告/证书、专利证书或专利许可证书、新技术成果证书等；</w:t>
      </w:r>
    </w:p>
    <w:p>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5.5该类报告或证明材料对于投标人胜出乃至中标极为重要！</w:t>
      </w:r>
    </w:p>
    <w:p>
      <w:pPr>
        <w:numPr>
          <w:ilvl w:val="255"/>
          <w:numId w:val="0"/>
        </w:numPr>
        <w:spacing w:line="360" w:lineRule="auto"/>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6.必须附有：</w:t>
      </w:r>
      <w:r>
        <w:rPr>
          <w:rFonts w:hint="eastAsia" w:ascii="宋体" w:hAnsi="宋体" w:eastAsia="宋体" w:cs="宋体"/>
          <w:sz w:val="24"/>
          <w:szCs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117"/>
        <w:spacing w:line="360" w:lineRule="auto"/>
        <w:rPr>
          <w:highlight w:val="none"/>
        </w:rPr>
      </w:pPr>
      <w:r>
        <w:rPr>
          <w:rFonts w:hint="eastAsia" w:ascii="宋体" w:hAnsi="宋体" w:cs="宋体"/>
          <w:color w:val="auto"/>
          <w:highlight w:val="none"/>
        </w:rPr>
        <w:t>二、其他</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4.招标文件、投标文件、答疑文件、技术交流文件、技术标书等，在采购过程全部为有效文件，如有差异，以对招标人最有利的条款为准。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5.为避免歧义，本技术标书涉及招投标环节的条款，均将潜在的卖方称为投标人、将买方称为招标人；定标后合同签署环节以及后续的合同执行环节条款，招标人称为买方、投标人中的中标方称为卖方。</w:t>
      </w:r>
    </w:p>
    <w:p>
      <w:pPr>
        <w:pStyle w:val="17"/>
        <w:spacing w:line="360" w:lineRule="auto"/>
        <w:rPr>
          <w:rFonts w:hAnsi="宋体" w:eastAsia="宋体" w:cs="宋体"/>
          <w:sz w:val="24"/>
          <w:szCs w:val="24"/>
          <w:highlight w:val="none"/>
        </w:rPr>
        <w:sectPr>
          <w:headerReference r:id="rId15" w:type="default"/>
          <w:footerReference r:id="rId16" w:type="default"/>
          <w:pgSz w:w="11907" w:h="16840"/>
          <w:pgMar w:top="1304" w:right="1418" w:bottom="1304" w:left="1418" w:header="724" w:footer="851" w:gutter="0"/>
          <w:cols w:space="720" w:num="1"/>
          <w:docGrid w:linePitch="290" w:charSpace="-3931"/>
        </w:sectPr>
      </w:pPr>
    </w:p>
    <w:p>
      <w:pPr>
        <w:pStyle w:val="17"/>
        <w:rPr>
          <w:highlight w:val="none"/>
        </w:rPr>
      </w:pPr>
    </w:p>
    <w:p>
      <w:pPr>
        <w:spacing w:line="360" w:lineRule="auto"/>
        <w:jc w:val="center"/>
        <w:outlineLvl w:val="0"/>
        <w:rPr>
          <w:rFonts w:ascii="宋体" w:hAnsi="Calibri" w:eastAsia="宋体" w:cs="Times New Roman"/>
          <w:b/>
          <w:sz w:val="36"/>
          <w:szCs w:val="36"/>
          <w:highlight w:val="none"/>
        </w:rPr>
      </w:pPr>
      <w:bookmarkStart w:id="42" w:name="_Toc28859"/>
      <w:r>
        <w:rPr>
          <w:rFonts w:hint="eastAsia" w:ascii="宋体" w:hAnsi="宋体" w:eastAsia="宋体" w:cs="Times New Roman"/>
          <w:b/>
          <w:sz w:val="36"/>
          <w:szCs w:val="36"/>
          <w:highlight w:val="none"/>
        </w:rPr>
        <w:t>第五部分</w:t>
      </w:r>
      <w:r>
        <w:rPr>
          <w:rFonts w:ascii="宋体" w:hAnsi="宋体" w:eastAsia="宋体" w:cs="Times New Roman"/>
          <w:b/>
          <w:sz w:val="36"/>
          <w:szCs w:val="36"/>
          <w:highlight w:val="none"/>
        </w:rPr>
        <w:t xml:space="preserve"> </w:t>
      </w:r>
      <w:r>
        <w:rPr>
          <w:rFonts w:hint="eastAsia" w:ascii="宋体" w:hAnsi="宋体" w:eastAsia="宋体" w:cs="Times New Roman"/>
          <w:b/>
          <w:sz w:val="36"/>
          <w:szCs w:val="36"/>
          <w:highlight w:val="none"/>
        </w:rPr>
        <w:t>设备采购合同</w:t>
      </w:r>
      <w:bookmarkEnd w:id="42"/>
    </w:p>
    <w:p>
      <w:pPr>
        <w:adjustRightInd w:val="0"/>
        <w:snapToGrid w:val="0"/>
        <w:spacing w:line="360" w:lineRule="auto"/>
        <w:jc w:val="left"/>
        <w:rPr>
          <w:rFonts w:ascii="宋体" w:hAnsi="宋体"/>
          <w:sz w:val="20"/>
          <w:szCs w:val="20"/>
          <w:highlight w:val="none"/>
        </w:rPr>
      </w:pPr>
      <w:r>
        <w:rPr>
          <w:rFonts w:ascii="宋体" w:hAnsi="宋体"/>
          <w:sz w:val="20"/>
          <w:szCs w:val="20"/>
          <w:highlight w:val="none"/>
        </w:rPr>
        <w:t xml:space="preserve">                                      </w:t>
      </w:r>
      <w:r>
        <w:rPr>
          <w:rFonts w:hint="eastAsia" w:ascii="宋体" w:hAnsi="宋体"/>
          <w:sz w:val="20"/>
          <w:szCs w:val="20"/>
          <w:highlight w:val="none"/>
        </w:rPr>
        <w:t xml:space="preserve">  </w:t>
      </w:r>
    </w:p>
    <w:p>
      <w:pPr>
        <w:wordWrap w:val="0"/>
        <w:adjustRightInd w:val="0"/>
        <w:snapToGrid w:val="0"/>
        <w:spacing w:line="360" w:lineRule="auto"/>
        <w:jc w:val="righ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编号：</w:t>
      </w:r>
      <w:r>
        <w:rPr>
          <w:rFonts w:hint="eastAsia" w:ascii="方正小标宋简体" w:hAnsi="宋体" w:eastAsia="方正小标宋简体"/>
          <w:sz w:val="24"/>
          <w:szCs w:val="24"/>
          <w:highlight w:val="none"/>
          <w:u w:val="thick"/>
        </w:rPr>
        <w:t xml:space="preserve">                  </w:t>
      </w:r>
    </w:p>
    <w:p>
      <w:pPr>
        <w:adjustRightInd w:val="0"/>
        <w:snapToGrid w:val="0"/>
        <w:spacing w:line="360" w:lineRule="auto"/>
        <w:jc w:val="left"/>
        <w:rPr>
          <w:rFonts w:ascii="宋体" w:hAnsi="宋体"/>
          <w:sz w:val="20"/>
          <w:szCs w:val="20"/>
          <w:highlight w:val="none"/>
        </w:rPr>
      </w:pPr>
    </w:p>
    <w:p>
      <w:pPr>
        <w:adjustRightInd w:val="0"/>
        <w:snapToGrid w:val="0"/>
        <w:spacing w:line="360" w:lineRule="auto"/>
        <w:jc w:val="left"/>
        <w:rPr>
          <w:rFonts w:ascii="宋体" w:hAnsi="宋体"/>
          <w:sz w:val="20"/>
          <w:szCs w:val="20"/>
          <w:highlight w:val="none"/>
        </w:rPr>
      </w:pPr>
    </w:p>
    <w:p>
      <w:pPr>
        <w:adjustRightInd w:val="0"/>
        <w:snapToGrid w:val="0"/>
        <w:spacing w:line="360" w:lineRule="auto"/>
        <w:jc w:val="left"/>
        <w:rPr>
          <w:rFonts w:ascii="宋体" w:hAnsi="宋体"/>
          <w:sz w:val="20"/>
          <w:szCs w:val="20"/>
          <w:highlight w:val="none"/>
        </w:rPr>
      </w:pPr>
    </w:p>
    <w:p>
      <w:pPr>
        <w:adjustRightInd w:val="0"/>
        <w:snapToGrid w:val="0"/>
        <w:spacing w:line="360" w:lineRule="auto"/>
        <w:jc w:val="left"/>
        <w:rPr>
          <w:rFonts w:ascii="宋体" w:hAnsi="宋体"/>
          <w:sz w:val="20"/>
          <w:szCs w:val="20"/>
          <w:highlight w:val="none"/>
        </w:rPr>
      </w:pPr>
    </w:p>
    <w:p>
      <w:pPr>
        <w:adjustRightInd w:val="0"/>
        <w:snapToGrid w:val="0"/>
        <w:spacing w:line="360" w:lineRule="auto"/>
        <w:jc w:val="center"/>
        <w:rPr>
          <w:rFonts w:ascii="方正小标宋简体" w:hAnsi="宋体" w:eastAsia="方正小标宋简体"/>
          <w:bCs/>
          <w:sz w:val="52"/>
          <w:szCs w:val="36"/>
          <w:highlight w:val="none"/>
        </w:rPr>
      </w:pPr>
    </w:p>
    <w:p>
      <w:pPr>
        <w:adjustRightInd w:val="0"/>
        <w:snapToGrid w:val="0"/>
        <w:spacing w:line="360" w:lineRule="auto"/>
        <w:jc w:val="center"/>
        <w:rPr>
          <w:rFonts w:ascii="方正小标宋简体" w:hAnsi="宋体" w:eastAsia="方正小标宋简体"/>
          <w:bCs/>
          <w:sz w:val="52"/>
          <w:szCs w:val="36"/>
          <w:highlight w:val="none"/>
        </w:rPr>
      </w:pPr>
    </w:p>
    <w:p>
      <w:pPr>
        <w:adjustRightInd w:val="0"/>
        <w:snapToGrid w:val="0"/>
        <w:spacing w:line="360" w:lineRule="auto"/>
        <w:jc w:val="center"/>
        <w:rPr>
          <w:rFonts w:ascii="方正小标宋简体" w:hAnsi="宋体" w:eastAsia="方正小标宋简体"/>
          <w:bCs/>
          <w:sz w:val="52"/>
          <w:szCs w:val="36"/>
          <w:highlight w:val="none"/>
        </w:rPr>
      </w:pPr>
      <w:r>
        <w:rPr>
          <w:rFonts w:hint="eastAsia" w:ascii="方正小标宋简体" w:hAnsi="宋体" w:eastAsia="方正小标宋简体"/>
          <w:bCs/>
          <w:sz w:val="52"/>
          <w:szCs w:val="36"/>
          <w:highlight w:val="none"/>
        </w:rPr>
        <w:t>设备采购合同（模板）</w:t>
      </w:r>
    </w:p>
    <w:p>
      <w:pPr>
        <w:pStyle w:val="17"/>
        <w:jc w:val="center"/>
        <w:rPr>
          <w:highlight w:val="none"/>
        </w:rPr>
      </w:pPr>
      <w:r>
        <w:rPr>
          <w:rFonts w:hint="eastAsia" w:hAnsi="宋体" w:eastAsia="宋体" w:cs="宋体"/>
          <w:b/>
          <w:sz w:val="24"/>
          <w:szCs w:val="24"/>
          <w:highlight w:val="none"/>
        </w:rPr>
        <w:t>（合同以双方最终签署的版本为准）</w:t>
      </w:r>
    </w:p>
    <w:p>
      <w:pPr>
        <w:adjustRightInd w:val="0"/>
        <w:snapToGrid w:val="0"/>
        <w:spacing w:line="360" w:lineRule="auto"/>
        <w:jc w:val="left"/>
        <w:rPr>
          <w:rFonts w:ascii="宋体" w:hAnsi="宋体"/>
          <w:b/>
          <w:sz w:val="36"/>
          <w:szCs w:val="36"/>
          <w:highlight w:val="none"/>
        </w:rPr>
      </w:pPr>
    </w:p>
    <w:p>
      <w:pPr>
        <w:adjustRightInd w:val="0"/>
        <w:snapToGrid w:val="0"/>
        <w:spacing w:line="360" w:lineRule="auto"/>
        <w:jc w:val="left"/>
        <w:rPr>
          <w:rFonts w:ascii="宋体" w:hAnsi="宋体"/>
          <w:b/>
          <w:sz w:val="36"/>
          <w:szCs w:val="36"/>
          <w:highlight w:val="none"/>
        </w:rPr>
      </w:pPr>
    </w:p>
    <w:p>
      <w:pPr>
        <w:adjustRightInd w:val="0"/>
        <w:snapToGrid w:val="0"/>
        <w:spacing w:line="360" w:lineRule="auto"/>
        <w:jc w:val="left"/>
        <w:rPr>
          <w:rFonts w:ascii="宋体" w:hAnsi="宋体"/>
          <w:b/>
          <w:sz w:val="36"/>
          <w:szCs w:val="36"/>
          <w:highlight w:val="none"/>
        </w:rPr>
      </w:pPr>
    </w:p>
    <w:p>
      <w:pPr>
        <w:adjustRightInd w:val="0"/>
        <w:snapToGrid w:val="0"/>
        <w:spacing w:line="360" w:lineRule="auto"/>
        <w:jc w:val="left"/>
        <w:rPr>
          <w:rFonts w:ascii="宋体" w:hAnsi="宋体"/>
          <w:b/>
          <w:sz w:val="36"/>
          <w:szCs w:val="36"/>
          <w:highlight w:val="none"/>
        </w:rPr>
      </w:pPr>
    </w:p>
    <w:p>
      <w:pPr>
        <w:adjustRightInd w:val="0"/>
        <w:snapToGrid w:val="0"/>
        <w:spacing w:line="360" w:lineRule="auto"/>
        <w:jc w:val="left"/>
        <w:rPr>
          <w:rFonts w:ascii="宋体" w:hAnsi="宋体"/>
          <w:b/>
          <w:sz w:val="36"/>
          <w:szCs w:val="36"/>
          <w:highlight w:val="none"/>
        </w:rPr>
      </w:pPr>
    </w:p>
    <w:p>
      <w:pPr>
        <w:adjustRightInd w:val="0"/>
        <w:snapToGrid w:val="0"/>
        <w:spacing w:line="360" w:lineRule="auto"/>
        <w:jc w:val="left"/>
        <w:rPr>
          <w:rFonts w:ascii="宋体" w:hAnsi="宋体"/>
          <w:b/>
          <w:sz w:val="36"/>
          <w:szCs w:val="36"/>
          <w:highlight w:val="none"/>
        </w:rPr>
      </w:pPr>
    </w:p>
    <w:p>
      <w:pPr>
        <w:adjustRightInd w:val="0"/>
        <w:snapToGrid w:val="0"/>
        <w:spacing w:line="360" w:lineRule="auto"/>
        <w:ind w:firstLine="2107" w:firstLineChars="878"/>
        <w:jc w:val="left"/>
        <w:rPr>
          <w:rFonts w:ascii="方正小标宋简体" w:hAnsi="宋体" w:eastAsia="方正小标宋简体" w:cs="Times New Roman"/>
          <w:sz w:val="24"/>
          <w:szCs w:val="24"/>
          <w:highlight w:val="none"/>
          <w:u w:val="thick"/>
        </w:rPr>
      </w:pPr>
      <w:r>
        <w:rPr>
          <w:rFonts w:hint="eastAsia" w:ascii="方正小标宋简体" w:hAnsi="宋体" w:eastAsia="方正小标宋简体" w:cs="Times New Roman"/>
          <w:sz w:val="24"/>
          <w:szCs w:val="24"/>
          <w:highlight w:val="none"/>
        </w:rPr>
        <w:t>甲  方：</w:t>
      </w:r>
      <w:r>
        <w:rPr>
          <w:rFonts w:hint="eastAsia" w:ascii="方正小标宋简体" w:hAnsi="宋体" w:eastAsia="方正小标宋简体" w:cs="Times New Roman"/>
          <w:sz w:val="24"/>
          <w:szCs w:val="24"/>
          <w:highlight w:val="none"/>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 xml:space="preserve"> </w:t>
      </w:r>
    </w:p>
    <w:p>
      <w:pPr>
        <w:adjustRightInd w:val="0"/>
        <w:snapToGrid w:val="0"/>
        <w:spacing w:line="360" w:lineRule="auto"/>
        <w:ind w:firstLine="2107" w:firstLineChars="878"/>
        <w:jc w:val="lef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乙  方：</w:t>
      </w:r>
      <w:r>
        <w:rPr>
          <w:rFonts w:hint="eastAsia" w:ascii="方正小标宋简体" w:hAnsi="宋体" w:eastAsia="方正小标宋简体"/>
          <w:sz w:val="24"/>
          <w:szCs w:val="24"/>
          <w:highlight w:val="none"/>
          <w:u w:val="thick"/>
        </w:rPr>
        <w:t xml:space="preserve">                           </w:t>
      </w:r>
    </w:p>
    <w:p>
      <w:pPr>
        <w:spacing w:line="360" w:lineRule="auto"/>
        <w:ind w:right="480"/>
        <w:rPr>
          <w:rFonts w:ascii="宋体" w:hAnsi="宋体" w:cs="宋体"/>
          <w:bCs/>
          <w:sz w:val="24"/>
          <w:highlight w:val="none"/>
          <w:u w:val="single"/>
        </w:rPr>
      </w:pPr>
      <w:r>
        <w:rPr>
          <w:rFonts w:hint="eastAsia" w:ascii="宋体" w:hAnsi="宋体" w:cs="宋体"/>
          <w:bCs/>
          <w:sz w:val="24"/>
          <w:highlight w:val="none"/>
        </w:rPr>
        <w:t xml:space="preserve">                                       </w:t>
      </w:r>
    </w:p>
    <w:p>
      <w:pPr>
        <w:spacing w:line="360" w:lineRule="auto"/>
        <w:rPr>
          <w:rFonts w:ascii="宋体" w:hAnsi="宋体" w:cs="宋体"/>
          <w:bCs/>
          <w:sz w:val="22"/>
          <w:highlight w:val="none"/>
        </w:rPr>
        <w:sectPr>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highlight w:val="none"/>
        </w:rPr>
      </w:pPr>
      <w:r>
        <w:rPr>
          <w:rFonts w:hint="eastAsia" w:ascii="宋体" w:hAnsi="宋体" w:cs="宋体"/>
          <w:bCs/>
          <w:sz w:val="22"/>
          <w:highlight w:val="none"/>
        </w:rPr>
        <w:t xml:space="preserve"> </w:t>
      </w:r>
      <w:bookmarkStart w:id="43" w:name="_Toc29691"/>
      <w:r>
        <w:rPr>
          <w:rFonts w:hint="eastAsia" w:ascii="宋体" w:hAnsi="宋体" w:cs="宋体"/>
          <w:bCs/>
          <w:sz w:val="22"/>
          <w:highlight w:val="none"/>
        </w:rPr>
        <w:t xml:space="preserve"> </w:t>
      </w:r>
      <w:r>
        <w:rPr>
          <w:rFonts w:hint="eastAsia" w:ascii="仿宋_GB2312" w:hAnsi="宋体" w:eastAsia="仿宋_GB2312" w:cs="宋体"/>
          <w:bCs/>
          <w:sz w:val="24"/>
          <w:szCs w:val="24"/>
          <w:highlight w:val="none"/>
        </w:rPr>
        <w:t>甲方（买方）：</w:t>
      </w:r>
      <w:r>
        <w:rPr>
          <w:rFonts w:hint="eastAsia" w:ascii="仿宋_GB2312" w:hAnsi="宋体" w:eastAsia="仿宋_GB2312" w:cs="宋体"/>
          <w:b/>
          <w:bCs/>
          <w:sz w:val="24"/>
          <w:szCs w:val="24"/>
          <w:highlight w:val="none"/>
          <w:u w:val="single"/>
        </w:rPr>
        <w:t xml:space="preserve">            </w:t>
      </w:r>
      <w:r>
        <w:rPr>
          <w:rFonts w:hint="eastAsia" w:ascii="仿宋_GB2312" w:hAnsi="宋体" w:eastAsia="仿宋_GB2312" w:cs="宋体"/>
          <w:bCs/>
          <w:sz w:val="24"/>
          <w:szCs w:val="24"/>
          <w:highlight w:val="none"/>
        </w:rPr>
        <w:t xml:space="preserve">      </w:t>
      </w:r>
    </w:p>
    <w:p>
      <w:pPr>
        <w:spacing w:line="360" w:lineRule="auto"/>
        <w:rPr>
          <w:rFonts w:ascii="仿宋_GB2312" w:hAnsi="宋体" w:eastAsia="仿宋_GB2312" w:cs="宋体"/>
          <w:bCs/>
          <w:sz w:val="24"/>
          <w:szCs w:val="24"/>
          <w:highlight w:val="none"/>
        </w:rPr>
      </w:pPr>
      <w:r>
        <w:rPr>
          <w:rFonts w:hint="eastAsia" w:ascii="仿宋_GB2312" w:hAnsi="宋体" w:eastAsia="仿宋_GB2312" w:cs="宋体"/>
          <w:bCs/>
          <w:sz w:val="24"/>
          <w:szCs w:val="24"/>
          <w:highlight w:val="none"/>
        </w:rPr>
        <w:t xml:space="preserve">    </w:t>
      </w:r>
    </w:p>
    <w:p>
      <w:pPr>
        <w:spacing w:line="360" w:lineRule="auto"/>
        <w:ind w:right="-189" w:rightChars="-90" w:firstLine="120" w:firstLineChars="50"/>
        <w:jc w:val="left"/>
        <w:rPr>
          <w:rFonts w:ascii="仿宋_GB2312" w:hAnsi="宋体" w:eastAsia="仿宋_GB2312" w:cs="宋体"/>
          <w:b/>
          <w:bCs/>
          <w:sz w:val="24"/>
          <w:szCs w:val="24"/>
          <w:highlight w:val="none"/>
          <w:u w:val="single"/>
        </w:rPr>
      </w:pPr>
      <w:r>
        <w:rPr>
          <w:rFonts w:hint="eastAsia" w:ascii="仿宋_GB2312" w:hAnsi="宋体" w:eastAsia="仿宋_GB2312" w:cs="宋体"/>
          <w:bCs/>
          <w:sz w:val="24"/>
          <w:szCs w:val="24"/>
          <w:highlight w:val="none"/>
        </w:rPr>
        <w:t>乙方（卖方）：</w:t>
      </w:r>
      <w:r>
        <w:rPr>
          <w:rFonts w:hint="eastAsia" w:ascii="仿宋_GB2312" w:hAnsi="宋体" w:eastAsia="仿宋_GB2312" w:cs="宋体"/>
          <w:b/>
          <w:bCs/>
          <w:sz w:val="24"/>
          <w:szCs w:val="24"/>
          <w:highlight w:val="none"/>
          <w:u w:val="single"/>
        </w:rPr>
        <w:t xml:space="preserve">            </w:t>
      </w:r>
    </w:p>
    <w:p>
      <w:pPr>
        <w:spacing w:line="360" w:lineRule="auto"/>
        <w:ind w:right="-189" w:rightChars="-90"/>
        <w:jc w:val="left"/>
        <w:rPr>
          <w:rFonts w:ascii="仿宋_GB2312" w:hAnsi="宋体" w:eastAsia="仿宋_GB2312" w:cs="宋体"/>
          <w:b/>
          <w:bCs/>
          <w:sz w:val="24"/>
          <w:szCs w:val="24"/>
          <w:highlight w:val="none"/>
          <w:u w:val="single"/>
        </w:rPr>
      </w:pPr>
    </w:p>
    <w:p>
      <w:pPr>
        <w:spacing w:line="360" w:lineRule="auto"/>
        <w:ind w:firstLine="480" w:firstLineChars="200"/>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本设备采购合同由甲乙双方于山东省济南市（</w:t>
      </w:r>
      <w:r>
        <w:rPr>
          <w:rFonts w:hint="eastAsia" w:ascii="仿宋_GB2312" w:hAnsi="等线" w:eastAsia="仿宋_GB2312" w:cs="等线"/>
          <w:i/>
          <w:iCs/>
          <w:sz w:val="24"/>
          <w:highlight w:val="none"/>
          <w:u w:val="single"/>
        </w:rPr>
        <w:t>可根据实际情况调整为甲方/买方所在地</w:t>
      </w:r>
      <w:r>
        <w:rPr>
          <w:rFonts w:hint="eastAsia" w:ascii="仿宋_GB2312" w:eastAsia="仿宋_GB2312" w:hAnsiTheme="minorEastAsia" w:cstheme="minorEastAsia"/>
          <w:sz w:val="24"/>
          <w:szCs w:val="24"/>
          <w:highlight w:val="none"/>
        </w:rPr>
        <w:t>）签订：</w:t>
      </w:r>
    </w:p>
    <w:p>
      <w:pPr>
        <w:spacing w:line="360" w:lineRule="auto"/>
        <w:ind w:right="-189" w:rightChars="-90" w:firstLine="480" w:firstLineChars="200"/>
        <w:jc w:val="left"/>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鉴于，买方向卖方购买</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项目</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设备</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44" w:name="_Toc16330018"/>
      <w:bookmarkStart w:id="45" w:name="_Toc11930"/>
      <w:bookmarkStart w:id="46" w:name="_Toc17619"/>
      <w:bookmarkStart w:id="47" w:name="_Toc11823"/>
      <w:r>
        <w:rPr>
          <w:rFonts w:hint="eastAsia" w:ascii="黑体" w:hAnsi="黑体" w:eastAsia="黑体" w:cstheme="minorEastAsia"/>
          <w:b w:val="0"/>
          <w:sz w:val="28"/>
          <w:szCs w:val="28"/>
          <w:highlight w:val="none"/>
        </w:rPr>
        <w:t>1 合同设备</w:t>
      </w:r>
      <w:bookmarkEnd w:id="44"/>
      <w:bookmarkEnd w:id="45"/>
      <w:bookmarkEnd w:id="46"/>
      <w:bookmarkEnd w:id="47"/>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highlight w:val="none"/>
        </w:rPr>
      </w:pPr>
      <w:bookmarkStart w:id="48" w:name="_Toc32510"/>
      <w:bookmarkStart w:id="49" w:name="_Toc22800"/>
      <w:bookmarkStart w:id="50" w:name="_Toc29026"/>
      <w:r>
        <w:rPr>
          <w:rFonts w:hint="eastAsia" w:ascii="仿宋_GB2312" w:eastAsia="仿宋_GB2312" w:hAnsiTheme="minorEastAsia" w:cstheme="minorEastAsia"/>
          <w:sz w:val="24"/>
          <w:szCs w:val="24"/>
          <w:highlight w:val="none"/>
        </w:rPr>
        <w:t>1.2技术规格和标准</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1.3在设备所有权转移到买方之前，有关设备的保险由卖方负责办理并承担保险费用。</w:t>
      </w:r>
    </w:p>
    <w:p>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51" w:name="_Toc16330019"/>
      <w:r>
        <w:rPr>
          <w:rFonts w:hint="eastAsia" w:ascii="黑体" w:hAnsi="黑体" w:eastAsia="黑体" w:cstheme="minorEastAsia"/>
          <w:b w:val="0"/>
          <w:sz w:val="28"/>
          <w:szCs w:val="28"/>
          <w:highlight w:val="none"/>
        </w:rPr>
        <w:t>2 包装</w:t>
      </w:r>
      <w:bookmarkEnd w:id="48"/>
      <w:bookmarkEnd w:id="49"/>
      <w:bookmarkEnd w:id="50"/>
      <w:bookmarkEnd w:id="51"/>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2.2每件包装应附有详细的装箱单和质量证书各两套，一套在包装箱里，一套在包装箱外。</w:t>
      </w:r>
    </w:p>
    <w:p>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52" w:name="_Toc27453"/>
      <w:bookmarkStart w:id="53" w:name="_Toc16330020"/>
      <w:bookmarkStart w:id="54" w:name="_Toc2833"/>
      <w:bookmarkStart w:id="55" w:name="_Toc27144"/>
      <w:r>
        <w:rPr>
          <w:rFonts w:hint="eastAsia" w:ascii="黑体" w:hAnsi="黑体" w:eastAsia="黑体" w:cstheme="minorEastAsia"/>
          <w:b w:val="0"/>
          <w:sz w:val="28"/>
          <w:szCs w:val="28"/>
          <w:highlight w:val="none"/>
        </w:rPr>
        <w:t>3 运输标记</w:t>
      </w:r>
      <w:bookmarkEnd w:id="52"/>
      <w:bookmarkEnd w:id="53"/>
      <w:bookmarkEnd w:id="54"/>
      <w:bookmarkEnd w:id="55"/>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3.1.1收货人</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3.1.2合同号</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3.1.3发货标记（唛头）</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3.1.4设备的名称、品目号、箱号</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3.1.5毛重/净重（公斤）</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3.1.6尺寸（长×宽×高，以厘米计）</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56" w:name="_Toc16330021"/>
      <w:bookmarkStart w:id="57" w:name="_Toc10630"/>
      <w:bookmarkStart w:id="58" w:name="_Toc16133"/>
      <w:bookmarkStart w:id="59" w:name="_Toc7431"/>
      <w:r>
        <w:rPr>
          <w:rFonts w:hint="eastAsia" w:ascii="黑体" w:hAnsi="黑体" w:eastAsia="黑体" w:cstheme="minorEastAsia"/>
          <w:b w:val="0"/>
          <w:sz w:val="28"/>
          <w:szCs w:val="28"/>
          <w:highlight w:val="none"/>
        </w:rPr>
        <w:t>4 检验</w:t>
      </w:r>
      <w:bookmarkEnd w:id="56"/>
      <w:bookmarkEnd w:id="57"/>
      <w:bookmarkEnd w:id="58"/>
      <w:bookmarkEnd w:id="59"/>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4.2国家强制检验检测的设备，需要经过国家有关部门进行检验检测，卖方保证提供的设备通过其检验并承担费用。</w:t>
      </w:r>
    </w:p>
    <w:p>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60" w:name="_Toc19850"/>
      <w:bookmarkStart w:id="61" w:name="_Toc24467"/>
      <w:bookmarkStart w:id="62" w:name="_Toc11217"/>
      <w:bookmarkStart w:id="63" w:name="_Toc16330022"/>
      <w:r>
        <w:rPr>
          <w:rFonts w:hint="eastAsia" w:ascii="黑体" w:hAnsi="黑体" w:eastAsia="黑体" w:cstheme="minorEastAsia"/>
          <w:b w:val="0"/>
          <w:sz w:val="28"/>
          <w:szCs w:val="28"/>
          <w:highlight w:val="none"/>
        </w:rPr>
        <w:t>5 权利担保</w:t>
      </w:r>
      <w:bookmarkEnd w:id="60"/>
      <w:bookmarkEnd w:id="61"/>
      <w:bookmarkEnd w:id="62"/>
      <w:bookmarkEnd w:id="63"/>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64" w:name="_Toc27500"/>
      <w:bookmarkStart w:id="65" w:name="_Toc11759"/>
      <w:bookmarkStart w:id="66" w:name="_Toc16330023"/>
      <w:bookmarkStart w:id="67" w:name="_Toc14809"/>
      <w:r>
        <w:rPr>
          <w:rFonts w:hint="eastAsia" w:ascii="黑体" w:hAnsi="黑体" w:eastAsia="黑体" w:cstheme="minorEastAsia"/>
          <w:b w:val="0"/>
          <w:sz w:val="28"/>
          <w:szCs w:val="28"/>
          <w:highlight w:val="none"/>
        </w:rPr>
        <w:t>6 交货</w:t>
      </w:r>
      <w:bookmarkEnd w:id="64"/>
      <w:bookmarkEnd w:id="65"/>
      <w:bookmarkEnd w:id="66"/>
      <w:bookmarkEnd w:id="67"/>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highlight w:val="none"/>
          <w:u w:val="double"/>
        </w:rPr>
      </w:pPr>
      <w:r>
        <w:rPr>
          <w:rFonts w:hint="eastAsia" w:ascii="仿宋_GB2312" w:eastAsia="仿宋_GB2312" w:hAnsiTheme="minorEastAsia" w:cstheme="minorEastAsia"/>
          <w:sz w:val="24"/>
          <w:szCs w:val="24"/>
          <w:highlight w:val="none"/>
        </w:rPr>
        <w:t>6.4交货方式</w:t>
      </w:r>
      <w:r>
        <w:rPr>
          <w:rFonts w:hint="eastAsia" w:ascii="仿宋_GB2312" w:eastAsia="仿宋_GB2312" w:hAnsiTheme="minorEastAsia" w:cstheme="minorEastAsia"/>
          <w:bCs/>
          <w:sz w:val="24"/>
          <w:szCs w:val="24"/>
          <w:highlight w:val="none"/>
        </w:rPr>
        <w:t>：</w:t>
      </w:r>
      <w:r>
        <w:rPr>
          <w:rFonts w:hint="eastAsia" w:ascii="仿宋_GB2312" w:eastAsia="仿宋_GB2312" w:hAnsiTheme="minorEastAsia" w:cstheme="minorEastAsia"/>
          <w:bCs/>
          <w:sz w:val="24"/>
          <w:szCs w:val="24"/>
          <w:highlight w:val="none"/>
          <w:u w:val="single"/>
        </w:rPr>
        <w:t xml:space="preserve">        </w:t>
      </w:r>
      <w:r>
        <w:rPr>
          <w:rFonts w:hint="eastAsia" w:ascii="仿宋_GB2312" w:eastAsia="仿宋_GB2312" w:hAnsiTheme="minorEastAsia" w:cstheme="minorEastAsia"/>
          <w:iCs/>
          <w:sz w:val="24"/>
          <w:szCs w:val="24"/>
          <w:highlight w:val="none"/>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6.5交货地点：</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 xml:space="preserve">      </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6.6到货时间：</w:t>
      </w:r>
      <w:r>
        <w:rPr>
          <w:rFonts w:hint="eastAsia" w:ascii="仿宋_GB2312" w:eastAsia="仿宋_GB2312" w:hAnsiTheme="minorEastAsia" w:cstheme="minorEastAsia"/>
          <w:sz w:val="24"/>
          <w:szCs w:val="24"/>
          <w:highlight w:val="none"/>
          <w:u w:val="single"/>
        </w:rPr>
        <w:t>20  年  月   日前</w:t>
      </w:r>
      <w:r>
        <w:rPr>
          <w:rFonts w:hint="eastAsia" w:ascii="仿宋_GB2312" w:eastAsia="仿宋_GB2312" w:hAnsiTheme="minorEastAsia" w:cstheme="minorEastAsia"/>
          <w:sz w:val="24"/>
          <w:szCs w:val="24"/>
          <w:highlight w:val="none"/>
        </w:rPr>
        <w:t xml:space="preserve">         </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6.8卖方在交付设备前需通知买方。</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6.9风险的转移：</w:t>
      </w:r>
    </w:p>
    <w:p>
      <w:pPr>
        <w:spacing w:line="360" w:lineRule="auto"/>
        <w:ind w:firstLine="453" w:firstLineChars="189"/>
        <w:rPr>
          <w:rFonts w:asciiTheme="minorEastAsia" w:hAnsiTheme="minorEastAsia" w:cstheme="minorEastAsia"/>
          <w:sz w:val="20"/>
          <w:szCs w:val="20"/>
          <w:highlight w:val="none"/>
        </w:rPr>
      </w:pPr>
      <w:r>
        <w:rPr>
          <w:rFonts w:hint="eastAsia" w:ascii="仿宋_GB2312" w:eastAsia="仿宋_GB2312" w:hAnsiTheme="minorEastAsia" w:cstheme="minorEastAsia"/>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68" w:name="_Toc16330024"/>
      <w:bookmarkStart w:id="69" w:name="_Toc25510"/>
      <w:bookmarkStart w:id="70" w:name="_Toc8024"/>
      <w:bookmarkStart w:id="71" w:name="_Toc2984"/>
      <w:r>
        <w:rPr>
          <w:rFonts w:hint="eastAsia" w:ascii="黑体" w:hAnsi="黑体" w:eastAsia="黑体" w:cstheme="minorEastAsia"/>
          <w:b w:val="0"/>
          <w:sz w:val="28"/>
          <w:szCs w:val="28"/>
          <w:highlight w:val="none"/>
        </w:rPr>
        <w:t>7 安装、调试</w:t>
      </w:r>
      <w:bookmarkEnd w:id="68"/>
      <w:bookmarkEnd w:id="69"/>
      <w:bookmarkEnd w:id="70"/>
      <w:bookmarkEnd w:id="71"/>
    </w:p>
    <w:p>
      <w:pPr>
        <w:pStyle w:val="11"/>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7.1 卖方须在到货后</w:t>
      </w:r>
      <w:r>
        <w:rPr>
          <w:rFonts w:hint="eastAsia"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日内安装调试完成。</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7.4</w:t>
      </w:r>
      <w:r>
        <w:rPr>
          <w:rFonts w:hint="eastAsia" w:ascii="仿宋_GB2312" w:hAnsi="黑体" w:eastAsia="仿宋_GB2312" w:cstheme="minorEastAsia"/>
          <w:bCs/>
          <w:sz w:val="24"/>
          <w:szCs w:val="24"/>
          <w:highlight w:val="none"/>
        </w:rPr>
        <w:t xml:space="preserve"> </w:t>
      </w:r>
      <w:r>
        <w:rPr>
          <w:rFonts w:hint="eastAsia" w:ascii="仿宋_GB2312" w:hAnsi="黑体" w:eastAsia="仿宋_GB2312" w:cstheme="minorEastAsia"/>
          <w:sz w:val="24"/>
          <w:szCs w:val="24"/>
          <w:highlight w:val="none"/>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7.5 若设备安装、调试过程中需使用买方产品的，买方提供调试所用产品数量【】件，超出此数量部分由卖方提供，由此产生的相关费用由卖方承担。</w:t>
      </w:r>
    </w:p>
    <w:p>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72" w:name="_Toc16330025"/>
      <w:bookmarkStart w:id="73" w:name="_Toc14260"/>
      <w:bookmarkStart w:id="74" w:name="_Toc14098"/>
      <w:bookmarkStart w:id="75" w:name="_Toc6350"/>
      <w:r>
        <w:rPr>
          <w:rFonts w:hint="eastAsia" w:ascii="黑体" w:hAnsi="黑体" w:eastAsia="黑体" w:cstheme="minorEastAsia"/>
          <w:b w:val="0"/>
          <w:sz w:val="28"/>
          <w:szCs w:val="28"/>
          <w:highlight w:val="none"/>
        </w:rPr>
        <w:t>8 价款与支付</w:t>
      </w:r>
      <w:bookmarkEnd w:id="72"/>
      <w:bookmarkEnd w:id="73"/>
      <w:bookmarkEnd w:id="74"/>
      <w:bookmarkEnd w:id="75"/>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8.1本合同不含税总价为人民币</w:t>
      </w:r>
      <w:r>
        <w:rPr>
          <w:rFonts w:hint="eastAsia" w:ascii="仿宋_GB2312" w:eastAsia="仿宋_GB2312" w:cs="Calibri"/>
          <w:sz w:val="24"/>
          <w:szCs w:val="24"/>
          <w:highlight w:val="none"/>
        </w:rPr>
        <w:t>¥</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元（大写：</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），增值税税率</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u w:val="single"/>
        </w:rPr>
        <w:t>【】</w:t>
      </w:r>
      <w:r>
        <w:rPr>
          <w:rFonts w:hint="eastAsia" w:ascii="仿宋_GB2312" w:hAnsi="黑体" w:eastAsia="仿宋_GB2312" w:cstheme="minorEastAsia"/>
          <w:sz w:val="24"/>
          <w:szCs w:val="24"/>
          <w:highlight w:val="none"/>
        </w:rPr>
        <w:t>%，税额</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元，含税总价</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元人民币（大写：</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8.2合同价款的结算方式：半年期商业汇票（包括银行承兑汇票和商业承兑汇票）（如有其它方式可据实填写）</w:t>
      </w:r>
      <w:r>
        <w:rPr>
          <w:rFonts w:ascii="仿宋_GB2312" w:hAnsi="黑体" w:eastAsia="仿宋_GB2312" w:cstheme="minorEastAsia"/>
          <w:sz w:val="24"/>
          <w:szCs w:val="24"/>
          <w:highlight w:val="none"/>
        </w:rPr>
        <w:t xml:space="preserve">  </w:t>
      </w:r>
      <w:r>
        <w:rPr>
          <w:rFonts w:hint="eastAsia" w:ascii="仿宋_GB2312" w:hAnsi="黑体" w:eastAsia="仿宋_GB2312" w:cstheme="minorEastAsia"/>
          <w:sz w:val="24"/>
          <w:szCs w:val="24"/>
          <w:highlight w:val="none"/>
        </w:rPr>
        <w:t xml:space="preserve">         </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highlight w:val="none"/>
        </w:rPr>
      </w:pPr>
      <w:r>
        <w:rPr>
          <w:rFonts w:hint="eastAsia" w:ascii="仿宋_GB2312" w:hAnsi="黑体" w:eastAsia="仿宋_GB2312" w:cstheme="minorEastAsia"/>
          <w:sz w:val="24"/>
          <w:szCs w:val="24"/>
          <w:highlight w:val="none"/>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highlight w:val="none"/>
        </w:rPr>
        <w:t>【按照实际业务的</w:t>
      </w:r>
      <w:r>
        <w:rPr>
          <w:rFonts w:ascii="仿宋_GB2312" w:hAnsi="黑体" w:eastAsia="仿宋_GB2312" w:cstheme="minorEastAsia"/>
          <w:i/>
          <w:sz w:val="24"/>
          <w:szCs w:val="24"/>
          <w:highlight w:val="none"/>
        </w:rPr>
        <w:t>SAP</w:t>
      </w:r>
      <w:r>
        <w:rPr>
          <w:rFonts w:hint="eastAsia" w:ascii="仿宋_GB2312" w:hAnsi="黑体" w:eastAsia="仿宋_GB2312" w:cstheme="minorEastAsia"/>
          <w:i/>
          <w:sz w:val="24"/>
          <w:szCs w:val="24"/>
          <w:highlight w:val="none"/>
        </w:rPr>
        <w:t>付款条件填写】</w:t>
      </w:r>
    </w:p>
    <w:p>
      <w:pPr>
        <w:spacing w:line="360" w:lineRule="auto"/>
        <w:ind w:firstLine="453" w:firstLineChars="189"/>
        <w:rPr>
          <w:rFonts w:ascii="仿宋_GB2312" w:hAnsi="黑体" w:eastAsia="仿宋_GB2312" w:cstheme="minorEastAsia"/>
          <w:i/>
          <w:sz w:val="24"/>
          <w:szCs w:val="24"/>
          <w:highlight w:val="none"/>
        </w:rPr>
      </w:pPr>
      <w:r>
        <w:rPr>
          <w:rFonts w:hint="eastAsia" w:ascii="仿宋_GB2312" w:hAnsi="黑体" w:eastAsia="仿宋_GB2312" w:cstheme="minorEastAsia"/>
          <w:sz w:val="24"/>
          <w:szCs w:val="24"/>
          <w:highlight w:val="none"/>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highlight w:val="none"/>
        </w:rPr>
        <w:t>【按照实际业务的S</w:t>
      </w:r>
      <w:r>
        <w:rPr>
          <w:rFonts w:ascii="仿宋_GB2312" w:hAnsi="黑体" w:eastAsia="仿宋_GB2312" w:cstheme="minorEastAsia"/>
          <w:i/>
          <w:sz w:val="24"/>
          <w:szCs w:val="24"/>
          <w:highlight w:val="none"/>
        </w:rPr>
        <w:t>AP</w:t>
      </w:r>
      <w:r>
        <w:rPr>
          <w:rFonts w:hint="eastAsia" w:ascii="仿宋_GB2312" w:hAnsi="黑体" w:eastAsia="仿宋_GB2312" w:cstheme="minorEastAsia"/>
          <w:i/>
          <w:sz w:val="24"/>
          <w:szCs w:val="24"/>
          <w:highlight w:val="none"/>
        </w:rPr>
        <w:t>付款条件填写】</w:t>
      </w:r>
    </w:p>
    <w:p>
      <w:pPr>
        <w:spacing w:line="360" w:lineRule="auto"/>
        <w:ind w:firstLine="453" w:firstLineChars="189"/>
        <w:rPr>
          <w:rFonts w:ascii="仿宋_GB2312" w:hAnsi="黑体" w:eastAsia="仿宋_GB2312" w:cstheme="minorEastAsia"/>
          <w:i/>
          <w:sz w:val="24"/>
          <w:szCs w:val="24"/>
          <w:highlight w:val="none"/>
        </w:rPr>
      </w:pPr>
      <w:bookmarkStart w:id="76" w:name="_Toc14676804"/>
      <w:bookmarkStart w:id="77" w:name="_Toc14531628"/>
      <w:r>
        <w:rPr>
          <w:rFonts w:hint="eastAsia" w:ascii="仿宋_GB2312" w:hAnsi="黑体" w:eastAsia="仿宋_GB2312" w:cstheme="minorEastAsia"/>
          <w:sz w:val="24"/>
          <w:szCs w:val="24"/>
          <w:highlight w:val="none"/>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highlight w:val="none"/>
        </w:rPr>
        <w:t>【按照实际业务的S</w:t>
      </w:r>
      <w:r>
        <w:rPr>
          <w:rFonts w:ascii="仿宋_GB2312" w:hAnsi="黑体" w:eastAsia="仿宋_GB2312" w:cstheme="minorEastAsia"/>
          <w:i/>
          <w:sz w:val="24"/>
          <w:szCs w:val="24"/>
          <w:highlight w:val="none"/>
        </w:rPr>
        <w:t>AP</w:t>
      </w:r>
      <w:r>
        <w:rPr>
          <w:rFonts w:hint="eastAsia" w:ascii="仿宋_GB2312" w:hAnsi="黑体" w:eastAsia="仿宋_GB2312" w:cstheme="minorEastAsia"/>
          <w:i/>
          <w:sz w:val="24"/>
          <w:szCs w:val="24"/>
          <w:highlight w:val="none"/>
        </w:rPr>
        <w:t>付款条件填写】</w:t>
      </w:r>
      <w:r>
        <w:rPr>
          <w:rFonts w:hint="eastAsia" w:ascii="仿宋_GB2312" w:hAnsi="黑体" w:eastAsia="仿宋_GB2312" w:cstheme="minorEastAsia"/>
          <w:sz w:val="24"/>
          <w:szCs w:val="24"/>
          <w:highlight w:val="none"/>
        </w:rPr>
        <w:t>如有质量问题，质量保证金予以相应扣除。</w:t>
      </w:r>
      <w:bookmarkEnd w:id="76"/>
      <w:bookmarkEnd w:id="77"/>
    </w:p>
    <w:p>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78" w:name="_Toc25708"/>
      <w:bookmarkStart w:id="79" w:name="_Toc24085"/>
      <w:bookmarkStart w:id="80" w:name="_Toc16330026"/>
      <w:bookmarkStart w:id="81" w:name="_Toc6726"/>
      <w:r>
        <w:rPr>
          <w:rFonts w:hint="eastAsia" w:ascii="黑体" w:hAnsi="黑体" w:eastAsia="黑体" w:cstheme="minorEastAsia"/>
          <w:b w:val="0"/>
          <w:sz w:val="28"/>
          <w:szCs w:val="28"/>
          <w:highlight w:val="none"/>
        </w:rPr>
        <w:t>9 质量保证及售后服务</w:t>
      </w:r>
      <w:bookmarkEnd w:id="78"/>
      <w:bookmarkEnd w:id="79"/>
      <w:bookmarkEnd w:id="80"/>
      <w:bookmarkEnd w:id="81"/>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9.4本合同约定设备的质量保证期：自最终验收报告签署之日（以签署日期最晚者为准）起</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年。</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82" w:name="_Toc10359"/>
      <w:bookmarkStart w:id="83" w:name="_Toc16330027"/>
      <w:bookmarkStart w:id="84" w:name="_Toc15570"/>
      <w:bookmarkStart w:id="85" w:name="_Toc12927"/>
      <w:r>
        <w:rPr>
          <w:rFonts w:hint="eastAsia" w:ascii="黑体" w:hAnsi="黑体" w:eastAsia="黑体" w:cstheme="minorEastAsia"/>
          <w:b w:val="0"/>
          <w:sz w:val="28"/>
          <w:szCs w:val="28"/>
          <w:highlight w:val="none"/>
        </w:rPr>
        <w:t>10法定责任</w:t>
      </w:r>
      <w:bookmarkEnd w:id="82"/>
      <w:bookmarkEnd w:id="83"/>
      <w:bookmarkEnd w:id="84"/>
      <w:bookmarkEnd w:id="85"/>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highlight w:val="none"/>
        </w:rPr>
      </w:pPr>
      <w:r>
        <w:rPr>
          <w:rFonts w:hint="eastAsia" w:ascii="仿宋_GB2312" w:hAnsi="黑体" w:eastAsia="仿宋_GB2312" w:cstheme="minorEastAsia"/>
          <w:sz w:val="24"/>
          <w:szCs w:val="24"/>
          <w:highlight w:val="none"/>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86" w:name="_Toc9708"/>
      <w:bookmarkStart w:id="87" w:name="_Toc16330028"/>
      <w:bookmarkStart w:id="88" w:name="_Toc27314"/>
      <w:bookmarkStart w:id="89" w:name="_Toc30381"/>
      <w:r>
        <w:rPr>
          <w:rFonts w:hint="eastAsia" w:ascii="黑体" w:hAnsi="黑体" w:eastAsia="黑体" w:cstheme="minorEastAsia"/>
          <w:b w:val="0"/>
          <w:sz w:val="28"/>
          <w:szCs w:val="28"/>
          <w:highlight w:val="none"/>
        </w:rPr>
        <w:t>11 违约责任</w:t>
      </w:r>
      <w:bookmarkEnd w:id="86"/>
      <w:bookmarkEnd w:id="87"/>
      <w:bookmarkEnd w:id="88"/>
      <w:bookmarkEnd w:id="89"/>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highlight w:val="none"/>
        </w:rPr>
        <w:t xml:space="preserve"> </w:t>
      </w:r>
      <w:r>
        <w:rPr>
          <w:rFonts w:hint="eastAsia" w:ascii="仿宋_GB2312" w:hAnsi="黑体" w:eastAsia="仿宋_GB2312" w:cstheme="minorEastAsia"/>
          <w:sz w:val="24"/>
          <w:szCs w:val="24"/>
          <w:highlight w:val="none"/>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w:t>
      </w:r>
      <w:r>
        <w:rPr>
          <w:rFonts w:ascii="仿宋_GB2312" w:hAnsi="黑体" w:eastAsia="仿宋_GB2312" w:cstheme="minorEastAsia"/>
          <w:sz w:val="24"/>
          <w:szCs w:val="24"/>
          <w:highlight w:val="none"/>
        </w:rPr>
        <w:t>1.7</w:t>
      </w:r>
      <w:r>
        <w:rPr>
          <w:rFonts w:hint="eastAsia" w:ascii="仿宋_GB2312" w:hAnsi="黑体" w:eastAsia="仿宋_GB2312" w:cstheme="minorEastAsia"/>
          <w:sz w:val="24"/>
          <w:szCs w:val="24"/>
          <w:highlight w:val="none"/>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highlight w:val="none"/>
        </w:rPr>
      </w:pPr>
      <w:r>
        <w:rPr>
          <w:rFonts w:hint="eastAsia" w:ascii="仿宋_GB2312" w:hAnsi="黑体" w:eastAsia="仿宋_GB2312" w:cstheme="minorEastAsia"/>
          <w:sz w:val="24"/>
          <w:szCs w:val="24"/>
          <w:highlight w:val="none"/>
        </w:rPr>
        <w:t>11.</w:t>
      </w:r>
      <w:r>
        <w:rPr>
          <w:rFonts w:ascii="仿宋_GB2312" w:hAnsi="黑体" w:eastAsia="仿宋_GB2312" w:cstheme="minorEastAsia"/>
          <w:sz w:val="24"/>
          <w:szCs w:val="24"/>
          <w:highlight w:val="none"/>
        </w:rPr>
        <w:t>8</w:t>
      </w:r>
      <w:r>
        <w:rPr>
          <w:rFonts w:hint="eastAsia" w:ascii="仿宋_GB2312" w:hAnsi="黑体" w:eastAsia="仿宋_GB2312" w:cstheme="minorEastAsia"/>
          <w:sz w:val="24"/>
          <w:szCs w:val="24"/>
          <w:highlight w:val="none"/>
        </w:rPr>
        <w:t>如果卖方违反本合同其他约定（包括本合同及所有附件）应赔偿因此给买方造成的一切损失。</w:t>
      </w:r>
    </w:p>
    <w:p>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90" w:name="_Toc31554"/>
      <w:bookmarkStart w:id="91" w:name="_Toc16330029"/>
      <w:bookmarkStart w:id="92" w:name="_Toc9172"/>
      <w:bookmarkStart w:id="93" w:name="_Toc1827"/>
      <w:r>
        <w:rPr>
          <w:rFonts w:hint="eastAsia" w:ascii="黑体" w:hAnsi="黑体" w:eastAsia="黑体" w:cstheme="minorEastAsia"/>
          <w:b w:val="0"/>
          <w:sz w:val="28"/>
          <w:szCs w:val="28"/>
          <w:highlight w:val="none"/>
        </w:rPr>
        <w:t>12 合同的终止与解除</w:t>
      </w:r>
      <w:bookmarkEnd w:id="90"/>
      <w:bookmarkEnd w:id="91"/>
      <w:bookmarkEnd w:id="92"/>
      <w:bookmarkEnd w:id="93"/>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12.2经双方协商一致，可以解除本合同。</w:t>
      </w:r>
    </w:p>
    <w:p>
      <w:pPr>
        <w:spacing w:line="360" w:lineRule="auto"/>
        <w:ind w:left="397" w:left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12.3有下列情形之一的，买方可以解除本合同：</w:t>
      </w:r>
    </w:p>
    <w:p>
      <w:pPr>
        <w:spacing w:line="360" w:lineRule="auto"/>
        <w:ind w:left="397" w:left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12.3.1卖方明确表示或者以自己的行为表明不履行主要义务的；</w:t>
      </w:r>
    </w:p>
    <w:p>
      <w:pPr>
        <w:spacing w:line="360" w:lineRule="auto"/>
        <w:ind w:left="397" w:left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12.3.2卖方所提交的设备不符合本合同的规定；</w:t>
      </w:r>
    </w:p>
    <w:p>
      <w:pPr>
        <w:spacing w:line="360" w:lineRule="auto"/>
        <w:ind w:left="397" w:left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12.3.3卖方发生本合同约定的解除情形的；</w:t>
      </w:r>
    </w:p>
    <w:p>
      <w:pPr>
        <w:spacing w:line="360" w:lineRule="auto"/>
        <w:ind w:left="397" w:left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12.3.4卖方有其他违约行为。</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highlight w:val="none"/>
        </w:rPr>
      </w:pPr>
      <w:r>
        <w:rPr>
          <w:rFonts w:hint="eastAsia" w:ascii="仿宋_GB2312" w:hAnsi="黑体" w:eastAsia="仿宋_GB2312" w:cstheme="minorEastAsia"/>
          <w:sz w:val="24"/>
          <w:szCs w:val="24"/>
          <w:highlight w:val="none"/>
        </w:rPr>
        <w:t>12.7因为卖方违约导致买方解除合同的，卖方应赔偿买方因此所遭受的一切损失。</w:t>
      </w:r>
    </w:p>
    <w:p>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94" w:name="_Toc13671"/>
      <w:bookmarkStart w:id="95" w:name="_Toc31945"/>
      <w:bookmarkStart w:id="96" w:name="_Toc16330030"/>
      <w:bookmarkStart w:id="97" w:name="_Toc8620"/>
      <w:r>
        <w:rPr>
          <w:rFonts w:hint="eastAsia" w:ascii="黑体" w:hAnsi="黑体" w:eastAsia="黑体" w:cstheme="minorEastAsia"/>
          <w:b w:val="0"/>
          <w:sz w:val="28"/>
          <w:szCs w:val="28"/>
          <w:highlight w:val="none"/>
        </w:rPr>
        <w:t>13 不可抗力</w:t>
      </w:r>
      <w:bookmarkEnd w:id="94"/>
      <w:bookmarkEnd w:id="95"/>
      <w:bookmarkEnd w:id="96"/>
      <w:bookmarkEnd w:id="97"/>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13.2各方应该通过协商决定是否终止本合同，或推迟全部或部分本合同的履行或免除对方全部或部分相关履行义务。</w:t>
      </w:r>
    </w:p>
    <w:p>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98" w:name="_Toc31243"/>
      <w:bookmarkStart w:id="99" w:name="_Toc637"/>
      <w:bookmarkStart w:id="100" w:name="_Toc16330031"/>
      <w:bookmarkStart w:id="101" w:name="_Toc30389"/>
      <w:r>
        <w:rPr>
          <w:rFonts w:hint="eastAsia" w:ascii="黑体" w:hAnsi="黑体" w:eastAsia="黑体" w:cstheme="minorEastAsia"/>
          <w:b w:val="0"/>
          <w:sz w:val="28"/>
          <w:szCs w:val="28"/>
          <w:highlight w:val="none"/>
        </w:rPr>
        <w:t>14 通讯</w:t>
      </w:r>
      <w:bookmarkEnd w:id="98"/>
      <w:bookmarkEnd w:id="99"/>
      <w:bookmarkEnd w:id="100"/>
      <w:bookmarkEnd w:id="101"/>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14.1通讯地址：</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14.2生效</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14.2.1书信。书信为送达时生效；</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14.2.2传真。发送人取得成功传输的信息时生效；</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14.3书面法律证据。根据本合同以书信、传真或电子邮件方式送达任何订约方的任何通讯，将作为书面法律证据。</w:t>
      </w:r>
    </w:p>
    <w:p>
      <w:pPr>
        <w:pStyle w:val="4"/>
        <w:tabs>
          <w:tab w:val="right" w:leader="dot" w:pos="9061"/>
        </w:tabs>
        <w:spacing w:before="312" w:beforeLines="100"/>
        <w:rPr>
          <w:rFonts w:ascii="黑体" w:hAnsi="黑体" w:eastAsia="黑体" w:cstheme="minorEastAsia"/>
          <w:b w:val="0"/>
          <w:sz w:val="28"/>
          <w:szCs w:val="28"/>
          <w:highlight w:val="none"/>
        </w:rPr>
      </w:pPr>
      <w:bookmarkStart w:id="102" w:name="_Toc11290"/>
      <w:bookmarkStart w:id="103" w:name="_Toc12984"/>
      <w:bookmarkStart w:id="104" w:name="_Toc16330032"/>
      <w:bookmarkStart w:id="105" w:name="_Toc9915"/>
      <w:r>
        <w:rPr>
          <w:rFonts w:hint="eastAsia" w:ascii="黑体" w:hAnsi="黑体" w:eastAsia="黑体" w:cstheme="minorEastAsia"/>
          <w:b w:val="0"/>
          <w:sz w:val="28"/>
          <w:szCs w:val="28"/>
          <w:highlight w:val="none"/>
        </w:rPr>
        <w:t>15 适用法律及争议解决</w:t>
      </w:r>
      <w:bookmarkEnd w:id="102"/>
      <w:bookmarkEnd w:id="103"/>
      <w:bookmarkEnd w:id="104"/>
      <w:bookmarkEnd w:id="105"/>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106" w:name="_Toc23765"/>
      <w:bookmarkStart w:id="107" w:name="_Toc18207"/>
      <w:bookmarkStart w:id="108" w:name="_Toc23906"/>
      <w:bookmarkStart w:id="109" w:name="_Toc16330033"/>
      <w:r>
        <w:rPr>
          <w:rFonts w:hint="eastAsia" w:ascii="黑体" w:hAnsi="黑体" w:eastAsia="黑体" w:cstheme="minorEastAsia"/>
          <w:b w:val="0"/>
          <w:sz w:val="28"/>
          <w:szCs w:val="28"/>
          <w:highlight w:val="none"/>
        </w:rPr>
        <w:t>16 附件</w:t>
      </w:r>
      <w:bookmarkEnd w:id="106"/>
      <w:bookmarkEnd w:id="107"/>
      <w:bookmarkEnd w:id="108"/>
      <w:bookmarkEnd w:id="109"/>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16.1技术协议书；</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16.2合同设备一览表；</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16.4招标文件。</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上述附件内容与本合同约定有冲突的，以本合同约定为准。</w:t>
      </w:r>
    </w:p>
    <w:p>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110" w:name="_Toc16330034"/>
      <w:bookmarkStart w:id="111" w:name="_Toc17656"/>
      <w:bookmarkStart w:id="112" w:name="_Toc27202"/>
      <w:bookmarkStart w:id="113" w:name="_Toc31331"/>
      <w:r>
        <w:rPr>
          <w:rFonts w:hint="eastAsia" w:ascii="黑体" w:hAnsi="黑体" w:eastAsia="黑体" w:cstheme="minorEastAsia"/>
          <w:b w:val="0"/>
          <w:sz w:val="28"/>
          <w:szCs w:val="28"/>
          <w:highlight w:val="none"/>
        </w:rPr>
        <w:t>17 其他规定</w:t>
      </w:r>
      <w:bookmarkEnd w:id="110"/>
      <w:bookmarkEnd w:id="111"/>
      <w:bookmarkEnd w:id="112"/>
      <w:bookmarkEnd w:id="113"/>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highlight w:val="none"/>
        </w:rPr>
      </w:pPr>
      <w:bookmarkStart w:id="114" w:name="_Toc19077"/>
      <w:bookmarkStart w:id="115" w:name="_Toc29136"/>
      <w:bookmarkStart w:id="116" w:name="_Toc16330035"/>
      <w:bookmarkStart w:id="117" w:name="_Toc17952"/>
      <w:r>
        <w:rPr>
          <w:rFonts w:hint="eastAsia" w:ascii="仿宋_GB2312" w:eastAsia="仿宋_GB2312" w:hAnsiTheme="minorEastAsia" w:cstheme="minorEastAsia"/>
          <w:sz w:val="24"/>
          <w:szCs w:val="24"/>
          <w:highlight w:val="none"/>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18 签署事项</w:t>
      </w:r>
      <w:bookmarkEnd w:id="114"/>
      <w:bookmarkEnd w:id="115"/>
      <w:bookmarkEnd w:id="116"/>
      <w:bookmarkEnd w:id="117"/>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本合同一式</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份，买方持</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份，卖方持</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份；本合同经双方签署后生效。</w:t>
      </w:r>
    </w:p>
    <w:p>
      <w:pPr>
        <w:spacing w:line="360" w:lineRule="auto"/>
        <w:ind w:firstLine="455" w:firstLineChars="189"/>
        <w:rPr>
          <w:rFonts w:ascii="仿宋_GB2312" w:eastAsia="仿宋_GB2312" w:hAnsiTheme="minorEastAsia" w:cstheme="minorEastAsia"/>
          <w:b/>
          <w:sz w:val="24"/>
          <w:szCs w:val="24"/>
          <w:highlight w:val="none"/>
        </w:rPr>
      </w:pPr>
      <w:r>
        <w:rPr>
          <w:rFonts w:ascii="仿宋_GB2312" w:eastAsia="仿宋_GB2312" w:hAnsiTheme="minorEastAsia" w:cstheme="minorEastAsia"/>
          <w:b/>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highlight w:val="none"/>
        </w:rPr>
      </w:pPr>
      <w:r>
        <w:rPr>
          <w:rFonts w:hint="eastAsia" w:ascii="仿宋_GB2312" w:eastAsia="仿宋_GB2312" w:hAnsiTheme="minorEastAsia" w:cstheme="minorEastAsia"/>
          <w:b/>
          <w:sz w:val="24"/>
          <w:szCs w:val="24"/>
          <w:highlight w:val="none"/>
        </w:rPr>
        <w:t xml:space="preserve"> </w:t>
      </w:r>
      <w:r>
        <w:rPr>
          <w:rFonts w:ascii="仿宋_GB2312" w:eastAsia="仿宋_GB2312" w:hAnsiTheme="minorEastAsia" w:cstheme="minorEastAsia"/>
          <w:b/>
          <w:sz w:val="24"/>
          <w:szCs w:val="24"/>
          <w:highlight w:val="none"/>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（以下无正文）</w:t>
      </w:r>
    </w:p>
    <w:p>
      <w:pPr>
        <w:spacing w:line="360" w:lineRule="auto"/>
        <w:ind w:firstLine="420" w:firstLineChars="200"/>
        <w:rPr>
          <w:rFonts w:asciiTheme="minorEastAsia" w:hAnsiTheme="minorEastAsia" w:cstheme="minorEastAsia"/>
          <w:sz w:val="20"/>
          <w:szCs w:val="20"/>
          <w:highlight w:val="none"/>
        </w:rPr>
      </w:pPr>
      <w:r>
        <w:rPr>
          <w:rFonts w:hint="eastAsia"/>
          <w:highlight w:val="none"/>
        </w:rPr>
        <w:t xml:space="preserve">    </w:t>
      </w:r>
    </w:p>
    <w:p>
      <w:pPr>
        <w:spacing w:line="360" w:lineRule="auto"/>
        <w:rPr>
          <w:rFonts w:ascii="宋体" w:hAnsi="宋体"/>
          <w:snapToGrid w:val="0"/>
          <w:kern w:val="0"/>
          <w:sz w:val="20"/>
          <w:szCs w:val="20"/>
          <w:highlight w:val="none"/>
          <w:lang w:eastAsia="zh-Hans"/>
        </w:rPr>
      </w:pPr>
    </w:p>
    <w:p>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甲方</w:t>
      </w:r>
      <w:r>
        <w:rPr>
          <w:rFonts w:hint="eastAsia" w:ascii="仿宋_GB2312" w:hAnsi="宋体" w:eastAsia="仿宋_GB2312"/>
          <w:snapToGrid w:val="0"/>
          <w:kern w:val="0"/>
          <w:sz w:val="24"/>
          <w:szCs w:val="24"/>
          <w:highlight w:val="none"/>
        </w:rPr>
        <w:t>（盖章）</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kern w:val="0"/>
          <w:sz w:val="24"/>
          <w:szCs w:val="24"/>
          <w:highlight w:val="none"/>
        </w:rPr>
        <w:t xml:space="preserve">           </w:t>
      </w:r>
      <w:r>
        <w:rPr>
          <w:rFonts w:hint="eastAsia" w:ascii="仿宋_GB2312" w:hAnsi="宋体" w:eastAsia="仿宋_GB2312"/>
          <w:snapToGrid w:val="0"/>
          <w:kern w:val="0"/>
          <w:sz w:val="24"/>
          <w:szCs w:val="24"/>
          <w:highlight w:val="none"/>
          <w:lang w:eastAsia="zh-Hans"/>
        </w:rPr>
        <w:t>乙方</w:t>
      </w:r>
      <w:r>
        <w:rPr>
          <w:rFonts w:hint="eastAsia" w:ascii="仿宋_GB2312" w:hAnsi="宋体" w:eastAsia="仿宋_GB2312"/>
          <w:snapToGrid w:val="0"/>
          <w:kern w:val="0"/>
          <w:sz w:val="24"/>
          <w:szCs w:val="24"/>
          <w:highlight w:val="none"/>
        </w:rPr>
        <w:t>（盖章）</w:t>
      </w:r>
      <w:r>
        <w:rPr>
          <w:rFonts w:hint="eastAsia" w:ascii="仿宋_GB2312" w:hAnsi="宋体" w:eastAsia="仿宋_GB2312"/>
          <w:snapToGrid w:val="0"/>
          <w:kern w:val="0"/>
          <w:sz w:val="24"/>
          <w:szCs w:val="24"/>
          <w:highlight w:val="none"/>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法定代表人或代理人（签字）：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地  址：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开户银行：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highlight w:val="none"/>
        </w:rPr>
      </w:pPr>
      <w:r>
        <w:rPr>
          <w:rFonts w:hint="eastAsia" w:ascii="仿宋_GB2312" w:hAnsi="宋体" w:eastAsia="仿宋_GB2312"/>
          <w:snapToGrid w:val="0"/>
          <w:color w:val="000000"/>
          <w:kern w:val="0"/>
          <w:sz w:val="24"/>
          <w:szCs w:val="24"/>
          <w:highlight w:val="none"/>
          <w:lang w:eastAsia="zh-Hans"/>
        </w:rPr>
        <w:t xml:space="preserve">账  号：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账 号： </w:t>
      </w:r>
    </w:p>
    <w:p>
      <w:pPr>
        <w:spacing w:line="360" w:lineRule="auto"/>
        <w:rPr>
          <w:rFonts w:ascii="仿宋_GB2312" w:eastAsia="仿宋_GB2312"/>
          <w:sz w:val="24"/>
          <w:szCs w:val="24"/>
          <w:highlight w:val="none"/>
        </w:rPr>
      </w:pPr>
    </w:p>
    <w:p>
      <w:pPr>
        <w:pStyle w:val="4"/>
        <w:tabs>
          <w:tab w:val="right" w:leader="dot" w:pos="9061"/>
        </w:tabs>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附件一：设备清单明细表</w:t>
      </w:r>
    </w:p>
    <w:p>
      <w:pPr>
        <w:rPr>
          <w:highlight w:val="none"/>
        </w:rPr>
      </w:pPr>
    </w:p>
    <w:tbl>
      <w:tblPr>
        <w:tblStyle w:val="35"/>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规格型号及</w:t>
            </w:r>
          </w:p>
          <w:p>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pPr>
              <w:spacing w:line="360" w:lineRule="auto"/>
              <w:jc w:val="center"/>
              <w:rPr>
                <w:rFonts w:ascii="仿宋_GB2312" w:eastAsia="仿宋_GB2312" w:hAnsiTheme="minorEastAsia" w:cstheme="minorEastAsia"/>
                <w:sz w:val="24"/>
                <w:szCs w:val="24"/>
                <w:highlight w:val="none"/>
              </w:rPr>
            </w:pPr>
          </w:p>
        </w:tc>
        <w:tc>
          <w:tcPr>
            <w:tcW w:w="708" w:type="dxa"/>
            <w:vAlign w:val="center"/>
          </w:tcPr>
          <w:p>
            <w:pPr>
              <w:spacing w:line="360" w:lineRule="auto"/>
              <w:jc w:val="center"/>
              <w:rPr>
                <w:rFonts w:ascii="仿宋_GB2312" w:eastAsia="仿宋_GB2312" w:hAnsiTheme="minorEastAsia" w:cstheme="minorEastAsia"/>
                <w:sz w:val="24"/>
                <w:szCs w:val="24"/>
                <w:highlight w:val="none"/>
              </w:rPr>
            </w:pPr>
          </w:p>
        </w:tc>
        <w:tc>
          <w:tcPr>
            <w:tcW w:w="708" w:type="dxa"/>
            <w:vAlign w:val="center"/>
          </w:tcPr>
          <w:p>
            <w:pPr>
              <w:spacing w:line="360" w:lineRule="auto"/>
              <w:jc w:val="center"/>
              <w:rPr>
                <w:rFonts w:ascii="仿宋_GB2312" w:eastAsia="仿宋_GB2312" w:hAnsiTheme="minorEastAsia" w:cstheme="minorEastAsia"/>
                <w:sz w:val="24"/>
                <w:szCs w:val="24"/>
                <w:highlight w:val="none"/>
              </w:rPr>
            </w:pPr>
          </w:p>
        </w:tc>
      </w:tr>
    </w:tbl>
    <w:p>
      <w:pPr>
        <w:rPr>
          <w:rFonts w:asciiTheme="minorEastAsia" w:hAnsiTheme="minorEastAsia" w:cstheme="minorEastAsia"/>
          <w:sz w:val="20"/>
          <w:szCs w:val="20"/>
          <w:highlight w:val="none"/>
        </w:rPr>
      </w:pPr>
      <w:bookmarkStart w:id="118" w:name="_Toc16330037"/>
      <w:bookmarkStart w:id="119" w:name="_Toc3778"/>
      <w:bookmarkStart w:id="120" w:name="_Toc5379"/>
      <w:bookmarkStart w:id="121" w:name="_Toc25120"/>
      <w:bookmarkStart w:id="122" w:name="_Toc24623"/>
      <w:r>
        <w:rPr>
          <w:rFonts w:hint="eastAsia" w:asciiTheme="minorEastAsia" w:hAnsiTheme="minorEastAsia" w:cstheme="minorEastAsia"/>
          <w:sz w:val="20"/>
          <w:szCs w:val="20"/>
          <w:highlight w:val="none"/>
        </w:rPr>
        <w:br w:type="page"/>
      </w:r>
    </w:p>
    <w:p>
      <w:pPr>
        <w:pStyle w:val="4"/>
        <w:tabs>
          <w:tab w:val="right" w:leader="dot" w:pos="9061"/>
        </w:tabs>
        <w:rPr>
          <w:rFonts w:ascii="黑体" w:hAnsi="黑体" w:eastAsia="黑体" w:cstheme="minorEastAsia"/>
          <w:b w:val="0"/>
          <w:i/>
          <w:sz w:val="28"/>
          <w:szCs w:val="28"/>
          <w:highlight w:val="none"/>
        </w:rPr>
      </w:pPr>
      <w:r>
        <w:rPr>
          <w:rFonts w:hint="eastAsia" w:ascii="黑体" w:hAnsi="黑体" w:eastAsia="黑体" w:cstheme="minorEastAsia"/>
          <w:b w:val="0"/>
          <w:sz w:val="28"/>
          <w:szCs w:val="28"/>
          <w:highlight w:val="none"/>
        </w:rPr>
        <w:t xml:space="preserve">附件二 </w:t>
      </w:r>
      <w:bookmarkEnd w:id="118"/>
      <w:bookmarkEnd w:id="119"/>
      <w:bookmarkEnd w:id="120"/>
      <w:bookmarkEnd w:id="121"/>
      <w:bookmarkEnd w:id="122"/>
      <w:r>
        <w:rPr>
          <w:rFonts w:hint="eastAsia" w:ascii="黑体" w:hAnsi="黑体" w:eastAsia="黑体" w:cstheme="minorEastAsia"/>
          <w:b w:val="0"/>
          <w:sz w:val="28"/>
          <w:szCs w:val="28"/>
          <w:highlight w:val="none"/>
        </w:rPr>
        <w:t>技术协议书</w:t>
      </w:r>
    </w:p>
    <w:p>
      <w:pPr>
        <w:ind w:right="360"/>
        <w:rPr>
          <w:rFonts w:asciiTheme="minorEastAsia" w:hAnsiTheme="minorEastAsia" w:cstheme="minorEastAsia"/>
          <w:sz w:val="20"/>
          <w:szCs w:val="20"/>
          <w:highlight w:val="none"/>
        </w:rPr>
      </w:pPr>
    </w:p>
    <w:p>
      <w:pPr>
        <w:jc w:val="right"/>
        <w:rPr>
          <w:rFonts w:asciiTheme="minorEastAsia" w:hAnsiTheme="minorEastAsia" w:cstheme="minorEastAsia"/>
          <w:sz w:val="20"/>
          <w:szCs w:val="20"/>
          <w:highlight w:val="none"/>
        </w:rPr>
      </w:pPr>
    </w:p>
    <w:p>
      <w:pPr>
        <w:jc w:val="right"/>
        <w:rPr>
          <w:rFonts w:asciiTheme="minorEastAsia" w:hAnsiTheme="minorEastAsia" w:cstheme="minorEastAsia"/>
          <w:sz w:val="20"/>
          <w:szCs w:val="20"/>
          <w:highlight w:val="none"/>
        </w:rPr>
      </w:pPr>
    </w:p>
    <w:p>
      <w:pPr>
        <w:jc w:val="right"/>
        <w:rPr>
          <w:rFonts w:asciiTheme="minorEastAsia" w:hAnsiTheme="minorEastAsia" w:cstheme="minorEastAsia"/>
          <w:sz w:val="20"/>
          <w:szCs w:val="20"/>
          <w:highlight w:val="none"/>
        </w:rPr>
      </w:pPr>
      <w:r>
        <w:rPr>
          <w:rFonts w:hint="eastAsia" w:asciiTheme="minorEastAsia" w:hAnsiTheme="minorEastAsia" w:cstheme="minorEastAsia"/>
          <w:sz w:val="20"/>
          <w:szCs w:val="20"/>
          <w:highlight w:val="none"/>
        </w:rPr>
        <w:t xml:space="preserve">                                      </w:t>
      </w:r>
    </w:p>
    <w:p>
      <w:pPr>
        <w:jc w:val="right"/>
        <w:rPr>
          <w:rFonts w:asciiTheme="minorEastAsia" w:hAnsiTheme="minorEastAsia" w:cstheme="minorEastAsia"/>
          <w:sz w:val="20"/>
          <w:szCs w:val="20"/>
          <w:highlight w:val="none"/>
        </w:rPr>
      </w:pPr>
    </w:p>
    <w:p>
      <w:pPr>
        <w:wordWrap w:val="0"/>
        <w:ind w:right="480"/>
        <w:rPr>
          <w:rFonts w:asciiTheme="minorEastAsia" w:hAnsiTheme="minorEastAsia" w:cstheme="minorEastAsia"/>
          <w:sz w:val="20"/>
          <w:szCs w:val="20"/>
          <w:highlight w:val="none"/>
        </w:rPr>
      </w:pPr>
    </w:p>
    <w:p>
      <w:pPr>
        <w:jc w:val="right"/>
        <w:rPr>
          <w:rFonts w:ascii="楷体_GB2312" w:hAnsi="宋体" w:eastAsia="楷体_GB2312"/>
          <w:sz w:val="24"/>
          <w:highlight w:val="none"/>
        </w:rPr>
      </w:pPr>
      <w:bookmarkStart w:id="123" w:name="_Toc14341849"/>
    </w:p>
    <w:p>
      <w:pPr>
        <w:ind w:right="480"/>
        <w:jc w:val="center"/>
        <w:rPr>
          <w:sz w:val="24"/>
          <w:szCs w:val="24"/>
          <w:highlight w:val="none"/>
        </w:rPr>
      </w:pPr>
      <w:r>
        <w:rPr>
          <w:rFonts w:hint="eastAsia" w:ascii="楷体_GB2312" w:hAnsi="宋体" w:eastAsia="楷体_GB2312"/>
          <w:sz w:val="24"/>
          <w:highlight w:val="none"/>
        </w:rPr>
        <w:t xml:space="preserve">                                    </w:t>
      </w:r>
    </w:p>
    <w:bookmarkEnd w:id="123"/>
    <w:p>
      <w:pPr>
        <w:rPr>
          <w:rFonts w:ascii="方正小标宋简体" w:hAnsi="方正小标宋简体" w:eastAsia="方正小标宋简体" w:cs="方正小标宋简体"/>
          <w:sz w:val="40"/>
          <w:szCs w:val="21"/>
          <w:highlight w:val="none"/>
        </w:rPr>
      </w:pPr>
      <w:r>
        <w:rPr>
          <w:rFonts w:hint="eastAsia" w:ascii="方正小标宋简体" w:hAnsi="方正小标宋简体" w:eastAsia="方正小标宋简体" w:cs="方正小标宋简体"/>
          <w:sz w:val="40"/>
          <w:szCs w:val="21"/>
          <w:highlight w:val="none"/>
        </w:rPr>
        <w:br w:type="page"/>
      </w:r>
    </w:p>
    <w:p>
      <w:pPr>
        <w:spacing w:before="118"/>
        <w:ind w:right="3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p>
    <w:p>
      <w:pPr>
        <w:pStyle w:val="12"/>
        <w:spacing w:before="8" w:after="156"/>
        <w:rPr>
          <w:rFonts w:ascii="楷体" w:hAnsi="楷体" w:eastAsia="楷体" w:cs="楷体"/>
          <w:sz w:val="44"/>
          <w:szCs w:val="28"/>
          <w:highlight w:val="none"/>
        </w:rPr>
      </w:pPr>
    </w:p>
    <w:p>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乙方：</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highlight w:val="none"/>
        </w:rPr>
        <w:t>,共同加强廉洁自律建设，甲乙双方在平等、自愿、协商一致的原则下，签订本协议。</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2.乙方声明并承诺甲方人员或其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没有直接或间接投资乙方或持有乙方股权，没有直接或间接投资乙方关联企业或持有乙方关联企业股权。</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在乙方或乙方关联企业股东或实际出资人或高管或主要业务人员成立的企业中担任高管或为其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若乙方为甲方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，如在本协议签订前乙方存在本条规定情形的，需在本协议签订后30日内，将相关情况报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4.乙方承诺依法开展经营活动，不得有任何形式的商业贿赂行为。乙方一经发现其员工或其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协议，并要求乙方赔偿。</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5.乙方承诺不以任何理由为甲方人员及其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6.乙方应当通过正常途径开展相关业务，决不为谋取不正当利益诱使甲方人员就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7.若乙方发现甲方人员或其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有任何形式的索贿受贿行为，乙方有责任向甲方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任何借口对乙方进行报复。对举报属实和严格遵守廉洁协议的乙方，在同等条件下甲方优先考虑与乙方继续合作并给予更优惠的商务合作条件。</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8.若乙方知悉其它与甲方合作的供应商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存在违反本协议规定之行为，乙方应向甲方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pPr>
        <w:pStyle w:val="12"/>
        <w:spacing w:before="9" w:after="156"/>
        <w:rPr>
          <w:rFonts w:ascii="楷体" w:hAnsi="楷体" w:eastAsia="楷体" w:cs="楷体"/>
          <w:sz w:val="40"/>
          <w:szCs w:val="28"/>
          <w:highlight w:val="none"/>
        </w:rPr>
      </w:pPr>
    </w:p>
    <w:p>
      <w:pPr>
        <w:tabs>
          <w:tab w:val="left" w:pos="5457"/>
        </w:tabs>
        <w:spacing w:before="1"/>
        <w:ind w:left="117"/>
        <w:rPr>
          <w:rFonts w:ascii="楷体" w:hAnsi="楷体" w:eastAsia="楷体" w:cs="楷体"/>
          <w:b/>
          <w:sz w:val="24"/>
          <w:szCs w:val="21"/>
          <w:highlight w:val="none"/>
        </w:rPr>
      </w:pPr>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rPr>
        <w:t>乙方（盖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p>
    <w:p>
      <w:pPr>
        <w:pStyle w:val="12"/>
        <w:spacing w:after="156"/>
        <w:rPr>
          <w:rFonts w:ascii="楷体" w:hAnsi="楷体" w:eastAsia="楷体" w:cs="楷体"/>
          <w:b/>
          <w:sz w:val="24"/>
          <w:szCs w:val="28"/>
          <w:highlight w:val="none"/>
        </w:rPr>
      </w:pPr>
    </w:p>
    <w:p>
      <w:pPr>
        <w:pStyle w:val="12"/>
        <w:spacing w:before="1" w:after="156"/>
        <w:rPr>
          <w:rFonts w:ascii="楷体" w:hAnsi="楷体" w:eastAsia="楷体" w:cs="楷体"/>
          <w:b/>
          <w:sz w:val="24"/>
          <w:szCs w:val="28"/>
          <w:highlight w:val="none"/>
        </w:rPr>
      </w:pPr>
    </w:p>
    <w:p>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p>
    <w:p>
      <w:pPr>
        <w:pStyle w:val="12"/>
        <w:spacing w:after="156"/>
        <w:rPr>
          <w:rFonts w:ascii="楷体" w:hAnsi="楷体" w:eastAsia="楷体" w:cs="楷体"/>
          <w:b/>
          <w:sz w:val="24"/>
          <w:szCs w:val="28"/>
          <w:highlight w:val="none"/>
        </w:rPr>
      </w:pPr>
    </w:p>
    <w:p>
      <w:pPr>
        <w:pStyle w:val="12"/>
        <w:spacing w:before="4" w:after="156"/>
        <w:rPr>
          <w:rFonts w:ascii="楷体" w:hAnsi="楷体" w:eastAsia="楷体" w:cs="楷体"/>
          <w:b/>
          <w:sz w:val="24"/>
          <w:szCs w:val="28"/>
          <w:highlight w:val="none"/>
        </w:rPr>
      </w:pPr>
    </w:p>
    <w:p>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p>
    <w:p>
      <w:pPr>
        <w:tabs>
          <w:tab w:val="left" w:pos="5457"/>
        </w:tabs>
        <w:ind w:left="117"/>
        <w:rPr>
          <w:rFonts w:ascii="楷体" w:hAnsi="楷体" w:eastAsia="楷体" w:cs="楷体"/>
          <w:b/>
          <w:sz w:val="24"/>
          <w:szCs w:val="21"/>
          <w:highlight w:val="none"/>
        </w:rPr>
      </w:pPr>
    </w:p>
    <w:p>
      <w:pPr>
        <w:keepNext/>
        <w:keepLines/>
        <w:jc w:val="center"/>
        <w:outlineLvl w:val="0"/>
        <w:rPr>
          <w:rFonts w:ascii="Calibri" w:hAnsi="Calibri" w:eastAsia="宋体" w:cs="Times New Roman"/>
          <w:b/>
          <w:bCs/>
          <w:kern w:val="44"/>
          <w:sz w:val="36"/>
          <w:szCs w:val="44"/>
          <w:highlight w:val="none"/>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第六部分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43"/>
    </w:p>
    <w:p>
      <w:pPr>
        <w:keepNext/>
        <w:keepLines/>
        <w:rPr>
          <w:rFonts w:ascii="Times New Roman" w:hAnsi="Times New Roman" w:eastAsia="宋体" w:cs="Times New Roman"/>
          <w:b/>
          <w:bCs/>
          <w:color w:val="000000"/>
          <w:sz w:val="24"/>
          <w:szCs w:val="24"/>
          <w:highlight w:val="none"/>
        </w:rPr>
      </w:pPr>
    </w:p>
    <w:p>
      <w:pPr>
        <w:pStyle w:val="17"/>
        <w:rPr>
          <w:rFonts w:ascii="Times New Roman" w:hAnsi="Times New Roman" w:eastAsia="宋体" w:cs="Times New Roman"/>
          <w:b/>
          <w:bCs/>
          <w:color w:val="000000"/>
          <w:sz w:val="24"/>
          <w:szCs w:val="24"/>
          <w:highlight w:val="none"/>
        </w:rPr>
      </w:pP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pPr>
        <w:pStyle w:val="17"/>
        <w:rPr>
          <w:rFonts w:ascii="Times New Roman" w:hAnsi="Times New Roman" w:eastAsia="宋体" w:cs="Times New Roman"/>
          <w:b/>
          <w:bCs/>
          <w:color w:val="000000"/>
          <w:sz w:val="24"/>
          <w:szCs w:val="24"/>
          <w:highlight w:val="none"/>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124" w:name="_Toc25811"/>
      <w:bookmarkStart w:id="125" w:name="_Toc212369550"/>
      <w:bookmarkStart w:id="126" w:name="_Toc639004"/>
      <w:bookmarkStart w:id="127" w:name="_Toc353881012"/>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124"/>
      <w:bookmarkEnd w:id="125"/>
      <w:bookmarkEnd w:id="126"/>
      <w:bookmarkEnd w:id="127"/>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致：中国重汽集团济南动力有限公司：</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宋体"/>
          <w:sz w:val="24"/>
          <w:szCs w:val="24"/>
          <w:highlight w:val="none"/>
          <w:u w:val="single"/>
        </w:rPr>
        <w:t>XXXXXX</w:t>
      </w:r>
      <w:r>
        <w:rPr>
          <w:rFonts w:hint="eastAsia" w:ascii="宋体" w:hAnsi="宋体" w:eastAsia="宋体" w:cs="Times New Roman"/>
          <w:bCs/>
          <w:snapToGrid w:val="0"/>
          <w:color w:val="000000"/>
          <w:kern w:val="0"/>
          <w:sz w:val="24"/>
          <w:szCs w:val="24"/>
          <w:highlight w:val="none"/>
        </w:rPr>
        <w:t>项目招标公告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提交纸质投标文件：资质证明文件、商务文件和技术文件正本一份；电子版投标文件一份。</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pPr>
        <w:rPr>
          <w:rFonts w:ascii="黑体" w:hAnsi="Calibri" w:eastAsia="黑体" w:cs="Times New Roman"/>
          <w:color w:val="000000"/>
          <w:sz w:val="24"/>
          <w:szCs w:val="24"/>
          <w:highlight w:val="none"/>
        </w:rPr>
      </w:pPr>
    </w:p>
    <w:p>
      <w:pPr>
        <w:rPr>
          <w:rFonts w:ascii="黑体" w:hAnsi="Calibri" w:eastAsia="黑体" w:cs="Times New Roman"/>
          <w:color w:val="000000"/>
          <w:sz w:val="24"/>
          <w:szCs w:val="24"/>
          <w:highlight w:val="none"/>
        </w:rPr>
      </w:pPr>
    </w:p>
    <w:p>
      <w:pPr>
        <w:pStyle w:val="17"/>
        <w:rPr>
          <w:rFonts w:ascii="黑体" w:hAnsi="Calibri" w:eastAsia="黑体" w:cs="Times New Roman"/>
          <w:color w:val="000000"/>
          <w:sz w:val="24"/>
          <w:szCs w:val="24"/>
          <w:highlight w:val="none"/>
        </w:rPr>
      </w:pPr>
    </w:p>
    <w:p>
      <w:pPr>
        <w:pStyle w:val="17"/>
        <w:rPr>
          <w:rFonts w:ascii="黑体" w:hAnsi="Calibri" w:eastAsia="黑体" w:cs="Times New Roman"/>
          <w:color w:val="000000"/>
          <w:sz w:val="24"/>
          <w:szCs w:val="24"/>
          <w:highlight w:val="none"/>
        </w:rPr>
      </w:pPr>
    </w:p>
    <w:p>
      <w:pPr>
        <w:pStyle w:val="17"/>
        <w:rPr>
          <w:rFonts w:ascii="黑体" w:hAnsi="Calibri" w:eastAsia="黑体" w:cs="Times New Roman"/>
          <w:color w:val="000000"/>
          <w:sz w:val="24"/>
          <w:szCs w:val="24"/>
          <w:highlight w:val="none"/>
        </w:rPr>
      </w:pPr>
    </w:p>
    <w:p>
      <w:pPr>
        <w:pStyle w:val="17"/>
        <w:rPr>
          <w:rFonts w:ascii="黑体" w:hAnsi="Calibri" w:eastAsia="黑体" w:cs="Times New Roman"/>
          <w:color w:val="000000"/>
          <w:sz w:val="24"/>
          <w:szCs w:val="24"/>
          <w:highlight w:val="none"/>
        </w:rPr>
      </w:pPr>
    </w:p>
    <w:p>
      <w:pPr>
        <w:rPr>
          <w:rFonts w:ascii="黑体" w:hAnsi="Calibri" w:eastAsia="黑体" w:cs="Times New Roman"/>
          <w:color w:val="000000"/>
          <w:sz w:val="24"/>
          <w:szCs w:val="24"/>
          <w:highlight w:val="none"/>
        </w:rPr>
      </w:pPr>
    </w:p>
    <w:p>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p>
    <w:p>
      <w:pPr>
        <w:adjustRightInd w:val="0"/>
        <w:snapToGrid w:val="0"/>
        <w:spacing w:before="93" w:beforeLines="30" w:line="240" w:lineRule="exact"/>
        <w:jc w:val="center"/>
        <w:rPr>
          <w:rFonts w:ascii="宋体" w:hAnsi="Calibri" w:eastAsia="宋体" w:cs="Times New Roman"/>
          <w:sz w:val="24"/>
          <w:szCs w:val="20"/>
          <w:highlight w:val="none"/>
        </w:rPr>
      </w:pP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宋体"/>
          <w:sz w:val="24"/>
          <w:szCs w:val="24"/>
          <w:highlight w:val="none"/>
          <w:u w:val="single"/>
        </w:rPr>
        <w:t>XXXXXX项目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eastAsia="zh-CN"/>
        </w:rPr>
        <w:t>CGZX2025060226</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pPr>
        <w:rPr>
          <w:rFonts w:ascii="Calibri" w:hAnsi="Calibri" w:eastAsia="黑体" w:cs="Times New Roman"/>
          <w:b/>
          <w:bCs/>
          <w:color w:val="000000"/>
          <w:sz w:val="28"/>
          <w:szCs w:val="20"/>
          <w:highlight w:val="none"/>
        </w:rPr>
      </w:pPr>
    </w:p>
    <w:p>
      <w:pPr>
        <w:pStyle w:val="17"/>
        <w:rPr>
          <w:rFonts w:ascii="Calibri" w:hAnsi="Calibri" w:eastAsia="黑体" w:cs="Times New Roman"/>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pPr>
              <w:pStyle w:val="129"/>
              <w:spacing w:before="114"/>
              <w:ind w:left="720"/>
              <w:rPr>
                <w:highlight w:val="none"/>
              </w:rPr>
            </w:pPr>
            <w:r>
              <w:rPr>
                <w:highlight w:val="none"/>
              </w:rP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pPr>
              <w:pStyle w:val="129"/>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rPr>
                <w:highlight w:val="none"/>
              </w:rPr>
            </w:pPr>
            <w:r>
              <w:rPr>
                <w:highlight w:val="none"/>
              </w:rP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pPr>
              <w:pStyle w:val="129"/>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rPr>
                <w:highlight w:val="none"/>
              </w:rPr>
            </w:pPr>
            <w:r>
              <w:rPr>
                <w:highlight w:val="none"/>
              </w:rP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pPr>
              <w:pStyle w:val="129"/>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highlight w:val="none"/>
              </w:rPr>
            </w:pPr>
            <w:r>
              <w:rPr>
                <w:highlight w:val="none"/>
              </w:rP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pPr>
              <w:pStyle w:val="129"/>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rPr>
                <w:highlight w:val="none"/>
              </w:rPr>
            </w:pPr>
            <w:r>
              <w:rPr>
                <w:highlight w:val="none"/>
              </w:rPr>
              <w:t xml:space="preserve">品牌区分 </w:t>
            </w:r>
          </w:p>
        </w:tc>
        <w:tc>
          <w:tcPr>
            <w:tcW w:w="7500" w:type="dxa"/>
            <w:gridSpan w:val="6"/>
          </w:tcPr>
          <w:p>
            <w:pPr>
              <w:pStyle w:val="129"/>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rPr>
                <w:highlight w:val="none"/>
              </w:rPr>
            </w:pPr>
            <w:r>
              <w:rPr>
                <w:highlight w:val="none"/>
              </w:rPr>
              <w:t xml:space="preserve">品牌名称 </w:t>
            </w:r>
          </w:p>
        </w:tc>
        <w:tc>
          <w:tcPr>
            <w:tcW w:w="3583" w:type="dxa"/>
            <w:gridSpan w:val="3"/>
            <w:vAlign w:val="center"/>
          </w:tcPr>
          <w:p>
            <w:pPr>
              <w:widowControl/>
              <w:rPr>
                <w:rFonts w:ascii="宋体" w:hAnsi="宋体" w:eastAsia="仿宋_GB2312"/>
                <w:kern w:val="0"/>
                <w:szCs w:val="21"/>
                <w:highlight w:val="none"/>
                <w:lang w:bidi="ar"/>
              </w:rPr>
            </w:pPr>
          </w:p>
        </w:tc>
        <w:tc>
          <w:tcPr>
            <w:tcW w:w="1097" w:type="dxa"/>
          </w:tcPr>
          <w:p>
            <w:pPr>
              <w:pStyle w:val="129"/>
              <w:spacing w:before="15"/>
              <w:ind w:left="279"/>
              <w:rPr>
                <w:highlight w:val="none"/>
              </w:rPr>
            </w:pPr>
            <w:r>
              <w:rPr>
                <w:spacing w:val="-2"/>
                <w:highlight w:val="none"/>
              </w:rPr>
              <w:t>质量</w:t>
            </w:r>
            <w:r>
              <w:rPr>
                <w:highlight w:val="none"/>
              </w:rPr>
              <w:t xml:space="preserve"> </w:t>
            </w:r>
          </w:p>
          <w:p>
            <w:pPr>
              <w:pStyle w:val="129"/>
              <w:spacing w:before="30" w:line="277" w:lineRule="exact"/>
              <w:ind w:left="279"/>
              <w:rPr>
                <w:highlight w:val="none"/>
              </w:rPr>
            </w:pPr>
            <w:r>
              <w:rPr>
                <w:rFonts w:hint="eastAsia"/>
                <w:highlight w:val="none"/>
              </w:rPr>
              <w:t>体系</w:t>
            </w:r>
          </w:p>
        </w:tc>
        <w:tc>
          <w:tcPr>
            <w:tcW w:w="2820" w:type="dxa"/>
            <w:gridSpan w:val="2"/>
          </w:tcPr>
          <w:p>
            <w:pPr>
              <w:pStyle w:val="129"/>
              <w:spacing w:before="158"/>
              <w:jc w:val="center"/>
              <w:rPr>
                <w:sz w:val="24"/>
                <w:highlight w:val="none"/>
              </w:rPr>
            </w:pPr>
            <w:r>
              <w:rPr>
                <w:rFonts w:hint="eastAsia"/>
                <w:kern w:val="0"/>
                <w:szCs w:val="21"/>
                <w:highlight w:val="none"/>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rPr>
                <w:highlight w:val="none"/>
              </w:rPr>
            </w:pPr>
            <w:r>
              <w:rPr>
                <w:rFonts w:hint="eastAsia"/>
                <w:szCs w:val="21"/>
                <w:highlight w:val="none"/>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pPr>
              <w:widowControl/>
              <w:textAlignment w:val="center"/>
              <w:rPr>
                <w:rFonts w:ascii="宋体" w:hAnsi="宋体" w:eastAsia="宋体" w:cs="宋体"/>
                <w:szCs w:val="21"/>
                <w:highlight w:val="none"/>
              </w:rPr>
            </w:pPr>
          </w:p>
        </w:tc>
        <w:tc>
          <w:tcPr>
            <w:tcW w:w="1530" w:type="dxa"/>
            <w:vAlign w:val="center"/>
          </w:tcPr>
          <w:p>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pPr>
              <w:widowControl/>
              <w:jc w:val="center"/>
              <w:textAlignment w:val="center"/>
              <w:rPr>
                <w:rFonts w:ascii="宋体" w:hAnsi="宋体" w:eastAsia="宋体" w:cs="宋体"/>
                <w:szCs w:val="21"/>
                <w:highlight w:val="none"/>
              </w:rPr>
            </w:pPr>
          </w:p>
        </w:tc>
        <w:tc>
          <w:tcPr>
            <w:tcW w:w="1097" w:type="dxa"/>
            <w:vAlign w:val="center"/>
          </w:tcPr>
          <w:p>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pPr>
              <w:widowControl/>
              <w:jc w:val="center"/>
              <w:textAlignment w:val="center"/>
              <w:rPr>
                <w:rFonts w:ascii="宋体" w:hAnsi="宋体" w:eastAsia="宋体" w:cs="宋体"/>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highlight w:val="none"/>
                <w:lang w:bidi="ar"/>
              </w:rPr>
            </w:pPr>
          </w:p>
        </w:tc>
      </w:tr>
    </w:tbl>
    <w:p>
      <w:pPr>
        <w:pStyle w:val="17"/>
        <w:rPr>
          <w:rFonts w:ascii="Times New Roman" w:hAnsi="Times New Roman" w:eastAsia="宋体" w:cs="Times New Roman"/>
          <w:b/>
          <w:bCs/>
          <w:color w:val="000000"/>
          <w:sz w:val="24"/>
          <w:szCs w:val="24"/>
          <w:highlight w:val="none"/>
        </w:rPr>
      </w:pPr>
    </w:p>
    <w:p>
      <w:pPr>
        <w:pStyle w:val="17"/>
        <w:rPr>
          <w:rFonts w:ascii="Times New Roman" w:hAnsi="Times New Roman" w:eastAsia="宋体" w:cs="Times New Roman"/>
          <w:b/>
          <w:bCs/>
          <w:color w:val="000000"/>
          <w:sz w:val="24"/>
          <w:szCs w:val="24"/>
          <w:highlight w:val="none"/>
        </w:rPr>
      </w:pPr>
    </w:p>
    <w:p>
      <w:pPr>
        <w:pStyle w:val="17"/>
        <w:rPr>
          <w:rFonts w:ascii="Times New Roman" w:hAnsi="Times New Roman" w:eastAsia="宋体" w:cs="Times New Roman"/>
          <w:b/>
          <w:bCs/>
          <w:color w:val="000000"/>
          <w:sz w:val="24"/>
          <w:szCs w:val="24"/>
          <w:highlight w:val="none"/>
        </w:rPr>
      </w:pPr>
    </w:p>
    <w:p>
      <w:pPr>
        <w:pStyle w:val="17"/>
        <w:rPr>
          <w:rFonts w:ascii="Times New Roman" w:hAnsi="Times New Roman" w:eastAsia="宋体" w:cs="Times New Roman"/>
          <w:b/>
          <w:bCs/>
          <w:color w:val="000000"/>
          <w:sz w:val="24"/>
          <w:szCs w:val="24"/>
          <w:highlight w:val="none"/>
        </w:rPr>
      </w:pPr>
    </w:p>
    <w:p>
      <w:pPr>
        <w:pStyle w:val="17"/>
        <w:rPr>
          <w:rFonts w:ascii="Times New Roman" w:hAnsi="Times New Roman" w:eastAsia="宋体" w:cs="Times New Roman"/>
          <w:b/>
          <w:bCs/>
          <w:color w:val="000000"/>
          <w:sz w:val="24"/>
          <w:szCs w:val="24"/>
          <w:highlight w:val="none"/>
        </w:rPr>
      </w:pPr>
    </w:p>
    <w:p>
      <w:pPr>
        <w:pStyle w:val="17"/>
        <w:rPr>
          <w:rFonts w:ascii="Times New Roman" w:hAnsi="Times New Roman" w:eastAsia="宋体" w:cs="Times New Roman"/>
          <w:b/>
          <w:bCs/>
          <w:color w:val="000000"/>
          <w:sz w:val="24"/>
          <w:szCs w:val="24"/>
          <w:highlight w:val="none"/>
        </w:rPr>
      </w:pPr>
    </w:p>
    <w:p>
      <w:pPr>
        <w:pStyle w:val="17"/>
        <w:rPr>
          <w:rFonts w:ascii="Times New Roman" w:hAnsi="Times New Roman" w:eastAsia="宋体" w:cs="Times New Roman"/>
          <w:b/>
          <w:bCs/>
          <w:color w:val="000000"/>
          <w:sz w:val="24"/>
          <w:szCs w:val="24"/>
          <w:highlight w:val="none"/>
        </w:rPr>
      </w:pPr>
    </w:p>
    <w:p>
      <w:pPr>
        <w:pStyle w:val="17"/>
        <w:rPr>
          <w:rFonts w:ascii="Times New Roman" w:hAnsi="Times New Roman" w:eastAsia="宋体" w:cs="Times New Roman"/>
          <w:b/>
          <w:bCs/>
          <w:color w:val="000000"/>
          <w:sz w:val="24"/>
          <w:szCs w:val="24"/>
          <w:highlight w:val="none"/>
        </w:rPr>
      </w:pPr>
    </w:p>
    <w:p>
      <w:pPr>
        <w:pStyle w:val="17"/>
        <w:outlineLvl w:val="3"/>
        <w:rPr>
          <w:rFonts w:ascii="Times New Roman" w:hAnsi="Times New Roman"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szCs w:val="24"/>
          <w:highlight w:val="none"/>
        </w:rPr>
        <w:t xml:space="preserve"> </w:t>
      </w:r>
      <w:r>
        <w:rPr>
          <w:rFonts w:hAnsi="宋体" w:eastAsia="宋体" w:cs="宋体"/>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资产情况汇总表</w:t>
      </w:r>
    </w:p>
    <w:p>
      <w:pPr>
        <w:pStyle w:val="17"/>
        <w:rPr>
          <w:rFonts w:ascii="Times New Roman" w:hAnsi="Times New Roman" w:eastAsia="宋体" w:cs="Times New Roman"/>
          <w:b/>
          <w:bCs/>
          <w:color w:val="000000"/>
          <w:sz w:val="24"/>
          <w:szCs w:val="24"/>
          <w:highlight w:val="none"/>
        </w:rPr>
      </w:pPr>
    </w:p>
    <w:tbl>
      <w:tblPr>
        <w:tblStyle w:val="35"/>
        <w:tblW w:w="8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2021年</w:t>
            </w:r>
          </w:p>
        </w:tc>
        <w:tc>
          <w:tcPr>
            <w:tcW w:w="1288"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2022年</w:t>
            </w:r>
          </w:p>
        </w:tc>
        <w:tc>
          <w:tcPr>
            <w:tcW w:w="1290"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90"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90"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90"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90"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90"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90"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90"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90"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90"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90" w:type="dxa"/>
          </w:tcPr>
          <w:p>
            <w:pPr>
              <w:spacing w:line="440" w:lineRule="exact"/>
              <w:jc w:val="center"/>
              <w:rPr>
                <w:rFonts w:ascii="宋体" w:hAnsi="宋体"/>
                <w:color w:val="000000"/>
                <w:sz w:val="24"/>
                <w:szCs w:val="24"/>
                <w:highlight w:val="none"/>
              </w:rPr>
            </w:pPr>
          </w:p>
        </w:tc>
      </w:tr>
    </w:tbl>
    <w:p>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pPr>
        <w:rPr>
          <w:rFonts w:ascii="宋体" w:hAnsi="Calibri" w:eastAsia="宋体" w:cs="宋体"/>
          <w:b/>
          <w:bCs/>
          <w:color w:val="000000"/>
          <w:sz w:val="28"/>
          <w:szCs w:val="20"/>
          <w:highlight w:val="none"/>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保密承诺函</w:t>
      </w:r>
    </w:p>
    <w:p>
      <w:pPr>
        <w:spacing w:line="240" w:lineRule="exact"/>
        <w:jc w:val="center"/>
        <w:rPr>
          <w:rFonts w:ascii="宋体" w:hAnsi="Calibri" w:eastAsia="宋体" w:cs="Times New Roman"/>
          <w:b/>
          <w:bCs/>
          <w:sz w:val="36"/>
          <w:szCs w:val="20"/>
          <w:highlight w:val="none"/>
        </w:rPr>
      </w:pPr>
    </w:p>
    <w:p>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szCs w:val="24"/>
          <w:highlight w:val="none"/>
          <w:u w:val="single"/>
        </w:rPr>
        <w:t>XXXXXX</w:t>
      </w:r>
      <w:r>
        <w:rPr>
          <w:rFonts w:hint="eastAsia" w:ascii="宋体" w:hAnsi="宋体" w:eastAsia="宋体" w:cs="宋体"/>
          <w:color w:val="000000"/>
          <w:sz w:val="24"/>
          <w:szCs w:val="24"/>
          <w:highlight w:val="none"/>
          <w:u w:val="single"/>
        </w:rPr>
        <w:t>项目</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pPr>
        <w:rPr>
          <w:rFonts w:ascii="宋体" w:hAnsi="Calibri" w:eastAsia="宋体" w:cs="宋体"/>
          <w:b/>
          <w:bCs/>
          <w:color w:val="000000"/>
          <w:sz w:val="28"/>
          <w:szCs w:val="20"/>
          <w:highlight w:val="none"/>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附件5-1</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宋体"/>
          <w:sz w:val="24"/>
          <w:szCs w:val="24"/>
          <w:highlight w:val="none"/>
          <w:u w:val="single"/>
        </w:rPr>
        <w:t>XXXXXX</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highlight w:val="none"/>
              </w:rPr>
            </w:pPr>
          </w:p>
        </w:tc>
        <w:tc>
          <w:tcPr>
            <w:tcW w:w="3449" w:type="dxa"/>
          </w:tcPr>
          <w:p>
            <w:pPr>
              <w:jc w:val="center"/>
              <w:rPr>
                <w:rFonts w:ascii="Times New Roman" w:hAnsi="Times New Roman" w:eastAsia="宋体" w:cs="Times New Roman"/>
                <w:b/>
                <w:sz w:val="24"/>
                <w:szCs w:val="20"/>
                <w:highlight w:val="none"/>
              </w:rPr>
            </w:pPr>
          </w:p>
        </w:tc>
        <w:tc>
          <w:tcPr>
            <w:tcW w:w="2414" w:type="dxa"/>
          </w:tcPr>
          <w:p>
            <w:pPr>
              <w:jc w:val="center"/>
              <w:rPr>
                <w:rFonts w:ascii="Times New Roman" w:hAnsi="Times New Roman" w:eastAsia="宋体" w:cs="Times New Roman"/>
                <w:b/>
                <w:sz w:val="24"/>
                <w:szCs w:val="20"/>
                <w:highlight w:val="none"/>
              </w:rPr>
            </w:pPr>
          </w:p>
        </w:tc>
        <w:tc>
          <w:tcPr>
            <w:tcW w:w="1608" w:type="dxa"/>
          </w:tcPr>
          <w:p>
            <w:pPr>
              <w:jc w:val="center"/>
              <w:rPr>
                <w:rFonts w:ascii="Times New Roman" w:hAnsi="Times New Roman" w:eastAsia="宋体" w:cs="Times New Roman"/>
                <w:b/>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highlight w:val="none"/>
              </w:rPr>
            </w:pPr>
          </w:p>
        </w:tc>
        <w:tc>
          <w:tcPr>
            <w:tcW w:w="3449" w:type="dxa"/>
          </w:tcPr>
          <w:p>
            <w:pPr>
              <w:jc w:val="center"/>
              <w:rPr>
                <w:rFonts w:ascii="Times New Roman" w:hAnsi="Times New Roman" w:eastAsia="宋体" w:cs="Times New Roman"/>
                <w:b/>
                <w:sz w:val="24"/>
                <w:szCs w:val="20"/>
                <w:highlight w:val="none"/>
              </w:rPr>
            </w:pPr>
          </w:p>
        </w:tc>
        <w:tc>
          <w:tcPr>
            <w:tcW w:w="2414" w:type="dxa"/>
          </w:tcPr>
          <w:p>
            <w:pPr>
              <w:jc w:val="center"/>
              <w:rPr>
                <w:rFonts w:ascii="Times New Roman" w:hAnsi="Times New Roman" w:eastAsia="宋体" w:cs="Times New Roman"/>
                <w:b/>
                <w:sz w:val="24"/>
                <w:szCs w:val="20"/>
                <w:highlight w:val="none"/>
              </w:rPr>
            </w:pPr>
          </w:p>
        </w:tc>
        <w:tc>
          <w:tcPr>
            <w:tcW w:w="1608" w:type="dxa"/>
          </w:tcPr>
          <w:p>
            <w:pPr>
              <w:jc w:val="center"/>
              <w:rPr>
                <w:rFonts w:ascii="Times New Roman" w:hAnsi="Times New Roman" w:eastAsia="宋体" w:cs="Times New Roman"/>
                <w:b/>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highlight w:val="none"/>
              </w:rPr>
            </w:pPr>
          </w:p>
        </w:tc>
        <w:tc>
          <w:tcPr>
            <w:tcW w:w="3449" w:type="dxa"/>
          </w:tcPr>
          <w:p>
            <w:pPr>
              <w:jc w:val="center"/>
              <w:rPr>
                <w:rFonts w:ascii="Times New Roman" w:hAnsi="Times New Roman" w:eastAsia="宋体" w:cs="Times New Roman"/>
                <w:b/>
                <w:sz w:val="24"/>
                <w:szCs w:val="20"/>
                <w:highlight w:val="none"/>
              </w:rPr>
            </w:pPr>
          </w:p>
        </w:tc>
        <w:tc>
          <w:tcPr>
            <w:tcW w:w="2414" w:type="dxa"/>
          </w:tcPr>
          <w:p>
            <w:pPr>
              <w:jc w:val="center"/>
              <w:rPr>
                <w:rFonts w:ascii="Times New Roman" w:hAnsi="Times New Roman" w:eastAsia="宋体" w:cs="Times New Roman"/>
                <w:b/>
                <w:sz w:val="24"/>
                <w:szCs w:val="20"/>
                <w:highlight w:val="none"/>
              </w:rPr>
            </w:pPr>
          </w:p>
        </w:tc>
        <w:tc>
          <w:tcPr>
            <w:tcW w:w="1608" w:type="dxa"/>
          </w:tcPr>
          <w:p>
            <w:pPr>
              <w:jc w:val="center"/>
              <w:rPr>
                <w:rFonts w:ascii="Times New Roman" w:hAnsi="Times New Roman" w:eastAsia="宋体" w:cs="Times New Roman"/>
                <w:b/>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highlight w:val="none"/>
              </w:rPr>
            </w:pPr>
          </w:p>
        </w:tc>
        <w:tc>
          <w:tcPr>
            <w:tcW w:w="3449" w:type="dxa"/>
          </w:tcPr>
          <w:p>
            <w:pPr>
              <w:jc w:val="center"/>
              <w:rPr>
                <w:rFonts w:ascii="Times New Roman" w:hAnsi="Times New Roman" w:eastAsia="宋体" w:cs="Times New Roman"/>
                <w:b/>
                <w:sz w:val="24"/>
                <w:szCs w:val="20"/>
                <w:highlight w:val="none"/>
              </w:rPr>
            </w:pPr>
          </w:p>
        </w:tc>
        <w:tc>
          <w:tcPr>
            <w:tcW w:w="2414" w:type="dxa"/>
          </w:tcPr>
          <w:p>
            <w:pPr>
              <w:jc w:val="center"/>
              <w:rPr>
                <w:rFonts w:ascii="Times New Roman" w:hAnsi="Times New Roman" w:eastAsia="宋体" w:cs="Times New Roman"/>
                <w:b/>
                <w:sz w:val="24"/>
                <w:szCs w:val="20"/>
                <w:highlight w:val="none"/>
              </w:rPr>
            </w:pPr>
          </w:p>
        </w:tc>
        <w:tc>
          <w:tcPr>
            <w:tcW w:w="1608" w:type="dxa"/>
          </w:tcPr>
          <w:p>
            <w:pPr>
              <w:jc w:val="center"/>
              <w:rPr>
                <w:rFonts w:ascii="Times New Roman" w:hAnsi="Times New Roman" w:eastAsia="宋体" w:cs="Times New Roman"/>
                <w:b/>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highlight w:val="none"/>
              </w:rPr>
            </w:pPr>
          </w:p>
        </w:tc>
        <w:tc>
          <w:tcPr>
            <w:tcW w:w="3449" w:type="dxa"/>
          </w:tcPr>
          <w:p>
            <w:pPr>
              <w:jc w:val="center"/>
              <w:rPr>
                <w:rFonts w:ascii="Times New Roman" w:hAnsi="Times New Roman" w:eastAsia="宋体" w:cs="Times New Roman"/>
                <w:b/>
                <w:sz w:val="24"/>
                <w:szCs w:val="20"/>
                <w:highlight w:val="none"/>
              </w:rPr>
            </w:pPr>
          </w:p>
        </w:tc>
        <w:tc>
          <w:tcPr>
            <w:tcW w:w="2414" w:type="dxa"/>
          </w:tcPr>
          <w:p>
            <w:pPr>
              <w:jc w:val="center"/>
              <w:rPr>
                <w:rFonts w:ascii="Times New Roman" w:hAnsi="Times New Roman" w:eastAsia="宋体" w:cs="Times New Roman"/>
                <w:b/>
                <w:sz w:val="24"/>
                <w:szCs w:val="20"/>
                <w:highlight w:val="none"/>
              </w:rPr>
            </w:pPr>
          </w:p>
        </w:tc>
        <w:tc>
          <w:tcPr>
            <w:tcW w:w="1608" w:type="dxa"/>
          </w:tcPr>
          <w:p>
            <w:pPr>
              <w:jc w:val="center"/>
              <w:rPr>
                <w:rFonts w:ascii="Times New Roman" w:hAnsi="Times New Roman" w:eastAsia="宋体" w:cs="Times New Roman"/>
                <w:b/>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highlight w:val="none"/>
              </w:rPr>
            </w:pPr>
          </w:p>
        </w:tc>
        <w:tc>
          <w:tcPr>
            <w:tcW w:w="3449" w:type="dxa"/>
          </w:tcPr>
          <w:p>
            <w:pPr>
              <w:jc w:val="center"/>
              <w:rPr>
                <w:rFonts w:ascii="Times New Roman" w:hAnsi="Times New Roman" w:eastAsia="宋体" w:cs="Times New Roman"/>
                <w:b/>
                <w:sz w:val="24"/>
                <w:szCs w:val="20"/>
                <w:highlight w:val="none"/>
              </w:rPr>
            </w:pPr>
          </w:p>
        </w:tc>
        <w:tc>
          <w:tcPr>
            <w:tcW w:w="2414" w:type="dxa"/>
          </w:tcPr>
          <w:p>
            <w:pPr>
              <w:jc w:val="center"/>
              <w:rPr>
                <w:rFonts w:ascii="Times New Roman" w:hAnsi="Times New Roman" w:eastAsia="宋体" w:cs="Times New Roman"/>
                <w:b/>
                <w:sz w:val="24"/>
                <w:szCs w:val="20"/>
                <w:highlight w:val="none"/>
              </w:rPr>
            </w:pPr>
          </w:p>
        </w:tc>
        <w:tc>
          <w:tcPr>
            <w:tcW w:w="1608" w:type="dxa"/>
          </w:tcPr>
          <w:p>
            <w:pPr>
              <w:jc w:val="center"/>
              <w:rPr>
                <w:rFonts w:ascii="Times New Roman" w:hAnsi="Times New Roman" w:eastAsia="宋体" w:cs="Times New Roman"/>
                <w:b/>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highlight w:val="none"/>
              </w:rPr>
            </w:pPr>
          </w:p>
        </w:tc>
        <w:tc>
          <w:tcPr>
            <w:tcW w:w="3449" w:type="dxa"/>
          </w:tcPr>
          <w:p>
            <w:pPr>
              <w:jc w:val="center"/>
              <w:rPr>
                <w:rFonts w:ascii="Times New Roman" w:hAnsi="Times New Roman" w:eastAsia="宋体" w:cs="Times New Roman"/>
                <w:b/>
                <w:sz w:val="24"/>
                <w:szCs w:val="20"/>
                <w:highlight w:val="none"/>
              </w:rPr>
            </w:pPr>
          </w:p>
        </w:tc>
        <w:tc>
          <w:tcPr>
            <w:tcW w:w="2414" w:type="dxa"/>
          </w:tcPr>
          <w:p>
            <w:pPr>
              <w:jc w:val="center"/>
              <w:rPr>
                <w:rFonts w:ascii="Times New Roman" w:hAnsi="Times New Roman" w:eastAsia="宋体" w:cs="Times New Roman"/>
                <w:b/>
                <w:sz w:val="24"/>
                <w:szCs w:val="20"/>
                <w:highlight w:val="none"/>
              </w:rPr>
            </w:pPr>
          </w:p>
        </w:tc>
        <w:tc>
          <w:tcPr>
            <w:tcW w:w="1608" w:type="dxa"/>
          </w:tcPr>
          <w:p>
            <w:pPr>
              <w:jc w:val="center"/>
              <w:rPr>
                <w:rFonts w:ascii="Times New Roman" w:hAnsi="Times New Roman" w:eastAsia="宋体" w:cs="Times New Roman"/>
                <w:b/>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highlight w:val="none"/>
              </w:rPr>
            </w:pPr>
          </w:p>
        </w:tc>
        <w:tc>
          <w:tcPr>
            <w:tcW w:w="3449" w:type="dxa"/>
          </w:tcPr>
          <w:p>
            <w:pPr>
              <w:jc w:val="center"/>
              <w:rPr>
                <w:rFonts w:ascii="Times New Roman" w:hAnsi="Times New Roman" w:eastAsia="宋体" w:cs="Times New Roman"/>
                <w:b/>
                <w:sz w:val="24"/>
                <w:szCs w:val="20"/>
                <w:highlight w:val="none"/>
              </w:rPr>
            </w:pPr>
          </w:p>
        </w:tc>
        <w:tc>
          <w:tcPr>
            <w:tcW w:w="2414" w:type="dxa"/>
          </w:tcPr>
          <w:p>
            <w:pPr>
              <w:jc w:val="center"/>
              <w:rPr>
                <w:rFonts w:ascii="Times New Roman" w:hAnsi="Times New Roman" w:eastAsia="宋体" w:cs="Times New Roman"/>
                <w:b/>
                <w:sz w:val="24"/>
                <w:szCs w:val="20"/>
                <w:highlight w:val="none"/>
              </w:rPr>
            </w:pPr>
          </w:p>
        </w:tc>
        <w:tc>
          <w:tcPr>
            <w:tcW w:w="1608" w:type="dxa"/>
          </w:tcPr>
          <w:p>
            <w:pPr>
              <w:jc w:val="center"/>
              <w:rPr>
                <w:rFonts w:ascii="Times New Roman" w:hAnsi="Times New Roman" w:eastAsia="宋体" w:cs="Times New Roman"/>
                <w:b/>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highlight w:val="none"/>
              </w:rPr>
            </w:pPr>
          </w:p>
        </w:tc>
        <w:tc>
          <w:tcPr>
            <w:tcW w:w="3449" w:type="dxa"/>
          </w:tcPr>
          <w:p>
            <w:pPr>
              <w:jc w:val="center"/>
              <w:rPr>
                <w:rFonts w:ascii="Times New Roman" w:hAnsi="Times New Roman" w:eastAsia="宋体" w:cs="Times New Roman"/>
                <w:b/>
                <w:sz w:val="24"/>
                <w:szCs w:val="20"/>
                <w:highlight w:val="none"/>
              </w:rPr>
            </w:pPr>
          </w:p>
        </w:tc>
        <w:tc>
          <w:tcPr>
            <w:tcW w:w="2414" w:type="dxa"/>
          </w:tcPr>
          <w:p>
            <w:pPr>
              <w:jc w:val="center"/>
              <w:rPr>
                <w:rFonts w:ascii="Times New Roman" w:hAnsi="Times New Roman" w:eastAsia="宋体" w:cs="Times New Roman"/>
                <w:b/>
                <w:sz w:val="24"/>
                <w:szCs w:val="20"/>
                <w:highlight w:val="none"/>
              </w:rPr>
            </w:pPr>
          </w:p>
        </w:tc>
        <w:tc>
          <w:tcPr>
            <w:tcW w:w="1608" w:type="dxa"/>
          </w:tcPr>
          <w:p>
            <w:pPr>
              <w:jc w:val="center"/>
              <w:rPr>
                <w:rFonts w:ascii="Times New Roman" w:hAnsi="Times New Roman" w:eastAsia="宋体" w:cs="Times New Roman"/>
                <w:b/>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highlight w:val="none"/>
              </w:rPr>
            </w:pPr>
          </w:p>
        </w:tc>
        <w:tc>
          <w:tcPr>
            <w:tcW w:w="3449" w:type="dxa"/>
          </w:tcPr>
          <w:p>
            <w:pPr>
              <w:jc w:val="center"/>
              <w:rPr>
                <w:rFonts w:ascii="Times New Roman" w:hAnsi="Times New Roman" w:eastAsia="宋体" w:cs="Times New Roman"/>
                <w:b/>
                <w:sz w:val="24"/>
                <w:szCs w:val="20"/>
                <w:highlight w:val="none"/>
              </w:rPr>
            </w:pPr>
          </w:p>
        </w:tc>
        <w:tc>
          <w:tcPr>
            <w:tcW w:w="2414" w:type="dxa"/>
          </w:tcPr>
          <w:p>
            <w:pPr>
              <w:jc w:val="center"/>
              <w:rPr>
                <w:rFonts w:ascii="Times New Roman" w:hAnsi="Times New Roman" w:eastAsia="宋体" w:cs="Times New Roman"/>
                <w:b/>
                <w:sz w:val="24"/>
                <w:szCs w:val="20"/>
                <w:highlight w:val="none"/>
              </w:rPr>
            </w:pPr>
          </w:p>
        </w:tc>
        <w:tc>
          <w:tcPr>
            <w:tcW w:w="1608" w:type="dxa"/>
          </w:tcPr>
          <w:p>
            <w:pPr>
              <w:jc w:val="center"/>
              <w:rPr>
                <w:rFonts w:ascii="Times New Roman" w:hAnsi="Times New Roman" w:eastAsia="宋体" w:cs="Times New Roman"/>
                <w:b/>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highlight w:val="none"/>
              </w:rPr>
            </w:pPr>
          </w:p>
        </w:tc>
        <w:tc>
          <w:tcPr>
            <w:tcW w:w="3449" w:type="dxa"/>
          </w:tcPr>
          <w:p>
            <w:pPr>
              <w:jc w:val="center"/>
              <w:rPr>
                <w:rFonts w:ascii="Times New Roman" w:hAnsi="Times New Roman" w:eastAsia="宋体" w:cs="Times New Roman"/>
                <w:b/>
                <w:sz w:val="24"/>
                <w:szCs w:val="20"/>
                <w:highlight w:val="none"/>
              </w:rPr>
            </w:pPr>
          </w:p>
        </w:tc>
        <w:tc>
          <w:tcPr>
            <w:tcW w:w="2414" w:type="dxa"/>
          </w:tcPr>
          <w:p>
            <w:pPr>
              <w:jc w:val="center"/>
              <w:rPr>
                <w:rFonts w:ascii="Times New Roman" w:hAnsi="Times New Roman" w:eastAsia="宋体" w:cs="Times New Roman"/>
                <w:b/>
                <w:sz w:val="24"/>
                <w:szCs w:val="20"/>
                <w:highlight w:val="none"/>
              </w:rPr>
            </w:pPr>
          </w:p>
        </w:tc>
        <w:tc>
          <w:tcPr>
            <w:tcW w:w="1608" w:type="dxa"/>
          </w:tcPr>
          <w:p>
            <w:pPr>
              <w:jc w:val="center"/>
              <w:rPr>
                <w:rFonts w:ascii="Times New Roman" w:hAnsi="Times New Roman" w:eastAsia="宋体" w:cs="Times New Roman"/>
                <w:b/>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highlight w:val="none"/>
              </w:rPr>
            </w:pPr>
          </w:p>
        </w:tc>
        <w:tc>
          <w:tcPr>
            <w:tcW w:w="3449" w:type="dxa"/>
          </w:tcPr>
          <w:p>
            <w:pPr>
              <w:jc w:val="center"/>
              <w:rPr>
                <w:rFonts w:ascii="Times New Roman" w:hAnsi="Times New Roman" w:eastAsia="宋体" w:cs="Times New Roman"/>
                <w:b/>
                <w:sz w:val="24"/>
                <w:szCs w:val="20"/>
                <w:highlight w:val="none"/>
              </w:rPr>
            </w:pPr>
          </w:p>
        </w:tc>
        <w:tc>
          <w:tcPr>
            <w:tcW w:w="2414" w:type="dxa"/>
          </w:tcPr>
          <w:p>
            <w:pPr>
              <w:jc w:val="center"/>
              <w:rPr>
                <w:rFonts w:ascii="Times New Roman" w:hAnsi="Times New Roman" w:eastAsia="宋体" w:cs="Times New Roman"/>
                <w:b/>
                <w:sz w:val="24"/>
                <w:szCs w:val="20"/>
                <w:highlight w:val="none"/>
              </w:rPr>
            </w:pPr>
          </w:p>
        </w:tc>
        <w:tc>
          <w:tcPr>
            <w:tcW w:w="1608" w:type="dxa"/>
          </w:tcPr>
          <w:p>
            <w:pPr>
              <w:jc w:val="center"/>
              <w:rPr>
                <w:rFonts w:ascii="Times New Roman" w:hAnsi="Times New Roman" w:eastAsia="宋体" w:cs="Times New Roman"/>
                <w:b/>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highlight w:val="none"/>
              </w:rPr>
            </w:pPr>
          </w:p>
        </w:tc>
        <w:tc>
          <w:tcPr>
            <w:tcW w:w="3449" w:type="dxa"/>
          </w:tcPr>
          <w:p>
            <w:pPr>
              <w:jc w:val="center"/>
              <w:rPr>
                <w:rFonts w:ascii="Times New Roman" w:hAnsi="Times New Roman" w:eastAsia="宋体" w:cs="Times New Roman"/>
                <w:b/>
                <w:sz w:val="24"/>
                <w:szCs w:val="20"/>
                <w:highlight w:val="none"/>
              </w:rPr>
            </w:pPr>
          </w:p>
        </w:tc>
        <w:tc>
          <w:tcPr>
            <w:tcW w:w="2414" w:type="dxa"/>
          </w:tcPr>
          <w:p>
            <w:pPr>
              <w:jc w:val="center"/>
              <w:rPr>
                <w:rFonts w:ascii="Times New Roman" w:hAnsi="Times New Roman" w:eastAsia="宋体" w:cs="Times New Roman"/>
                <w:b/>
                <w:sz w:val="24"/>
                <w:szCs w:val="20"/>
                <w:highlight w:val="none"/>
              </w:rPr>
            </w:pPr>
          </w:p>
        </w:tc>
        <w:tc>
          <w:tcPr>
            <w:tcW w:w="1608" w:type="dxa"/>
          </w:tcPr>
          <w:p>
            <w:pPr>
              <w:jc w:val="center"/>
              <w:rPr>
                <w:rFonts w:ascii="Times New Roman" w:hAnsi="Times New Roman" w:eastAsia="宋体" w:cs="Times New Roman"/>
                <w:b/>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highlight w:val="none"/>
              </w:rPr>
            </w:pPr>
          </w:p>
        </w:tc>
        <w:tc>
          <w:tcPr>
            <w:tcW w:w="3449" w:type="dxa"/>
          </w:tcPr>
          <w:p>
            <w:pPr>
              <w:jc w:val="center"/>
              <w:rPr>
                <w:rFonts w:ascii="Times New Roman" w:hAnsi="Times New Roman" w:eastAsia="宋体" w:cs="Times New Roman"/>
                <w:b/>
                <w:sz w:val="24"/>
                <w:szCs w:val="20"/>
                <w:highlight w:val="none"/>
              </w:rPr>
            </w:pPr>
          </w:p>
        </w:tc>
        <w:tc>
          <w:tcPr>
            <w:tcW w:w="2414" w:type="dxa"/>
          </w:tcPr>
          <w:p>
            <w:pPr>
              <w:jc w:val="center"/>
              <w:rPr>
                <w:rFonts w:ascii="Times New Roman" w:hAnsi="Times New Roman" w:eastAsia="宋体" w:cs="Times New Roman"/>
                <w:b/>
                <w:sz w:val="24"/>
                <w:szCs w:val="20"/>
                <w:highlight w:val="none"/>
              </w:rPr>
            </w:pPr>
          </w:p>
        </w:tc>
        <w:tc>
          <w:tcPr>
            <w:tcW w:w="1608" w:type="dxa"/>
          </w:tcPr>
          <w:p>
            <w:pPr>
              <w:jc w:val="center"/>
              <w:rPr>
                <w:rFonts w:ascii="Times New Roman" w:hAnsi="Times New Roman" w:eastAsia="宋体" w:cs="Times New Roman"/>
                <w:b/>
                <w:sz w:val="24"/>
                <w:szCs w:val="20"/>
                <w:highlight w:val="none"/>
              </w:rPr>
            </w:pPr>
          </w:p>
        </w:tc>
      </w:tr>
    </w:tbl>
    <w:p>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pPr>
        <w:rPr>
          <w:rFonts w:ascii="宋体" w:hAnsi="Calibri" w:eastAsia="宋体" w:cs="宋体"/>
          <w:b/>
          <w:bCs/>
          <w:color w:val="000000"/>
          <w:sz w:val="28"/>
          <w:szCs w:val="20"/>
          <w:highlight w:val="none"/>
        </w:rPr>
      </w:pPr>
    </w:p>
    <w:p>
      <w:pPr>
        <w:rPr>
          <w:rFonts w:ascii="宋体" w:hAnsi="Calibri" w:eastAsia="宋体" w:cs="宋体"/>
          <w:b/>
          <w:bCs/>
          <w:color w:val="000000"/>
          <w:sz w:val="28"/>
          <w:szCs w:val="20"/>
          <w:highlight w:val="none"/>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附件5-2</w:t>
      </w:r>
      <w:r>
        <w:rPr>
          <w:rFonts w:ascii="Times New Roman" w:hAnsi="Times New Roman" w:eastAsia="宋体" w:cs="宋体"/>
          <w:b/>
          <w:bCs/>
          <w:color w:val="000000"/>
          <w:sz w:val="24"/>
          <w:szCs w:val="24"/>
          <w:highlight w:val="none"/>
        </w:rPr>
        <w:t xml:space="preserve">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335"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824"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362" w:type="dxa"/>
            <w:tcBorders>
              <w:left w:val="single" w:color="000000" w:sz="4" w:space="0"/>
            </w:tcBorders>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2238" w:type="dxa"/>
            <w:vAlign w:val="center"/>
          </w:tcPr>
          <w:p>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振动输送隔音房</w:t>
            </w:r>
            <w:r>
              <w:rPr>
                <w:rFonts w:hint="eastAsia" w:ascii="宋体" w:hAnsi="宋体" w:eastAsia="宋体" w:cs="宋体"/>
                <w:color w:val="000000"/>
                <w:kern w:val="0"/>
                <w:sz w:val="24"/>
                <w:szCs w:val="24"/>
                <w:highlight w:val="none"/>
                <w:lang w:val="en-US" w:eastAsia="zh-CN" w:bidi="ar"/>
              </w:rPr>
              <w:t>更新（20m*10.6m*6.2m）</w:t>
            </w:r>
          </w:p>
        </w:tc>
        <w:tc>
          <w:tcPr>
            <w:tcW w:w="2239" w:type="dxa"/>
          </w:tcPr>
          <w:p>
            <w:pPr>
              <w:rPr>
                <w:rFonts w:ascii="Arial"/>
                <w:highlight w:val="none"/>
              </w:rPr>
            </w:pPr>
          </w:p>
        </w:tc>
        <w:tc>
          <w:tcPr>
            <w:tcW w:w="1335"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pPr>
              <w:rPr>
                <w:rFonts w:ascii="Arial"/>
                <w:highlight w:val="none"/>
              </w:rPr>
            </w:pPr>
          </w:p>
        </w:tc>
        <w:tc>
          <w:tcPr>
            <w:tcW w:w="1355"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2238" w:type="dxa"/>
            <w:vAlign w:val="center"/>
          </w:tcPr>
          <w:p>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取铁工位隔音房新制（4.5m*8.6m*4.3m）</w:t>
            </w:r>
          </w:p>
        </w:tc>
        <w:tc>
          <w:tcPr>
            <w:tcW w:w="2239" w:type="dxa"/>
          </w:tcPr>
          <w:p>
            <w:pPr>
              <w:rPr>
                <w:rFonts w:ascii="Arial"/>
                <w:highlight w:val="none"/>
              </w:rPr>
            </w:pPr>
          </w:p>
        </w:tc>
        <w:tc>
          <w:tcPr>
            <w:tcW w:w="1335"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pPr>
              <w:rPr>
                <w:rFonts w:ascii="Arial"/>
                <w:highlight w:val="none"/>
              </w:rPr>
            </w:pPr>
          </w:p>
        </w:tc>
        <w:tc>
          <w:tcPr>
            <w:tcW w:w="1355"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2238" w:type="dxa"/>
            <w:vAlign w:val="center"/>
          </w:tcPr>
          <w:p>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抓取机械手远程控制室隔音房新制</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val="en-US" w:eastAsia="zh-CN" w:bidi="ar"/>
              </w:rPr>
              <w:t>6m*3m*3m</w:t>
            </w:r>
            <w:r>
              <w:rPr>
                <w:rFonts w:hint="eastAsia" w:ascii="宋体" w:hAnsi="宋体" w:eastAsia="宋体" w:cs="宋体"/>
                <w:color w:val="000000"/>
                <w:kern w:val="0"/>
                <w:sz w:val="24"/>
                <w:szCs w:val="24"/>
                <w:highlight w:val="none"/>
                <w:lang w:eastAsia="zh-CN" w:bidi="ar"/>
              </w:rPr>
              <w:t>）</w:t>
            </w:r>
          </w:p>
        </w:tc>
        <w:tc>
          <w:tcPr>
            <w:tcW w:w="2239" w:type="dxa"/>
          </w:tcPr>
          <w:p>
            <w:pPr>
              <w:rPr>
                <w:rFonts w:ascii="Arial"/>
                <w:highlight w:val="none"/>
              </w:rPr>
            </w:pPr>
          </w:p>
        </w:tc>
        <w:tc>
          <w:tcPr>
            <w:tcW w:w="1335"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pPr>
              <w:rPr>
                <w:rFonts w:ascii="Arial"/>
                <w:highlight w:val="none"/>
              </w:rPr>
            </w:pPr>
          </w:p>
        </w:tc>
        <w:tc>
          <w:tcPr>
            <w:tcW w:w="1355"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2238" w:type="dxa"/>
            <w:vAlign w:val="center"/>
          </w:tcPr>
          <w:p>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安全防护</w:t>
            </w:r>
          </w:p>
        </w:tc>
        <w:tc>
          <w:tcPr>
            <w:tcW w:w="2239" w:type="dxa"/>
          </w:tcPr>
          <w:p>
            <w:pPr>
              <w:rPr>
                <w:rFonts w:ascii="Arial"/>
                <w:highlight w:val="none"/>
              </w:rPr>
            </w:pPr>
          </w:p>
        </w:tc>
        <w:tc>
          <w:tcPr>
            <w:tcW w:w="1335"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pPr>
              <w:rPr>
                <w:rFonts w:ascii="Arial"/>
                <w:highlight w:val="none"/>
              </w:rPr>
            </w:pPr>
          </w:p>
        </w:tc>
        <w:tc>
          <w:tcPr>
            <w:tcW w:w="1355"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2238" w:type="dxa"/>
            <w:vAlign w:val="center"/>
          </w:tcPr>
          <w:p>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原有隔音房拆除</w:t>
            </w:r>
          </w:p>
        </w:tc>
        <w:tc>
          <w:tcPr>
            <w:tcW w:w="2239" w:type="dxa"/>
          </w:tcPr>
          <w:p>
            <w:pPr>
              <w:rPr>
                <w:rFonts w:ascii="Arial"/>
                <w:highlight w:val="none"/>
              </w:rPr>
            </w:pPr>
          </w:p>
        </w:tc>
        <w:tc>
          <w:tcPr>
            <w:tcW w:w="1335"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pPr>
              <w:rPr>
                <w:rFonts w:ascii="Arial"/>
                <w:highlight w:val="none"/>
              </w:rPr>
            </w:pPr>
          </w:p>
        </w:tc>
        <w:tc>
          <w:tcPr>
            <w:tcW w:w="1355"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2238" w:type="dxa"/>
            <w:vAlign w:val="center"/>
          </w:tcPr>
          <w:p>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电控</w:t>
            </w:r>
            <w:r>
              <w:rPr>
                <w:rFonts w:hint="eastAsia" w:ascii="宋体" w:hAnsi="宋体" w:eastAsia="宋体" w:cs="宋体"/>
                <w:color w:val="000000"/>
                <w:kern w:val="0"/>
                <w:sz w:val="24"/>
                <w:szCs w:val="24"/>
                <w:highlight w:val="none"/>
                <w:lang w:val="en-US" w:eastAsia="zh-CN" w:bidi="ar"/>
              </w:rPr>
              <w:t>系统恢复</w:t>
            </w:r>
          </w:p>
        </w:tc>
        <w:tc>
          <w:tcPr>
            <w:tcW w:w="2239" w:type="dxa"/>
          </w:tcPr>
          <w:p>
            <w:pPr>
              <w:rPr>
                <w:rFonts w:ascii="Arial"/>
                <w:highlight w:val="none"/>
              </w:rPr>
            </w:pPr>
          </w:p>
        </w:tc>
        <w:tc>
          <w:tcPr>
            <w:tcW w:w="1335"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pPr>
              <w:rPr>
                <w:rFonts w:ascii="Arial"/>
                <w:highlight w:val="none"/>
              </w:rPr>
            </w:pPr>
          </w:p>
        </w:tc>
        <w:tc>
          <w:tcPr>
            <w:tcW w:w="1355"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2238" w:type="dxa"/>
            <w:vAlign w:val="center"/>
          </w:tcPr>
          <w:p>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除尘</w:t>
            </w:r>
            <w:r>
              <w:rPr>
                <w:rFonts w:hint="eastAsia" w:ascii="宋体" w:hAnsi="宋体" w:eastAsia="宋体" w:cs="宋体"/>
                <w:color w:val="000000"/>
                <w:kern w:val="0"/>
                <w:sz w:val="24"/>
                <w:szCs w:val="24"/>
                <w:highlight w:val="none"/>
                <w:lang w:val="en-US" w:eastAsia="zh-CN" w:bidi="ar"/>
              </w:rPr>
              <w:t>管道及除尘罩恢复</w:t>
            </w:r>
          </w:p>
        </w:tc>
        <w:tc>
          <w:tcPr>
            <w:tcW w:w="2239" w:type="dxa"/>
          </w:tcPr>
          <w:p>
            <w:pPr>
              <w:rPr>
                <w:rFonts w:ascii="Arial"/>
                <w:highlight w:val="none"/>
              </w:rPr>
            </w:pPr>
          </w:p>
        </w:tc>
        <w:tc>
          <w:tcPr>
            <w:tcW w:w="1335"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pPr>
              <w:rPr>
                <w:rFonts w:ascii="Arial"/>
                <w:highlight w:val="none"/>
              </w:rPr>
            </w:pPr>
          </w:p>
        </w:tc>
        <w:tc>
          <w:tcPr>
            <w:tcW w:w="1355"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hint="eastAsia" w:ascii="宋体" w:hAnsi="宋体" w:eastAsia="宋体" w:cs="宋体"/>
                <w:color w:val="000000"/>
                <w:kern w:val="0"/>
                <w:sz w:val="24"/>
                <w:szCs w:val="24"/>
                <w:highlight w:val="none"/>
                <w:lang w:bidi="ar"/>
              </w:rPr>
            </w:pPr>
            <w:r>
              <w:rPr>
                <w:rFonts w:hint="eastAsia" w:ascii="宋体" w:hAnsi="宋体" w:eastAsia="宋体" w:cs="宋体"/>
                <w:sz w:val="24"/>
                <w:szCs w:val="24"/>
                <w:highlight w:val="none"/>
              </w:rPr>
              <w:t>8</w:t>
            </w:r>
          </w:p>
        </w:tc>
        <w:tc>
          <w:tcPr>
            <w:tcW w:w="2238" w:type="dxa"/>
            <w:vAlign w:val="center"/>
          </w:tcPr>
          <w:p>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包装、运输、保险</w:t>
            </w:r>
          </w:p>
        </w:tc>
        <w:tc>
          <w:tcPr>
            <w:tcW w:w="2239" w:type="dxa"/>
          </w:tcPr>
          <w:p>
            <w:pPr>
              <w:rPr>
                <w:rFonts w:ascii="Arial"/>
                <w:highlight w:val="none"/>
              </w:rPr>
            </w:pPr>
          </w:p>
        </w:tc>
        <w:tc>
          <w:tcPr>
            <w:tcW w:w="1335"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pPr>
              <w:rPr>
                <w:rFonts w:ascii="Arial"/>
                <w:highlight w:val="none"/>
              </w:rPr>
            </w:pPr>
          </w:p>
        </w:tc>
        <w:tc>
          <w:tcPr>
            <w:tcW w:w="1355"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2238" w:type="dxa"/>
            <w:vAlign w:val="center"/>
          </w:tcPr>
          <w:p>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安装、调试</w:t>
            </w:r>
          </w:p>
        </w:tc>
        <w:tc>
          <w:tcPr>
            <w:tcW w:w="2239" w:type="dxa"/>
          </w:tcPr>
          <w:p>
            <w:pPr>
              <w:rPr>
                <w:rFonts w:ascii="Arial"/>
                <w:highlight w:val="none"/>
              </w:rPr>
            </w:pPr>
          </w:p>
        </w:tc>
        <w:tc>
          <w:tcPr>
            <w:tcW w:w="1335" w:type="dxa"/>
            <w:vAlign w:val="center"/>
          </w:tcPr>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pPr>
              <w:rPr>
                <w:rFonts w:ascii="Arial"/>
                <w:highlight w:val="none"/>
              </w:rPr>
            </w:pPr>
          </w:p>
        </w:tc>
        <w:tc>
          <w:tcPr>
            <w:tcW w:w="1355"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2238" w:type="dxa"/>
            <w:vAlign w:val="center"/>
          </w:tcPr>
          <w:p>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噪音</w:t>
            </w:r>
            <w:r>
              <w:rPr>
                <w:rFonts w:hint="eastAsia" w:ascii="宋体" w:hAnsi="宋体" w:eastAsia="宋体" w:cs="宋体"/>
                <w:sz w:val="24"/>
                <w:szCs w:val="24"/>
                <w:highlight w:val="none"/>
              </w:rPr>
              <w:t>检测</w:t>
            </w:r>
          </w:p>
        </w:tc>
        <w:tc>
          <w:tcPr>
            <w:tcW w:w="2239" w:type="dxa"/>
          </w:tcPr>
          <w:p>
            <w:pPr>
              <w:rPr>
                <w:rFonts w:ascii="Arial"/>
                <w:highlight w:val="none"/>
              </w:rPr>
            </w:pPr>
          </w:p>
        </w:tc>
        <w:tc>
          <w:tcPr>
            <w:tcW w:w="1335" w:type="dxa"/>
            <w:vAlign w:val="center"/>
          </w:tcPr>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pPr>
              <w:rPr>
                <w:rFonts w:ascii="Arial"/>
                <w:highlight w:val="none"/>
              </w:rPr>
            </w:pPr>
          </w:p>
        </w:tc>
        <w:tc>
          <w:tcPr>
            <w:tcW w:w="1355"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highlight w:val="none"/>
              </w:rPr>
            </w:pPr>
            <w:r>
              <w:rPr>
                <w:rFonts w:ascii="宋体" w:hAnsi="宋体" w:eastAsia="宋体" w:cs="宋体"/>
                <w:position w:val="1"/>
                <w:szCs w:val="21"/>
                <w:highlight w:val="none"/>
              </w:rPr>
              <w:t>…</w:t>
            </w:r>
          </w:p>
        </w:tc>
        <w:tc>
          <w:tcPr>
            <w:tcW w:w="2238" w:type="dxa"/>
          </w:tcPr>
          <w:p>
            <w:pPr>
              <w:rPr>
                <w:rFonts w:ascii="Arial"/>
                <w:highlight w:val="none"/>
              </w:rPr>
            </w:pPr>
            <w:r>
              <w:rPr>
                <w:rFonts w:hint="eastAsia" w:ascii="宋体" w:hAnsi="宋体" w:eastAsia="宋体" w:cs="宋体"/>
                <w:highlight w:val="none"/>
              </w:rPr>
              <w:t>以上投标设备不足之处请往下添加序号自行补充</w:t>
            </w:r>
          </w:p>
        </w:tc>
        <w:tc>
          <w:tcPr>
            <w:tcW w:w="2239" w:type="dxa"/>
          </w:tcPr>
          <w:p>
            <w:pPr>
              <w:rPr>
                <w:rFonts w:ascii="Arial"/>
                <w:highlight w:val="none"/>
              </w:rPr>
            </w:pPr>
          </w:p>
        </w:tc>
        <w:tc>
          <w:tcPr>
            <w:tcW w:w="1335" w:type="dxa"/>
          </w:tcPr>
          <w:p>
            <w:pPr>
              <w:rPr>
                <w:rFonts w:ascii="Arial"/>
                <w:highlight w:val="none"/>
              </w:rPr>
            </w:pPr>
          </w:p>
        </w:tc>
        <w:tc>
          <w:tcPr>
            <w:tcW w:w="1824" w:type="dxa"/>
          </w:tcPr>
          <w:p>
            <w:pPr>
              <w:rPr>
                <w:rFonts w:ascii="Arial"/>
                <w:highlight w:val="none"/>
              </w:rPr>
            </w:pPr>
          </w:p>
        </w:tc>
        <w:tc>
          <w:tcPr>
            <w:tcW w:w="2362" w:type="dxa"/>
            <w:tcBorders>
              <w:left w:val="single" w:color="000000" w:sz="4" w:space="0"/>
            </w:tcBorders>
          </w:tcPr>
          <w:p>
            <w:pPr>
              <w:rPr>
                <w:rFonts w:ascii="Arial"/>
                <w:highlight w:val="none"/>
              </w:rPr>
            </w:pPr>
          </w:p>
        </w:tc>
        <w:tc>
          <w:tcPr>
            <w:tcW w:w="1355" w:type="dxa"/>
          </w:tcPr>
          <w:p>
            <w:pPr>
              <w:rPr>
                <w:rFonts w:ascii="Arial"/>
                <w:highlight w:val="none"/>
              </w:rPr>
            </w:pPr>
          </w:p>
        </w:tc>
      </w:tr>
    </w:tbl>
    <w:p>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1.该明细表所有信息均为必填项，不得删减，可细化可增加。</w:t>
      </w:r>
    </w:p>
    <w:p>
      <w:pPr>
        <w:spacing w:before="78" w:line="219" w:lineRule="auto"/>
        <w:ind w:left="431"/>
        <w:rPr>
          <w:rFonts w:ascii="宋体" w:hAnsi="宋体" w:eastAsia="宋体" w:cs="宋体"/>
          <w:b/>
          <w:bCs/>
          <w:spacing w:val="-6"/>
          <w:szCs w:val="21"/>
          <w:highlight w:val="none"/>
        </w:rPr>
      </w:pPr>
      <w:r>
        <w:rPr>
          <w:rFonts w:hint="eastAsia" w:ascii="宋体" w:hAnsi="宋体" w:eastAsia="宋体" w:cs="宋体"/>
          <w:b/>
          <w:bCs/>
          <w:spacing w:val="-6"/>
          <w:szCs w:val="21"/>
          <w:highlight w:val="none"/>
        </w:rPr>
        <w:t>2.此表格需在技术标中体现，并明确规格型号、品牌等信息。</w:t>
      </w:r>
    </w:p>
    <w:p>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3.此表分项明细需要和附表9-1完全对应。</w:t>
      </w:r>
    </w:p>
    <w:p>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4.因填写不规范造成废标及终止招标的，责任由投标人自负。</w:t>
      </w:r>
    </w:p>
    <w:p>
      <w:pPr>
        <w:spacing w:before="78" w:line="219" w:lineRule="auto"/>
        <w:ind w:left="431"/>
        <w:rPr>
          <w:rFonts w:ascii="宋体" w:hAnsi="宋体" w:eastAsia="宋体" w:cs="宋体"/>
          <w:spacing w:val="-6"/>
          <w:szCs w:val="21"/>
          <w:highlight w:val="none"/>
        </w:rPr>
      </w:pPr>
    </w:p>
    <w:p>
      <w:pPr>
        <w:spacing w:line="105" w:lineRule="exact"/>
        <w:rPr>
          <w:highlight w:val="none"/>
        </w:rPr>
      </w:pPr>
    </w:p>
    <w:p>
      <w:pPr>
        <w:rPr>
          <w:highlight w:val="none"/>
        </w:rPr>
        <w:sectPr>
          <w:footerReference r:id="rId29"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highlight w:val="none"/>
        </w:rPr>
      </w:pPr>
      <w:r>
        <w:rPr>
          <w:rFonts w:hint="eastAsia" w:ascii="宋体" w:hAnsi="宋体" w:eastAsia="宋体" w:cs="宋体"/>
          <w:spacing w:val="-4"/>
          <w:sz w:val="24"/>
          <w:szCs w:val="24"/>
          <w:highlight w:val="none"/>
        </w:rPr>
        <w:t>投标人(章)：</w:t>
      </w:r>
    </w:p>
    <w:p>
      <w:pPr>
        <w:spacing w:line="14" w:lineRule="auto"/>
        <w:rPr>
          <w:rFonts w:ascii="宋体" w:hAnsi="宋体" w:eastAsia="宋体" w:cs="宋体"/>
          <w:sz w:val="24"/>
          <w:szCs w:val="24"/>
          <w:highlight w:val="none"/>
        </w:rPr>
      </w:pPr>
      <w:r>
        <w:rPr>
          <w:rFonts w:hint="eastAsia" w:ascii="宋体" w:hAnsi="宋体" w:eastAsia="宋体" w:cs="宋体"/>
          <w:sz w:val="24"/>
          <w:szCs w:val="24"/>
          <w:highlight w:val="none"/>
        </w:rPr>
        <w:br w:type="column"/>
      </w:r>
    </w:p>
    <w:p>
      <w:pPr>
        <w:spacing w:before="40" w:line="186" w:lineRule="auto"/>
        <w:rPr>
          <w:rFonts w:ascii="宋体" w:hAnsi="宋体" w:eastAsia="宋体" w:cs="宋体"/>
          <w:spacing w:val="-2"/>
          <w:sz w:val="24"/>
          <w:szCs w:val="24"/>
          <w:highlight w:val="none"/>
        </w:rPr>
      </w:pP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年    月    日</w:t>
      </w:r>
    </w:p>
    <w:p>
      <w:pPr>
        <w:rPr>
          <w:rFonts w:ascii="宋体" w:hAnsi="宋体" w:eastAsia="宋体" w:cs="宋体"/>
          <w:sz w:val="24"/>
          <w:szCs w:val="24"/>
          <w:highlight w:val="none"/>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 xml:space="preserve"> 2021年1月1日至今同类项目业绩一览表</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宋体"/>
          <w:sz w:val="24"/>
          <w:szCs w:val="24"/>
          <w:highlight w:val="none"/>
          <w:u w:val="single"/>
        </w:rPr>
        <w:t>XXXXXX</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826" w:type="dxa"/>
            <w:vAlign w:val="center"/>
          </w:tcPr>
          <w:p>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数量</w:t>
            </w:r>
          </w:p>
        </w:tc>
        <w:tc>
          <w:tcPr>
            <w:tcW w:w="1320" w:type="dxa"/>
            <w:vAlign w:val="center"/>
          </w:tcPr>
          <w:p>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highlight w:val="none"/>
              </w:rPr>
            </w:pPr>
          </w:p>
        </w:tc>
        <w:tc>
          <w:tcPr>
            <w:tcW w:w="2082" w:type="dxa"/>
          </w:tcPr>
          <w:p>
            <w:pPr>
              <w:ind w:left="420" w:hanging="420"/>
              <w:rPr>
                <w:rFonts w:ascii="宋体" w:hAnsi="Times New Roman" w:eastAsia="宋体" w:cs="Times New Roman"/>
                <w:b/>
                <w:szCs w:val="20"/>
                <w:highlight w:val="none"/>
              </w:rPr>
            </w:pPr>
          </w:p>
        </w:tc>
        <w:tc>
          <w:tcPr>
            <w:tcW w:w="1355" w:type="dxa"/>
          </w:tcPr>
          <w:p>
            <w:pPr>
              <w:ind w:left="420" w:hanging="420"/>
              <w:rPr>
                <w:rFonts w:ascii="宋体" w:hAnsi="Times New Roman" w:eastAsia="宋体" w:cs="Times New Roman"/>
                <w:b/>
                <w:szCs w:val="20"/>
                <w:highlight w:val="none"/>
              </w:rPr>
            </w:pPr>
          </w:p>
        </w:tc>
        <w:tc>
          <w:tcPr>
            <w:tcW w:w="826" w:type="dxa"/>
          </w:tcPr>
          <w:p>
            <w:pPr>
              <w:ind w:left="420" w:hanging="420"/>
              <w:rPr>
                <w:rFonts w:ascii="宋体" w:hAnsi="Times New Roman" w:eastAsia="宋体" w:cs="Times New Roman"/>
                <w:b/>
                <w:szCs w:val="20"/>
                <w:highlight w:val="none"/>
              </w:rPr>
            </w:pPr>
          </w:p>
        </w:tc>
        <w:tc>
          <w:tcPr>
            <w:tcW w:w="1320" w:type="dxa"/>
          </w:tcPr>
          <w:p>
            <w:pPr>
              <w:ind w:left="420" w:hanging="420"/>
              <w:rPr>
                <w:rFonts w:ascii="宋体" w:hAnsi="Times New Roman" w:eastAsia="宋体" w:cs="Times New Roman"/>
                <w:b/>
                <w:szCs w:val="20"/>
                <w:highlight w:val="none"/>
              </w:rPr>
            </w:pPr>
          </w:p>
        </w:tc>
        <w:tc>
          <w:tcPr>
            <w:tcW w:w="1023" w:type="dxa"/>
          </w:tcPr>
          <w:p>
            <w:pPr>
              <w:ind w:left="420" w:hanging="420"/>
              <w:rPr>
                <w:rFonts w:ascii="宋体" w:hAnsi="Times New Roman" w:eastAsia="宋体" w:cs="Times New Roman"/>
                <w:b/>
                <w:szCs w:val="20"/>
                <w:highlight w:val="none"/>
              </w:rPr>
            </w:pPr>
          </w:p>
        </w:tc>
        <w:tc>
          <w:tcPr>
            <w:tcW w:w="1590" w:type="dxa"/>
          </w:tcPr>
          <w:p>
            <w:pPr>
              <w:ind w:left="420" w:hanging="420"/>
              <w:rPr>
                <w:rFonts w:ascii="宋体" w:hAnsi="Times New Roman" w:eastAsia="宋体" w:cs="Times New Roman"/>
                <w:b/>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highlight w:val="none"/>
              </w:rPr>
            </w:pPr>
          </w:p>
        </w:tc>
        <w:tc>
          <w:tcPr>
            <w:tcW w:w="2082" w:type="dxa"/>
          </w:tcPr>
          <w:p>
            <w:pPr>
              <w:ind w:left="420" w:hanging="420"/>
              <w:rPr>
                <w:rFonts w:ascii="宋体" w:hAnsi="Times New Roman" w:eastAsia="宋体" w:cs="Times New Roman"/>
                <w:b/>
                <w:szCs w:val="20"/>
                <w:highlight w:val="none"/>
              </w:rPr>
            </w:pPr>
          </w:p>
        </w:tc>
        <w:tc>
          <w:tcPr>
            <w:tcW w:w="1355" w:type="dxa"/>
          </w:tcPr>
          <w:p>
            <w:pPr>
              <w:ind w:left="420" w:hanging="420"/>
              <w:rPr>
                <w:rFonts w:ascii="宋体" w:hAnsi="Times New Roman" w:eastAsia="宋体" w:cs="Times New Roman"/>
                <w:b/>
                <w:szCs w:val="20"/>
                <w:highlight w:val="none"/>
              </w:rPr>
            </w:pPr>
          </w:p>
        </w:tc>
        <w:tc>
          <w:tcPr>
            <w:tcW w:w="826" w:type="dxa"/>
          </w:tcPr>
          <w:p>
            <w:pPr>
              <w:ind w:left="420" w:hanging="420"/>
              <w:rPr>
                <w:rFonts w:ascii="宋体" w:hAnsi="Times New Roman" w:eastAsia="宋体" w:cs="Times New Roman"/>
                <w:b/>
                <w:szCs w:val="20"/>
                <w:highlight w:val="none"/>
              </w:rPr>
            </w:pPr>
          </w:p>
        </w:tc>
        <w:tc>
          <w:tcPr>
            <w:tcW w:w="1320" w:type="dxa"/>
          </w:tcPr>
          <w:p>
            <w:pPr>
              <w:ind w:left="420" w:hanging="420"/>
              <w:rPr>
                <w:rFonts w:ascii="宋体" w:hAnsi="Times New Roman" w:eastAsia="宋体" w:cs="Times New Roman"/>
                <w:b/>
                <w:szCs w:val="20"/>
                <w:highlight w:val="none"/>
              </w:rPr>
            </w:pPr>
          </w:p>
        </w:tc>
        <w:tc>
          <w:tcPr>
            <w:tcW w:w="1023" w:type="dxa"/>
          </w:tcPr>
          <w:p>
            <w:pPr>
              <w:ind w:left="420" w:hanging="420"/>
              <w:rPr>
                <w:rFonts w:ascii="宋体" w:hAnsi="Times New Roman" w:eastAsia="宋体" w:cs="Times New Roman"/>
                <w:b/>
                <w:szCs w:val="20"/>
                <w:highlight w:val="none"/>
              </w:rPr>
            </w:pPr>
          </w:p>
        </w:tc>
        <w:tc>
          <w:tcPr>
            <w:tcW w:w="1590" w:type="dxa"/>
          </w:tcPr>
          <w:p>
            <w:pPr>
              <w:ind w:left="420" w:hanging="420"/>
              <w:rPr>
                <w:rFonts w:ascii="宋体" w:hAnsi="Times New Roman" w:eastAsia="宋体" w:cs="Times New Roman"/>
                <w:b/>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highlight w:val="none"/>
              </w:rPr>
            </w:pPr>
          </w:p>
        </w:tc>
        <w:tc>
          <w:tcPr>
            <w:tcW w:w="2082" w:type="dxa"/>
          </w:tcPr>
          <w:p>
            <w:pPr>
              <w:ind w:left="420" w:hanging="420"/>
              <w:rPr>
                <w:rFonts w:ascii="宋体" w:hAnsi="Times New Roman" w:eastAsia="宋体" w:cs="Times New Roman"/>
                <w:b/>
                <w:szCs w:val="20"/>
                <w:highlight w:val="none"/>
              </w:rPr>
            </w:pPr>
          </w:p>
        </w:tc>
        <w:tc>
          <w:tcPr>
            <w:tcW w:w="1355" w:type="dxa"/>
          </w:tcPr>
          <w:p>
            <w:pPr>
              <w:ind w:left="420" w:hanging="420"/>
              <w:rPr>
                <w:rFonts w:ascii="宋体" w:hAnsi="Times New Roman" w:eastAsia="宋体" w:cs="Times New Roman"/>
                <w:b/>
                <w:szCs w:val="20"/>
                <w:highlight w:val="none"/>
              </w:rPr>
            </w:pPr>
          </w:p>
        </w:tc>
        <w:tc>
          <w:tcPr>
            <w:tcW w:w="826" w:type="dxa"/>
          </w:tcPr>
          <w:p>
            <w:pPr>
              <w:ind w:left="420" w:hanging="420"/>
              <w:rPr>
                <w:rFonts w:ascii="宋体" w:hAnsi="Times New Roman" w:eastAsia="宋体" w:cs="Times New Roman"/>
                <w:b/>
                <w:szCs w:val="20"/>
                <w:highlight w:val="none"/>
              </w:rPr>
            </w:pPr>
          </w:p>
        </w:tc>
        <w:tc>
          <w:tcPr>
            <w:tcW w:w="1320" w:type="dxa"/>
          </w:tcPr>
          <w:p>
            <w:pPr>
              <w:ind w:left="420" w:hanging="420"/>
              <w:rPr>
                <w:rFonts w:ascii="宋体" w:hAnsi="Times New Roman" w:eastAsia="宋体" w:cs="Times New Roman"/>
                <w:b/>
                <w:szCs w:val="20"/>
                <w:highlight w:val="none"/>
              </w:rPr>
            </w:pPr>
          </w:p>
        </w:tc>
        <w:tc>
          <w:tcPr>
            <w:tcW w:w="1023" w:type="dxa"/>
          </w:tcPr>
          <w:p>
            <w:pPr>
              <w:ind w:left="420" w:hanging="420"/>
              <w:rPr>
                <w:rFonts w:ascii="宋体" w:hAnsi="Times New Roman" w:eastAsia="宋体" w:cs="Times New Roman"/>
                <w:b/>
                <w:szCs w:val="20"/>
                <w:highlight w:val="none"/>
              </w:rPr>
            </w:pPr>
          </w:p>
        </w:tc>
        <w:tc>
          <w:tcPr>
            <w:tcW w:w="1590" w:type="dxa"/>
          </w:tcPr>
          <w:p>
            <w:pPr>
              <w:ind w:left="420" w:hanging="420"/>
              <w:rPr>
                <w:rFonts w:ascii="宋体" w:hAnsi="Times New Roman" w:eastAsia="宋体" w:cs="Times New Roman"/>
                <w:b/>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highlight w:val="none"/>
              </w:rPr>
            </w:pPr>
          </w:p>
        </w:tc>
        <w:tc>
          <w:tcPr>
            <w:tcW w:w="2082" w:type="dxa"/>
          </w:tcPr>
          <w:p>
            <w:pPr>
              <w:ind w:left="420" w:hanging="420"/>
              <w:rPr>
                <w:rFonts w:ascii="宋体" w:hAnsi="Times New Roman" w:eastAsia="宋体" w:cs="Times New Roman"/>
                <w:b/>
                <w:szCs w:val="20"/>
                <w:highlight w:val="none"/>
              </w:rPr>
            </w:pPr>
          </w:p>
        </w:tc>
        <w:tc>
          <w:tcPr>
            <w:tcW w:w="1355" w:type="dxa"/>
          </w:tcPr>
          <w:p>
            <w:pPr>
              <w:ind w:left="420" w:hanging="420"/>
              <w:rPr>
                <w:rFonts w:ascii="宋体" w:hAnsi="Times New Roman" w:eastAsia="宋体" w:cs="Times New Roman"/>
                <w:b/>
                <w:szCs w:val="20"/>
                <w:highlight w:val="none"/>
              </w:rPr>
            </w:pPr>
          </w:p>
        </w:tc>
        <w:tc>
          <w:tcPr>
            <w:tcW w:w="826" w:type="dxa"/>
          </w:tcPr>
          <w:p>
            <w:pPr>
              <w:ind w:left="420" w:hanging="420"/>
              <w:rPr>
                <w:rFonts w:ascii="宋体" w:hAnsi="Times New Roman" w:eastAsia="宋体" w:cs="Times New Roman"/>
                <w:b/>
                <w:szCs w:val="20"/>
                <w:highlight w:val="none"/>
              </w:rPr>
            </w:pPr>
          </w:p>
        </w:tc>
        <w:tc>
          <w:tcPr>
            <w:tcW w:w="1320" w:type="dxa"/>
          </w:tcPr>
          <w:p>
            <w:pPr>
              <w:ind w:left="420" w:hanging="420"/>
              <w:rPr>
                <w:rFonts w:ascii="宋体" w:hAnsi="Times New Roman" w:eastAsia="宋体" w:cs="Times New Roman"/>
                <w:b/>
                <w:szCs w:val="20"/>
                <w:highlight w:val="none"/>
              </w:rPr>
            </w:pPr>
          </w:p>
        </w:tc>
        <w:tc>
          <w:tcPr>
            <w:tcW w:w="1023" w:type="dxa"/>
          </w:tcPr>
          <w:p>
            <w:pPr>
              <w:ind w:left="420" w:hanging="420"/>
              <w:rPr>
                <w:rFonts w:ascii="宋体" w:hAnsi="Times New Roman" w:eastAsia="宋体" w:cs="Times New Roman"/>
                <w:b/>
                <w:szCs w:val="20"/>
                <w:highlight w:val="none"/>
              </w:rPr>
            </w:pPr>
          </w:p>
        </w:tc>
        <w:tc>
          <w:tcPr>
            <w:tcW w:w="1590" w:type="dxa"/>
          </w:tcPr>
          <w:p>
            <w:pPr>
              <w:ind w:left="420" w:hanging="420"/>
              <w:rPr>
                <w:rFonts w:ascii="宋体" w:hAnsi="Times New Roman" w:eastAsia="宋体" w:cs="Times New Roman"/>
                <w:b/>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highlight w:val="none"/>
              </w:rPr>
            </w:pPr>
          </w:p>
        </w:tc>
        <w:tc>
          <w:tcPr>
            <w:tcW w:w="2082" w:type="dxa"/>
          </w:tcPr>
          <w:p>
            <w:pPr>
              <w:ind w:left="420" w:hanging="420"/>
              <w:rPr>
                <w:rFonts w:ascii="宋体" w:hAnsi="Times New Roman" w:eastAsia="宋体" w:cs="Times New Roman"/>
                <w:b/>
                <w:szCs w:val="20"/>
                <w:highlight w:val="none"/>
              </w:rPr>
            </w:pPr>
          </w:p>
        </w:tc>
        <w:tc>
          <w:tcPr>
            <w:tcW w:w="1355" w:type="dxa"/>
          </w:tcPr>
          <w:p>
            <w:pPr>
              <w:ind w:left="420" w:hanging="420"/>
              <w:rPr>
                <w:rFonts w:ascii="宋体" w:hAnsi="Times New Roman" w:eastAsia="宋体" w:cs="Times New Roman"/>
                <w:b/>
                <w:szCs w:val="20"/>
                <w:highlight w:val="none"/>
              </w:rPr>
            </w:pPr>
          </w:p>
        </w:tc>
        <w:tc>
          <w:tcPr>
            <w:tcW w:w="826" w:type="dxa"/>
          </w:tcPr>
          <w:p>
            <w:pPr>
              <w:ind w:left="420" w:hanging="420"/>
              <w:rPr>
                <w:rFonts w:ascii="宋体" w:hAnsi="Times New Roman" w:eastAsia="宋体" w:cs="Times New Roman"/>
                <w:b/>
                <w:szCs w:val="20"/>
                <w:highlight w:val="none"/>
              </w:rPr>
            </w:pPr>
          </w:p>
        </w:tc>
        <w:tc>
          <w:tcPr>
            <w:tcW w:w="1320" w:type="dxa"/>
          </w:tcPr>
          <w:p>
            <w:pPr>
              <w:ind w:left="420" w:hanging="420"/>
              <w:rPr>
                <w:rFonts w:ascii="宋体" w:hAnsi="Times New Roman" w:eastAsia="宋体" w:cs="Times New Roman"/>
                <w:b/>
                <w:szCs w:val="20"/>
                <w:highlight w:val="none"/>
              </w:rPr>
            </w:pPr>
          </w:p>
        </w:tc>
        <w:tc>
          <w:tcPr>
            <w:tcW w:w="1023" w:type="dxa"/>
          </w:tcPr>
          <w:p>
            <w:pPr>
              <w:ind w:left="420" w:hanging="420"/>
              <w:rPr>
                <w:rFonts w:ascii="宋体" w:hAnsi="Times New Roman" w:eastAsia="宋体" w:cs="Times New Roman"/>
                <w:b/>
                <w:szCs w:val="20"/>
                <w:highlight w:val="none"/>
              </w:rPr>
            </w:pPr>
          </w:p>
        </w:tc>
        <w:tc>
          <w:tcPr>
            <w:tcW w:w="1590" w:type="dxa"/>
          </w:tcPr>
          <w:p>
            <w:pPr>
              <w:ind w:left="420" w:hanging="420"/>
              <w:rPr>
                <w:rFonts w:ascii="宋体" w:hAnsi="Times New Roman" w:eastAsia="宋体" w:cs="Times New Roman"/>
                <w:b/>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highlight w:val="none"/>
              </w:rPr>
            </w:pPr>
          </w:p>
        </w:tc>
        <w:tc>
          <w:tcPr>
            <w:tcW w:w="2082" w:type="dxa"/>
          </w:tcPr>
          <w:p>
            <w:pPr>
              <w:ind w:left="420" w:hanging="420"/>
              <w:rPr>
                <w:rFonts w:ascii="宋体" w:hAnsi="Times New Roman" w:eastAsia="宋体" w:cs="Times New Roman"/>
                <w:b/>
                <w:szCs w:val="20"/>
                <w:highlight w:val="none"/>
              </w:rPr>
            </w:pPr>
          </w:p>
        </w:tc>
        <w:tc>
          <w:tcPr>
            <w:tcW w:w="1355" w:type="dxa"/>
          </w:tcPr>
          <w:p>
            <w:pPr>
              <w:ind w:left="420" w:hanging="420"/>
              <w:rPr>
                <w:rFonts w:ascii="宋体" w:hAnsi="Times New Roman" w:eastAsia="宋体" w:cs="Times New Roman"/>
                <w:b/>
                <w:szCs w:val="20"/>
                <w:highlight w:val="none"/>
              </w:rPr>
            </w:pPr>
          </w:p>
        </w:tc>
        <w:tc>
          <w:tcPr>
            <w:tcW w:w="826" w:type="dxa"/>
          </w:tcPr>
          <w:p>
            <w:pPr>
              <w:ind w:left="420" w:hanging="420"/>
              <w:rPr>
                <w:rFonts w:ascii="宋体" w:hAnsi="Times New Roman" w:eastAsia="宋体" w:cs="Times New Roman"/>
                <w:b/>
                <w:szCs w:val="20"/>
                <w:highlight w:val="none"/>
              </w:rPr>
            </w:pPr>
          </w:p>
        </w:tc>
        <w:tc>
          <w:tcPr>
            <w:tcW w:w="1320" w:type="dxa"/>
          </w:tcPr>
          <w:p>
            <w:pPr>
              <w:ind w:left="420" w:hanging="420"/>
              <w:rPr>
                <w:rFonts w:ascii="宋体" w:hAnsi="Times New Roman" w:eastAsia="宋体" w:cs="Times New Roman"/>
                <w:b/>
                <w:szCs w:val="20"/>
                <w:highlight w:val="none"/>
              </w:rPr>
            </w:pPr>
          </w:p>
        </w:tc>
        <w:tc>
          <w:tcPr>
            <w:tcW w:w="1023" w:type="dxa"/>
          </w:tcPr>
          <w:p>
            <w:pPr>
              <w:ind w:left="420" w:hanging="420"/>
              <w:rPr>
                <w:rFonts w:ascii="宋体" w:hAnsi="Times New Roman" w:eastAsia="宋体" w:cs="Times New Roman"/>
                <w:b/>
                <w:szCs w:val="20"/>
                <w:highlight w:val="none"/>
              </w:rPr>
            </w:pPr>
          </w:p>
        </w:tc>
        <w:tc>
          <w:tcPr>
            <w:tcW w:w="1590" w:type="dxa"/>
          </w:tcPr>
          <w:p>
            <w:pPr>
              <w:ind w:left="420" w:hanging="420"/>
              <w:rPr>
                <w:rFonts w:ascii="宋体" w:hAnsi="Times New Roman" w:eastAsia="宋体" w:cs="Times New Roman"/>
                <w:b/>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highlight w:val="none"/>
              </w:rPr>
            </w:pPr>
          </w:p>
        </w:tc>
        <w:tc>
          <w:tcPr>
            <w:tcW w:w="2082" w:type="dxa"/>
          </w:tcPr>
          <w:p>
            <w:pPr>
              <w:ind w:left="420" w:hanging="420"/>
              <w:rPr>
                <w:rFonts w:ascii="宋体" w:hAnsi="Times New Roman" w:eastAsia="宋体" w:cs="Times New Roman"/>
                <w:b/>
                <w:szCs w:val="20"/>
                <w:highlight w:val="none"/>
              </w:rPr>
            </w:pPr>
          </w:p>
        </w:tc>
        <w:tc>
          <w:tcPr>
            <w:tcW w:w="1355" w:type="dxa"/>
          </w:tcPr>
          <w:p>
            <w:pPr>
              <w:ind w:left="420" w:hanging="420"/>
              <w:rPr>
                <w:rFonts w:ascii="宋体" w:hAnsi="Times New Roman" w:eastAsia="宋体" w:cs="Times New Roman"/>
                <w:b/>
                <w:szCs w:val="20"/>
                <w:highlight w:val="none"/>
              </w:rPr>
            </w:pPr>
          </w:p>
        </w:tc>
        <w:tc>
          <w:tcPr>
            <w:tcW w:w="826" w:type="dxa"/>
          </w:tcPr>
          <w:p>
            <w:pPr>
              <w:ind w:left="420" w:hanging="420"/>
              <w:rPr>
                <w:rFonts w:ascii="宋体" w:hAnsi="Times New Roman" w:eastAsia="宋体" w:cs="Times New Roman"/>
                <w:b/>
                <w:szCs w:val="20"/>
                <w:highlight w:val="none"/>
              </w:rPr>
            </w:pPr>
          </w:p>
        </w:tc>
        <w:tc>
          <w:tcPr>
            <w:tcW w:w="1320" w:type="dxa"/>
          </w:tcPr>
          <w:p>
            <w:pPr>
              <w:ind w:left="420" w:hanging="420"/>
              <w:rPr>
                <w:rFonts w:ascii="宋体" w:hAnsi="Times New Roman" w:eastAsia="宋体" w:cs="Times New Roman"/>
                <w:b/>
                <w:szCs w:val="20"/>
                <w:highlight w:val="none"/>
              </w:rPr>
            </w:pPr>
          </w:p>
        </w:tc>
        <w:tc>
          <w:tcPr>
            <w:tcW w:w="1023" w:type="dxa"/>
          </w:tcPr>
          <w:p>
            <w:pPr>
              <w:ind w:left="420" w:hanging="420"/>
              <w:rPr>
                <w:rFonts w:ascii="宋体" w:hAnsi="Times New Roman" w:eastAsia="宋体" w:cs="Times New Roman"/>
                <w:b/>
                <w:szCs w:val="20"/>
                <w:highlight w:val="none"/>
              </w:rPr>
            </w:pPr>
          </w:p>
        </w:tc>
        <w:tc>
          <w:tcPr>
            <w:tcW w:w="1590" w:type="dxa"/>
          </w:tcPr>
          <w:p>
            <w:pPr>
              <w:ind w:left="420" w:hanging="420"/>
              <w:rPr>
                <w:rFonts w:ascii="宋体" w:hAnsi="Times New Roman" w:eastAsia="宋体" w:cs="Times New Roman"/>
                <w:b/>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highlight w:val="none"/>
              </w:rPr>
            </w:pPr>
          </w:p>
        </w:tc>
        <w:tc>
          <w:tcPr>
            <w:tcW w:w="2082" w:type="dxa"/>
          </w:tcPr>
          <w:p>
            <w:pPr>
              <w:ind w:left="420" w:hanging="420"/>
              <w:rPr>
                <w:rFonts w:ascii="宋体" w:hAnsi="Times New Roman" w:eastAsia="宋体" w:cs="Times New Roman"/>
                <w:b/>
                <w:szCs w:val="20"/>
                <w:highlight w:val="none"/>
              </w:rPr>
            </w:pPr>
          </w:p>
        </w:tc>
        <w:tc>
          <w:tcPr>
            <w:tcW w:w="1355" w:type="dxa"/>
          </w:tcPr>
          <w:p>
            <w:pPr>
              <w:ind w:left="420" w:hanging="420"/>
              <w:rPr>
                <w:rFonts w:ascii="宋体" w:hAnsi="Times New Roman" w:eastAsia="宋体" w:cs="Times New Roman"/>
                <w:b/>
                <w:szCs w:val="20"/>
                <w:highlight w:val="none"/>
              </w:rPr>
            </w:pPr>
          </w:p>
        </w:tc>
        <w:tc>
          <w:tcPr>
            <w:tcW w:w="826" w:type="dxa"/>
          </w:tcPr>
          <w:p>
            <w:pPr>
              <w:ind w:left="420" w:hanging="420"/>
              <w:rPr>
                <w:rFonts w:ascii="宋体" w:hAnsi="Times New Roman" w:eastAsia="宋体" w:cs="Times New Roman"/>
                <w:b/>
                <w:szCs w:val="20"/>
                <w:highlight w:val="none"/>
              </w:rPr>
            </w:pPr>
          </w:p>
        </w:tc>
        <w:tc>
          <w:tcPr>
            <w:tcW w:w="1320" w:type="dxa"/>
          </w:tcPr>
          <w:p>
            <w:pPr>
              <w:ind w:left="420" w:hanging="420"/>
              <w:rPr>
                <w:rFonts w:ascii="宋体" w:hAnsi="Times New Roman" w:eastAsia="宋体" w:cs="Times New Roman"/>
                <w:b/>
                <w:szCs w:val="20"/>
                <w:highlight w:val="none"/>
              </w:rPr>
            </w:pPr>
          </w:p>
        </w:tc>
        <w:tc>
          <w:tcPr>
            <w:tcW w:w="1023" w:type="dxa"/>
          </w:tcPr>
          <w:p>
            <w:pPr>
              <w:ind w:left="420" w:hanging="420"/>
              <w:rPr>
                <w:rFonts w:ascii="宋体" w:hAnsi="Times New Roman" w:eastAsia="宋体" w:cs="Times New Roman"/>
                <w:b/>
                <w:szCs w:val="20"/>
                <w:highlight w:val="none"/>
              </w:rPr>
            </w:pPr>
          </w:p>
        </w:tc>
        <w:tc>
          <w:tcPr>
            <w:tcW w:w="1590" w:type="dxa"/>
          </w:tcPr>
          <w:p>
            <w:pPr>
              <w:ind w:left="420" w:hanging="420"/>
              <w:rPr>
                <w:rFonts w:ascii="宋体" w:hAnsi="Times New Roman" w:eastAsia="宋体" w:cs="Times New Roman"/>
                <w:b/>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highlight w:val="none"/>
              </w:rPr>
            </w:pPr>
          </w:p>
        </w:tc>
        <w:tc>
          <w:tcPr>
            <w:tcW w:w="2082" w:type="dxa"/>
          </w:tcPr>
          <w:p>
            <w:pPr>
              <w:ind w:left="420" w:hanging="420"/>
              <w:rPr>
                <w:rFonts w:ascii="宋体" w:hAnsi="Times New Roman" w:eastAsia="宋体" w:cs="Times New Roman"/>
                <w:b/>
                <w:szCs w:val="20"/>
                <w:highlight w:val="none"/>
              </w:rPr>
            </w:pPr>
          </w:p>
        </w:tc>
        <w:tc>
          <w:tcPr>
            <w:tcW w:w="1355" w:type="dxa"/>
          </w:tcPr>
          <w:p>
            <w:pPr>
              <w:ind w:left="420" w:hanging="420"/>
              <w:rPr>
                <w:rFonts w:ascii="宋体" w:hAnsi="Times New Roman" w:eastAsia="宋体" w:cs="Times New Roman"/>
                <w:b/>
                <w:szCs w:val="20"/>
                <w:highlight w:val="none"/>
              </w:rPr>
            </w:pPr>
          </w:p>
        </w:tc>
        <w:tc>
          <w:tcPr>
            <w:tcW w:w="826" w:type="dxa"/>
          </w:tcPr>
          <w:p>
            <w:pPr>
              <w:ind w:left="420" w:hanging="420"/>
              <w:rPr>
                <w:rFonts w:ascii="宋体" w:hAnsi="Times New Roman" w:eastAsia="宋体" w:cs="Times New Roman"/>
                <w:b/>
                <w:szCs w:val="20"/>
                <w:highlight w:val="none"/>
              </w:rPr>
            </w:pPr>
          </w:p>
        </w:tc>
        <w:tc>
          <w:tcPr>
            <w:tcW w:w="1320" w:type="dxa"/>
          </w:tcPr>
          <w:p>
            <w:pPr>
              <w:ind w:left="420" w:hanging="420"/>
              <w:rPr>
                <w:rFonts w:ascii="宋体" w:hAnsi="Times New Roman" w:eastAsia="宋体" w:cs="Times New Roman"/>
                <w:b/>
                <w:szCs w:val="20"/>
                <w:highlight w:val="none"/>
              </w:rPr>
            </w:pPr>
          </w:p>
        </w:tc>
        <w:tc>
          <w:tcPr>
            <w:tcW w:w="1023" w:type="dxa"/>
          </w:tcPr>
          <w:p>
            <w:pPr>
              <w:ind w:left="420" w:hanging="420"/>
              <w:rPr>
                <w:rFonts w:ascii="宋体" w:hAnsi="Times New Roman" w:eastAsia="宋体" w:cs="Times New Roman"/>
                <w:b/>
                <w:szCs w:val="20"/>
                <w:highlight w:val="none"/>
              </w:rPr>
            </w:pPr>
          </w:p>
        </w:tc>
        <w:tc>
          <w:tcPr>
            <w:tcW w:w="1590" w:type="dxa"/>
          </w:tcPr>
          <w:p>
            <w:pPr>
              <w:ind w:left="420" w:hanging="420"/>
              <w:rPr>
                <w:rFonts w:ascii="宋体" w:hAnsi="Times New Roman" w:eastAsia="宋体" w:cs="Times New Roman"/>
                <w:b/>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highlight w:val="none"/>
              </w:rPr>
            </w:pPr>
          </w:p>
        </w:tc>
        <w:tc>
          <w:tcPr>
            <w:tcW w:w="2082" w:type="dxa"/>
          </w:tcPr>
          <w:p>
            <w:pPr>
              <w:ind w:left="420" w:hanging="420"/>
              <w:rPr>
                <w:rFonts w:ascii="宋体" w:hAnsi="Times New Roman" w:eastAsia="宋体" w:cs="Times New Roman"/>
                <w:b/>
                <w:szCs w:val="20"/>
                <w:highlight w:val="none"/>
              </w:rPr>
            </w:pPr>
          </w:p>
        </w:tc>
        <w:tc>
          <w:tcPr>
            <w:tcW w:w="1355" w:type="dxa"/>
          </w:tcPr>
          <w:p>
            <w:pPr>
              <w:ind w:left="420" w:hanging="420"/>
              <w:rPr>
                <w:rFonts w:ascii="宋体" w:hAnsi="Times New Roman" w:eastAsia="宋体" w:cs="Times New Roman"/>
                <w:b/>
                <w:szCs w:val="20"/>
                <w:highlight w:val="none"/>
              </w:rPr>
            </w:pPr>
          </w:p>
        </w:tc>
        <w:tc>
          <w:tcPr>
            <w:tcW w:w="826" w:type="dxa"/>
          </w:tcPr>
          <w:p>
            <w:pPr>
              <w:ind w:left="420" w:hanging="420"/>
              <w:rPr>
                <w:rFonts w:ascii="宋体" w:hAnsi="Times New Roman" w:eastAsia="宋体" w:cs="Times New Roman"/>
                <w:b/>
                <w:szCs w:val="20"/>
                <w:highlight w:val="none"/>
              </w:rPr>
            </w:pPr>
          </w:p>
        </w:tc>
        <w:tc>
          <w:tcPr>
            <w:tcW w:w="1320" w:type="dxa"/>
          </w:tcPr>
          <w:p>
            <w:pPr>
              <w:ind w:left="420" w:hanging="420"/>
              <w:rPr>
                <w:rFonts w:ascii="宋体" w:hAnsi="Times New Roman" w:eastAsia="宋体" w:cs="Times New Roman"/>
                <w:b/>
                <w:szCs w:val="20"/>
                <w:highlight w:val="none"/>
              </w:rPr>
            </w:pPr>
          </w:p>
        </w:tc>
        <w:tc>
          <w:tcPr>
            <w:tcW w:w="1023" w:type="dxa"/>
          </w:tcPr>
          <w:p>
            <w:pPr>
              <w:ind w:left="420" w:hanging="420"/>
              <w:rPr>
                <w:rFonts w:ascii="宋体" w:hAnsi="Times New Roman" w:eastAsia="宋体" w:cs="Times New Roman"/>
                <w:b/>
                <w:szCs w:val="20"/>
                <w:highlight w:val="none"/>
              </w:rPr>
            </w:pPr>
          </w:p>
        </w:tc>
        <w:tc>
          <w:tcPr>
            <w:tcW w:w="1590" w:type="dxa"/>
          </w:tcPr>
          <w:p>
            <w:pPr>
              <w:ind w:left="420" w:hanging="420"/>
              <w:rPr>
                <w:rFonts w:ascii="宋体" w:hAnsi="Times New Roman" w:eastAsia="宋体" w:cs="Times New Roman"/>
                <w:b/>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highlight w:val="none"/>
              </w:rPr>
            </w:pPr>
          </w:p>
        </w:tc>
        <w:tc>
          <w:tcPr>
            <w:tcW w:w="2082" w:type="dxa"/>
          </w:tcPr>
          <w:p>
            <w:pPr>
              <w:ind w:left="420" w:hanging="420"/>
              <w:rPr>
                <w:rFonts w:ascii="宋体" w:hAnsi="Times New Roman" w:eastAsia="宋体" w:cs="Times New Roman"/>
                <w:b/>
                <w:szCs w:val="20"/>
                <w:highlight w:val="none"/>
              </w:rPr>
            </w:pPr>
          </w:p>
        </w:tc>
        <w:tc>
          <w:tcPr>
            <w:tcW w:w="1355" w:type="dxa"/>
          </w:tcPr>
          <w:p>
            <w:pPr>
              <w:ind w:left="420" w:hanging="420"/>
              <w:rPr>
                <w:rFonts w:ascii="宋体" w:hAnsi="Times New Roman" w:eastAsia="宋体" w:cs="Times New Roman"/>
                <w:b/>
                <w:szCs w:val="20"/>
                <w:highlight w:val="none"/>
              </w:rPr>
            </w:pPr>
          </w:p>
        </w:tc>
        <w:tc>
          <w:tcPr>
            <w:tcW w:w="826" w:type="dxa"/>
          </w:tcPr>
          <w:p>
            <w:pPr>
              <w:ind w:left="420" w:hanging="420"/>
              <w:rPr>
                <w:rFonts w:ascii="宋体" w:hAnsi="Times New Roman" w:eastAsia="宋体" w:cs="Times New Roman"/>
                <w:b/>
                <w:szCs w:val="20"/>
                <w:highlight w:val="none"/>
              </w:rPr>
            </w:pPr>
          </w:p>
        </w:tc>
        <w:tc>
          <w:tcPr>
            <w:tcW w:w="1320" w:type="dxa"/>
          </w:tcPr>
          <w:p>
            <w:pPr>
              <w:ind w:left="420" w:hanging="420"/>
              <w:rPr>
                <w:rFonts w:ascii="宋体" w:hAnsi="Times New Roman" w:eastAsia="宋体" w:cs="Times New Roman"/>
                <w:b/>
                <w:szCs w:val="20"/>
                <w:highlight w:val="none"/>
              </w:rPr>
            </w:pPr>
          </w:p>
        </w:tc>
        <w:tc>
          <w:tcPr>
            <w:tcW w:w="1023" w:type="dxa"/>
          </w:tcPr>
          <w:p>
            <w:pPr>
              <w:ind w:left="420" w:hanging="420"/>
              <w:rPr>
                <w:rFonts w:ascii="宋体" w:hAnsi="Times New Roman" w:eastAsia="宋体" w:cs="Times New Roman"/>
                <w:b/>
                <w:szCs w:val="20"/>
                <w:highlight w:val="none"/>
              </w:rPr>
            </w:pPr>
          </w:p>
        </w:tc>
        <w:tc>
          <w:tcPr>
            <w:tcW w:w="1590" w:type="dxa"/>
          </w:tcPr>
          <w:p>
            <w:pPr>
              <w:ind w:left="420" w:hanging="420"/>
              <w:rPr>
                <w:rFonts w:ascii="宋体" w:hAnsi="Times New Roman" w:eastAsia="宋体" w:cs="Times New Roman"/>
                <w:b/>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highlight w:val="none"/>
              </w:rPr>
            </w:pPr>
          </w:p>
        </w:tc>
        <w:tc>
          <w:tcPr>
            <w:tcW w:w="2082" w:type="dxa"/>
          </w:tcPr>
          <w:p>
            <w:pPr>
              <w:ind w:left="420" w:hanging="420"/>
              <w:rPr>
                <w:rFonts w:ascii="宋体" w:hAnsi="Times New Roman" w:eastAsia="宋体" w:cs="Times New Roman"/>
                <w:b/>
                <w:szCs w:val="20"/>
                <w:highlight w:val="none"/>
              </w:rPr>
            </w:pPr>
          </w:p>
        </w:tc>
        <w:tc>
          <w:tcPr>
            <w:tcW w:w="1355" w:type="dxa"/>
          </w:tcPr>
          <w:p>
            <w:pPr>
              <w:ind w:left="420" w:hanging="420"/>
              <w:rPr>
                <w:rFonts w:ascii="宋体" w:hAnsi="Times New Roman" w:eastAsia="宋体" w:cs="Times New Roman"/>
                <w:b/>
                <w:szCs w:val="20"/>
                <w:highlight w:val="none"/>
              </w:rPr>
            </w:pPr>
          </w:p>
        </w:tc>
        <w:tc>
          <w:tcPr>
            <w:tcW w:w="826" w:type="dxa"/>
          </w:tcPr>
          <w:p>
            <w:pPr>
              <w:ind w:left="420" w:hanging="420"/>
              <w:rPr>
                <w:rFonts w:ascii="宋体" w:hAnsi="Times New Roman" w:eastAsia="宋体" w:cs="Times New Roman"/>
                <w:b/>
                <w:szCs w:val="20"/>
                <w:highlight w:val="none"/>
              </w:rPr>
            </w:pPr>
          </w:p>
        </w:tc>
        <w:tc>
          <w:tcPr>
            <w:tcW w:w="1320" w:type="dxa"/>
          </w:tcPr>
          <w:p>
            <w:pPr>
              <w:ind w:left="420" w:hanging="420"/>
              <w:rPr>
                <w:rFonts w:ascii="宋体" w:hAnsi="Times New Roman" w:eastAsia="宋体" w:cs="Times New Roman"/>
                <w:b/>
                <w:szCs w:val="20"/>
                <w:highlight w:val="none"/>
              </w:rPr>
            </w:pPr>
          </w:p>
        </w:tc>
        <w:tc>
          <w:tcPr>
            <w:tcW w:w="1023" w:type="dxa"/>
          </w:tcPr>
          <w:p>
            <w:pPr>
              <w:ind w:left="420" w:hanging="420"/>
              <w:rPr>
                <w:rFonts w:ascii="宋体" w:hAnsi="Times New Roman" w:eastAsia="宋体" w:cs="Times New Roman"/>
                <w:b/>
                <w:szCs w:val="20"/>
                <w:highlight w:val="none"/>
              </w:rPr>
            </w:pPr>
          </w:p>
        </w:tc>
        <w:tc>
          <w:tcPr>
            <w:tcW w:w="1590" w:type="dxa"/>
          </w:tcPr>
          <w:p>
            <w:pPr>
              <w:ind w:left="420" w:hanging="420"/>
              <w:rPr>
                <w:rFonts w:ascii="宋体" w:hAnsi="Times New Roman" w:eastAsia="宋体" w:cs="Times New Roman"/>
                <w:b/>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highlight w:val="none"/>
              </w:rPr>
            </w:pPr>
            <w:r>
              <w:rPr>
                <w:rFonts w:ascii="宋体" w:hAnsi="宋体" w:eastAsia="宋体" w:cs="宋体"/>
                <w:sz w:val="24"/>
                <w:szCs w:val="24"/>
                <w:highlight w:val="none"/>
              </w:rPr>
              <w:t>20</w:t>
            </w:r>
            <w:r>
              <w:rPr>
                <w:rFonts w:hint="eastAsia" w:ascii="宋体" w:hAnsi="宋体" w:eastAsia="宋体" w:cs="宋体"/>
                <w:sz w:val="24"/>
                <w:szCs w:val="24"/>
                <w:highlight w:val="none"/>
              </w:rPr>
              <w:t>21</w:t>
            </w:r>
            <w:r>
              <w:rPr>
                <w:rFonts w:ascii="宋体" w:hAnsi="宋体" w:eastAsia="宋体" w:cs="宋体"/>
                <w:sz w:val="24"/>
                <w:szCs w:val="24"/>
                <w:highlight w:val="none"/>
              </w:rPr>
              <w:t>年1月1日至今所有业绩合同总额汇总（必填）</w:t>
            </w:r>
          </w:p>
        </w:tc>
        <w:tc>
          <w:tcPr>
            <w:tcW w:w="826" w:type="dxa"/>
          </w:tcPr>
          <w:p>
            <w:pPr>
              <w:ind w:left="420" w:hanging="420"/>
              <w:rPr>
                <w:rFonts w:ascii="宋体" w:hAnsi="Times New Roman" w:eastAsia="宋体" w:cs="Times New Roman"/>
                <w:b/>
                <w:szCs w:val="20"/>
                <w:highlight w:val="none"/>
              </w:rPr>
            </w:pPr>
          </w:p>
        </w:tc>
        <w:tc>
          <w:tcPr>
            <w:tcW w:w="1320" w:type="dxa"/>
          </w:tcPr>
          <w:p>
            <w:pPr>
              <w:ind w:left="420" w:hanging="420"/>
              <w:rPr>
                <w:rFonts w:ascii="宋体" w:hAnsi="Times New Roman" w:eastAsia="宋体" w:cs="Times New Roman"/>
                <w:b/>
                <w:szCs w:val="20"/>
                <w:highlight w:val="none"/>
              </w:rPr>
            </w:pPr>
          </w:p>
        </w:tc>
        <w:tc>
          <w:tcPr>
            <w:tcW w:w="1023" w:type="dxa"/>
          </w:tcPr>
          <w:p>
            <w:pPr>
              <w:ind w:left="420" w:hanging="420"/>
              <w:rPr>
                <w:rFonts w:ascii="宋体" w:hAnsi="Times New Roman" w:eastAsia="宋体" w:cs="Times New Roman"/>
                <w:b/>
                <w:szCs w:val="20"/>
                <w:highlight w:val="none"/>
              </w:rPr>
            </w:pPr>
          </w:p>
        </w:tc>
        <w:tc>
          <w:tcPr>
            <w:tcW w:w="1590" w:type="dxa"/>
          </w:tcPr>
          <w:p>
            <w:pPr>
              <w:ind w:left="420" w:hanging="420"/>
              <w:rPr>
                <w:rFonts w:ascii="宋体" w:hAnsi="Times New Roman" w:eastAsia="宋体" w:cs="Times New Roman"/>
                <w:b/>
                <w:szCs w:val="20"/>
                <w:highlight w:val="none"/>
              </w:rPr>
            </w:pPr>
          </w:p>
        </w:tc>
      </w:tr>
    </w:tbl>
    <w:p>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提供2021年1月1日以来同类产品的制造销售业绩（用户名单、联系方式）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pPr>
        <w:rPr>
          <w:rFonts w:ascii="宋体" w:hAnsi="Calibri" w:eastAsia="宋体" w:cs="宋体"/>
          <w:b/>
          <w:bCs/>
          <w:color w:val="000000"/>
          <w:sz w:val="28"/>
          <w:highlight w:val="none"/>
        </w:rPr>
      </w:pPr>
    </w:p>
    <w:p>
      <w:pPr>
        <w:rPr>
          <w:rFonts w:ascii="宋体" w:hAnsi="Calibri" w:eastAsia="宋体" w:cs="宋体"/>
          <w:b/>
          <w:bCs/>
          <w:color w:val="000000"/>
          <w:sz w:val="28"/>
          <w:highlight w:val="none"/>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附件7</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设备质量承诺函</w:t>
      </w:r>
    </w:p>
    <w:p>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pPr>
        <w:spacing w:line="360" w:lineRule="auto"/>
        <w:rPr>
          <w:rFonts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 xml:space="preserve">: </w:t>
      </w:r>
      <w:r>
        <w:rPr>
          <w:rFonts w:hint="eastAsia" w:ascii="宋体" w:hAnsi="宋体" w:eastAsia="宋体" w:cs="宋体"/>
          <w:sz w:val="24"/>
          <w:szCs w:val="24"/>
          <w:highlight w:val="none"/>
          <w:u w:val="single"/>
        </w:rPr>
        <w:t>XXXXXX</w:t>
      </w:r>
      <w:r>
        <w:rPr>
          <w:rFonts w:hint="eastAsia" w:ascii="宋体" w:hAnsi="宋体" w:eastAsia="宋体" w:cs="宋体"/>
          <w:color w:val="000000"/>
          <w:sz w:val="24"/>
          <w:szCs w:val="24"/>
          <w:highlight w:val="none"/>
          <w:u w:val="single"/>
        </w:rPr>
        <w:t>项目</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投标人名称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pPr>
        <w:rPr>
          <w:rFonts w:ascii="宋体" w:hAnsi="Calibri" w:eastAsia="宋体" w:cs="宋体"/>
          <w:b/>
          <w:bCs/>
          <w:color w:val="000000"/>
          <w:sz w:val="28"/>
          <w:szCs w:val="20"/>
          <w:highlight w:val="none"/>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附件8</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开标一览表</w:t>
      </w:r>
    </w:p>
    <w:p>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宋体"/>
          <w:sz w:val="24"/>
          <w:szCs w:val="24"/>
          <w:highlight w:val="none"/>
          <w:u w:val="single"/>
        </w:rPr>
        <w:t>XXXXXX</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highlight w:val="none"/>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243" w:type="dxa"/>
            <w:vAlign w:val="center"/>
          </w:tcPr>
          <w:p>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705" w:type="dxa"/>
            <w:vAlign w:val="center"/>
          </w:tcPr>
          <w:p>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699" w:type="dxa"/>
            <w:vAlign w:val="center"/>
          </w:tcPr>
          <w:p>
            <w:pPr>
              <w:jc w:val="center"/>
              <w:rPr>
                <w:rFonts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518" w:type="dxa"/>
            <w:vAlign w:val="center"/>
          </w:tcPr>
          <w:p>
            <w:pPr>
              <w:jc w:val="center"/>
              <w:rPr>
                <w:rFonts w:ascii="Times New Roman" w:hAnsi="Times New Roman" w:eastAsia="宋体" w:cs="Times New Roman"/>
                <w:b/>
                <w:szCs w:val="20"/>
                <w:highlight w:val="none"/>
              </w:rPr>
            </w:pPr>
            <w:r>
              <w:rPr>
                <w:rFonts w:hint="eastAsia" w:ascii="宋体" w:hAnsi="宋体" w:eastAsia="宋体" w:cs="宋体"/>
                <w:sz w:val="24"/>
                <w:szCs w:val="24"/>
                <w:highlight w:val="none"/>
                <w:u w:val="single"/>
              </w:rPr>
              <w:t>XXXXXX</w:t>
            </w:r>
            <w:r>
              <w:rPr>
                <w:rFonts w:hint="eastAsia" w:ascii="宋体" w:hAnsi="宋体" w:eastAsia="宋体" w:cs="宋体"/>
                <w:color w:val="000000"/>
                <w:sz w:val="24"/>
                <w:szCs w:val="24"/>
                <w:highlight w:val="none"/>
                <w:u w:val="single"/>
              </w:rPr>
              <w:t>项目</w:t>
            </w:r>
          </w:p>
        </w:tc>
        <w:tc>
          <w:tcPr>
            <w:tcW w:w="848" w:type="dxa"/>
            <w:vAlign w:val="center"/>
          </w:tcPr>
          <w:p>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rPr>
              <w:t>套</w:t>
            </w:r>
          </w:p>
        </w:tc>
        <w:tc>
          <w:tcPr>
            <w:tcW w:w="2270" w:type="dxa"/>
            <w:vAlign w:val="center"/>
          </w:tcPr>
          <w:p>
            <w:pPr>
              <w:jc w:val="center"/>
              <w:rPr>
                <w:rFonts w:ascii="等线" w:hAnsi="等线" w:eastAsia="等线" w:cs="Times New Roman"/>
                <w:b/>
                <w:szCs w:val="20"/>
                <w:highlight w:val="none"/>
              </w:rPr>
            </w:pPr>
            <w:r>
              <w:rPr>
                <w:rFonts w:hint="eastAsia" w:ascii="等线" w:hAnsi="等线" w:eastAsia="等线" w:cs="Times New Roman"/>
                <w:b/>
                <w:szCs w:val="20"/>
                <w:highlight w:val="none"/>
              </w:rPr>
              <w:t>不含税价：</w:t>
            </w:r>
          </w:p>
          <w:p>
            <w:pPr>
              <w:jc w:val="center"/>
              <w:rPr>
                <w:rFonts w:ascii="等线" w:hAnsi="等线" w:eastAsia="等线" w:cs="Times New Roman"/>
                <w:b/>
                <w:szCs w:val="20"/>
                <w:highlight w:val="none"/>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rPr>
              <w:t xml:space="preserve">    （大写：    ）</w:t>
            </w:r>
          </w:p>
          <w:p>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pPr>
              <w:jc w:val="center"/>
              <w:rPr>
                <w:rFonts w:ascii="Times New Roman" w:hAnsi="Times New Roman" w:eastAsia="宋体" w:cs="Times New Roman"/>
                <w:b/>
                <w:szCs w:val="20"/>
                <w:highlight w:val="none"/>
              </w:rPr>
            </w:pPr>
          </w:p>
        </w:tc>
        <w:tc>
          <w:tcPr>
            <w:tcW w:w="1243" w:type="dxa"/>
            <w:vAlign w:val="center"/>
          </w:tcPr>
          <w:p>
            <w:pPr>
              <w:jc w:val="center"/>
              <w:rPr>
                <w:rFonts w:ascii="Times New Roman" w:hAnsi="Times New Roman" w:eastAsia="宋体" w:cs="Times New Roman"/>
                <w:b/>
                <w:szCs w:val="20"/>
                <w:highlight w:val="none"/>
              </w:rPr>
            </w:pPr>
          </w:p>
        </w:tc>
        <w:tc>
          <w:tcPr>
            <w:tcW w:w="705" w:type="dxa"/>
            <w:vAlign w:val="center"/>
          </w:tcPr>
          <w:p>
            <w:pPr>
              <w:jc w:val="center"/>
              <w:rPr>
                <w:rFonts w:ascii="Times New Roman" w:hAnsi="Times New Roman" w:eastAsia="宋体" w:cs="Times New Roman"/>
                <w:b/>
                <w:szCs w:val="20"/>
                <w:highlight w:val="none"/>
              </w:rPr>
            </w:pPr>
          </w:p>
        </w:tc>
        <w:tc>
          <w:tcPr>
            <w:tcW w:w="699" w:type="dxa"/>
            <w:vAlign w:val="center"/>
          </w:tcPr>
          <w:p>
            <w:pPr>
              <w:jc w:val="center"/>
              <w:rPr>
                <w:rFonts w:ascii="Times New Roman" w:hAnsi="Times New Roman" w:eastAsia="宋体" w:cs="Times New Roman"/>
                <w:b/>
                <w:szCs w:val="20"/>
                <w:highlight w:val="none"/>
              </w:rPr>
            </w:pPr>
          </w:p>
        </w:tc>
      </w:tr>
    </w:tbl>
    <w:p>
      <w:pPr>
        <w:rPr>
          <w:rFonts w:ascii="宋体" w:hAnsi="Arial" w:eastAsia="宋体" w:cs="Times New Roman"/>
          <w:sz w:val="24"/>
          <w:szCs w:val="24"/>
          <w:highlight w:val="none"/>
        </w:rPr>
      </w:pPr>
    </w:p>
    <w:p>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pPr>
        <w:spacing w:line="520" w:lineRule="exact"/>
        <w:rPr>
          <w:rFonts w:ascii="宋体" w:hAnsi="Calibri" w:eastAsia="宋体" w:cs="Times New Roman"/>
          <w:b/>
          <w:bCs/>
          <w:szCs w:val="21"/>
          <w:highlight w:val="none"/>
        </w:rPr>
      </w:pPr>
      <w:r>
        <w:rPr>
          <w:rFonts w:ascii="宋体" w:hAnsi="宋体" w:eastAsia="宋体" w:cs="Times New Roman"/>
          <w:b/>
          <w:bCs/>
          <w:szCs w:val="21"/>
          <w:highlight w:val="none"/>
        </w:rPr>
        <w:t>1</w:t>
      </w:r>
      <w:r>
        <w:rPr>
          <w:rFonts w:hint="eastAsia" w:ascii="宋体" w:hAnsi="宋体" w:eastAsia="宋体" w:cs="Times New Roman"/>
          <w:b/>
          <w:bCs/>
          <w:szCs w:val="21"/>
          <w:highlight w:val="none"/>
        </w:rPr>
        <w:t>.此表中的报价必须与相应的报价明细表中的报价一致。</w:t>
      </w:r>
    </w:p>
    <w:p>
      <w:pPr>
        <w:spacing w:line="300" w:lineRule="auto"/>
        <w:rPr>
          <w:rFonts w:ascii="宋体" w:hAnsi="Calibri" w:eastAsia="宋体" w:cs="Times New Roman"/>
          <w:b/>
          <w:bCs/>
          <w:szCs w:val="21"/>
          <w:highlight w:val="none"/>
        </w:rPr>
      </w:pPr>
      <w:r>
        <w:rPr>
          <w:rFonts w:ascii="宋体" w:hAnsi="宋体" w:eastAsia="宋体" w:cs="Times New Roman"/>
          <w:b/>
          <w:bCs/>
          <w:szCs w:val="21"/>
          <w:highlight w:val="none"/>
        </w:rPr>
        <w:t>2</w:t>
      </w:r>
      <w:r>
        <w:rPr>
          <w:rFonts w:hint="eastAsia" w:ascii="宋体" w:hAnsi="宋体" w:eastAsia="宋体" w:cs="Times New Roman"/>
          <w:b/>
          <w:bCs/>
          <w:szCs w:val="21"/>
          <w:highlight w:val="none"/>
        </w:rPr>
        <w:t>.此表在投递标书时请单独密封两份，否则不予唱标。</w:t>
      </w:r>
    </w:p>
    <w:p>
      <w:pPr>
        <w:spacing w:line="300" w:lineRule="auto"/>
        <w:rPr>
          <w:rFonts w:ascii="宋体" w:hAnsi="宋体" w:eastAsia="宋体" w:cs="宋体"/>
          <w:b/>
          <w:szCs w:val="20"/>
          <w:highlight w:val="none"/>
        </w:rPr>
      </w:pPr>
      <w:r>
        <w:rPr>
          <w:rFonts w:hint="eastAsia" w:ascii="宋体" w:hAnsi="宋体" w:eastAsia="宋体" w:cs="宋体"/>
          <w:b/>
          <w:szCs w:val="20"/>
          <w:highlight w:val="none"/>
        </w:rPr>
        <w:t>3.需写明含税价、不含税价格、税率。</w:t>
      </w:r>
    </w:p>
    <w:p>
      <w:pPr>
        <w:pStyle w:val="17"/>
        <w:rPr>
          <w:rFonts w:hAnsi="宋体" w:eastAsia="宋体" w:cs="Times New Roman"/>
          <w:b/>
          <w:bCs/>
          <w:szCs w:val="21"/>
          <w:highlight w:val="none"/>
        </w:rPr>
      </w:pPr>
      <w:r>
        <w:rPr>
          <w:rFonts w:hint="eastAsia" w:hAnsi="宋体" w:eastAsia="宋体" w:cs="宋体"/>
          <w:b/>
          <w:szCs w:val="20"/>
          <w:highlight w:val="none"/>
        </w:rPr>
        <w:t>4.</w:t>
      </w:r>
      <w:r>
        <w:rPr>
          <w:rFonts w:hint="eastAsia" w:hAnsi="宋体" w:eastAsia="宋体" w:cs="Times New Roman"/>
          <w:b/>
          <w:bCs/>
          <w:szCs w:val="21"/>
          <w:highlight w:val="none"/>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pPr>
        <w:ind w:firstLine="480"/>
        <w:rPr>
          <w:rFonts w:ascii="宋体" w:hAnsi="Calibri" w:eastAsia="宋体" w:cs="Times New Roman"/>
          <w:color w:val="000000"/>
          <w:sz w:val="24"/>
          <w:szCs w:val="24"/>
          <w:highlight w:val="none"/>
        </w:rPr>
      </w:pPr>
    </w:p>
    <w:p>
      <w:pPr>
        <w:pStyle w:val="17"/>
        <w:rPr>
          <w:highlight w:val="none"/>
        </w:rPr>
        <w:sectPr>
          <w:pgSz w:w="11906" w:h="16838"/>
          <w:pgMar w:top="1588" w:right="1418" w:bottom="1134" w:left="1418" w:header="851" w:footer="992" w:gutter="0"/>
          <w:cols w:space="720" w:num="1"/>
          <w:titlePg/>
          <w:docGrid w:type="lines" w:linePitch="312" w:charSpace="0"/>
        </w:sectPr>
      </w:pPr>
    </w:p>
    <w:p>
      <w:pPr>
        <w:rPr>
          <w:rFonts w:ascii="宋体" w:hAnsi="宋体" w:cs="宋体"/>
          <w:color w:val="000000"/>
          <w:sz w:val="24"/>
          <w:szCs w:val="24"/>
          <w:highlight w:val="none"/>
        </w:rPr>
      </w:pPr>
    </w:p>
    <w:p>
      <w:pPr>
        <w:pStyle w:val="5"/>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pPr>
        <w:pStyle w:val="6"/>
        <w:rPr>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1790"/>
        <w:gridCol w:w="2239"/>
        <w:gridCol w:w="1120"/>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238" w:type="dxa"/>
            <w:gridSpan w:val="2"/>
          </w:tcPr>
          <w:p>
            <w:pPr>
              <w:spacing w:before="98" w:line="185" w:lineRule="auto"/>
              <w:ind w:left="10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highlight w:val="none"/>
                <w14:textOutline w14:w="3835" w14:cap="flat" w14:cmpd="sng" w14:algn="ctr">
                  <w14:solidFill>
                    <w14:srgbClr w14:val="000000"/>
                  </w14:solidFill>
                  <w14:prstDash w14:val="solid"/>
                  <w14:miter w14:val="0"/>
                </w14:textOutli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120" w:type="dxa"/>
          </w:tcPr>
          <w:p>
            <w:pPr>
              <w:spacing w:before="100" w:line="182" w:lineRule="auto"/>
              <w:jc w:val="center"/>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682" w:type="dxa"/>
          </w:tcPr>
          <w:p>
            <w:pPr>
              <w:spacing w:before="98" w:line="185" w:lineRule="auto"/>
              <w:jc w:val="center"/>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tcPr>
          <w:p>
            <w:pPr>
              <w:spacing w:before="98" w:line="185" w:lineRule="auto"/>
              <w:jc w:val="center"/>
              <w:rPr>
                <w:rFonts w:ascii="宋体" w:hAnsi="宋体" w:eastAsia="宋体" w:cs="宋体"/>
                <w:szCs w:val="21"/>
                <w:highlight w:val="none"/>
              </w:rPr>
            </w:pP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tcPr>
          <w:p>
            <w:pPr>
              <w:spacing w:before="100" w:line="182" w:lineRule="auto"/>
              <w:jc w:val="center"/>
              <w:rPr>
                <w:rFonts w:ascii="宋体" w:hAnsi="宋体" w:eastAsia="宋体" w:cs="宋体"/>
                <w:szCs w:val="21"/>
                <w:highlight w:val="none"/>
              </w:rPr>
            </w:pP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069" w:type="dxa"/>
          </w:tcPr>
          <w:p>
            <w:pPr>
              <w:spacing w:before="99" w:line="183" w:lineRule="auto"/>
              <w:ind w:firstLine="422" w:firstLineChars="200"/>
              <w:rPr>
                <w:rFonts w:ascii="宋体" w:hAnsi="宋体" w:eastAsia="宋体" w:cs="宋体"/>
                <w:szCs w:val="21"/>
                <w:highlight w:val="none"/>
              </w:rPr>
            </w:pPr>
            <w:r>
              <w:rPr>
                <w:rFonts w:hint="eastAsia" w:ascii="宋体" w:hAnsi="宋体" w:eastAsia="宋体" w:cs="宋体"/>
                <w:b/>
                <w:bCs/>
                <w:szCs w:val="21"/>
                <w:highlight w:val="no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238" w:type="dxa"/>
            <w:gridSpan w:val="2"/>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总价[5×7]（不含税）</w:t>
            </w:r>
          </w:p>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069"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1</w:t>
            </w:r>
          </w:p>
        </w:tc>
        <w:tc>
          <w:tcPr>
            <w:tcW w:w="2238" w:type="dxa"/>
            <w:gridSpan w:val="2"/>
            <w:vAlign w:val="center"/>
          </w:tcPr>
          <w:p>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振动输送隔音房</w:t>
            </w:r>
            <w:r>
              <w:rPr>
                <w:rFonts w:hint="eastAsia" w:ascii="宋体" w:hAnsi="宋体" w:eastAsia="宋体" w:cs="宋体"/>
                <w:color w:val="000000"/>
                <w:kern w:val="0"/>
                <w:sz w:val="24"/>
                <w:szCs w:val="24"/>
                <w:highlight w:val="none"/>
                <w:lang w:val="en-US" w:eastAsia="zh-CN" w:bidi="ar"/>
              </w:rPr>
              <w:t>更新（20m*10.6m*6.2m）</w:t>
            </w:r>
          </w:p>
        </w:tc>
        <w:tc>
          <w:tcPr>
            <w:tcW w:w="2239" w:type="dxa"/>
          </w:tcPr>
          <w:p>
            <w:pPr>
              <w:rPr>
                <w:rFonts w:ascii="Arial"/>
                <w:highlight w:val="none"/>
              </w:rPr>
            </w:pPr>
          </w:p>
        </w:tc>
        <w:tc>
          <w:tcPr>
            <w:tcW w:w="1120"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p>
        </w:tc>
        <w:tc>
          <w:tcPr>
            <w:tcW w:w="1682" w:type="dxa"/>
          </w:tcPr>
          <w:p>
            <w:pPr>
              <w:rPr>
                <w:rFonts w:ascii="Arial"/>
                <w:highlight w:val="none"/>
              </w:rPr>
            </w:pPr>
          </w:p>
        </w:tc>
        <w:tc>
          <w:tcPr>
            <w:tcW w:w="2519" w:type="dxa"/>
            <w:tcBorders>
              <w:right w:val="single" w:color="000000" w:sz="4" w:space="0"/>
            </w:tcBorders>
          </w:tcPr>
          <w:p>
            <w:pPr>
              <w:rPr>
                <w:rFonts w:ascii="Arial"/>
                <w:highlight w:val="none"/>
              </w:rPr>
            </w:pPr>
          </w:p>
        </w:tc>
        <w:tc>
          <w:tcPr>
            <w:tcW w:w="2435"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2</w:t>
            </w:r>
          </w:p>
        </w:tc>
        <w:tc>
          <w:tcPr>
            <w:tcW w:w="2238" w:type="dxa"/>
            <w:gridSpan w:val="2"/>
            <w:vAlign w:val="center"/>
          </w:tcPr>
          <w:p>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取铁工位隔音房新制（4.5m*8.6m*4.3m）</w:t>
            </w:r>
          </w:p>
        </w:tc>
        <w:tc>
          <w:tcPr>
            <w:tcW w:w="2239" w:type="dxa"/>
          </w:tcPr>
          <w:p>
            <w:pPr>
              <w:rPr>
                <w:rFonts w:ascii="Arial"/>
                <w:highlight w:val="none"/>
              </w:rPr>
            </w:pPr>
          </w:p>
        </w:tc>
        <w:tc>
          <w:tcPr>
            <w:tcW w:w="1120"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pPr>
              <w:rPr>
                <w:rFonts w:ascii="Arial"/>
                <w:highlight w:val="none"/>
              </w:rPr>
            </w:pPr>
          </w:p>
        </w:tc>
        <w:tc>
          <w:tcPr>
            <w:tcW w:w="2519" w:type="dxa"/>
            <w:tcBorders>
              <w:right w:val="single" w:color="000000" w:sz="4" w:space="0"/>
            </w:tcBorders>
          </w:tcPr>
          <w:p>
            <w:pPr>
              <w:rPr>
                <w:rFonts w:ascii="Arial"/>
                <w:highlight w:val="none"/>
              </w:rPr>
            </w:pPr>
          </w:p>
        </w:tc>
        <w:tc>
          <w:tcPr>
            <w:tcW w:w="2435"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3</w:t>
            </w:r>
          </w:p>
        </w:tc>
        <w:tc>
          <w:tcPr>
            <w:tcW w:w="2238" w:type="dxa"/>
            <w:gridSpan w:val="2"/>
            <w:vAlign w:val="center"/>
          </w:tcPr>
          <w:p>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抓取机械手远程控制室隔音房新制</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val="en-US" w:eastAsia="zh-CN" w:bidi="ar"/>
              </w:rPr>
              <w:t>6m*3m*3m</w:t>
            </w:r>
            <w:r>
              <w:rPr>
                <w:rFonts w:hint="eastAsia" w:ascii="宋体" w:hAnsi="宋体" w:eastAsia="宋体" w:cs="宋体"/>
                <w:color w:val="000000"/>
                <w:kern w:val="0"/>
                <w:sz w:val="24"/>
                <w:szCs w:val="24"/>
                <w:highlight w:val="none"/>
                <w:lang w:eastAsia="zh-CN" w:bidi="ar"/>
              </w:rPr>
              <w:t>）</w:t>
            </w:r>
          </w:p>
        </w:tc>
        <w:tc>
          <w:tcPr>
            <w:tcW w:w="2239" w:type="dxa"/>
          </w:tcPr>
          <w:p>
            <w:pPr>
              <w:rPr>
                <w:rFonts w:ascii="Arial"/>
                <w:highlight w:val="none"/>
              </w:rPr>
            </w:pPr>
          </w:p>
        </w:tc>
        <w:tc>
          <w:tcPr>
            <w:tcW w:w="1120"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pPr>
              <w:rPr>
                <w:rFonts w:ascii="Arial"/>
                <w:highlight w:val="none"/>
              </w:rPr>
            </w:pPr>
          </w:p>
        </w:tc>
        <w:tc>
          <w:tcPr>
            <w:tcW w:w="2519" w:type="dxa"/>
            <w:tcBorders>
              <w:right w:val="single" w:color="000000" w:sz="4" w:space="0"/>
            </w:tcBorders>
          </w:tcPr>
          <w:p>
            <w:pPr>
              <w:rPr>
                <w:rFonts w:ascii="Arial"/>
                <w:highlight w:val="none"/>
              </w:rPr>
            </w:pPr>
          </w:p>
        </w:tc>
        <w:tc>
          <w:tcPr>
            <w:tcW w:w="2435"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4</w:t>
            </w:r>
          </w:p>
        </w:tc>
        <w:tc>
          <w:tcPr>
            <w:tcW w:w="2238" w:type="dxa"/>
            <w:gridSpan w:val="2"/>
            <w:vAlign w:val="center"/>
          </w:tcPr>
          <w:p>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安全防护</w:t>
            </w:r>
          </w:p>
        </w:tc>
        <w:tc>
          <w:tcPr>
            <w:tcW w:w="2239" w:type="dxa"/>
          </w:tcPr>
          <w:p>
            <w:pPr>
              <w:rPr>
                <w:rFonts w:ascii="Arial"/>
                <w:highlight w:val="none"/>
              </w:rPr>
            </w:pPr>
          </w:p>
        </w:tc>
        <w:tc>
          <w:tcPr>
            <w:tcW w:w="1120"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pPr>
              <w:rPr>
                <w:rFonts w:ascii="Arial"/>
                <w:highlight w:val="none"/>
              </w:rPr>
            </w:pPr>
          </w:p>
        </w:tc>
        <w:tc>
          <w:tcPr>
            <w:tcW w:w="2519" w:type="dxa"/>
            <w:tcBorders>
              <w:right w:val="single" w:color="000000" w:sz="4" w:space="0"/>
            </w:tcBorders>
          </w:tcPr>
          <w:p>
            <w:pPr>
              <w:rPr>
                <w:rFonts w:ascii="Arial"/>
                <w:highlight w:val="none"/>
              </w:rPr>
            </w:pPr>
          </w:p>
        </w:tc>
        <w:tc>
          <w:tcPr>
            <w:tcW w:w="2435"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5</w:t>
            </w:r>
          </w:p>
        </w:tc>
        <w:tc>
          <w:tcPr>
            <w:tcW w:w="2238" w:type="dxa"/>
            <w:gridSpan w:val="2"/>
            <w:vAlign w:val="center"/>
          </w:tcPr>
          <w:p>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原有隔音房拆除</w:t>
            </w:r>
          </w:p>
        </w:tc>
        <w:tc>
          <w:tcPr>
            <w:tcW w:w="2239" w:type="dxa"/>
          </w:tcPr>
          <w:p>
            <w:pPr>
              <w:rPr>
                <w:rFonts w:ascii="Arial"/>
                <w:highlight w:val="none"/>
              </w:rPr>
            </w:pPr>
          </w:p>
        </w:tc>
        <w:tc>
          <w:tcPr>
            <w:tcW w:w="1120"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pPr>
              <w:rPr>
                <w:rFonts w:ascii="Arial"/>
                <w:highlight w:val="none"/>
              </w:rPr>
            </w:pPr>
          </w:p>
        </w:tc>
        <w:tc>
          <w:tcPr>
            <w:tcW w:w="2519" w:type="dxa"/>
            <w:tcBorders>
              <w:right w:val="single" w:color="000000" w:sz="4" w:space="0"/>
            </w:tcBorders>
          </w:tcPr>
          <w:p>
            <w:pPr>
              <w:rPr>
                <w:rFonts w:ascii="Arial"/>
                <w:highlight w:val="none"/>
              </w:rPr>
            </w:pPr>
          </w:p>
        </w:tc>
        <w:tc>
          <w:tcPr>
            <w:tcW w:w="2435"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6</w:t>
            </w:r>
          </w:p>
        </w:tc>
        <w:tc>
          <w:tcPr>
            <w:tcW w:w="2238" w:type="dxa"/>
            <w:gridSpan w:val="2"/>
            <w:vAlign w:val="center"/>
          </w:tcPr>
          <w:p>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电控</w:t>
            </w:r>
            <w:r>
              <w:rPr>
                <w:rFonts w:hint="eastAsia" w:ascii="宋体" w:hAnsi="宋体" w:eastAsia="宋体" w:cs="宋体"/>
                <w:color w:val="000000"/>
                <w:kern w:val="0"/>
                <w:sz w:val="24"/>
                <w:szCs w:val="24"/>
                <w:highlight w:val="none"/>
                <w:lang w:val="en-US" w:eastAsia="zh-CN" w:bidi="ar"/>
              </w:rPr>
              <w:t>系统恢复</w:t>
            </w:r>
          </w:p>
        </w:tc>
        <w:tc>
          <w:tcPr>
            <w:tcW w:w="2239" w:type="dxa"/>
          </w:tcPr>
          <w:p>
            <w:pPr>
              <w:rPr>
                <w:rFonts w:ascii="Arial"/>
                <w:highlight w:val="none"/>
              </w:rPr>
            </w:pPr>
          </w:p>
        </w:tc>
        <w:tc>
          <w:tcPr>
            <w:tcW w:w="1120"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pPr>
              <w:rPr>
                <w:rFonts w:ascii="Arial"/>
                <w:highlight w:val="none"/>
              </w:rPr>
            </w:pPr>
          </w:p>
        </w:tc>
        <w:tc>
          <w:tcPr>
            <w:tcW w:w="2519" w:type="dxa"/>
            <w:tcBorders>
              <w:right w:val="single" w:color="000000" w:sz="4" w:space="0"/>
            </w:tcBorders>
          </w:tcPr>
          <w:p>
            <w:pPr>
              <w:rPr>
                <w:rFonts w:ascii="Arial"/>
                <w:highlight w:val="none"/>
              </w:rPr>
            </w:pPr>
          </w:p>
        </w:tc>
        <w:tc>
          <w:tcPr>
            <w:tcW w:w="2435"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7</w:t>
            </w:r>
          </w:p>
        </w:tc>
        <w:tc>
          <w:tcPr>
            <w:tcW w:w="2238" w:type="dxa"/>
            <w:gridSpan w:val="2"/>
            <w:vAlign w:val="center"/>
          </w:tcPr>
          <w:p>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除尘</w:t>
            </w:r>
            <w:r>
              <w:rPr>
                <w:rFonts w:hint="eastAsia" w:ascii="宋体" w:hAnsi="宋体" w:eastAsia="宋体" w:cs="宋体"/>
                <w:color w:val="000000"/>
                <w:kern w:val="0"/>
                <w:sz w:val="24"/>
                <w:szCs w:val="24"/>
                <w:highlight w:val="none"/>
                <w:lang w:val="en-US" w:eastAsia="zh-CN" w:bidi="ar"/>
              </w:rPr>
              <w:t>管道及除尘罩恢复</w:t>
            </w:r>
          </w:p>
        </w:tc>
        <w:tc>
          <w:tcPr>
            <w:tcW w:w="2239" w:type="dxa"/>
          </w:tcPr>
          <w:p>
            <w:pPr>
              <w:rPr>
                <w:rFonts w:ascii="Arial"/>
                <w:highlight w:val="none"/>
              </w:rPr>
            </w:pPr>
          </w:p>
        </w:tc>
        <w:tc>
          <w:tcPr>
            <w:tcW w:w="1120"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pPr>
              <w:rPr>
                <w:rFonts w:ascii="Arial"/>
                <w:highlight w:val="none"/>
              </w:rPr>
            </w:pPr>
          </w:p>
        </w:tc>
        <w:tc>
          <w:tcPr>
            <w:tcW w:w="2519" w:type="dxa"/>
            <w:tcBorders>
              <w:right w:val="single" w:color="000000" w:sz="4" w:space="0"/>
            </w:tcBorders>
          </w:tcPr>
          <w:p>
            <w:pPr>
              <w:rPr>
                <w:rFonts w:ascii="Arial"/>
                <w:highlight w:val="none"/>
              </w:rPr>
            </w:pPr>
          </w:p>
        </w:tc>
        <w:tc>
          <w:tcPr>
            <w:tcW w:w="2435"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8</w:t>
            </w:r>
          </w:p>
        </w:tc>
        <w:tc>
          <w:tcPr>
            <w:tcW w:w="2238" w:type="dxa"/>
            <w:gridSpan w:val="2"/>
            <w:vAlign w:val="center"/>
          </w:tcPr>
          <w:p>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包装、运输、保险</w:t>
            </w:r>
          </w:p>
        </w:tc>
        <w:tc>
          <w:tcPr>
            <w:tcW w:w="2239" w:type="dxa"/>
          </w:tcPr>
          <w:p>
            <w:pPr>
              <w:rPr>
                <w:rFonts w:ascii="Arial"/>
                <w:highlight w:val="none"/>
              </w:rPr>
            </w:pPr>
          </w:p>
        </w:tc>
        <w:tc>
          <w:tcPr>
            <w:tcW w:w="1120"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pPr>
              <w:rPr>
                <w:rFonts w:ascii="Arial"/>
                <w:highlight w:val="none"/>
              </w:rPr>
            </w:pPr>
          </w:p>
        </w:tc>
        <w:tc>
          <w:tcPr>
            <w:tcW w:w="2519" w:type="dxa"/>
            <w:tcBorders>
              <w:right w:val="single" w:color="000000" w:sz="4" w:space="0"/>
            </w:tcBorders>
          </w:tcPr>
          <w:p>
            <w:pPr>
              <w:rPr>
                <w:rFonts w:ascii="Arial"/>
                <w:highlight w:val="none"/>
              </w:rPr>
            </w:pPr>
          </w:p>
        </w:tc>
        <w:tc>
          <w:tcPr>
            <w:tcW w:w="2435"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2238" w:type="dxa"/>
            <w:gridSpan w:val="2"/>
            <w:vAlign w:val="center"/>
          </w:tcPr>
          <w:p>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安装、调试</w:t>
            </w:r>
          </w:p>
        </w:tc>
        <w:tc>
          <w:tcPr>
            <w:tcW w:w="2239" w:type="dxa"/>
          </w:tcPr>
          <w:p>
            <w:pPr>
              <w:rPr>
                <w:rFonts w:ascii="Arial"/>
                <w:highlight w:val="none"/>
              </w:rPr>
            </w:pPr>
          </w:p>
        </w:tc>
        <w:tc>
          <w:tcPr>
            <w:tcW w:w="1120" w:type="dxa"/>
            <w:vAlign w:val="center"/>
          </w:tcPr>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pPr>
              <w:rPr>
                <w:rFonts w:ascii="Arial"/>
                <w:highlight w:val="none"/>
              </w:rPr>
            </w:pPr>
          </w:p>
        </w:tc>
        <w:tc>
          <w:tcPr>
            <w:tcW w:w="2519" w:type="dxa"/>
            <w:tcBorders>
              <w:right w:val="single" w:color="000000" w:sz="4" w:space="0"/>
            </w:tcBorders>
          </w:tcPr>
          <w:p>
            <w:pPr>
              <w:rPr>
                <w:rFonts w:ascii="Arial"/>
                <w:highlight w:val="none"/>
              </w:rPr>
            </w:pPr>
          </w:p>
        </w:tc>
        <w:tc>
          <w:tcPr>
            <w:tcW w:w="2435"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2238" w:type="dxa"/>
            <w:gridSpan w:val="2"/>
            <w:vAlign w:val="center"/>
          </w:tcPr>
          <w:p>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噪音</w:t>
            </w:r>
            <w:r>
              <w:rPr>
                <w:rFonts w:hint="eastAsia" w:ascii="宋体" w:hAnsi="宋体" w:eastAsia="宋体" w:cs="宋体"/>
                <w:sz w:val="24"/>
                <w:szCs w:val="24"/>
                <w:highlight w:val="none"/>
              </w:rPr>
              <w:t>检测</w:t>
            </w:r>
          </w:p>
        </w:tc>
        <w:tc>
          <w:tcPr>
            <w:tcW w:w="2239" w:type="dxa"/>
          </w:tcPr>
          <w:p>
            <w:pPr>
              <w:rPr>
                <w:rFonts w:ascii="Arial"/>
                <w:highlight w:val="none"/>
              </w:rPr>
            </w:pPr>
          </w:p>
        </w:tc>
        <w:tc>
          <w:tcPr>
            <w:tcW w:w="1120" w:type="dxa"/>
            <w:vAlign w:val="center"/>
          </w:tcPr>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pPr>
              <w:rPr>
                <w:rFonts w:ascii="Arial"/>
                <w:highlight w:val="none"/>
              </w:rPr>
            </w:pPr>
          </w:p>
        </w:tc>
        <w:tc>
          <w:tcPr>
            <w:tcW w:w="2519" w:type="dxa"/>
            <w:tcBorders>
              <w:right w:val="single" w:color="000000" w:sz="4" w:space="0"/>
            </w:tcBorders>
          </w:tcPr>
          <w:p>
            <w:pPr>
              <w:rPr>
                <w:rFonts w:ascii="Arial"/>
                <w:highlight w:val="none"/>
              </w:rPr>
            </w:pPr>
          </w:p>
        </w:tc>
        <w:tc>
          <w:tcPr>
            <w:tcW w:w="2435"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highlight w:val="none"/>
              </w:rPr>
            </w:pPr>
            <w:r>
              <w:rPr>
                <w:rFonts w:ascii="宋体" w:hAnsi="宋体" w:eastAsia="宋体" w:cs="宋体"/>
                <w:position w:val="1"/>
                <w:szCs w:val="21"/>
                <w:highlight w:val="none"/>
              </w:rPr>
              <w:t>…</w:t>
            </w:r>
          </w:p>
        </w:tc>
        <w:tc>
          <w:tcPr>
            <w:tcW w:w="2238" w:type="dxa"/>
            <w:gridSpan w:val="2"/>
          </w:tcPr>
          <w:p>
            <w:pPr>
              <w:rPr>
                <w:rFonts w:ascii="Arial"/>
                <w:highlight w:val="none"/>
              </w:rPr>
            </w:pPr>
            <w:r>
              <w:rPr>
                <w:rFonts w:hint="eastAsia" w:ascii="宋体" w:hAnsi="宋体" w:eastAsia="宋体" w:cs="宋体"/>
                <w:highlight w:val="none"/>
              </w:rPr>
              <w:t>以上投标设备不足之处请往下添加序号自行补充</w:t>
            </w:r>
          </w:p>
        </w:tc>
        <w:tc>
          <w:tcPr>
            <w:tcW w:w="2239" w:type="dxa"/>
          </w:tcPr>
          <w:p>
            <w:pPr>
              <w:rPr>
                <w:rFonts w:ascii="Arial"/>
                <w:highlight w:val="none"/>
              </w:rPr>
            </w:pPr>
          </w:p>
        </w:tc>
        <w:tc>
          <w:tcPr>
            <w:tcW w:w="1120" w:type="dxa"/>
          </w:tcPr>
          <w:p>
            <w:pPr>
              <w:rPr>
                <w:rFonts w:ascii="Arial"/>
                <w:highlight w:val="none"/>
              </w:rPr>
            </w:pPr>
          </w:p>
        </w:tc>
        <w:tc>
          <w:tcPr>
            <w:tcW w:w="1120" w:type="dxa"/>
          </w:tcPr>
          <w:p>
            <w:pPr>
              <w:rPr>
                <w:rFonts w:ascii="Arial"/>
                <w:highlight w:val="none"/>
              </w:rPr>
            </w:pPr>
          </w:p>
        </w:tc>
        <w:tc>
          <w:tcPr>
            <w:tcW w:w="1682" w:type="dxa"/>
          </w:tcPr>
          <w:p>
            <w:pPr>
              <w:rPr>
                <w:rFonts w:ascii="Arial"/>
                <w:highlight w:val="none"/>
              </w:rPr>
            </w:pPr>
          </w:p>
        </w:tc>
        <w:tc>
          <w:tcPr>
            <w:tcW w:w="2519" w:type="dxa"/>
            <w:tcBorders>
              <w:right w:val="single" w:color="000000" w:sz="4" w:space="0"/>
            </w:tcBorders>
          </w:tcPr>
          <w:p>
            <w:pPr>
              <w:rPr>
                <w:rFonts w:ascii="Arial"/>
                <w:highlight w:val="none"/>
              </w:rPr>
            </w:pPr>
          </w:p>
        </w:tc>
        <w:tc>
          <w:tcPr>
            <w:tcW w:w="2435"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pPr>
              <w:jc w:val="center"/>
              <w:rPr>
                <w:rFonts w:ascii="宋体" w:hAnsi="宋体" w:eastAsia="宋体" w:cs="宋体"/>
                <w:spacing w:val="-6"/>
                <w:szCs w:val="21"/>
                <w:highlight w:val="none"/>
              </w:rPr>
            </w:pPr>
          </w:p>
        </w:tc>
        <w:tc>
          <w:tcPr>
            <w:tcW w:w="10470" w:type="dxa"/>
            <w:gridSpan w:val="6"/>
            <w:tcBorders>
              <w:right w:val="single" w:color="000000" w:sz="4" w:space="0"/>
            </w:tcBorders>
          </w:tcPr>
          <w:p>
            <w:pPr>
              <w:jc w:val="center"/>
              <w:rPr>
                <w:rFonts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2435" w:type="dxa"/>
            <w:tcBorders>
              <w:left w:val="single" w:color="000000" w:sz="4" w:space="0"/>
            </w:tcBorders>
          </w:tcPr>
          <w:p>
            <w:pPr>
              <w:rPr>
                <w:rFonts w:ascii="Arial"/>
                <w:highlight w:val="none"/>
              </w:rPr>
            </w:pPr>
          </w:p>
        </w:tc>
        <w:tc>
          <w:tcPr>
            <w:tcW w:w="1069" w:type="dxa"/>
          </w:tcPr>
          <w:p>
            <w:pPr>
              <w:rPr>
                <w:rFonts w:ascii="Arial"/>
                <w:highlight w:val="none"/>
              </w:rPr>
            </w:pPr>
          </w:p>
        </w:tc>
      </w:tr>
    </w:tbl>
    <w:p>
      <w:pPr>
        <w:spacing w:before="58" w:line="219" w:lineRule="auto"/>
        <w:ind w:left="8"/>
        <w:rPr>
          <w:rFonts w:ascii="宋体" w:hAnsi="宋体" w:eastAsia="宋体" w:cs="宋体"/>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pPr>
        <w:spacing w:before="78"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szCs w:val="24"/>
          <w:highlight w:val="none"/>
        </w:rPr>
        <w:t>。</w:t>
      </w:r>
    </w:p>
    <w:p>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pPr>
        <w:spacing w:line="105" w:lineRule="exact"/>
        <w:rPr>
          <w:highlight w:val="none"/>
        </w:rPr>
      </w:pPr>
    </w:p>
    <w:p>
      <w:pPr>
        <w:rPr>
          <w:highlight w:val="none"/>
        </w:rPr>
        <w:sectPr>
          <w:footerReference r:id="rId32"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highlight w:val="none"/>
        </w:rPr>
      </w:pPr>
      <w:r>
        <w:rPr>
          <w:rFonts w:hint="eastAsia" w:ascii="宋体" w:hAnsi="宋体" w:eastAsia="宋体" w:cs="宋体"/>
          <w:spacing w:val="-4"/>
          <w:sz w:val="24"/>
          <w:szCs w:val="24"/>
          <w:highlight w:val="none"/>
        </w:rPr>
        <w:t>投标人(章)：</w:t>
      </w:r>
    </w:p>
    <w:p>
      <w:pPr>
        <w:spacing w:line="14" w:lineRule="auto"/>
        <w:rPr>
          <w:rFonts w:ascii="宋体" w:hAnsi="宋体" w:eastAsia="宋体" w:cs="宋体"/>
          <w:sz w:val="24"/>
          <w:szCs w:val="24"/>
          <w:highlight w:val="none"/>
        </w:rPr>
      </w:pPr>
      <w:r>
        <w:rPr>
          <w:rFonts w:hint="eastAsia" w:ascii="宋体" w:hAnsi="宋体" w:eastAsia="宋体" w:cs="宋体"/>
          <w:sz w:val="24"/>
          <w:szCs w:val="24"/>
          <w:highlight w:val="none"/>
        </w:rPr>
        <w:br w:type="column"/>
      </w:r>
    </w:p>
    <w:p>
      <w:pPr>
        <w:spacing w:before="40" w:line="186" w:lineRule="auto"/>
        <w:rPr>
          <w:rFonts w:ascii="宋体" w:hAnsi="宋体" w:eastAsia="宋体" w:cs="宋体"/>
          <w:spacing w:val="-2"/>
          <w:sz w:val="24"/>
          <w:szCs w:val="24"/>
          <w:highlight w:val="none"/>
        </w:rPr>
      </w:pP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年    月    日</w:t>
      </w:r>
    </w:p>
    <w:p>
      <w:pPr>
        <w:rPr>
          <w:rFonts w:ascii="宋体" w:hAnsi="宋体" w:eastAsia="宋体" w:cs="宋体"/>
          <w:sz w:val="24"/>
          <w:szCs w:val="24"/>
          <w:highlight w:val="none"/>
        </w:rPr>
        <w:sectPr>
          <w:type w:val="continuous"/>
          <w:pgSz w:w="16841" w:h="11907"/>
          <w:pgMar w:top="400" w:right="1387" w:bottom="1168" w:left="1473" w:header="0" w:footer="990" w:gutter="0"/>
          <w:cols w:equalWidth="0" w:num="2">
            <w:col w:w="4757" w:space="100"/>
            <w:col w:w="9124"/>
          </w:cols>
        </w:sectPr>
      </w:pPr>
    </w:p>
    <w:p>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highlight w:val="none"/>
        </w:rPr>
      </w:pPr>
      <w:r>
        <w:rPr>
          <w:rFonts w:ascii="宋体" w:hAnsi="宋体" w:eastAsia="宋体" w:cs="宋体"/>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pPr>
        <w:spacing w:line="172" w:lineRule="exact"/>
        <w:rPr>
          <w:highlight w:val="none"/>
        </w:rPr>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highlight w:val="none"/>
              </w:rPr>
            </w:pPr>
          </w:p>
          <w:p>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highlight w:val="none"/>
              </w:rPr>
            </w:pPr>
          </w:p>
          <w:p>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highlight w:val="none"/>
              </w:rPr>
            </w:pPr>
          </w:p>
        </w:tc>
        <w:tc>
          <w:tcPr>
            <w:tcW w:w="3530" w:type="dxa"/>
            <w:vMerge w:val="continue"/>
            <w:tcBorders>
              <w:top w:val="nil"/>
            </w:tcBorders>
          </w:tcPr>
          <w:p>
            <w:pPr>
              <w:rPr>
                <w:rFonts w:ascii="Arial"/>
                <w:highlight w:val="none"/>
              </w:rPr>
            </w:pPr>
          </w:p>
        </w:tc>
        <w:tc>
          <w:tcPr>
            <w:tcW w:w="2159" w:type="dxa"/>
          </w:tcPr>
          <w:p>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tcPr>
          <w:p>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tcPr>
          <w:p>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tcPr>
          <w:p>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highlight w:val="none"/>
              </w:rPr>
            </w:pPr>
            <w:r>
              <w:rPr>
                <w:rFonts w:hint="eastAsia" w:ascii="宋体" w:hAnsi="宋体" w:eastAsia="宋体" w:cs="宋体"/>
                <w:szCs w:val="21"/>
                <w:highlight w:val="none"/>
              </w:rPr>
              <w:t>1</w:t>
            </w:r>
          </w:p>
        </w:tc>
        <w:tc>
          <w:tcPr>
            <w:tcW w:w="3530" w:type="dxa"/>
          </w:tcPr>
          <w:p>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tcPr>
          <w:p>
            <w:pPr>
              <w:rPr>
                <w:rFonts w:ascii="Arial"/>
                <w:highlight w:val="none"/>
              </w:rPr>
            </w:pPr>
          </w:p>
        </w:tc>
        <w:tc>
          <w:tcPr>
            <w:tcW w:w="2186" w:type="dxa"/>
          </w:tcPr>
          <w:p>
            <w:pPr>
              <w:rPr>
                <w:rFonts w:ascii="Arial"/>
                <w:highlight w:val="none"/>
              </w:rPr>
            </w:pPr>
          </w:p>
        </w:tc>
        <w:tc>
          <w:tcPr>
            <w:tcW w:w="2596" w:type="dxa"/>
          </w:tcPr>
          <w:p>
            <w:pPr>
              <w:rPr>
                <w:rFonts w:ascii="Arial"/>
                <w:highlight w:val="none"/>
              </w:rPr>
            </w:pPr>
          </w:p>
        </w:tc>
        <w:tc>
          <w:tcPr>
            <w:tcW w:w="2164"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szCs w:val="21"/>
                <w:highlight w:val="none"/>
              </w:rPr>
            </w:pPr>
            <w:r>
              <w:rPr>
                <w:rFonts w:hint="eastAsia" w:ascii="宋体" w:hAnsi="宋体" w:eastAsia="宋体" w:cs="宋体"/>
                <w:szCs w:val="21"/>
                <w:highlight w:val="none"/>
              </w:rPr>
              <w:t>2</w:t>
            </w:r>
          </w:p>
        </w:tc>
        <w:tc>
          <w:tcPr>
            <w:tcW w:w="3530" w:type="dxa"/>
          </w:tcPr>
          <w:p>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tcPr>
          <w:p>
            <w:pPr>
              <w:rPr>
                <w:rFonts w:ascii="Arial"/>
                <w:highlight w:val="none"/>
              </w:rPr>
            </w:pPr>
          </w:p>
        </w:tc>
        <w:tc>
          <w:tcPr>
            <w:tcW w:w="2186" w:type="dxa"/>
          </w:tcPr>
          <w:p>
            <w:pPr>
              <w:rPr>
                <w:rFonts w:ascii="Arial"/>
                <w:highlight w:val="none"/>
              </w:rPr>
            </w:pPr>
          </w:p>
        </w:tc>
        <w:tc>
          <w:tcPr>
            <w:tcW w:w="2596" w:type="dxa"/>
          </w:tcPr>
          <w:p>
            <w:pPr>
              <w:rPr>
                <w:rFonts w:ascii="Arial"/>
                <w:highlight w:val="none"/>
              </w:rPr>
            </w:pPr>
          </w:p>
        </w:tc>
        <w:tc>
          <w:tcPr>
            <w:tcW w:w="2164" w:type="dxa"/>
            <w:vMerge w:val="restart"/>
            <w:tcBorders>
              <w:bottom w:val="nil"/>
            </w:tcBorders>
          </w:tcPr>
          <w:p>
            <w:pPr>
              <w:spacing w:line="295" w:lineRule="auto"/>
              <w:rPr>
                <w:rFonts w:ascii="Arial"/>
                <w:highlight w:val="none"/>
              </w:rPr>
            </w:pPr>
          </w:p>
          <w:p>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szCs w:val="21"/>
                <w:highlight w:val="none"/>
              </w:rPr>
            </w:pPr>
            <w:r>
              <w:rPr>
                <w:rFonts w:hint="eastAsia" w:ascii="宋体" w:hAnsi="宋体" w:eastAsia="宋体" w:cs="宋体"/>
                <w:szCs w:val="21"/>
                <w:highlight w:val="none"/>
              </w:rPr>
              <w:t>3</w:t>
            </w:r>
          </w:p>
        </w:tc>
        <w:tc>
          <w:tcPr>
            <w:tcW w:w="3530" w:type="dxa"/>
          </w:tcPr>
          <w:p>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tcPr>
          <w:p>
            <w:pPr>
              <w:rPr>
                <w:rFonts w:ascii="Arial"/>
                <w:highlight w:val="none"/>
              </w:rPr>
            </w:pPr>
          </w:p>
        </w:tc>
        <w:tc>
          <w:tcPr>
            <w:tcW w:w="2186" w:type="dxa"/>
          </w:tcPr>
          <w:p>
            <w:pPr>
              <w:rPr>
                <w:rFonts w:ascii="Arial"/>
                <w:highlight w:val="none"/>
              </w:rPr>
            </w:pPr>
          </w:p>
        </w:tc>
        <w:tc>
          <w:tcPr>
            <w:tcW w:w="2596" w:type="dxa"/>
          </w:tcPr>
          <w:p>
            <w:pPr>
              <w:rPr>
                <w:rFonts w:ascii="Arial"/>
                <w:highlight w:val="none"/>
              </w:rPr>
            </w:pPr>
          </w:p>
        </w:tc>
        <w:tc>
          <w:tcPr>
            <w:tcW w:w="2164" w:type="dxa"/>
            <w:vMerge w:val="continue"/>
            <w:tcBorders>
              <w:top w:val="nil"/>
            </w:tcBorders>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highlight w:val="none"/>
              </w:rPr>
            </w:pPr>
            <w:r>
              <w:rPr>
                <w:rFonts w:hint="eastAsia" w:ascii="宋体" w:hAnsi="宋体" w:eastAsia="宋体" w:cs="宋体"/>
                <w:szCs w:val="21"/>
                <w:highlight w:val="none"/>
              </w:rPr>
              <w:t>4</w:t>
            </w:r>
          </w:p>
        </w:tc>
        <w:tc>
          <w:tcPr>
            <w:tcW w:w="3530" w:type="dxa"/>
          </w:tcPr>
          <w:p>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tcPr>
          <w:p>
            <w:pPr>
              <w:rPr>
                <w:rFonts w:ascii="Arial"/>
                <w:highlight w:val="none"/>
              </w:rPr>
            </w:pPr>
          </w:p>
        </w:tc>
        <w:tc>
          <w:tcPr>
            <w:tcW w:w="2186" w:type="dxa"/>
          </w:tcPr>
          <w:p>
            <w:pPr>
              <w:rPr>
                <w:rFonts w:ascii="Arial"/>
                <w:highlight w:val="none"/>
              </w:rPr>
            </w:pPr>
          </w:p>
        </w:tc>
        <w:tc>
          <w:tcPr>
            <w:tcW w:w="2596" w:type="dxa"/>
          </w:tcPr>
          <w:p>
            <w:pPr>
              <w:rPr>
                <w:rFonts w:ascii="Arial"/>
                <w:highlight w:val="none"/>
              </w:rPr>
            </w:pPr>
          </w:p>
        </w:tc>
        <w:tc>
          <w:tcPr>
            <w:tcW w:w="2164" w:type="dxa"/>
          </w:tcPr>
          <w:p>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szCs w:val="21"/>
                <w:highlight w:val="none"/>
              </w:rPr>
            </w:pPr>
            <w:r>
              <w:rPr>
                <w:rFonts w:hint="eastAsia" w:ascii="宋体" w:hAnsi="宋体" w:eastAsia="宋体" w:cs="宋体"/>
                <w:szCs w:val="21"/>
                <w:highlight w:val="none"/>
              </w:rPr>
              <w:t>5</w:t>
            </w:r>
          </w:p>
        </w:tc>
        <w:tc>
          <w:tcPr>
            <w:tcW w:w="3530" w:type="dxa"/>
          </w:tcPr>
          <w:p>
            <w:pPr>
              <w:spacing w:before="211" w:line="221" w:lineRule="auto"/>
              <w:ind w:left="1557"/>
              <w:rPr>
                <w:rFonts w:ascii="宋体" w:hAnsi="宋体" w:eastAsia="宋体" w:cs="宋体"/>
                <w:szCs w:val="21"/>
                <w:highlight w:val="none"/>
              </w:rPr>
            </w:pPr>
            <w:r>
              <w:rPr>
                <w:rFonts w:ascii="宋体" w:hAnsi="宋体" w:eastAsia="宋体" w:cs="宋体"/>
                <w:spacing w:val="-2"/>
                <w:szCs w:val="21"/>
                <w:highlight w:val="none"/>
              </w:rPr>
              <w:t>其他</w:t>
            </w:r>
          </w:p>
        </w:tc>
        <w:tc>
          <w:tcPr>
            <w:tcW w:w="2159" w:type="dxa"/>
          </w:tcPr>
          <w:p>
            <w:pPr>
              <w:rPr>
                <w:rFonts w:ascii="Arial"/>
                <w:highlight w:val="none"/>
              </w:rPr>
            </w:pPr>
          </w:p>
        </w:tc>
        <w:tc>
          <w:tcPr>
            <w:tcW w:w="2186" w:type="dxa"/>
          </w:tcPr>
          <w:p>
            <w:pPr>
              <w:rPr>
                <w:rFonts w:ascii="Arial"/>
                <w:highlight w:val="none"/>
              </w:rPr>
            </w:pPr>
          </w:p>
        </w:tc>
        <w:tc>
          <w:tcPr>
            <w:tcW w:w="2596" w:type="dxa"/>
          </w:tcPr>
          <w:p>
            <w:pPr>
              <w:rPr>
                <w:rFonts w:ascii="Arial"/>
                <w:highlight w:val="none"/>
              </w:rPr>
            </w:pPr>
          </w:p>
        </w:tc>
        <w:tc>
          <w:tcPr>
            <w:tcW w:w="2164" w:type="dxa"/>
          </w:tcPr>
          <w:p>
            <w:pPr>
              <w:spacing w:before="210" w:line="221" w:lineRule="auto"/>
              <w:ind w:left="456"/>
              <w:rPr>
                <w:rFonts w:ascii="宋体" w:hAnsi="宋体" w:eastAsia="宋体" w:cs="宋体"/>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760" w:type="dxa"/>
            <w:gridSpan w:val="2"/>
          </w:tcPr>
          <w:p>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pPr>
        <w:spacing w:before="64" w:line="198" w:lineRule="auto"/>
        <w:ind w:firstLine="606" w:firstLineChars="300"/>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highlight w:val="none"/>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highlight w:val="none"/>
        </w:rPr>
      </w:pPr>
      <w:r>
        <w:rPr>
          <w:rFonts w:ascii="宋体" w:hAnsi="宋体" w:eastAsia="宋体" w:cs="宋体"/>
          <w:spacing w:val="-4"/>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 授权代表(签字)：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年  月  日</w:t>
      </w:r>
    </w:p>
    <w:p>
      <w:pPr>
        <w:rPr>
          <w:sz w:val="24"/>
          <w:szCs w:val="24"/>
          <w:highlight w:val="none"/>
        </w:rPr>
        <w:sectPr>
          <w:footerReference r:id="rId33" w:type="default"/>
          <w:pgSz w:w="16841" w:h="11907"/>
          <w:pgMar w:top="400" w:right="1699" w:bottom="1184" w:left="1481" w:header="0" w:footer="1022" w:gutter="0"/>
          <w:cols w:space="720" w:num="1"/>
        </w:sectPr>
      </w:pPr>
    </w:p>
    <w:p>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pPr>
        <w:rPr>
          <w:highlight w:val="none"/>
        </w:rPr>
      </w:pPr>
    </w:p>
    <w:p>
      <w:pPr>
        <w:spacing w:line="20" w:lineRule="exact"/>
        <w:rPr>
          <w:highlight w:val="none"/>
        </w:rPr>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3625" w:type="dxa"/>
            <w:vAlign w:val="center"/>
          </w:tcPr>
          <w:p>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w:t>
            </w:r>
            <w:r>
              <w:rPr>
                <w:rFonts w:hint="eastAsia" w:ascii="宋体" w:hAnsi="宋体" w:eastAsia="宋体" w:cs="宋体"/>
                <w:spacing w:val="-1"/>
                <w:szCs w:val="21"/>
                <w:highlight w:val="none"/>
              </w:rPr>
              <w:t>安装调试</w:t>
            </w:r>
          </w:p>
        </w:tc>
        <w:tc>
          <w:tcPr>
            <w:tcW w:w="1126" w:type="dxa"/>
          </w:tcPr>
          <w:p>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pPr>
              <w:spacing w:before="266" w:line="221" w:lineRule="auto"/>
              <w:jc w:val="center"/>
              <w:rPr>
                <w:rFonts w:ascii="宋体" w:hAnsi="宋体" w:eastAsia="宋体" w:cs="宋体"/>
                <w:spacing w:val="-2"/>
                <w:szCs w:val="21"/>
                <w:highlight w:val="none"/>
              </w:rPr>
            </w:pPr>
          </w:p>
        </w:tc>
        <w:tc>
          <w:tcPr>
            <w:tcW w:w="1138" w:type="dxa"/>
          </w:tcPr>
          <w:p>
            <w:pPr>
              <w:spacing w:before="266" w:line="221" w:lineRule="auto"/>
              <w:jc w:val="center"/>
              <w:rPr>
                <w:rFonts w:ascii="宋体" w:hAnsi="宋体" w:eastAsia="宋体" w:cs="宋体"/>
                <w:spacing w:val="-2"/>
                <w:szCs w:val="21"/>
                <w:highlight w:val="none"/>
              </w:rPr>
            </w:pPr>
          </w:p>
        </w:tc>
        <w:tc>
          <w:tcPr>
            <w:tcW w:w="2449" w:type="dxa"/>
          </w:tcPr>
          <w:p>
            <w:pPr>
              <w:rPr>
                <w:rFonts w:ascii="Arial"/>
                <w:highlight w:val="none"/>
              </w:rPr>
            </w:pPr>
          </w:p>
        </w:tc>
        <w:tc>
          <w:tcPr>
            <w:tcW w:w="3328" w:type="dxa"/>
          </w:tcPr>
          <w:p>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3625" w:type="dxa"/>
            <w:vAlign w:val="center"/>
          </w:tcPr>
          <w:p>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性能考核验</w:t>
            </w:r>
            <w:r>
              <w:rPr>
                <w:rFonts w:ascii="宋体" w:hAnsi="宋体" w:eastAsia="宋体" w:cs="宋体"/>
                <w:szCs w:val="21"/>
                <w:highlight w:val="none"/>
              </w:rPr>
              <w:t>收</w:t>
            </w:r>
          </w:p>
        </w:tc>
        <w:tc>
          <w:tcPr>
            <w:tcW w:w="1126" w:type="dxa"/>
          </w:tcPr>
          <w:p>
            <w:pPr>
              <w:spacing w:before="266" w:line="221" w:lineRule="auto"/>
              <w:jc w:val="center"/>
              <w:rPr>
                <w:rFonts w:ascii="宋体" w:hAnsi="宋体" w:eastAsia="宋体" w:cs="宋体"/>
                <w:spacing w:val="-2"/>
                <w:szCs w:val="21"/>
                <w:highlight w:val="none"/>
              </w:rPr>
            </w:pPr>
          </w:p>
        </w:tc>
        <w:tc>
          <w:tcPr>
            <w:tcW w:w="1138" w:type="dxa"/>
          </w:tcPr>
          <w:p>
            <w:pPr>
              <w:spacing w:before="266" w:line="221" w:lineRule="auto"/>
              <w:jc w:val="center"/>
              <w:rPr>
                <w:rFonts w:ascii="宋体" w:hAnsi="宋体" w:eastAsia="宋体" w:cs="宋体"/>
                <w:spacing w:val="-2"/>
                <w:szCs w:val="21"/>
                <w:highlight w:val="none"/>
              </w:rPr>
            </w:pPr>
          </w:p>
        </w:tc>
        <w:tc>
          <w:tcPr>
            <w:tcW w:w="1138" w:type="dxa"/>
          </w:tcPr>
          <w:p>
            <w:pPr>
              <w:spacing w:before="266" w:line="221" w:lineRule="auto"/>
              <w:jc w:val="center"/>
              <w:rPr>
                <w:rFonts w:ascii="宋体" w:hAnsi="宋体" w:eastAsia="宋体" w:cs="宋体"/>
                <w:spacing w:val="-2"/>
                <w:szCs w:val="21"/>
                <w:highlight w:val="none"/>
              </w:rPr>
            </w:pPr>
          </w:p>
        </w:tc>
        <w:tc>
          <w:tcPr>
            <w:tcW w:w="2449" w:type="dxa"/>
          </w:tcPr>
          <w:p>
            <w:pPr>
              <w:rPr>
                <w:rFonts w:ascii="Arial"/>
                <w:highlight w:val="none"/>
              </w:rPr>
            </w:pPr>
          </w:p>
        </w:tc>
        <w:tc>
          <w:tcPr>
            <w:tcW w:w="3328" w:type="dxa"/>
          </w:tcPr>
          <w:p>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3625" w:type="dxa"/>
            <w:vAlign w:val="center"/>
          </w:tcPr>
          <w:p>
            <w:pPr>
              <w:spacing w:before="266" w:line="221" w:lineRule="auto"/>
              <w:jc w:val="center"/>
              <w:rPr>
                <w:rFonts w:ascii="宋体" w:hAnsi="宋体" w:eastAsia="宋体" w:cs="宋体"/>
                <w:szCs w:val="21"/>
                <w:highlight w:val="none"/>
              </w:rPr>
            </w:pPr>
            <w:r>
              <w:rPr>
                <w:rFonts w:hint="eastAsia" w:ascii="宋体" w:hAnsi="宋体" w:eastAsia="宋体" w:cs="宋体"/>
                <w:spacing w:val="-2"/>
                <w:szCs w:val="21"/>
                <w:highlight w:val="none"/>
              </w:rPr>
              <w:t>技术</w:t>
            </w:r>
            <w:r>
              <w:rPr>
                <w:rFonts w:ascii="宋体" w:hAnsi="宋体" w:eastAsia="宋体" w:cs="宋体"/>
                <w:spacing w:val="-2"/>
                <w:szCs w:val="21"/>
                <w:highlight w:val="none"/>
              </w:rPr>
              <w:t>培</w:t>
            </w:r>
            <w:r>
              <w:rPr>
                <w:rFonts w:ascii="宋体" w:hAnsi="宋体" w:eastAsia="宋体" w:cs="宋体"/>
                <w:spacing w:val="-1"/>
                <w:szCs w:val="21"/>
                <w:highlight w:val="none"/>
              </w:rPr>
              <w:t>训费</w:t>
            </w:r>
          </w:p>
        </w:tc>
        <w:tc>
          <w:tcPr>
            <w:tcW w:w="1126" w:type="dxa"/>
          </w:tcPr>
          <w:p>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pPr>
              <w:spacing w:before="266" w:line="221" w:lineRule="auto"/>
              <w:jc w:val="center"/>
              <w:rPr>
                <w:rFonts w:ascii="宋体" w:hAnsi="宋体" w:eastAsia="宋体" w:cs="宋体"/>
                <w:spacing w:val="-2"/>
                <w:szCs w:val="21"/>
                <w:highlight w:val="none"/>
              </w:rPr>
            </w:pPr>
          </w:p>
        </w:tc>
        <w:tc>
          <w:tcPr>
            <w:tcW w:w="1138" w:type="dxa"/>
          </w:tcPr>
          <w:p>
            <w:pPr>
              <w:spacing w:before="266" w:line="221" w:lineRule="auto"/>
              <w:jc w:val="center"/>
              <w:rPr>
                <w:rFonts w:ascii="宋体" w:hAnsi="宋体" w:eastAsia="宋体" w:cs="宋体"/>
                <w:spacing w:val="-2"/>
                <w:szCs w:val="21"/>
                <w:highlight w:val="none"/>
              </w:rPr>
            </w:pPr>
          </w:p>
        </w:tc>
        <w:tc>
          <w:tcPr>
            <w:tcW w:w="2449" w:type="dxa"/>
          </w:tcPr>
          <w:p>
            <w:pPr>
              <w:rPr>
                <w:rFonts w:ascii="Arial"/>
                <w:highlight w:val="none"/>
              </w:rPr>
            </w:pPr>
          </w:p>
        </w:tc>
        <w:tc>
          <w:tcPr>
            <w:tcW w:w="3328" w:type="dxa"/>
          </w:tcPr>
          <w:p>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ascii="宋体" w:hAnsi="宋体" w:eastAsia="宋体" w:cs="宋体"/>
                <w:szCs w:val="21"/>
                <w:highlight w:val="none"/>
              </w:rPr>
            </w:pPr>
            <w:r>
              <w:rPr>
                <w:rFonts w:hint="eastAsia" w:ascii="宋体" w:hAnsi="宋体" w:eastAsia="宋体" w:cs="宋体"/>
                <w:szCs w:val="21"/>
                <w:highlight w:val="none"/>
              </w:rPr>
              <w:t>4</w:t>
            </w:r>
          </w:p>
        </w:tc>
        <w:tc>
          <w:tcPr>
            <w:tcW w:w="3625" w:type="dxa"/>
            <w:vAlign w:val="center"/>
          </w:tcPr>
          <w:p>
            <w:pPr>
              <w:spacing w:before="268" w:line="221" w:lineRule="auto"/>
              <w:jc w:val="center"/>
              <w:rPr>
                <w:rFonts w:ascii="宋体" w:hAnsi="宋体" w:eastAsia="宋体" w:cs="宋体"/>
                <w:szCs w:val="21"/>
                <w:highlight w:val="none"/>
              </w:rPr>
            </w:pPr>
            <w:r>
              <w:rPr>
                <w:rFonts w:ascii="宋体" w:hAnsi="宋体" w:eastAsia="宋体" w:cs="宋体"/>
                <w:spacing w:val="15"/>
                <w:szCs w:val="21"/>
                <w:highlight w:val="none"/>
              </w:rPr>
              <w:t>其</w:t>
            </w:r>
            <w:r>
              <w:rPr>
                <w:rFonts w:ascii="宋体" w:hAnsi="宋体" w:eastAsia="宋体" w:cs="宋体"/>
                <w:spacing w:val="12"/>
                <w:szCs w:val="21"/>
                <w:highlight w:val="none"/>
              </w:rPr>
              <w:t>它(列出明细)</w:t>
            </w:r>
          </w:p>
        </w:tc>
        <w:tc>
          <w:tcPr>
            <w:tcW w:w="1126" w:type="dxa"/>
          </w:tcPr>
          <w:p>
            <w:pPr>
              <w:spacing w:before="266" w:line="221" w:lineRule="auto"/>
              <w:jc w:val="center"/>
              <w:rPr>
                <w:rFonts w:ascii="宋体" w:hAnsi="宋体" w:eastAsia="宋体" w:cs="宋体"/>
                <w:spacing w:val="-2"/>
                <w:szCs w:val="21"/>
                <w:highlight w:val="none"/>
              </w:rPr>
            </w:pPr>
          </w:p>
        </w:tc>
        <w:tc>
          <w:tcPr>
            <w:tcW w:w="1138" w:type="dxa"/>
          </w:tcPr>
          <w:p>
            <w:pPr>
              <w:spacing w:before="266" w:line="221" w:lineRule="auto"/>
              <w:jc w:val="center"/>
              <w:rPr>
                <w:rFonts w:ascii="宋体" w:hAnsi="宋体" w:eastAsia="宋体" w:cs="宋体"/>
                <w:spacing w:val="-2"/>
                <w:szCs w:val="21"/>
                <w:highlight w:val="none"/>
              </w:rPr>
            </w:pPr>
          </w:p>
        </w:tc>
        <w:tc>
          <w:tcPr>
            <w:tcW w:w="1138" w:type="dxa"/>
          </w:tcPr>
          <w:p>
            <w:pPr>
              <w:spacing w:before="266" w:line="221" w:lineRule="auto"/>
              <w:jc w:val="center"/>
              <w:rPr>
                <w:rFonts w:ascii="宋体" w:hAnsi="宋体" w:eastAsia="宋体" w:cs="宋体"/>
                <w:spacing w:val="-2"/>
                <w:szCs w:val="21"/>
                <w:highlight w:val="none"/>
              </w:rPr>
            </w:pPr>
          </w:p>
        </w:tc>
        <w:tc>
          <w:tcPr>
            <w:tcW w:w="2449" w:type="dxa"/>
          </w:tcPr>
          <w:p>
            <w:pPr>
              <w:rPr>
                <w:rFonts w:ascii="Arial"/>
                <w:highlight w:val="none"/>
              </w:rPr>
            </w:pPr>
          </w:p>
        </w:tc>
        <w:tc>
          <w:tcPr>
            <w:tcW w:w="3328" w:type="dxa"/>
          </w:tcPr>
          <w:p>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pPr>
        <w:spacing w:before="75" w:line="219" w:lineRule="auto"/>
        <w:ind w:left="409" w:firstLine="396" w:firstLineChars="200"/>
        <w:rPr>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pPr>
        <w:rPr>
          <w:highlight w:val="none"/>
        </w:rPr>
      </w:pPr>
    </w:p>
    <w:p>
      <w:pPr>
        <w:pStyle w:val="17"/>
        <w:rPr>
          <w:highlight w:val="none"/>
        </w:rPr>
      </w:pPr>
    </w:p>
    <w:p>
      <w:pPr>
        <w:spacing w:before="35" w:line="239" w:lineRule="auto"/>
        <w:ind w:left="724"/>
        <w:rPr>
          <w:rFonts w:ascii="宋体" w:hAnsi="宋体" w:eastAsia="宋体" w:cs="宋体"/>
          <w:spacing w:val="-1"/>
          <w:sz w:val="24"/>
          <w:szCs w:val="24"/>
          <w:highlight w:val="none"/>
        </w:rPr>
      </w:pPr>
      <w:r>
        <w:rPr>
          <w:rFonts w:ascii="宋体" w:hAnsi="宋体" w:eastAsia="宋体" w:cs="宋体"/>
          <w:spacing w:val="-2"/>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年  月  日</w:t>
      </w:r>
    </w:p>
    <w:p>
      <w:pPr>
        <w:spacing w:before="35" w:line="239" w:lineRule="auto"/>
        <w:ind w:left="724"/>
        <w:rPr>
          <w:rFonts w:ascii="宋体" w:hAnsi="宋体" w:eastAsia="宋体" w:cs="宋体"/>
          <w:spacing w:val="-1"/>
          <w:sz w:val="24"/>
          <w:szCs w:val="24"/>
          <w:highlight w:val="none"/>
        </w:rPr>
        <w:sectPr>
          <w:footerReference r:id="rId34" w:type="default"/>
          <w:pgSz w:w="16841" w:h="11907"/>
          <w:pgMar w:top="400" w:right="1699" w:bottom="1184" w:left="1481" w:header="0" w:footer="1022" w:gutter="0"/>
          <w:cols w:space="720" w:num="1"/>
        </w:sectPr>
      </w:pPr>
    </w:p>
    <w:p>
      <w:pPr>
        <w:pStyle w:val="6"/>
        <w:jc w:val="left"/>
        <w:rPr>
          <w:rFonts w:ascii="宋体" w:hAnsi="宋体" w:eastAsia="宋体" w:cs="宋体"/>
          <w:sz w:val="24"/>
          <w:szCs w:val="24"/>
          <w:highlight w:val="no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highlight w:val="none"/>
        </w:rPr>
        <w:t xml:space="preserve"> </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highlight w:val="none"/>
        </w:rPr>
        <w:t xml:space="preserve"> </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highlight w:val="none"/>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pPr>
        <w:spacing w:line="172" w:lineRule="exact"/>
        <w:rPr>
          <w:highlight w:val="none"/>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w:t>
            </w:r>
          </w:p>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4×6]（不含税）</w:t>
            </w:r>
          </w:p>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更换</w:t>
            </w:r>
          </w:p>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highlight w:val="none"/>
              </w:rPr>
            </w:pPr>
            <w:r>
              <w:rPr>
                <w:rFonts w:ascii="宋体" w:hAnsi="宋体" w:eastAsia="宋体" w:cs="宋体"/>
                <w:szCs w:val="21"/>
                <w:highlight w:val="none"/>
              </w:rPr>
              <w:t>1</w:t>
            </w:r>
          </w:p>
        </w:tc>
        <w:tc>
          <w:tcPr>
            <w:tcW w:w="2543" w:type="dxa"/>
          </w:tcPr>
          <w:p>
            <w:pPr>
              <w:rPr>
                <w:rFonts w:ascii="Arial"/>
                <w:highlight w:val="none"/>
              </w:rPr>
            </w:pPr>
          </w:p>
        </w:tc>
        <w:tc>
          <w:tcPr>
            <w:tcW w:w="2100" w:type="dxa"/>
          </w:tcPr>
          <w:p>
            <w:pPr>
              <w:rPr>
                <w:rFonts w:ascii="Arial"/>
                <w:highlight w:val="none"/>
              </w:rPr>
            </w:pPr>
          </w:p>
        </w:tc>
        <w:tc>
          <w:tcPr>
            <w:tcW w:w="840" w:type="dxa"/>
          </w:tcPr>
          <w:p>
            <w:pPr>
              <w:rPr>
                <w:rFonts w:ascii="Arial"/>
                <w:highlight w:val="none"/>
              </w:rPr>
            </w:pPr>
          </w:p>
        </w:tc>
        <w:tc>
          <w:tcPr>
            <w:tcW w:w="2239" w:type="dxa"/>
          </w:tcPr>
          <w:p>
            <w:pPr>
              <w:rPr>
                <w:rFonts w:ascii="Arial"/>
                <w:highlight w:val="none"/>
              </w:rPr>
            </w:pPr>
          </w:p>
        </w:tc>
        <w:tc>
          <w:tcPr>
            <w:tcW w:w="1498" w:type="dxa"/>
          </w:tcPr>
          <w:p>
            <w:pPr>
              <w:rPr>
                <w:rFonts w:ascii="Arial"/>
                <w:highlight w:val="none"/>
              </w:rPr>
            </w:pPr>
          </w:p>
        </w:tc>
        <w:tc>
          <w:tcPr>
            <w:tcW w:w="1861" w:type="dxa"/>
          </w:tcPr>
          <w:p>
            <w:pPr>
              <w:rPr>
                <w:rFonts w:ascii="Arial"/>
                <w:highlight w:val="none"/>
              </w:rPr>
            </w:pPr>
          </w:p>
        </w:tc>
        <w:tc>
          <w:tcPr>
            <w:tcW w:w="1120" w:type="dxa"/>
          </w:tcPr>
          <w:p>
            <w:pPr>
              <w:rPr>
                <w:rFonts w:ascii="Arial"/>
                <w:highlight w:val="none"/>
              </w:rPr>
            </w:pPr>
          </w:p>
        </w:tc>
        <w:tc>
          <w:tcPr>
            <w:tcW w:w="1125"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highlight w:val="none"/>
              </w:rPr>
            </w:pPr>
            <w:r>
              <w:rPr>
                <w:rFonts w:ascii="宋体" w:hAnsi="宋体" w:eastAsia="宋体" w:cs="宋体"/>
                <w:szCs w:val="21"/>
                <w:highlight w:val="none"/>
              </w:rPr>
              <w:t>2</w:t>
            </w:r>
          </w:p>
        </w:tc>
        <w:tc>
          <w:tcPr>
            <w:tcW w:w="2543" w:type="dxa"/>
          </w:tcPr>
          <w:p>
            <w:pPr>
              <w:rPr>
                <w:rFonts w:ascii="Arial"/>
                <w:highlight w:val="none"/>
              </w:rPr>
            </w:pPr>
          </w:p>
        </w:tc>
        <w:tc>
          <w:tcPr>
            <w:tcW w:w="2100" w:type="dxa"/>
          </w:tcPr>
          <w:p>
            <w:pPr>
              <w:rPr>
                <w:rFonts w:ascii="Arial"/>
                <w:highlight w:val="none"/>
              </w:rPr>
            </w:pPr>
          </w:p>
        </w:tc>
        <w:tc>
          <w:tcPr>
            <w:tcW w:w="840" w:type="dxa"/>
          </w:tcPr>
          <w:p>
            <w:pPr>
              <w:rPr>
                <w:rFonts w:ascii="Arial"/>
                <w:highlight w:val="none"/>
              </w:rPr>
            </w:pPr>
          </w:p>
        </w:tc>
        <w:tc>
          <w:tcPr>
            <w:tcW w:w="2239" w:type="dxa"/>
          </w:tcPr>
          <w:p>
            <w:pPr>
              <w:rPr>
                <w:rFonts w:ascii="Arial"/>
                <w:highlight w:val="none"/>
              </w:rPr>
            </w:pPr>
          </w:p>
        </w:tc>
        <w:tc>
          <w:tcPr>
            <w:tcW w:w="1498" w:type="dxa"/>
          </w:tcPr>
          <w:p>
            <w:pPr>
              <w:rPr>
                <w:rFonts w:ascii="Arial"/>
                <w:highlight w:val="none"/>
              </w:rPr>
            </w:pPr>
          </w:p>
        </w:tc>
        <w:tc>
          <w:tcPr>
            <w:tcW w:w="1861" w:type="dxa"/>
          </w:tcPr>
          <w:p>
            <w:pPr>
              <w:rPr>
                <w:rFonts w:ascii="Arial"/>
                <w:highlight w:val="none"/>
              </w:rPr>
            </w:pPr>
          </w:p>
        </w:tc>
        <w:tc>
          <w:tcPr>
            <w:tcW w:w="1120" w:type="dxa"/>
          </w:tcPr>
          <w:p>
            <w:pPr>
              <w:rPr>
                <w:rFonts w:ascii="Arial"/>
                <w:highlight w:val="none"/>
              </w:rPr>
            </w:pPr>
          </w:p>
        </w:tc>
        <w:tc>
          <w:tcPr>
            <w:tcW w:w="1125"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highlight w:val="none"/>
              </w:rPr>
            </w:pPr>
          </w:p>
        </w:tc>
        <w:tc>
          <w:tcPr>
            <w:tcW w:w="2543" w:type="dxa"/>
          </w:tcPr>
          <w:p>
            <w:pPr>
              <w:rPr>
                <w:rFonts w:ascii="Arial"/>
                <w:highlight w:val="none"/>
              </w:rPr>
            </w:pPr>
          </w:p>
        </w:tc>
        <w:tc>
          <w:tcPr>
            <w:tcW w:w="2100" w:type="dxa"/>
          </w:tcPr>
          <w:p>
            <w:pPr>
              <w:rPr>
                <w:rFonts w:ascii="Arial"/>
                <w:highlight w:val="none"/>
              </w:rPr>
            </w:pPr>
          </w:p>
        </w:tc>
        <w:tc>
          <w:tcPr>
            <w:tcW w:w="840" w:type="dxa"/>
          </w:tcPr>
          <w:p>
            <w:pPr>
              <w:rPr>
                <w:rFonts w:ascii="Arial"/>
                <w:highlight w:val="none"/>
              </w:rPr>
            </w:pPr>
          </w:p>
        </w:tc>
        <w:tc>
          <w:tcPr>
            <w:tcW w:w="2239" w:type="dxa"/>
          </w:tcPr>
          <w:p>
            <w:pPr>
              <w:rPr>
                <w:rFonts w:ascii="Arial"/>
                <w:highlight w:val="none"/>
              </w:rPr>
            </w:pPr>
          </w:p>
        </w:tc>
        <w:tc>
          <w:tcPr>
            <w:tcW w:w="1498" w:type="dxa"/>
          </w:tcPr>
          <w:p>
            <w:pPr>
              <w:rPr>
                <w:rFonts w:ascii="Arial"/>
                <w:highlight w:val="none"/>
              </w:rPr>
            </w:pPr>
          </w:p>
        </w:tc>
        <w:tc>
          <w:tcPr>
            <w:tcW w:w="1861" w:type="dxa"/>
          </w:tcPr>
          <w:p>
            <w:pPr>
              <w:rPr>
                <w:rFonts w:ascii="Arial"/>
                <w:highlight w:val="none"/>
              </w:rPr>
            </w:pPr>
          </w:p>
        </w:tc>
        <w:tc>
          <w:tcPr>
            <w:tcW w:w="1120" w:type="dxa"/>
          </w:tcPr>
          <w:p>
            <w:pPr>
              <w:rPr>
                <w:rFonts w:ascii="Arial"/>
                <w:highlight w:val="none"/>
              </w:rPr>
            </w:pPr>
          </w:p>
        </w:tc>
        <w:tc>
          <w:tcPr>
            <w:tcW w:w="1125"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highlight w:val="none"/>
              </w:rPr>
            </w:pPr>
          </w:p>
        </w:tc>
        <w:tc>
          <w:tcPr>
            <w:tcW w:w="2543" w:type="dxa"/>
          </w:tcPr>
          <w:p>
            <w:pPr>
              <w:rPr>
                <w:rFonts w:ascii="Arial"/>
                <w:highlight w:val="none"/>
              </w:rPr>
            </w:pPr>
          </w:p>
        </w:tc>
        <w:tc>
          <w:tcPr>
            <w:tcW w:w="2100" w:type="dxa"/>
          </w:tcPr>
          <w:p>
            <w:pPr>
              <w:rPr>
                <w:rFonts w:ascii="Arial"/>
                <w:highlight w:val="none"/>
              </w:rPr>
            </w:pPr>
          </w:p>
        </w:tc>
        <w:tc>
          <w:tcPr>
            <w:tcW w:w="840" w:type="dxa"/>
          </w:tcPr>
          <w:p>
            <w:pPr>
              <w:rPr>
                <w:rFonts w:ascii="Arial"/>
                <w:highlight w:val="none"/>
              </w:rPr>
            </w:pPr>
          </w:p>
        </w:tc>
        <w:tc>
          <w:tcPr>
            <w:tcW w:w="2239" w:type="dxa"/>
          </w:tcPr>
          <w:p>
            <w:pPr>
              <w:rPr>
                <w:rFonts w:ascii="Arial"/>
                <w:highlight w:val="none"/>
              </w:rPr>
            </w:pPr>
          </w:p>
        </w:tc>
        <w:tc>
          <w:tcPr>
            <w:tcW w:w="1498" w:type="dxa"/>
          </w:tcPr>
          <w:p>
            <w:pPr>
              <w:rPr>
                <w:rFonts w:ascii="Arial"/>
                <w:highlight w:val="none"/>
              </w:rPr>
            </w:pPr>
          </w:p>
        </w:tc>
        <w:tc>
          <w:tcPr>
            <w:tcW w:w="1861" w:type="dxa"/>
          </w:tcPr>
          <w:p>
            <w:pPr>
              <w:rPr>
                <w:rFonts w:ascii="Arial"/>
                <w:highlight w:val="none"/>
              </w:rPr>
            </w:pPr>
          </w:p>
        </w:tc>
        <w:tc>
          <w:tcPr>
            <w:tcW w:w="1120" w:type="dxa"/>
          </w:tcPr>
          <w:p>
            <w:pPr>
              <w:rPr>
                <w:rFonts w:ascii="Arial"/>
                <w:highlight w:val="none"/>
              </w:rPr>
            </w:pPr>
          </w:p>
        </w:tc>
        <w:tc>
          <w:tcPr>
            <w:tcW w:w="1125"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highlight w:val="none"/>
              </w:rPr>
            </w:pPr>
          </w:p>
        </w:tc>
        <w:tc>
          <w:tcPr>
            <w:tcW w:w="2543" w:type="dxa"/>
          </w:tcPr>
          <w:p>
            <w:pPr>
              <w:rPr>
                <w:rFonts w:ascii="Arial"/>
                <w:highlight w:val="none"/>
              </w:rPr>
            </w:pPr>
          </w:p>
        </w:tc>
        <w:tc>
          <w:tcPr>
            <w:tcW w:w="2100" w:type="dxa"/>
          </w:tcPr>
          <w:p>
            <w:pPr>
              <w:rPr>
                <w:rFonts w:ascii="Arial"/>
                <w:highlight w:val="none"/>
              </w:rPr>
            </w:pPr>
          </w:p>
        </w:tc>
        <w:tc>
          <w:tcPr>
            <w:tcW w:w="840" w:type="dxa"/>
          </w:tcPr>
          <w:p>
            <w:pPr>
              <w:rPr>
                <w:rFonts w:ascii="Arial"/>
                <w:highlight w:val="none"/>
              </w:rPr>
            </w:pPr>
          </w:p>
        </w:tc>
        <w:tc>
          <w:tcPr>
            <w:tcW w:w="2239" w:type="dxa"/>
          </w:tcPr>
          <w:p>
            <w:pPr>
              <w:rPr>
                <w:rFonts w:ascii="Arial"/>
                <w:highlight w:val="none"/>
              </w:rPr>
            </w:pPr>
          </w:p>
        </w:tc>
        <w:tc>
          <w:tcPr>
            <w:tcW w:w="1498" w:type="dxa"/>
          </w:tcPr>
          <w:p>
            <w:pPr>
              <w:rPr>
                <w:rFonts w:ascii="Arial"/>
                <w:highlight w:val="none"/>
              </w:rPr>
            </w:pPr>
          </w:p>
        </w:tc>
        <w:tc>
          <w:tcPr>
            <w:tcW w:w="1861" w:type="dxa"/>
          </w:tcPr>
          <w:p>
            <w:pPr>
              <w:rPr>
                <w:rFonts w:ascii="Arial"/>
                <w:highlight w:val="none"/>
              </w:rPr>
            </w:pPr>
          </w:p>
        </w:tc>
        <w:tc>
          <w:tcPr>
            <w:tcW w:w="1120" w:type="dxa"/>
          </w:tcPr>
          <w:p>
            <w:pPr>
              <w:rPr>
                <w:rFonts w:ascii="Arial"/>
                <w:highlight w:val="none"/>
              </w:rPr>
            </w:pPr>
          </w:p>
        </w:tc>
        <w:tc>
          <w:tcPr>
            <w:tcW w:w="1125"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106" w:type="dxa"/>
            <w:gridSpan w:val="3"/>
          </w:tcPr>
          <w:p>
            <w:pPr>
              <w:spacing w:before="207"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pPr>
        <w:spacing w:before="87" w:line="198" w:lineRule="auto"/>
        <w:ind w:left="411"/>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highlight w:val="none"/>
        </w:r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pPr>
        <w:spacing w:before="87" w:line="198" w:lineRule="auto"/>
        <w:ind w:left="411"/>
        <w:rPr>
          <w:rFonts w:ascii="宋体" w:hAnsi="宋体" w:eastAsia="宋体" w:cs="宋体"/>
          <w:spacing w:val="-2"/>
          <w:sz w:val="24"/>
          <w:szCs w:val="24"/>
          <w:highlight w:val="none"/>
        </w:rPr>
        <w:sectPr>
          <w:footerReference r:id="rId35"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9-5</w:t>
      </w:r>
    </w:p>
    <w:p>
      <w:pPr>
        <w:spacing w:before="253" w:line="224" w:lineRule="auto"/>
        <w:ind w:left="6488"/>
        <w:rPr>
          <w:rFonts w:ascii="宋体" w:hAnsi="宋体" w:eastAsia="宋体" w:cs="宋体"/>
          <w:sz w:val="31"/>
          <w:szCs w:val="31"/>
          <w:highlight w:val="none"/>
        </w:rPr>
      </w:pP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pPr>
        <w:spacing w:line="127" w:lineRule="exact"/>
        <w:rPr>
          <w:highlight w:val="none"/>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354" w:type="dxa"/>
          </w:tcPr>
          <w:p>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Times New Roman" w:hAnsi="Times New Roman" w:eastAsia="宋体" w:cs="Times New Roman"/>
                <w:spacing w:val="-11"/>
                <w:szCs w:val="21"/>
                <w:highlight w:val="none"/>
              </w:rPr>
              <w:t>9</w:t>
            </w:r>
            <w:r>
              <w:rPr>
                <w:rFonts w:ascii="Times New Roman" w:hAnsi="Times New Roman" w:eastAsia="Times New Roman" w:cs="Times New Roman"/>
                <w:spacing w:val="-11"/>
                <w:szCs w:val="21"/>
                <w:highlight w:val="none"/>
              </w:rPr>
              <w:t xml:space="preserve">- 1 </w:t>
            </w:r>
            <w:r>
              <w:rPr>
                <w:rFonts w:ascii="宋体" w:hAnsi="宋体" w:eastAsia="宋体" w:cs="宋体"/>
                <w:spacing w:val="-11"/>
                <w:szCs w:val="21"/>
                <w:highlight w:val="none"/>
              </w:rPr>
              <w:t>总计</w:t>
            </w:r>
          </w:p>
        </w:tc>
        <w:tc>
          <w:tcPr>
            <w:tcW w:w="3354" w:type="dxa"/>
          </w:tcPr>
          <w:p>
            <w:pPr>
              <w:rPr>
                <w:rFonts w:ascii="Arial"/>
                <w:highlight w:val="none"/>
              </w:rPr>
            </w:pPr>
          </w:p>
        </w:tc>
        <w:tc>
          <w:tcPr>
            <w:tcW w:w="336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-2 </w:t>
            </w:r>
            <w:r>
              <w:rPr>
                <w:rFonts w:ascii="宋体" w:hAnsi="宋体" w:eastAsia="宋体" w:cs="宋体"/>
                <w:spacing w:val="-6"/>
                <w:szCs w:val="21"/>
                <w:highlight w:val="none"/>
              </w:rPr>
              <w:t>总计</w:t>
            </w:r>
          </w:p>
        </w:tc>
        <w:tc>
          <w:tcPr>
            <w:tcW w:w="3354" w:type="dxa"/>
          </w:tcPr>
          <w:p>
            <w:pPr>
              <w:rPr>
                <w:rFonts w:ascii="Arial"/>
                <w:highlight w:val="none"/>
              </w:rPr>
            </w:pPr>
          </w:p>
        </w:tc>
        <w:tc>
          <w:tcPr>
            <w:tcW w:w="336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highlight w:val="none"/>
              </w:rPr>
            </w:pPr>
          </w:p>
          <w:p>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-3 </w:t>
            </w:r>
            <w:r>
              <w:rPr>
                <w:rFonts w:ascii="宋体" w:hAnsi="宋体" w:eastAsia="宋体" w:cs="宋体"/>
                <w:spacing w:val="-6"/>
                <w:szCs w:val="21"/>
                <w:highlight w:val="none"/>
              </w:rPr>
              <w:t>总计</w:t>
            </w:r>
          </w:p>
        </w:tc>
        <w:tc>
          <w:tcPr>
            <w:tcW w:w="3354" w:type="dxa"/>
          </w:tcPr>
          <w:p>
            <w:pPr>
              <w:rPr>
                <w:rFonts w:ascii="Arial"/>
                <w:highlight w:val="none"/>
              </w:rPr>
            </w:pPr>
          </w:p>
        </w:tc>
        <w:tc>
          <w:tcPr>
            <w:tcW w:w="336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-4 </w:t>
            </w:r>
            <w:r>
              <w:rPr>
                <w:rFonts w:ascii="宋体" w:hAnsi="宋体" w:eastAsia="宋体" w:cs="宋体"/>
                <w:spacing w:val="-6"/>
                <w:szCs w:val="21"/>
                <w:highlight w:val="none"/>
              </w:rPr>
              <w:t>总计</w:t>
            </w:r>
          </w:p>
        </w:tc>
        <w:tc>
          <w:tcPr>
            <w:tcW w:w="3354" w:type="dxa"/>
          </w:tcPr>
          <w:p>
            <w:pPr>
              <w:rPr>
                <w:rFonts w:ascii="Arial"/>
                <w:highlight w:val="none"/>
              </w:rPr>
            </w:pPr>
          </w:p>
        </w:tc>
        <w:tc>
          <w:tcPr>
            <w:tcW w:w="336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pPr>
        <w:spacing w:line="291" w:lineRule="auto"/>
        <w:rPr>
          <w:rFonts w:ascii="Arial"/>
          <w:highlight w:val="none"/>
        </w:rPr>
      </w:pPr>
    </w:p>
    <w:p>
      <w:pPr>
        <w:spacing w:before="78" w:line="198" w:lineRule="auto"/>
        <w:ind w:left="211" w:firstLine="202" w:firstLineChars="100"/>
        <w:rPr>
          <w:rFonts w:ascii="宋体" w:hAnsi="宋体" w:eastAsia="宋体" w:cs="宋体"/>
          <w:sz w:val="24"/>
          <w:szCs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szCs w:val="24"/>
          <w:highlight w:val="none"/>
        </w:rPr>
        <w:t>。</w:t>
      </w:r>
    </w:p>
    <w:p>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pPr>
        <w:pStyle w:val="17"/>
        <w:rPr>
          <w:highlight w:val="none"/>
        </w:rPr>
      </w:pPr>
    </w:p>
    <w:p>
      <w:pPr>
        <w:pStyle w:val="17"/>
        <w:rPr>
          <w:highlight w:val="none"/>
        </w:rPr>
      </w:pPr>
    </w:p>
    <w:p>
      <w:pPr>
        <w:spacing w:before="140" w:line="220" w:lineRule="auto"/>
        <w:ind w:left="2" w:firstLine="464" w:firstLineChars="200"/>
        <w:rPr>
          <w:rFonts w:ascii="宋体" w:hAnsi="宋体" w:eastAsia="宋体" w:cs="宋体"/>
          <w:spacing w:val="-2"/>
          <w:szCs w:val="21"/>
          <w:highlight w:val="none"/>
        </w:rPr>
        <w:sectPr>
          <w:footerReference r:id="rId36" w:type="default"/>
          <w:pgSz w:w="16841" w:h="11907"/>
          <w:pgMar w:top="400" w:right="1699" w:bottom="1168" w:left="1481" w:header="0" w:footer="990" w:gutter="0"/>
          <w:cols w:equalWidth="0" w:num="1">
            <w:col w:w="13660"/>
          </w:cols>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rPr>
        <w:t>日</w:t>
      </w:r>
    </w:p>
    <w:p>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附件10</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商务条款偏离表</w:t>
      </w:r>
    </w:p>
    <w:p>
      <w:pPr>
        <w:rPr>
          <w:rFonts w:ascii="Calibri" w:hAnsi="Calibri" w:eastAsia="宋体" w:cs="Times New Roman"/>
          <w:szCs w:val="20"/>
          <w:highlight w:val="none"/>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sz w:val="24"/>
                <w:szCs w:val="24"/>
                <w:highlight w:val="none"/>
                <w:u w:val="single"/>
              </w:rPr>
              <w:t>XXXXXX</w:t>
            </w:r>
            <w:r>
              <w:rPr>
                <w:rFonts w:hint="eastAsia" w:ascii="宋体" w:hAnsi="宋体" w:eastAsia="宋体" w:cs="宋体"/>
                <w:color w:val="000000"/>
                <w:sz w:val="24"/>
                <w:szCs w:val="24"/>
                <w:highlight w:val="none"/>
                <w:u w:val="single"/>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highlight w:val="none"/>
              </w:rPr>
            </w:pPr>
          </w:p>
          <w:p>
            <w:pPr>
              <w:jc w:val="center"/>
              <w:rPr>
                <w:rFonts w:ascii="Times New Roman" w:hAnsi="Times New Roman" w:eastAsia="宋体" w:cs="Times New Roman"/>
                <w:b/>
                <w:szCs w:val="21"/>
                <w:highlight w:val="none"/>
              </w:rPr>
            </w:pPr>
          </w:p>
          <w:p>
            <w:pPr>
              <w:jc w:val="center"/>
              <w:rPr>
                <w:rFonts w:ascii="Times New Roman" w:hAnsi="Times New Roman" w:eastAsia="宋体" w:cs="Times New Roman"/>
                <w:b/>
                <w:szCs w:val="21"/>
                <w:highlight w:val="none"/>
              </w:rPr>
            </w:pPr>
          </w:p>
          <w:p>
            <w:pPr>
              <w:jc w:val="center"/>
              <w:rPr>
                <w:rFonts w:ascii="Times New Roman" w:hAnsi="Times New Roman" w:eastAsia="宋体" w:cs="Times New Roman"/>
                <w:b/>
                <w:szCs w:val="21"/>
                <w:highlight w:val="none"/>
              </w:rPr>
            </w:pPr>
          </w:p>
          <w:p>
            <w:pPr>
              <w:jc w:val="center"/>
              <w:rPr>
                <w:rFonts w:ascii="Times New Roman" w:hAnsi="Times New Roman" w:eastAsia="宋体" w:cs="Times New Roman"/>
                <w:b/>
                <w:szCs w:val="21"/>
                <w:highlight w:val="none"/>
              </w:rPr>
            </w:pPr>
          </w:p>
          <w:p>
            <w:pPr>
              <w:jc w:val="center"/>
              <w:rPr>
                <w:rFonts w:ascii="Times New Roman" w:hAnsi="Times New Roman" w:eastAsia="宋体" w:cs="Times New Roman"/>
                <w:b/>
                <w:szCs w:val="21"/>
                <w:highlight w:val="none"/>
              </w:rPr>
            </w:pPr>
          </w:p>
          <w:p>
            <w:pPr>
              <w:jc w:val="center"/>
              <w:rPr>
                <w:rFonts w:ascii="Times New Roman" w:hAnsi="Times New Roman" w:eastAsia="宋体" w:cs="Times New Roman"/>
                <w:b/>
                <w:szCs w:val="21"/>
                <w:highlight w:val="none"/>
              </w:rPr>
            </w:pPr>
          </w:p>
          <w:p>
            <w:pPr>
              <w:jc w:val="center"/>
              <w:rPr>
                <w:rFonts w:ascii="Times New Roman" w:hAnsi="Times New Roman" w:eastAsia="宋体" w:cs="Times New Roman"/>
                <w:b/>
                <w:szCs w:val="21"/>
                <w:highlight w:val="none"/>
              </w:rPr>
            </w:pPr>
          </w:p>
          <w:p>
            <w:pPr>
              <w:jc w:val="center"/>
              <w:rPr>
                <w:rFonts w:ascii="Times New Roman" w:hAnsi="Times New Roman" w:eastAsia="宋体" w:cs="Times New Roman"/>
                <w:b/>
                <w:szCs w:val="21"/>
                <w:highlight w:val="none"/>
              </w:rPr>
            </w:pPr>
          </w:p>
          <w:p>
            <w:pPr>
              <w:jc w:val="center"/>
              <w:rPr>
                <w:rFonts w:ascii="Times New Roman" w:hAnsi="Times New Roman" w:eastAsia="宋体" w:cs="Times New Roman"/>
                <w:b/>
                <w:szCs w:val="21"/>
                <w:highlight w:val="none"/>
              </w:rPr>
            </w:pPr>
          </w:p>
          <w:p>
            <w:pPr>
              <w:jc w:val="center"/>
              <w:rPr>
                <w:rFonts w:ascii="Times New Roman" w:hAnsi="Times New Roman" w:eastAsia="宋体" w:cs="Times New Roman"/>
                <w:b/>
                <w:szCs w:val="21"/>
                <w:highlight w:val="none"/>
              </w:rPr>
            </w:pPr>
          </w:p>
          <w:p>
            <w:pPr>
              <w:jc w:val="center"/>
              <w:rPr>
                <w:rFonts w:ascii="Times New Roman" w:hAnsi="Times New Roman" w:eastAsia="宋体" w:cs="Times New Roman"/>
                <w:b/>
                <w:szCs w:val="21"/>
                <w:highlight w:val="none"/>
              </w:rPr>
            </w:pPr>
          </w:p>
          <w:p>
            <w:pPr>
              <w:jc w:val="center"/>
              <w:rPr>
                <w:rFonts w:ascii="Times New Roman" w:hAnsi="Times New Roman" w:eastAsia="宋体" w:cs="Times New Roman"/>
                <w:b/>
                <w:szCs w:val="21"/>
                <w:highlight w:val="none"/>
              </w:rPr>
            </w:pPr>
          </w:p>
          <w:p>
            <w:pPr>
              <w:jc w:val="center"/>
              <w:rPr>
                <w:rFonts w:ascii="Times New Roman" w:hAnsi="Times New Roman" w:eastAsia="宋体" w:cs="Times New Roman"/>
                <w:b/>
                <w:szCs w:val="21"/>
                <w:highlight w:val="none"/>
              </w:rPr>
            </w:pPr>
          </w:p>
          <w:p>
            <w:pPr>
              <w:jc w:val="center"/>
              <w:rPr>
                <w:rFonts w:ascii="Times New Roman" w:hAnsi="Times New Roman" w:eastAsia="宋体" w:cs="Times New Roman"/>
                <w:b/>
                <w:szCs w:val="21"/>
                <w:highlight w:val="none"/>
              </w:rPr>
            </w:pPr>
          </w:p>
          <w:p>
            <w:pPr>
              <w:jc w:val="center"/>
              <w:rPr>
                <w:rFonts w:ascii="Times New Roman" w:hAnsi="Times New Roman" w:eastAsia="宋体" w:cs="Times New Roman"/>
                <w:b/>
                <w:szCs w:val="21"/>
                <w:highlight w:val="none"/>
              </w:rPr>
            </w:pPr>
          </w:p>
          <w:p>
            <w:pPr>
              <w:jc w:val="center"/>
              <w:rPr>
                <w:rFonts w:ascii="Times New Roman" w:hAnsi="Times New Roman" w:eastAsia="宋体" w:cs="Times New Roman"/>
                <w:b/>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highlight w:val="none"/>
              </w:rPr>
            </w:pPr>
          </w:p>
        </w:tc>
      </w:tr>
    </w:tbl>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注：为避免歧义，无偏离也应要提报该表，并注明“无”字。如无该表则即使在其它部分已反映，将也被视为“无偏离”。</w:t>
      </w:r>
    </w:p>
    <w:p>
      <w:pPr>
        <w:rPr>
          <w:rFonts w:ascii="宋体" w:hAnsi="Calibri" w:eastAsia="宋体" w:cs="Times New Roman"/>
          <w:szCs w:val="20"/>
          <w:highlight w:val="none"/>
        </w:rPr>
      </w:pPr>
    </w:p>
    <w:p>
      <w:pPr>
        <w:rPr>
          <w:rFonts w:ascii="宋体" w:hAnsi="Calibri" w:eastAsia="宋体" w:cs="宋体"/>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highlight w:val="none"/>
        </w:rPr>
      </w:pPr>
      <w:r>
        <w:rPr>
          <w:rFonts w:hint="eastAsia" w:ascii="Times New Roman" w:hAnsi="Times New Roman" w:eastAsia="宋体" w:cs="Times New Roman"/>
          <w:b/>
          <w:bCs/>
          <w:color w:val="000000"/>
          <w:sz w:val="24"/>
          <w:szCs w:val="24"/>
          <w:highlight w:val="none"/>
        </w:rPr>
        <w:t>附件11 投标人承诺</w:t>
      </w:r>
    </w:p>
    <w:p>
      <w:pPr>
        <w:spacing w:line="272" w:lineRule="auto"/>
        <w:rPr>
          <w:rFonts w:ascii="Arial"/>
          <w:highlight w:val="none"/>
        </w:rPr>
      </w:pPr>
    </w:p>
    <w:p>
      <w:pPr>
        <w:spacing w:before="75" w:line="228" w:lineRule="auto"/>
        <w:ind w:left="134"/>
        <w:rPr>
          <w:rFonts w:ascii="宋体" w:hAnsi="宋体" w:eastAsia="宋体" w:cs="宋体"/>
          <w:sz w:val="24"/>
          <w:szCs w:val="24"/>
          <w:highlight w:val="none"/>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hint="eastAsia" w:ascii="宋体" w:hAnsi="宋体" w:eastAsia="宋体" w:cs="宋体"/>
          <w:sz w:val="24"/>
          <w:szCs w:val="24"/>
          <w:highlight w:val="none"/>
          <w:u w:val="single"/>
        </w:rPr>
        <w:t>XXXXXX</w:t>
      </w:r>
      <w:r>
        <w:rPr>
          <w:rFonts w:hint="eastAsia" w:ascii="宋体" w:hAnsi="宋体" w:eastAsia="宋体" w:cs="宋体"/>
          <w:color w:val="000000"/>
          <w:sz w:val="24"/>
          <w:szCs w:val="24"/>
          <w:highlight w:val="none"/>
          <w:u w:val="single"/>
        </w:rPr>
        <w:t>项目</w:t>
      </w:r>
    </w:p>
    <w:p>
      <w:pPr>
        <w:spacing w:before="306" w:line="227" w:lineRule="auto"/>
        <w:ind w:left="205"/>
        <w:rPr>
          <w:rFonts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pPr>
        <w:rPr>
          <w:highlight w:val="none"/>
        </w:rPr>
      </w:pPr>
    </w:p>
    <w:p>
      <w:pPr>
        <w:spacing w:line="109" w:lineRule="exact"/>
        <w:rPr>
          <w:highlight w:val="none"/>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pPr>
        <w:keepNext/>
        <w:keepLines/>
        <w:rPr>
          <w:rFonts w:ascii="Times New Roman" w:hAnsi="Times New Roman" w:eastAsia="宋体" w:cs="Times New Roman"/>
          <w:b/>
          <w:bCs/>
          <w:color w:val="000000"/>
          <w:sz w:val="24"/>
          <w:szCs w:val="24"/>
          <w:highlight w:val="none"/>
        </w:rPr>
      </w:pPr>
    </w:p>
    <w:p>
      <w:pPr>
        <w:spacing w:before="75" w:line="227" w:lineRule="auto"/>
        <w:ind w:left="135"/>
        <w:rPr>
          <w:rFonts w:ascii="宋体" w:hAnsi="宋体" w:eastAsia="宋体" w:cs="宋体"/>
          <w:spacing w:val="-2"/>
          <w:sz w:val="24"/>
          <w:szCs w:val="24"/>
          <w:highlight w:val="none"/>
        </w:rPr>
      </w:pPr>
    </w:p>
    <w:p>
      <w:pPr>
        <w:spacing w:before="75" w:line="227" w:lineRule="auto"/>
        <w:ind w:left="135"/>
        <w:rPr>
          <w:rFonts w:ascii="宋体" w:hAnsi="宋体" w:eastAsia="宋体" w:cs="宋体"/>
          <w:spacing w:val="-2"/>
          <w:sz w:val="24"/>
          <w:szCs w:val="24"/>
          <w:highlight w:val="none"/>
        </w:rPr>
      </w:pPr>
    </w:p>
    <w:p>
      <w:pPr>
        <w:spacing w:before="75" w:line="227" w:lineRule="auto"/>
        <w:ind w:left="135"/>
        <w:rPr>
          <w:rFonts w:eastAsia="宋体"/>
          <w:sz w:val="24"/>
          <w:szCs w:val="24"/>
          <w:highlight w:val="none"/>
        </w:rPr>
        <w:sectPr>
          <w:footerReference r:id="rId37" w:type="default"/>
          <w:pgSz w:w="11906" w:h="16839"/>
          <w:pgMar w:top="1431" w:right="1417" w:bottom="1179" w:left="1304" w:header="850" w:footer="992" w:gutter="0"/>
          <w:cols w:space="720" w:num="1"/>
        </w:sect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r>
        <w:rPr>
          <w:rFonts w:hint="eastAsia" w:ascii="宋体" w:hAnsi="宋体" w:eastAsia="宋体" w:cs="宋体"/>
          <w:sz w:val="24"/>
          <w:szCs w:val="24"/>
          <w:highlight w:val="none"/>
        </w:rPr>
        <w:t>：</w:t>
      </w:r>
    </w:p>
    <w:p>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附件12</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服务承诺函</w:t>
      </w:r>
    </w:p>
    <w:p>
      <w:pPr>
        <w:spacing w:line="240" w:lineRule="exact"/>
        <w:jc w:val="center"/>
        <w:rPr>
          <w:rFonts w:ascii="宋体" w:hAnsi="Calibri" w:eastAsia="宋体" w:cs="Times New Roman"/>
          <w:b/>
          <w:bCs/>
          <w:sz w:val="36"/>
          <w:szCs w:val="20"/>
          <w:highlight w:val="none"/>
        </w:rPr>
      </w:pPr>
    </w:p>
    <w:p>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szCs w:val="24"/>
          <w:highlight w:val="none"/>
          <w:u w:val="single"/>
        </w:rPr>
        <w:t>XXXXXX</w:t>
      </w:r>
      <w:r>
        <w:rPr>
          <w:rFonts w:hint="eastAsia" w:ascii="宋体" w:hAnsi="宋体" w:eastAsia="宋体" w:cs="宋体"/>
          <w:color w:val="000000"/>
          <w:sz w:val="24"/>
          <w:szCs w:val="24"/>
          <w:highlight w:val="none"/>
          <w:u w:val="single"/>
        </w:rPr>
        <w:t>项目</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我代表（投标人名称）对中标合同产品的服务作如下承诺：</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pPr>
        <w:rPr>
          <w:rFonts w:ascii="宋体" w:hAnsi="Calibri" w:eastAsia="宋体" w:cs="宋体"/>
          <w:b/>
          <w:bCs/>
          <w:color w:val="000000"/>
          <w:sz w:val="28"/>
          <w:szCs w:val="20"/>
          <w:highlight w:val="none"/>
        </w:rPr>
      </w:pPr>
    </w:p>
    <w:p>
      <w:pPr>
        <w:pStyle w:val="17"/>
        <w:rPr>
          <w:rFonts w:hAnsi="Calibri" w:eastAsia="宋体" w:cs="宋体"/>
          <w:b/>
          <w:bCs/>
          <w:color w:val="000000"/>
          <w:sz w:val="28"/>
          <w:szCs w:val="20"/>
          <w:highlight w:val="none"/>
        </w:rPr>
      </w:pPr>
    </w:p>
    <w:p>
      <w:pPr>
        <w:rPr>
          <w:rFonts w:ascii="宋体" w:hAnsi="Calibri" w:eastAsia="宋体" w:cs="宋体"/>
          <w:b/>
          <w:bCs/>
          <w:color w:val="000000"/>
          <w:sz w:val="28"/>
          <w:szCs w:val="20"/>
          <w:highlight w:val="none"/>
        </w:rPr>
      </w:pPr>
    </w:p>
    <w:p>
      <w:pPr>
        <w:outlineLvl w:val="2"/>
        <w:rPr>
          <w:rFonts w:ascii="Calibri" w:hAnsi="Calibri" w:eastAsia="宋体" w:cs="Times New Roman"/>
          <w:szCs w:val="20"/>
          <w:highlight w:val="none"/>
        </w:rPr>
      </w:pPr>
      <w:r>
        <w:rPr>
          <w:rFonts w:ascii="Calibri" w:hAnsi="Calibri" w:eastAsia="宋体" w:cs="Times New Roman"/>
          <w:szCs w:val="20"/>
          <w:highlight w:val="none"/>
        </w:rPr>
        <w:br w:type="page"/>
      </w:r>
      <w:r>
        <w:rPr>
          <w:rFonts w:hint="eastAsia" w:ascii="Times New Roman" w:hAnsi="Times New Roman" w:eastAsia="宋体" w:cs="Times New Roman"/>
          <w:b/>
          <w:bCs/>
          <w:color w:val="000000"/>
          <w:sz w:val="24"/>
          <w:szCs w:val="24"/>
          <w:highlight w:val="none"/>
        </w:rPr>
        <w:t>附件13 投标文件封面及封口格式</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highlight w:val="none"/>
              </w:rPr>
            </w:pPr>
          </w:p>
          <w:p>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pPr>
              <w:rPr>
                <w:rFonts w:ascii="Times New Roman" w:hAnsi="Times New Roman" w:eastAsia="等线" w:cs="Times New Roman"/>
                <w:b/>
                <w:sz w:val="30"/>
                <w:szCs w:val="30"/>
                <w:highlight w:val="none"/>
              </w:rPr>
            </w:pPr>
          </w:p>
          <w:p>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r>
              <w:rPr>
                <w:rFonts w:ascii="Times New Roman" w:hAnsi="Times New Roman" w:eastAsia="宋体" w:cs="Times New Roman"/>
                <w:b/>
                <w:sz w:val="30"/>
                <w:szCs w:val="30"/>
                <w:highlight w:val="none"/>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rPr>
              <w:t>0</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pPr>
              <w:jc w:val="center"/>
              <w:rPr>
                <w:rFonts w:ascii="Times New Roman" w:hAnsi="Times New Roman" w:eastAsia="宋体" w:cs="Times New Roman"/>
                <w:b/>
                <w:szCs w:val="20"/>
                <w:highlight w:val="none"/>
              </w:rPr>
            </w:pPr>
          </w:p>
          <w:p>
            <w:pPr>
              <w:jc w:val="center"/>
              <w:rPr>
                <w:rFonts w:ascii="Times New Roman" w:hAnsi="Times New Roman" w:eastAsia="宋体" w:cs="Times New Roman"/>
                <w:b/>
                <w:szCs w:val="20"/>
                <w:highlight w:val="none"/>
              </w:rPr>
            </w:pPr>
          </w:p>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项目名称：</w:t>
            </w:r>
            <w:r>
              <w:rPr>
                <w:rFonts w:hint="eastAsia" w:ascii="宋体" w:hAnsi="宋体" w:eastAsia="宋体" w:cs="宋体"/>
                <w:sz w:val="24"/>
                <w:szCs w:val="24"/>
                <w:highlight w:val="none"/>
                <w:u w:val="single"/>
              </w:rPr>
              <w:t>XXXXXX</w:t>
            </w:r>
            <w:r>
              <w:rPr>
                <w:rFonts w:hint="eastAsia" w:ascii="宋体" w:hAnsi="宋体" w:eastAsia="宋体" w:cs="宋体"/>
                <w:color w:val="000000"/>
                <w:sz w:val="24"/>
                <w:szCs w:val="24"/>
                <w:highlight w:val="none"/>
                <w:u w:val="single"/>
              </w:rPr>
              <w:t>项目</w:t>
            </w:r>
          </w:p>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pPr>
              <w:jc w:val="center"/>
              <w:rPr>
                <w:rFonts w:ascii="Times New Roman" w:hAnsi="Times New Roman" w:eastAsia="宋体" w:cs="Times New Roman"/>
                <w:b/>
                <w:szCs w:val="20"/>
                <w:highlight w:val="none"/>
              </w:rPr>
            </w:pPr>
          </w:p>
          <w:p>
            <w:pPr>
              <w:jc w:val="center"/>
              <w:rPr>
                <w:rFonts w:ascii="Times New Roman" w:hAnsi="Times New Roman" w:eastAsia="宋体" w:cs="Times New Roman"/>
                <w:b/>
                <w:szCs w:val="20"/>
                <w:highlight w:val="none"/>
              </w:rPr>
            </w:pPr>
          </w:p>
        </w:tc>
      </w:tr>
    </w:tbl>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pPr>
        <w:pStyle w:val="17"/>
        <w:rPr>
          <w:highlight w:val="none"/>
        </w:rPr>
      </w:pPr>
    </w:p>
    <w:p>
      <w:pPr>
        <w:jc w:val="right"/>
        <w:rPr>
          <w:rFonts w:asciiTheme="minorEastAsia" w:hAnsiTheme="minorEastAsia" w:cstheme="minorEastAsia"/>
          <w:sz w:val="20"/>
          <w:szCs w:val="20"/>
          <w:highlight w:val="none"/>
        </w:rPr>
      </w:pPr>
    </w:p>
    <w:p>
      <w:pPr>
        <w:jc w:val="right"/>
        <w:rPr>
          <w:rFonts w:asciiTheme="minorEastAsia" w:hAnsiTheme="minorEastAsia" w:cstheme="minorEastAsia"/>
          <w:sz w:val="20"/>
          <w:szCs w:val="20"/>
          <w:highlight w:val="none"/>
        </w:rPr>
      </w:pPr>
    </w:p>
    <w:p>
      <w:pPr>
        <w:rPr>
          <w:highlight w:val="none"/>
        </w:rPr>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pPr>
        <w:rPr>
          <w:rFonts w:ascii="宋体" w:hAnsi="宋体" w:eastAsia="宋体" w:cs="宋体"/>
          <w:b/>
          <w:bCs/>
          <w:color w:val="000000"/>
          <w:sz w:val="24"/>
          <w:szCs w:val="24"/>
          <w:highlight w:val="none"/>
        </w:rPr>
      </w:pPr>
    </w:p>
    <w:p>
      <w:pPr>
        <w:pStyle w:val="17"/>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附件15 SRM非生产供应商注册操作手册</w:t>
      </w:r>
    </w:p>
    <w:p>
      <w:pPr>
        <w:pStyle w:val="17"/>
        <w:rPr>
          <w:rFonts w:eastAsia="宋体"/>
          <w:highlight w:val="none"/>
        </w:rPr>
      </w:pPr>
    </w:p>
    <w:p>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pPr>
        <w:adjustRightInd w:val="0"/>
        <w:snapToGrid w:val="0"/>
        <w:spacing w:line="360" w:lineRule="auto"/>
        <w:jc w:val="left"/>
        <w:rPr>
          <w:rFonts w:ascii="宋体" w:hAnsi="宋体" w:eastAsia="宋体" w:cs="宋体"/>
          <w:sz w:val="24"/>
          <w:szCs w:val="24"/>
          <w:highlight w:val="none"/>
        </w:rPr>
      </w:pPr>
      <w:r>
        <w:rPr>
          <w:highlight w:val="none"/>
        </w:rPr>
        <w:fldChar w:fldCharType="begin"/>
      </w:r>
      <w:r>
        <w:rPr>
          <w:highlight w:val="none"/>
        </w:rPr>
        <w:instrText xml:space="preserve"> HYPERLINK "http://ecaitong.sinotruk.com:8012/#/login"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pPr>
        <w:snapToGrid w:val="0"/>
        <w:spacing w:line="312" w:lineRule="auto"/>
        <w:rPr>
          <w:highlight w:val="none"/>
        </w:rPr>
      </w:pPr>
      <w:r>
        <w:rPr>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4"/>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pPr>
        <w:snapToGrid w:val="0"/>
        <w:spacing w:line="312" w:lineRule="auto"/>
        <w:rPr>
          <w:highlight w:val="none"/>
        </w:rPr>
      </w:pPr>
      <w:r>
        <w:rPr>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5"/>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pPr>
        <w:snapToGrid w:val="0"/>
        <w:spacing w:line="312" w:lineRule="auto"/>
        <w:rPr>
          <w:highlight w:val="none"/>
        </w:rPr>
      </w:pPr>
      <w:r>
        <w:rPr>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6"/>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pPr>
        <w:snapToGrid w:val="0"/>
        <w:spacing w:line="312" w:lineRule="auto"/>
        <w:rPr>
          <w:highlight w:val="none"/>
        </w:rPr>
      </w:pPr>
      <w:r>
        <w:rPr>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7"/>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pPr>
        <w:pStyle w:val="17"/>
        <w:rPr>
          <w:highlight w:val="none"/>
        </w:rPr>
      </w:pPr>
    </w:p>
    <w:p>
      <w:pPr>
        <w:rPr>
          <w:highlight w:val="none"/>
        </w:rPr>
      </w:pPr>
      <w:r>
        <w:rPr>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8"/>
                    <a:stretch>
                      <a:fillRect/>
                    </a:stretch>
                  </pic:blipFill>
                  <pic:spPr>
                    <a:xfrm>
                      <a:off x="0" y="0"/>
                      <a:ext cx="5760085" cy="2810122"/>
                    </a:xfrm>
                    <a:prstGeom prst="rect">
                      <a:avLst/>
                    </a:prstGeom>
                  </pic:spPr>
                </pic:pic>
              </a:graphicData>
            </a:graphic>
          </wp:inline>
        </w:drawing>
      </w:r>
    </w:p>
    <w:p>
      <w:pPr>
        <w:pStyle w:val="17"/>
        <w:rPr>
          <w:highlight w:val="none"/>
        </w:rPr>
      </w:pPr>
      <w:r>
        <w:rPr>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9"/>
                    <a:stretch>
                      <a:fillRect/>
                    </a:stretch>
                  </pic:blipFill>
                  <pic:spPr>
                    <a:xfrm>
                      <a:off x="0" y="0"/>
                      <a:ext cx="5760085" cy="2820042"/>
                    </a:xfrm>
                    <a:prstGeom prst="rect">
                      <a:avLst/>
                    </a:prstGeom>
                  </pic:spPr>
                </pic:pic>
              </a:graphicData>
            </a:graphic>
          </wp:inline>
        </w:drawing>
      </w:r>
    </w:p>
    <w:p>
      <w:pPr>
        <w:pStyle w:val="17"/>
        <w:rPr>
          <w:highlight w:val="none"/>
        </w:rPr>
      </w:pP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pPr>
        <w:pStyle w:val="17"/>
        <w:rPr>
          <w:highlight w:val="none"/>
        </w:rPr>
      </w:pPr>
      <w:r>
        <w:rPr>
          <w:rFonts w:hint="eastAsia" w:hAnsi="宋体" w:eastAsia="宋体" w:cs="宋体"/>
          <w:b/>
          <w:bCs/>
          <w:color w:val="000000"/>
          <w:sz w:val="24"/>
          <w:szCs w:val="28"/>
          <w:highlight w:val="none"/>
        </w:rPr>
        <w:t>2.配套能力“供</w:t>
      </w:r>
      <w:r>
        <w:rPr>
          <w:rFonts w:hint="eastAsia" w:ascii="宋体" w:hAnsi="宋体" w:eastAsia="宋体" w:cs="宋体"/>
          <w:b/>
          <w:bCs/>
          <w:color w:val="000000"/>
          <w:kern w:val="2"/>
          <w:sz w:val="24"/>
          <w:szCs w:val="28"/>
          <w:highlight w:val="none"/>
          <w:lang w:val="en-US" w:eastAsia="zh-CN" w:bidi="ar-SA"/>
        </w:rPr>
        <w:t>货类别”填“工艺设备类”，业务主管部门选择“工艺工匠研究院</w:t>
      </w:r>
      <w:r>
        <w:rPr>
          <w:rFonts w:hint="eastAsia" w:hAnsi="宋体" w:eastAsia="宋体" w:cs="宋体"/>
          <w:b/>
          <w:bCs/>
          <w:color w:val="000000"/>
          <w:sz w:val="24"/>
          <w:szCs w:val="28"/>
          <w:highlight w:val="none"/>
        </w:rPr>
        <w:t>”。</w:t>
      </w:r>
    </w:p>
    <w:p>
      <w:pPr>
        <w:pStyle w:val="17"/>
        <w:rPr>
          <w:highlight w:val="none"/>
        </w:rPr>
        <w:sectPr>
          <w:pgSz w:w="11906" w:h="16838"/>
          <w:pgMar w:top="1588" w:right="1418" w:bottom="1134" w:left="1418" w:header="851" w:footer="992" w:gutter="0"/>
          <w:cols w:space="720" w:num="1"/>
          <w:titlePg/>
          <w:docGrid w:type="lines" w:linePitch="312" w:charSpace="0"/>
        </w:sectPr>
      </w:pPr>
    </w:p>
    <w:p>
      <w:pPr>
        <w:pStyle w:val="17"/>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 xml:space="preserve">附件16 </w:t>
      </w:r>
      <w:r>
        <w:rPr>
          <w:rFonts w:hint="eastAsia" w:hAnsi="宋体" w:eastAsia="宋体" w:cs="Times New Roman"/>
          <w:b/>
          <w:color w:val="000000"/>
          <w:sz w:val="24"/>
          <w:szCs w:val="24"/>
          <w:highlight w:val="none"/>
        </w:rPr>
        <w:t>SRM系统供应商用户手册</w:t>
      </w:r>
    </w:p>
    <w:p>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3"/>
          <w:rFonts w:hint="eastAsia" w:ascii="宋体" w:hAnsi="宋体" w:eastAsia="宋体" w:cs="宋体"/>
          <w:sz w:val="24"/>
          <w:szCs w:val="24"/>
          <w:highlight w:val="none"/>
        </w:rPr>
        <w:t>https://ecaitong.sinotruk.com:8012/</w:t>
      </w:r>
      <w:r>
        <w:rPr>
          <w:rStyle w:val="43"/>
          <w:rFonts w:hint="eastAsia" w:ascii="宋体" w:hAnsi="宋体" w:eastAsia="宋体" w:cs="宋体"/>
          <w:sz w:val="24"/>
          <w:szCs w:val="24"/>
          <w:highlight w:val="none"/>
        </w:rPr>
        <w:fldChar w:fldCharType="end"/>
      </w:r>
    </w:p>
    <w:p>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初始密码：scm@2022</w:t>
      </w:r>
    </w:p>
    <w:p>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pPr>
        <w:rPr>
          <w:highlight w:val="none"/>
        </w:rPr>
      </w:pPr>
      <w:r>
        <w:rPr>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0"/>
                    <a:stretch>
                      <a:fillRect/>
                    </a:stretch>
                  </pic:blipFill>
                  <pic:spPr>
                    <a:xfrm>
                      <a:off x="0" y="0"/>
                      <a:ext cx="5760085" cy="2269864"/>
                    </a:xfrm>
                    <a:prstGeom prst="rect">
                      <a:avLst/>
                    </a:prstGeom>
                  </pic:spPr>
                </pic:pic>
              </a:graphicData>
            </a:graphic>
          </wp:inline>
        </w:drawing>
      </w:r>
    </w:p>
    <w:p>
      <w:pPr>
        <w:rPr>
          <w:highlight w:val="none"/>
        </w:rPr>
      </w:pPr>
    </w:p>
    <w:p>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1"/>
                    <a:stretch>
                      <a:fillRect/>
                    </a:stretch>
                  </pic:blipFill>
                  <pic:spPr>
                    <a:xfrm>
                      <a:off x="0" y="0"/>
                      <a:ext cx="5760085" cy="2125673"/>
                    </a:xfrm>
                    <a:prstGeom prst="rect">
                      <a:avLst/>
                    </a:prstGeom>
                  </pic:spPr>
                </pic:pic>
              </a:graphicData>
            </a:graphic>
          </wp:inline>
        </w:drawing>
      </w:r>
    </w:p>
    <w:p>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pPr>
        <w:pStyle w:val="17"/>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pPr>
        <w:pStyle w:val="6"/>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2"/>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3"/>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4"/>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pPr>
        <w:rPr>
          <w:highlight w:val="none"/>
        </w:r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5"/>
                    <a:stretch>
                      <a:fillRect/>
                    </a:stretch>
                  </pic:blipFill>
                  <pic:spPr>
                    <a:xfrm>
                      <a:off x="0" y="0"/>
                      <a:ext cx="5760085" cy="1956600"/>
                    </a:xfrm>
                    <a:prstGeom prst="rect">
                      <a:avLst/>
                    </a:prstGeom>
                  </pic:spPr>
                </pic:pic>
              </a:graphicData>
            </a:graphic>
          </wp:inline>
        </w:drawing>
      </w:r>
    </w:p>
    <w:p>
      <w:pPr>
        <w:pStyle w:val="17"/>
        <w:rPr>
          <w:rFonts w:hAnsi="宋体" w:eastAsia="宋体" w:cs="Times New Roman"/>
          <w:b/>
          <w:color w:val="000000"/>
          <w:sz w:val="24"/>
          <w:szCs w:val="24"/>
          <w:highlight w:val="none"/>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63</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78</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86</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- 23 -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0"/>
  </w:num>
  <w:num w:numId="3">
    <w:abstractNumId w:val="8"/>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U5NzZlMmNhZTBhOThmNzc4Yzg3NmMyY2U2ZGYwN2I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975E9"/>
    <w:rsid w:val="003A4540"/>
    <w:rsid w:val="003B4D7D"/>
    <w:rsid w:val="003E0AB3"/>
    <w:rsid w:val="00401C42"/>
    <w:rsid w:val="004076DE"/>
    <w:rsid w:val="00460AFB"/>
    <w:rsid w:val="00470130"/>
    <w:rsid w:val="00483B0A"/>
    <w:rsid w:val="004B5126"/>
    <w:rsid w:val="004F7838"/>
    <w:rsid w:val="00503391"/>
    <w:rsid w:val="00542500"/>
    <w:rsid w:val="00552960"/>
    <w:rsid w:val="0056018A"/>
    <w:rsid w:val="00567344"/>
    <w:rsid w:val="005829DC"/>
    <w:rsid w:val="005C0B4E"/>
    <w:rsid w:val="005C421F"/>
    <w:rsid w:val="005F16F0"/>
    <w:rsid w:val="0065185D"/>
    <w:rsid w:val="00651DFE"/>
    <w:rsid w:val="0066613A"/>
    <w:rsid w:val="00680629"/>
    <w:rsid w:val="00686C52"/>
    <w:rsid w:val="006F1414"/>
    <w:rsid w:val="007432BF"/>
    <w:rsid w:val="007525BF"/>
    <w:rsid w:val="007800DC"/>
    <w:rsid w:val="007838AA"/>
    <w:rsid w:val="00783D5E"/>
    <w:rsid w:val="00785FD6"/>
    <w:rsid w:val="007B212D"/>
    <w:rsid w:val="00806A61"/>
    <w:rsid w:val="00824BFD"/>
    <w:rsid w:val="008453B3"/>
    <w:rsid w:val="00881246"/>
    <w:rsid w:val="008B6266"/>
    <w:rsid w:val="008C7683"/>
    <w:rsid w:val="008D3B56"/>
    <w:rsid w:val="008D5CEF"/>
    <w:rsid w:val="00905659"/>
    <w:rsid w:val="009360F9"/>
    <w:rsid w:val="00964F00"/>
    <w:rsid w:val="009B511E"/>
    <w:rsid w:val="009E0F5E"/>
    <w:rsid w:val="00A21EB2"/>
    <w:rsid w:val="00A31561"/>
    <w:rsid w:val="00A54E95"/>
    <w:rsid w:val="00A80564"/>
    <w:rsid w:val="00A960B2"/>
    <w:rsid w:val="00AE6633"/>
    <w:rsid w:val="00B01FF1"/>
    <w:rsid w:val="00B45A1D"/>
    <w:rsid w:val="00B72516"/>
    <w:rsid w:val="00B92C97"/>
    <w:rsid w:val="00B96FC6"/>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05B54"/>
    <w:rsid w:val="02963F39"/>
    <w:rsid w:val="02B3095A"/>
    <w:rsid w:val="02BA7274"/>
    <w:rsid w:val="02D8777A"/>
    <w:rsid w:val="03251978"/>
    <w:rsid w:val="0325718A"/>
    <w:rsid w:val="042921B6"/>
    <w:rsid w:val="043B72BB"/>
    <w:rsid w:val="04461EC1"/>
    <w:rsid w:val="04504B3F"/>
    <w:rsid w:val="04AD02B8"/>
    <w:rsid w:val="04DE51C8"/>
    <w:rsid w:val="04DF17D4"/>
    <w:rsid w:val="05412745"/>
    <w:rsid w:val="05491761"/>
    <w:rsid w:val="05A351AD"/>
    <w:rsid w:val="05F9748A"/>
    <w:rsid w:val="06266F78"/>
    <w:rsid w:val="063E7B7A"/>
    <w:rsid w:val="06582413"/>
    <w:rsid w:val="067E33B8"/>
    <w:rsid w:val="06E82FCB"/>
    <w:rsid w:val="06F34B95"/>
    <w:rsid w:val="07571DAC"/>
    <w:rsid w:val="08DD171B"/>
    <w:rsid w:val="08E64121"/>
    <w:rsid w:val="0942017F"/>
    <w:rsid w:val="09BA1FBB"/>
    <w:rsid w:val="09CB139F"/>
    <w:rsid w:val="0A0106F5"/>
    <w:rsid w:val="0A112AB7"/>
    <w:rsid w:val="0A4E5482"/>
    <w:rsid w:val="0AAA504A"/>
    <w:rsid w:val="0AD71BC7"/>
    <w:rsid w:val="0AF420EB"/>
    <w:rsid w:val="0B2B2BF5"/>
    <w:rsid w:val="0B2F3908"/>
    <w:rsid w:val="0B3F6206"/>
    <w:rsid w:val="0BE12DB6"/>
    <w:rsid w:val="0BFC6504"/>
    <w:rsid w:val="0C345AD1"/>
    <w:rsid w:val="0C626CE4"/>
    <w:rsid w:val="0D0C2B7B"/>
    <w:rsid w:val="0D9308F8"/>
    <w:rsid w:val="0DE76C3D"/>
    <w:rsid w:val="0DEE31C7"/>
    <w:rsid w:val="0E1A1D85"/>
    <w:rsid w:val="0E750568"/>
    <w:rsid w:val="0E9C3C97"/>
    <w:rsid w:val="0E9E36B9"/>
    <w:rsid w:val="0F2D7A80"/>
    <w:rsid w:val="0F4277E5"/>
    <w:rsid w:val="0F866637"/>
    <w:rsid w:val="0FA75561"/>
    <w:rsid w:val="0FB83603"/>
    <w:rsid w:val="0FCA77F1"/>
    <w:rsid w:val="0FCD5DCC"/>
    <w:rsid w:val="0FDF0165"/>
    <w:rsid w:val="10043197"/>
    <w:rsid w:val="10270545"/>
    <w:rsid w:val="103409DF"/>
    <w:rsid w:val="10882AF2"/>
    <w:rsid w:val="108A1D4B"/>
    <w:rsid w:val="10A10111"/>
    <w:rsid w:val="10BE093E"/>
    <w:rsid w:val="10E20BD8"/>
    <w:rsid w:val="10F53509"/>
    <w:rsid w:val="111B0FE9"/>
    <w:rsid w:val="112C77F4"/>
    <w:rsid w:val="114755AB"/>
    <w:rsid w:val="115F67A8"/>
    <w:rsid w:val="119A7465"/>
    <w:rsid w:val="11C07DA5"/>
    <w:rsid w:val="11C2491E"/>
    <w:rsid w:val="11F36B75"/>
    <w:rsid w:val="12491386"/>
    <w:rsid w:val="12E60579"/>
    <w:rsid w:val="12EB0F02"/>
    <w:rsid w:val="13695B36"/>
    <w:rsid w:val="1372609F"/>
    <w:rsid w:val="13D73572"/>
    <w:rsid w:val="140834EA"/>
    <w:rsid w:val="144A2884"/>
    <w:rsid w:val="14504752"/>
    <w:rsid w:val="145A6A37"/>
    <w:rsid w:val="1467440F"/>
    <w:rsid w:val="15400323"/>
    <w:rsid w:val="15433A9B"/>
    <w:rsid w:val="155F6875"/>
    <w:rsid w:val="15D71769"/>
    <w:rsid w:val="15FC2F04"/>
    <w:rsid w:val="16181FAC"/>
    <w:rsid w:val="168756A0"/>
    <w:rsid w:val="16F94849"/>
    <w:rsid w:val="17045E51"/>
    <w:rsid w:val="172011D4"/>
    <w:rsid w:val="17252C3B"/>
    <w:rsid w:val="173F0A2E"/>
    <w:rsid w:val="17770BC2"/>
    <w:rsid w:val="17860E2F"/>
    <w:rsid w:val="17A119AA"/>
    <w:rsid w:val="18586F2B"/>
    <w:rsid w:val="19A766B9"/>
    <w:rsid w:val="19B23DA4"/>
    <w:rsid w:val="19CE76BA"/>
    <w:rsid w:val="19F26070"/>
    <w:rsid w:val="19F97C8B"/>
    <w:rsid w:val="1A1523CE"/>
    <w:rsid w:val="1A7C1E75"/>
    <w:rsid w:val="1A84172C"/>
    <w:rsid w:val="1AA730BD"/>
    <w:rsid w:val="1B333D5D"/>
    <w:rsid w:val="1B587618"/>
    <w:rsid w:val="1B5F19C7"/>
    <w:rsid w:val="1C1C709B"/>
    <w:rsid w:val="1C4F6795"/>
    <w:rsid w:val="1C9F6814"/>
    <w:rsid w:val="1D5C514E"/>
    <w:rsid w:val="1D865D14"/>
    <w:rsid w:val="1D8705EC"/>
    <w:rsid w:val="1D9A77D1"/>
    <w:rsid w:val="1DEC0E7D"/>
    <w:rsid w:val="1E43150B"/>
    <w:rsid w:val="1EA93E80"/>
    <w:rsid w:val="1EAE1021"/>
    <w:rsid w:val="1ED33FB6"/>
    <w:rsid w:val="1EE81332"/>
    <w:rsid w:val="1F32415A"/>
    <w:rsid w:val="1F542F9A"/>
    <w:rsid w:val="1F702632"/>
    <w:rsid w:val="1F7E2174"/>
    <w:rsid w:val="20107567"/>
    <w:rsid w:val="20AB56C6"/>
    <w:rsid w:val="21422A5E"/>
    <w:rsid w:val="21547789"/>
    <w:rsid w:val="2176507C"/>
    <w:rsid w:val="21BE35AF"/>
    <w:rsid w:val="21C11174"/>
    <w:rsid w:val="21CE020F"/>
    <w:rsid w:val="22244B28"/>
    <w:rsid w:val="22467FD4"/>
    <w:rsid w:val="229451FD"/>
    <w:rsid w:val="22A12DB6"/>
    <w:rsid w:val="23612AC2"/>
    <w:rsid w:val="236356D1"/>
    <w:rsid w:val="23A91C83"/>
    <w:rsid w:val="23C962E8"/>
    <w:rsid w:val="247E4FED"/>
    <w:rsid w:val="24AD78E0"/>
    <w:rsid w:val="24B30BE8"/>
    <w:rsid w:val="24E34060"/>
    <w:rsid w:val="253A0491"/>
    <w:rsid w:val="254E0478"/>
    <w:rsid w:val="258A2395"/>
    <w:rsid w:val="25E036B2"/>
    <w:rsid w:val="25E1733F"/>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C32A87"/>
    <w:rsid w:val="29CF26DC"/>
    <w:rsid w:val="2A1C5DA0"/>
    <w:rsid w:val="2A200D39"/>
    <w:rsid w:val="2A507EFF"/>
    <w:rsid w:val="2AA361B1"/>
    <w:rsid w:val="2ADC05A4"/>
    <w:rsid w:val="2AEF2177"/>
    <w:rsid w:val="2B6F0D7F"/>
    <w:rsid w:val="2B8716BD"/>
    <w:rsid w:val="2B8B76FF"/>
    <w:rsid w:val="2BD5034F"/>
    <w:rsid w:val="2D025012"/>
    <w:rsid w:val="2D4178F0"/>
    <w:rsid w:val="2DAE631A"/>
    <w:rsid w:val="2DD877E0"/>
    <w:rsid w:val="2DE616C9"/>
    <w:rsid w:val="2DFC2451"/>
    <w:rsid w:val="2E3422F8"/>
    <w:rsid w:val="2E6E566D"/>
    <w:rsid w:val="2E7F188E"/>
    <w:rsid w:val="2EBC0905"/>
    <w:rsid w:val="2EC73739"/>
    <w:rsid w:val="2EFB1B0E"/>
    <w:rsid w:val="2F5C684F"/>
    <w:rsid w:val="2F5D4670"/>
    <w:rsid w:val="2F63756E"/>
    <w:rsid w:val="30534B6F"/>
    <w:rsid w:val="307776D1"/>
    <w:rsid w:val="30862574"/>
    <w:rsid w:val="30B631E1"/>
    <w:rsid w:val="311933AA"/>
    <w:rsid w:val="317D15BB"/>
    <w:rsid w:val="31D07E6C"/>
    <w:rsid w:val="323F65DA"/>
    <w:rsid w:val="32412074"/>
    <w:rsid w:val="32DE0199"/>
    <w:rsid w:val="333C2963"/>
    <w:rsid w:val="3340487D"/>
    <w:rsid w:val="335B2774"/>
    <w:rsid w:val="33A4642E"/>
    <w:rsid w:val="33D4039C"/>
    <w:rsid w:val="33D47E05"/>
    <w:rsid w:val="3413677D"/>
    <w:rsid w:val="342B544B"/>
    <w:rsid w:val="345E036E"/>
    <w:rsid w:val="34C47852"/>
    <w:rsid w:val="34DE1E4F"/>
    <w:rsid w:val="34F07DB1"/>
    <w:rsid w:val="359009FB"/>
    <w:rsid w:val="35D354B8"/>
    <w:rsid w:val="35D4025C"/>
    <w:rsid w:val="362666BC"/>
    <w:rsid w:val="368A6B11"/>
    <w:rsid w:val="37011503"/>
    <w:rsid w:val="37085B1F"/>
    <w:rsid w:val="372E04CB"/>
    <w:rsid w:val="38E070F2"/>
    <w:rsid w:val="390D33AB"/>
    <w:rsid w:val="391E6D06"/>
    <w:rsid w:val="39A52716"/>
    <w:rsid w:val="3A074847"/>
    <w:rsid w:val="3A281EF8"/>
    <w:rsid w:val="3A830B2E"/>
    <w:rsid w:val="3AA90FE6"/>
    <w:rsid w:val="3AA9318F"/>
    <w:rsid w:val="3AB62DA0"/>
    <w:rsid w:val="3B69577B"/>
    <w:rsid w:val="3B702D85"/>
    <w:rsid w:val="3B7D3FD5"/>
    <w:rsid w:val="3B823DDF"/>
    <w:rsid w:val="3BD827B4"/>
    <w:rsid w:val="3C237ED3"/>
    <w:rsid w:val="3C4D2D59"/>
    <w:rsid w:val="3CAA596A"/>
    <w:rsid w:val="3CAF1D22"/>
    <w:rsid w:val="3CB1587B"/>
    <w:rsid w:val="3CB735F2"/>
    <w:rsid w:val="3D186684"/>
    <w:rsid w:val="3D363C36"/>
    <w:rsid w:val="3D8B2178"/>
    <w:rsid w:val="3DB34909"/>
    <w:rsid w:val="3DD115F5"/>
    <w:rsid w:val="3DE435F0"/>
    <w:rsid w:val="3DE5122C"/>
    <w:rsid w:val="3DF37E53"/>
    <w:rsid w:val="3E4C04A1"/>
    <w:rsid w:val="3ED26DE9"/>
    <w:rsid w:val="3EED17D0"/>
    <w:rsid w:val="3F0C0304"/>
    <w:rsid w:val="3F774839"/>
    <w:rsid w:val="3FEC147E"/>
    <w:rsid w:val="40376375"/>
    <w:rsid w:val="412732B7"/>
    <w:rsid w:val="4127791F"/>
    <w:rsid w:val="41281794"/>
    <w:rsid w:val="413C1FDF"/>
    <w:rsid w:val="41806A69"/>
    <w:rsid w:val="41B0259C"/>
    <w:rsid w:val="41BC6F1C"/>
    <w:rsid w:val="41EF2363"/>
    <w:rsid w:val="41F77860"/>
    <w:rsid w:val="424A4B98"/>
    <w:rsid w:val="42581D3A"/>
    <w:rsid w:val="4280514F"/>
    <w:rsid w:val="42ED2EA4"/>
    <w:rsid w:val="42F6649D"/>
    <w:rsid w:val="42FE0080"/>
    <w:rsid w:val="43315D2E"/>
    <w:rsid w:val="43670C99"/>
    <w:rsid w:val="43824A1C"/>
    <w:rsid w:val="43D110E1"/>
    <w:rsid w:val="43E873C9"/>
    <w:rsid w:val="44905B1F"/>
    <w:rsid w:val="44C83C4D"/>
    <w:rsid w:val="45316885"/>
    <w:rsid w:val="45A95EE9"/>
    <w:rsid w:val="45FB0F21"/>
    <w:rsid w:val="46167166"/>
    <w:rsid w:val="4636719A"/>
    <w:rsid w:val="47200EE3"/>
    <w:rsid w:val="47435AC2"/>
    <w:rsid w:val="47544B78"/>
    <w:rsid w:val="47587AF7"/>
    <w:rsid w:val="47745A86"/>
    <w:rsid w:val="47E239AC"/>
    <w:rsid w:val="480F4B73"/>
    <w:rsid w:val="48665202"/>
    <w:rsid w:val="487974BD"/>
    <w:rsid w:val="48C80D70"/>
    <w:rsid w:val="48DB38E3"/>
    <w:rsid w:val="49001B5E"/>
    <w:rsid w:val="49376DB0"/>
    <w:rsid w:val="49804BB7"/>
    <w:rsid w:val="49826DCB"/>
    <w:rsid w:val="499013E7"/>
    <w:rsid w:val="49C8088A"/>
    <w:rsid w:val="4A0F6D68"/>
    <w:rsid w:val="4A301C93"/>
    <w:rsid w:val="4A3302AB"/>
    <w:rsid w:val="4A572A17"/>
    <w:rsid w:val="4A6F2535"/>
    <w:rsid w:val="4AC85D49"/>
    <w:rsid w:val="4AE308A9"/>
    <w:rsid w:val="4AE73E1F"/>
    <w:rsid w:val="4B260F2D"/>
    <w:rsid w:val="4B8956FC"/>
    <w:rsid w:val="4B9A1456"/>
    <w:rsid w:val="4BA32C82"/>
    <w:rsid w:val="4BE70627"/>
    <w:rsid w:val="4C0A5AE1"/>
    <w:rsid w:val="4C130AB8"/>
    <w:rsid w:val="4C5A284D"/>
    <w:rsid w:val="4C5C0673"/>
    <w:rsid w:val="4CA408D4"/>
    <w:rsid w:val="4CB96B43"/>
    <w:rsid w:val="4CC75FCC"/>
    <w:rsid w:val="4CC87A5E"/>
    <w:rsid w:val="4CD63947"/>
    <w:rsid w:val="4CFC49F4"/>
    <w:rsid w:val="4D073D73"/>
    <w:rsid w:val="4D1E27BA"/>
    <w:rsid w:val="4D23574A"/>
    <w:rsid w:val="4D4C4DB0"/>
    <w:rsid w:val="4D7322D5"/>
    <w:rsid w:val="4DD7034C"/>
    <w:rsid w:val="4DE312CB"/>
    <w:rsid w:val="4DF5318E"/>
    <w:rsid w:val="4E1F4862"/>
    <w:rsid w:val="4E2E4393"/>
    <w:rsid w:val="4E535EF2"/>
    <w:rsid w:val="4F08773C"/>
    <w:rsid w:val="4F31409F"/>
    <w:rsid w:val="4F5E670E"/>
    <w:rsid w:val="4F846A83"/>
    <w:rsid w:val="50070E2C"/>
    <w:rsid w:val="501112F3"/>
    <w:rsid w:val="504B57F2"/>
    <w:rsid w:val="50850D04"/>
    <w:rsid w:val="50B83EA6"/>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47483C"/>
    <w:rsid w:val="54942CAE"/>
    <w:rsid w:val="54A61722"/>
    <w:rsid w:val="54B31FAF"/>
    <w:rsid w:val="55326D63"/>
    <w:rsid w:val="555D1A10"/>
    <w:rsid w:val="55C300FC"/>
    <w:rsid w:val="567A5875"/>
    <w:rsid w:val="56AC4A78"/>
    <w:rsid w:val="56C22F6D"/>
    <w:rsid w:val="56DB16B9"/>
    <w:rsid w:val="56F35470"/>
    <w:rsid w:val="577A3463"/>
    <w:rsid w:val="57F967AD"/>
    <w:rsid w:val="58052975"/>
    <w:rsid w:val="584D1A65"/>
    <w:rsid w:val="584F5C44"/>
    <w:rsid w:val="58E525CA"/>
    <w:rsid w:val="58EE7372"/>
    <w:rsid w:val="593D045A"/>
    <w:rsid w:val="594604F5"/>
    <w:rsid w:val="5960739E"/>
    <w:rsid w:val="59896D0A"/>
    <w:rsid w:val="59B72684"/>
    <w:rsid w:val="5A9579AE"/>
    <w:rsid w:val="5AC468CD"/>
    <w:rsid w:val="5B137C6D"/>
    <w:rsid w:val="5B342B9A"/>
    <w:rsid w:val="5B5953B0"/>
    <w:rsid w:val="5B630802"/>
    <w:rsid w:val="5B807F68"/>
    <w:rsid w:val="5BA72CE5"/>
    <w:rsid w:val="5C02145B"/>
    <w:rsid w:val="5C034D53"/>
    <w:rsid w:val="5C0A43A9"/>
    <w:rsid w:val="5D722852"/>
    <w:rsid w:val="5DD92334"/>
    <w:rsid w:val="5DF34005"/>
    <w:rsid w:val="5E1D6F56"/>
    <w:rsid w:val="5E52187F"/>
    <w:rsid w:val="5E5E4AD5"/>
    <w:rsid w:val="5E6A13CD"/>
    <w:rsid w:val="5E705D15"/>
    <w:rsid w:val="5E93326C"/>
    <w:rsid w:val="5E9F1A7A"/>
    <w:rsid w:val="5EAF3818"/>
    <w:rsid w:val="5EFB4BA4"/>
    <w:rsid w:val="5F025452"/>
    <w:rsid w:val="5F5F46B5"/>
    <w:rsid w:val="5FB25360"/>
    <w:rsid w:val="5FBA3CC0"/>
    <w:rsid w:val="5FD90D61"/>
    <w:rsid w:val="60177697"/>
    <w:rsid w:val="602329DB"/>
    <w:rsid w:val="60611852"/>
    <w:rsid w:val="607777D6"/>
    <w:rsid w:val="60BC76A1"/>
    <w:rsid w:val="610B7637"/>
    <w:rsid w:val="612279BA"/>
    <w:rsid w:val="615F5624"/>
    <w:rsid w:val="61D215CF"/>
    <w:rsid w:val="625C563D"/>
    <w:rsid w:val="626A1704"/>
    <w:rsid w:val="627921C2"/>
    <w:rsid w:val="62B362C8"/>
    <w:rsid w:val="62B55171"/>
    <w:rsid w:val="62C1330E"/>
    <w:rsid w:val="6342085E"/>
    <w:rsid w:val="636F415C"/>
    <w:rsid w:val="64917820"/>
    <w:rsid w:val="64AA1CC5"/>
    <w:rsid w:val="6528341F"/>
    <w:rsid w:val="656B2909"/>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D30B32"/>
    <w:rsid w:val="68011379"/>
    <w:rsid w:val="68252C37"/>
    <w:rsid w:val="68330BEE"/>
    <w:rsid w:val="68817BAC"/>
    <w:rsid w:val="689A5E59"/>
    <w:rsid w:val="68A94E70"/>
    <w:rsid w:val="68EE72DF"/>
    <w:rsid w:val="690B4C92"/>
    <w:rsid w:val="69485FEA"/>
    <w:rsid w:val="69677DC0"/>
    <w:rsid w:val="69937EC7"/>
    <w:rsid w:val="69D64558"/>
    <w:rsid w:val="69E86491"/>
    <w:rsid w:val="6A014645"/>
    <w:rsid w:val="6A042548"/>
    <w:rsid w:val="6A471EFD"/>
    <w:rsid w:val="6AB57116"/>
    <w:rsid w:val="6B17424A"/>
    <w:rsid w:val="6B2218FA"/>
    <w:rsid w:val="6B686C59"/>
    <w:rsid w:val="6B691672"/>
    <w:rsid w:val="6BE97F42"/>
    <w:rsid w:val="6BF27179"/>
    <w:rsid w:val="6C5E6A51"/>
    <w:rsid w:val="6C6513C3"/>
    <w:rsid w:val="6C744268"/>
    <w:rsid w:val="6C913746"/>
    <w:rsid w:val="6CD62D03"/>
    <w:rsid w:val="6CD97FB6"/>
    <w:rsid w:val="6D0E5050"/>
    <w:rsid w:val="6D4B22B8"/>
    <w:rsid w:val="6D930013"/>
    <w:rsid w:val="6DBB3A8B"/>
    <w:rsid w:val="6E1A1656"/>
    <w:rsid w:val="6E231DD6"/>
    <w:rsid w:val="6E5A5288"/>
    <w:rsid w:val="6E5B533D"/>
    <w:rsid w:val="6EE013EE"/>
    <w:rsid w:val="6EE079F1"/>
    <w:rsid w:val="6EE42C42"/>
    <w:rsid w:val="6F2179F2"/>
    <w:rsid w:val="6F7F7CB0"/>
    <w:rsid w:val="6F9D5D71"/>
    <w:rsid w:val="6FE0165C"/>
    <w:rsid w:val="6FE10C44"/>
    <w:rsid w:val="70222744"/>
    <w:rsid w:val="703B01E6"/>
    <w:rsid w:val="706D25DF"/>
    <w:rsid w:val="706D2B21"/>
    <w:rsid w:val="707B1384"/>
    <w:rsid w:val="70857A34"/>
    <w:rsid w:val="70985D3C"/>
    <w:rsid w:val="71047C73"/>
    <w:rsid w:val="7109004F"/>
    <w:rsid w:val="71103167"/>
    <w:rsid w:val="712E56F7"/>
    <w:rsid w:val="71691ABB"/>
    <w:rsid w:val="71AE1AEA"/>
    <w:rsid w:val="71CF3B6C"/>
    <w:rsid w:val="71D826C1"/>
    <w:rsid w:val="71F80F33"/>
    <w:rsid w:val="722922C6"/>
    <w:rsid w:val="727176A7"/>
    <w:rsid w:val="72CB03A1"/>
    <w:rsid w:val="732D4B5D"/>
    <w:rsid w:val="732F0B90"/>
    <w:rsid w:val="73393C88"/>
    <w:rsid w:val="7362513F"/>
    <w:rsid w:val="73771D49"/>
    <w:rsid w:val="73A1354E"/>
    <w:rsid w:val="74A11E7D"/>
    <w:rsid w:val="753736CA"/>
    <w:rsid w:val="75590B0A"/>
    <w:rsid w:val="7582279F"/>
    <w:rsid w:val="75843EB5"/>
    <w:rsid w:val="75BB71AF"/>
    <w:rsid w:val="75F01962"/>
    <w:rsid w:val="760E19DF"/>
    <w:rsid w:val="764E52E0"/>
    <w:rsid w:val="76557F3E"/>
    <w:rsid w:val="76676A53"/>
    <w:rsid w:val="76A3294D"/>
    <w:rsid w:val="76B620A1"/>
    <w:rsid w:val="76F20814"/>
    <w:rsid w:val="77462524"/>
    <w:rsid w:val="779A6594"/>
    <w:rsid w:val="77A21064"/>
    <w:rsid w:val="77E34EB2"/>
    <w:rsid w:val="781564B8"/>
    <w:rsid w:val="78224ACF"/>
    <w:rsid w:val="78CD6DCC"/>
    <w:rsid w:val="78D07CAF"/>
    <w:rsid w:val="78DE12D7"/>
    <w:rsid w:val="79210683"/>
    <w:rsid w:val="799C3465"/>
    <w:rsid w:val="79B14EC4"/>
    <w:rsid w:val="7A2A6B4A"/>
    <w:rsid w:val="7A681070"/>
    <w:rsid w:val="7A860C7C"/>
    <w:rsid w:val="7AB879FE"/>
    <w:rsid w:val="7ADB1287"/>
    <w:rsid w:val="7B3264DD"/>
    <w:rsid w:val="7B81188A"/>
    <w:rsid w:val="7B9E2902"/>
    <w:rsid w:val="7BC854E2"/>
    <w:rsid w:val="7C0562EC"/>
    <w:rsid w:val="7C067A45"/>
    <w:rsid w:val="7C27683F"/>
    <w:rsid w:val="7CB14B4D"/>
    <w:rsid w:val="7CF26969"/>
    <w:rsid w:val="7D1F6976"/>
    <w:rsid w:val="7D25523C"/>
    <w:rsid w:val="7DB23041"/>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71"/>
    <w:qFormat/>
    <w:uiPriority w:val="99"/>
    <w:pPr>
      <w:tabs>
        <w:tab w:val="center" w:pos="4153"/>
        <w:tab w:val="right" w:pos="8306"/>
      </w:tabs>
      <w:snapToGrid w:val="0"/>
      <w:jc w:val="left"/>
    </w:pPr>
    <w:rPr>
      <w:sz w:val="18"/>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0"/>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1"/>
    <w:qFormat/>
    <w:uiPriority w:val="0"/>
    <w:pPr>
      <w:ind w:left="100" w:leftChars="2500"/>
    </w:pPr>
    <w:rPr>
      <w:sz w:val="24"/>
    </w:rPr>
  </w:style>
  <w:style w:type="paragraph" w:styleId="20">
    <w:name w:val="Body Text Indent 2"/>
    <w:basedOn w:val="1"/>
    <w:link w:val="49"/>
    <w:qFormat/>
    <w:uiPriority w:val="0"/>
    <w:pPr>
      <w:spacing w:after="120" w:line="480" w:lineRule="auto"/>
      <w:ind w:left="420" w:leftChars="200"/>
    </w:pPr>
  </w:style>
  <w:style w:type="paragraph" w:styleId="21">
    <w:name w:val="Balloon Text"/>
    <w:basedOn w:val="1"/>
    <w:link w:val="65"/>
    <w:qFormat/>
    <w:uiPriority w:val="0"/>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20"/>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9"/>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1"/>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7"/>
    <w:qFormat/>
    <w:locked/>
    <w:uiPriority w:val="0"/>
    <w:rPr>
      <w:rFonts w:ascii="宋体" w:hAnsi="Courier New"/>
    </w:rPr>
  </w:style>
  <w:style w:type="character" w:customStyle="1" w:styleId="71">
    <w:name w:val="页脚 字符"/>
    <w:link w:val="2"/>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7"/>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3.png"/><Relationship Id="rId54" Type="http://schemas.openxmlformats.org/officeDocument/2006/relationships/image" Target="media/image12.png"/><Relationship Id="rId53" Type="http://schemas.openxmlformats.org/officeDocument/2006/relationships/image" Target="media/image11.png"/><Relationship Id="rId52" Type="http://schemas.openxmlformats.org/officeDocument/2006/relationships/image" Target="media/image10.png"/><Relationship Id="rId51" Type="http://schemas.openxmlformats.org/officeDocument/2006/relationships/image" Target="media/image9.png"/><Relationship Id="rId50" Type="http://schemas.openxmlformats.org/officeDocument/2006/relationships/image" Target="media/image8.png"/><Relationship Id="rId5" Type="http://schemas.openxmlformats.org/officeDocument/2006/relationships/footer" Target="footer1.xml"/><Relationship Id="rId49" Type="http://schemas.openxmlformats.org/officeDocument/2006/relationships/image" Target="media/image7.pn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image" Target="media/image1.png"/><Relationship Id="rId42" Type="http://schemas.openxmlformats.org/officeDocument/2006/relationships/theme" Target="theme/theme1.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header" Target="header2.xml"/><Relationship Id="rId39" Type="http://schemas.openxmlformats.org/officeDocument/2006/relationships/header" Target="header10.xml"/><Relationship Id="rId38" Type="http://schemas.openxmlformats.org/officeDocument/2006/relationships/header" Target="header9.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03C0D9-F2D7-4AFF-A186-9199990313AB}">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85</Pages>
  <Words>2443</Words>
  <Characters>2648</Characters>
  <Lines>357</Lines>
  <Paragraphs>100</Paragraphs>
  <TotalTime>65</TotalTime>
  <ScaleCrop>false</ScaleCrop>
  <LinksUpToDate>false</LinksUpToDate>
  <CharactersWithSpaces>2740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李良晨</cp:lastModifiedBy>
  <cp:lastPrinted>2022-07-01T03:19:00Z</cp:lastPrinted>
  <dcterms:modified xsi:type="dcterms:W3CDTF">2025-08-14T05:55:08Z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B83EA5F7A1064848A423E6A7FD1CD62C_13</vt:lpwstr>
  </property>
  <property fmtid="{D5CDD505-2E9C-101B-9397-08002B2CF9AE}" pid="4" name="KSOTemplateDocerSaveRecord">
    <vt:lpwstr>eyJoZGlkIjoiMzI3NWM2ODQ1YTZlMDFkMDI1MWI0ZjUxMDg5YzNhZmEiLCJ1c2VySWQiOiI3MDE4ODExMTYifQ==</vt:lpwstr>
  </property>
</Properties>
</file>