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全国路试、三高试验、济南试验车用燃油采购（加油卡形式）招标项目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7</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rPr>
        <w:t>全国路试、三高试验、济南试验车用燃油采购（加油卡形式）项目</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采购形式编号：CGZX2025070162</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1、招标内容：全国路试、三高试验、济南试验车用燃油采购（加油卡形式）</w:t>
      </w:r>
      <w:r>
        <w:rPr>
          <w:rFonts w:hint="eastAsia" w:hAnsi="宋体" w:cs="宋体"/>
          <w:color w:val="000000"/>
          <w:sz w:val="24"/>
          <w:szCs w:val="24"/>
          <w:lang w:val="en-US" w:eastAsia="zh-CN"/>
        </w:rPr>
        <w:t>项目</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1、项目名称：全国路试、三高试验、济南试验车用燃油采购（加油卡形式）。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w:t>
      </w:r>
      <w:r>
        <w:rPr>
          <w:rFonts w:hint="eastAsia" w:hAnsi="宋体" w:cs="宋体"/>
          <w:color w:val="000000"/>
          <w:sz w:val="24"/>
          <w:szCs w:val="24"/>
          <w:lang w:val="en-US" w:eastAsia="zh-CN"/>
        </w:rPr>
        <w:t>全国道路途径加油站</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eastAsia="宋体" w:cs="宋体"/>
          <w:highlight w:val="yellow"/>
          <w:u w:val="single"/>
          <w:lang w:val="en-US" w:eastAsia="zh-CN"/>
        </w:rPr>
        <w:t>电汇</w:t>
      </w:r>
    </w:p>
    <w:p>
      <w:pPr>
        <w:pStyle w:val="78"/>
        <w:spacing w:line="360" w:lineRule="auto"/>
        <w:ind w:firstLine="480" w:firstLineChars="200"/>
        <w:rPr>
          <w:sz w:val="24"/>
          <w:szCs w:val="24"/>
        </w:rPr>
      </w:pPr>
      <w:r>
        <w:rPr>
          <w:rFonts w:hint="eastAsia"/>
        </w:rPr>
        <w:t>中标人与中国重汽集团济南动力有限公司签订合同</w:t>
      </w:r>
      <w:r>
        <w:rPr>
          <w:rFonts w:hint="eastAsia"/>
          <w:lang w:eastAsia="zh-CN"/>
        </w:rPr>
        <w:t>，</w:t>
      </w:r>
      <w:r>
        <w:rPr>
          <w:rFonts w:hint="eastAsia"/>
          <w:lang w:val="en-US" w:eastAsia="zh-CN"/>
        </w:rPr>
        <w:t>办理加油卡。由招标方指定管理使用人员按照</w:t>
      </w:r>
      <w:r>
        <w:rPr>
          <w:rFonts w:hint="eastAsia"/>
        </w:rPr>
        <w:t>中国重汽集团济南动力有限公司财务制度</w:t>
      </w:r>
      <w:r>
        <w:rPr>
          <w:rFonts w:hint="eastAsia"/>
          <w:lang w:val="en-US" w:eastAsia="zh-CN"/>
        </w:rPr>
        <w:t>进行预算上报请款，并通过公对公转账将申请款项打到中标方公司账户，圈存到办理加油卡上，进行使用。加油卡余额使用完后，中标方提供相应的加油明细，经招标方确认无误后，中标方开具金额为实际消费金额100%的增值税专用发票。</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rPr>
              <w:t>全国路试、三高试验、济南试验车用燃油采购（加油卡形式）项目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default" w:ascii="宋体" w:hAnsi="宋体" w:eastAsia="宋体" w:cs="宋体"/>
                <w:b w:val="0"/>
                <w:lang w:val="en-US" w:eastAsia="zh-CN"/>
              </w:rPr>
            </w:pPr>
            <w:r>
              <w:rPr>
                <w:rFonts w:hint="eastAsia" w:ascii="宋体" w:hAnsi="宋体" w:eastAsia="宋体" w:cs="宋体"/>
                <w:b w:val="0"/>
                <w:lang w:val="en-US" w:eastAsia="zh-CN"/>
              </w:rPr>
              <w:t>银行电汇方式进行</w:t>
            </w:r>
            <w:r>
              <w:rPr>
                <w:rFonts w:hint="eastAsia" w:ascii="宋体" w:hAnsi="宋体" w:eastAsia="宋体" w:cs="宋体"/>
                <w:b/>
                <w:bCs/>
                <w:color w:val="C00000"/>
                <w:lang w:val="en-US" w:eastAsia="zh-CN"/>
              </w:rPr>
              <w:t>费用预付款充值</w:t>
            </w:r>
            <w:r>
              <w:rPr>
                <w:rFonts w:hint="eastAsia" w:ascii="宋体" w:hAnsi="宋体" w:eastAsia="宋体" w:cs="宋体"/>
                <w:b w:val="0"/>
                <w:lang w:val="en-US" w:eastAsia="zh-CN"/>
              </w:rPr>
              <w:t>到加油卡中，根据实际消费情况开票结算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lang w:val="en-US" w:eastAsia="zh-CN"/>
        </w:rPr>
        <w:t>500</w:t>
      </w:r>
      <w:r>
        <w:rPr>
          <w:rFonts w:hint="eastAsia" w:ascii="宋体" w:hAnsi="宋体" w:eastAsia="宋体" w:cs="宋体"/>
          <w:i/>
          <w:color w:val="000000"/>
          <w:sz w:val="24"/>
          <w:szCs w:val="24"/>
          <w:highlight w:val="yellow"/>
        </w:rPr>
        <w:t>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highlight w:val="none"/>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highlight w:val="none"/>
        </w:rPr>
        <w:t>各种标号</w:t>
      </w:r>
      <w:r>
        <w:rPr>
          <w:rFonts w:hint="eastAsia" w:eastAsia="宋体" w:cs="宋体"/>
          <w:b/>
          <w:highlight w:val="none"/>
          <w:lang w:val="en-US" w:eastAsia="zh-CN"/>
        </w:rPr>
        <w:t>汽油和柴油</w:t>
      </w:r>
      <w:r>
        <w:rPr>
          <w:rFonts w:hint="eastAsia" w:ascii="宋体" w:hAnsi="宋体" w:eastAsia="宋体" w:cs="宋体"/>
          <w:b/>
          <w:highlight w:val="none"/>
        </w:rPr>
        <w:t>比</w:t>
      </w:r>
      <w:r>
        <w:rPr>
          <w:rFonts w:hint="eastAsia" w:ascii="宋体" w:hAnsi="宋体" w:eastAsia="宋体" w:cs="宋体"/>
          <w:b/>
          <w:highlight w:val="none"/>
          <w:lang w:val="en-US" w:eastAsia="zh-CN"/>
        </w:rPr>
        <w:t>其</w:t>
      </w:r>
      <w:r>
        <w:rPr>
          <w:rFonts w:hint="eastAsia" w:ascii="宋体" w:hAnsi="宋体" w:eastAsia="宋体" w:cs="宋体"/>
          <w:b/>
          <w:highlight w:val="none"/>
        </w:rPr>
        <w:t>同期</w:t>
      </w:r>
      <w:r>
        <w:rPr>
          <w:rFonts w:hint="eastAsia" w:ascii="宋体" w:hAnsi="宋体" w:eastAsia="宋体" w:cs="宋体"/>
          <w:b/>
          <w:highlight w:val="none"/>
          <w:lang w:val="en-US" w:eastAsia="zh-CN"/>
        </w:rPr>
        <w:t>对外挂牌</w:t>
      </w:r>
      <w:r>
        <w:rPr>
          <w:rFonts w:hint="eastAsia" w:ascii="宋体" w:hAnsi="宋体" w:eastAsia="宋体" w:cs="宋体"/>
          <w:b/>
          <w:highlight w:val="none"/>
        </w:rPr>
        <w:t>市场价优惠</w:t>
      </w:r>
      <w:r>
        <w:rPr>
          <w:rFonts w:hint="eastAsia" w:ascii="宋体" w:hAnsi="宋体" w:eastAsia="宋体" w:cs="宋体"/>
          <w:b/>
          <w:highlight w:val="none"/>
          <w:u w:val="single"/>
        </w:rPr>
        <w:t>（人民币）元</w:t>
      </w:r>
      <w:r>
        <w:rPr>
          <w:rFonts w:hint="eastAsia" w:eastAsia="宋体" w:cs="宋体"/>
          <w:b/>
          <w:highlight w:val="none"/>
          <w:u w:val="single"/>
          <w:lang w:val="en-US" w:eastAsia="zh-CN"/>
        </w:rPr>
        <w:t>/L</w:t>
      </w:r>
      <w:r>
        <w:rPr>
          <w:rFonts w:hint="eastAsia" w:ascii="宋体" w:hAnsi="宋体" w:eastAsia="宋体" w:cs="宋体"/>
          <w:b/>
          <w:highlight w:val="none"/>
        </w:rPr>
        <w:t>（请务必报含税价和不含税价并写明税率）</w:t>
      </w:r>
      <w:r>
        <w:rPr>
          <w:rFonts w:hint="eastAsia" w:eastAsia="宋体" w:cs="宋体"/>
          <w:b/>
          <w:highlight w:val="none"/>
          <w:lang w:eastAsia="zh-CN"/>
        </w:rPr>
        <w:t>，</w:t>
      </w:r>
      <w:r>
        <w:rPr>
          <w:rFonts w:hint="eastAsia" w:eastAsia="宋体" w:cs="宋体"/>
          <w:b/>
          <w:highlight w:val="none"/>
          <w:lang w:val="en-US" w:eastAsia="zh-CN"/>
        </w:rPr>
        <w:t>并提供2025年7月20日各标号燃油对外挂牌价格</w:t>
      </w:r>
      <w:r>
        <w:rPr>
          <w:rFonts w:hint="eastAsia" w:ascii="宋体" w:hAnsi="宋体" w:eastAsia="宋体" w:cs="宋体"/>
          <w:b/>
          <w:highlight w:val="none"/>
        </w:rPr>
        <w:t>。</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提供2万元（或其他等值货币）的投标保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企业信用证明材料（征信报告）；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企业最近半年的完税证明；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360" w:lineRule="auto"/>
        <w:ind w:firstLine="480" w:firstLineChars="200"/>
        <w:rPr>
          <w:rFonts w:hint="eastAsia" w:ascii="宋体" w:hAnsi="宋体" w:eastAsia="宋体" w:cs="宋体"/>
          <w:color w:val="000000"/>
          <w:sz w:val="24"/>
          <w:szCs w:val="24"/>
        </w:rPr>
      </w:pPr>
      <w:r>
        <w:rPr>
          <w:rFonts w:hint="default" w:ascii="宋体" w:hAnsi="宋体" w:cs="宋体"/>
          <w:color w:val="000000"/>
          <w:sz w:val="24"/>
          <w:szCs w:val="24"/>
        </w:rPr>
        <w:t>13）</w:t>
      </w:r>
      <w:r>
        <w:rPr>
          <w:rFonts w:hint="eastAsia" w:ascii="宋体" w:hAnsi="宋体" w:eastAsia="宋体" w:cs="宋体"/>
          <w:color w:val="000000"/>
          <w:sz w:val="24"/>
          <w:szCs w:val="24"/>
        </w:rPr>
        <w:t>企业对外担保说明（写明贵单位对外有无对外担保和质押业务，需加盖公章）</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w:t>
      </w:r>
    </w:p>
    <w:p>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color w:val="auto"/>
          <w:highlight w:val="green"/>
          <w:woUserID w:val="1"/>
        </w:rPr>
      </w:pPr>
      <w:r>
        <w:rPr>
          <w:rFonts w:hint="eastAsia" w:ascii="宋体" w:hAnsi="宋体" w:eastAsia="宋体" w:cs="宋体"/>
        </w:rPr>
        <w:t>1、发标时间：</w:t>
      </w:r>
      <w:r>
        <w:rPr>
          <w:rFonts w:hint="eastAsia" w:ascii="宋体" w:hAnsi="宋体" w:eastAsia="宋体" w:cs="宋体"/>
          <w:b w:val="0"/>
          <w:color w:val="auto"/>
          <w:highlight w:val="green"/>
          <w:woUserID w:val="1"/>
        </w:rPr>
        <w:t>202</w:t>
      </w:r>
      <w:r>
        <w:rPr>
          <w:rFonts w:hint="default" w:ascii="宋体" w:hAnsi="宋体" w:eastAsia="宋体" w:cs="宋体"/>
          <w:b w:val="0"/>
          <w:color w:val="auto"/>
          <w:highlight w:val="green"/>
          <w:woUserID w:val="1"/>
        </w:rPr>
        <w:t>5</w:t>
      </w:r>
      <w:r>
        <w:rPr>
          <w:rFonts w:hint="eastAsia" w:ascii="宋体" w:hAnsi="宋体" w:eastAsia="宋体" w:cs="宋体"/>
          <w:b w:val="0"/>
          <w:color w:val="auto"/>
          <w:highlight w:val="green"/>
          <w:woUserID w:val="1"/>
        </w:rPr>
        <w:t>年</w:t>
      </w:r>
      <w:r>
        <w:rPr>
          <w:rFonts w:hint="default" w:ascii="宋体" w:hAnsi="宋体" w:eastAsia="宋体" w:cs="宋体"/>
          <w:b w:val="0"/>
          <w:color w:val="auto"/>
          <w:highlight w:val="green"/>
          <w:woUserID w:val="1"/>
        </w:rPr>
        <w:t>8</w:t>
      </w:r>
      <w:r>
        <w:rPr>
          <w:rFonts w:hint="eastAsia" w:ascii="宋体" w:hAnsi="宋体" w:eastAsia="宋体" w:cs="宋体"/>
          <w:b w:val="0"/>
          <w:color w:val="auto"/>
          <w:highlight w:val="green"/>
          <w:woUserID w:val="1"/>
        </w:rPr>
        <w:t>月</w:t>
      </w:r>
      <w:r>
        <w:rPr>
          <w:rFonts w:hint="default" w:ascii="宋体" w:hAnsi="宋体" w:eastAsia="宋体" w:cs="宋体"/>
          <w:b w:val="0"/>
          <w:color w:val="auto"/>
          <w:highlight w:val="green"/>
          <w:woUserID w:val="1"/>
        </w:rPr>
        <w:t>13</w:t>
      </w:r>
      <w:r>
        <w:rPr>
          <w:rFonts w:hint="eastAsia" w:ascii="宋体" w:hAnsi="宋体" w:eastAsia="宋体" w:cs="宋体"/>
          <w:b w:val="0"/>
          <w:color w:val="auto"/>
          <w:highlight w:val="green"/>
          <w:woUserID w:val="1"/>
        </w:rPr>
        <w:t>日（周</w:t>
      </w:r>
      <w:r>
        <w:rPr>
          <w:rFonts w:hint="default" w:ascii="宋体" w:hAnsi="宋体" w:eastAsia="宋体" w:cs="宋体"/>
          <w:b w:val="0"/>
          <w:color w:val="auto"/>
          <w:highlight w:val="green"/>
          <w:woUserID w:val="1"/>
        </w:rPr>
        <w:t>三</w:t>
      </w:r>
      <w:r>
        <w:rPr>
          <w:rFonts w:hint="eastAsia" w:ascii="宋体" w:hAnsi="宋体" w:eastAsia="宋体" w:cs="宋体"/>
          <w:b w:val="0"/>
          <w:color w:val="auto"/>
          <w:highlight w:val="green"/>
          <w:woUserID w:val="1"/>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highlight w:val="green"/>
        </w:rPr>
      </w:pPr>
      <w:r>
        <w:rPr>
          <w:rFonts w:hint="eastAsia" w:ascii="宋体" w:hAnsi="宋体" w:eastAsia="宋体" w:cs="宋体"/>
          <w:b/>
          <w:bCs/>
        </w:rPr>
        <w:t>3、踏勘现场时间：</w:t>
      </w:r>
      <w:r>
        <w:rPr>
          <w:rFonts w:hint="eastAsia" w:ascii="宋体" w:hAnsi="宋体" w:eastAsia="宋体" w:cs="宋体"/>
          <w:bCs/>
          <w:highlight w:val="green"/>
        </w:rPr>
        <w:t>截止</w:t>
      </w:r>
      <w:r>
        <w:rPr>
          <w:rFonts w:hint="eastAsia" w:ascii="宋体" w:hAnsi="宋体" w:eastAsia="宋体" w:cs="宋体"/>
          <w:woUserID w:val="1"/>
        </w:rPr>
        <w:t>2025年8月18日（周一）</w:t>
      </w:r>
      <w:r>
        <w:rPr>
          <w:rFonts w:hint="eastAsia" w:ascii="宋体" w:hAnsi="宋体" w:eastAsia="宋体" w:cs="宋体"/>
          <w:bCs/>
          <w:highlight w:val="green"/>
        </w:rPr>
        <w:t>下午</w:t>
      </w:r>
      <w:r>
        <w:rPr>
          <w:rFonts w:hint="eastAsia" w:ascii="宋体" w:hAnsi="宋体" w:eastAsia="宋体" w:cs="宋体"/>
          <w:highlight w:val="green"/>
        </w:rPr>
        <w:t>17点</w:t>
      </w:r>
      <w:r>
        <w:rPr>
          <w:rFonts w:hint="eastAsia" w:ascii="宋体" w:hAnsi="宋体" w:eastAsia="宋体" w:cs="宋体"/>
          <w:bCs/>
          <w:highlight w:val="green"/>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highlight w:val="green"/>
        </w:rPr>
      </w:pPr>
      <w:r>
        <w:rPr>
          <w:rFonts w:hint="eastAsia" w:ascii="宋体" w:hAnsi="宋体" w:eastAsia="宋体" w:cs="宋体"/>
        </w:rPr>
        <w:t>答疑时间：</w:t>
      </w:r>
      <w:r>
        <w:rPr>
          <w:rFonts w:hint="eastAsia" w:ascii="宋体" w:hAnsi="宋体" w:eastAsia="宋体" w:cs="宋体"/>
          <w:highlight w:val="green"/>
        </w:rPr>
        <w:t>截止至</w:t>
      </w:r>
      <w:r>
        <w:rPr>
          <w:rFonts w:hint="eastAsia" w:ascii="宋体" w:hAnsi="宋体" w:eastAsia="宋体" w:cs="宋体"/>
          <w:woUserID w:val="1"/>
        </w:rPr>
        <w:t>2025年8月18日（周一）</w:t>
      </w:r>
      <w:r>
        <w:rPr>
          <w:rFonts w:hint="eastAsia" w:ascii="宋体" w:hAnsi="宋体" w:eastAsia="宋体" w:cs="宋体"/>
          <w:highlight w:val="green"/>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val="en-US" w:eastAsia="zh-CN"/>
        </w:rPr>
        <w:t>庞博</w:t>
      </w:r>
    </w:p>
    <w:p>
      <w:pPr>
        <w:pStyle w:val="78"/>
        <w:ind w:firstLine="480"/>
        <w:rPr>
          <w:rFonts w:hint="default" w:ascii="宋体" w:hAnsi="宋体" w:eastAsia="宋体" w:cs="宋体"/>
          <w:lang w:val="en-US" w:eastAsia="zh-CN"/>
        </w:rPr>
      </w:pPr>
      <w:r>
        <w:rPr>
          <w:rFonts w:hint="eastAsia" w:ascii="宋体" w:hAnsi="宋体" w:eastAsia="宋体" w:cs="宋体"/>
        </w:rPr>
        <w:t>电    话：0531-5806</w:t>
      </w:r>
      <w:r>
        <w:rPr>
          <w:rFonts w:hint="eastAsia" w:eastAsia="宋体" w:cs="宋体"/>
          <w:lang w:val="en-US" w:eastAsia="zh-CN"/>
        </w:rPr>
        <w:t>6211</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pangbo</w:t>
      </w:r>
      <w:r>
        <w:rPr>
          <w:rFonts w:hint="eastAsia" w:ascii="宋体" w:hAnsi="宋体" w:eastAsia="宋体" w:cs="宋体"/>
        </w:rPr>
        <w:t xml:space="preserve">@sinotruk.com </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ind w:firstLine="480"/>
        <w:rPr>
          <w:rFonts w:hint="eastAsia" w:ascii="宋体" w:hAnsi="宋体" w:eastAsia="宋体" w:cs="宋体"/>
        </w:rPr>
      </w:pPr>
      <w:r>
        <w:rPr>
          <w:rFonts w:hint="eastAsia" w:ascii="宋体" w:hAnsi="宋体" w:eastAsia="宋体" w:cs="宋体"/>
        </w:rPr>
        <w:t>6、投标报名及注意事项</w:t>
      </w:r>
    </w:p>
    <w:p>
      <w:pPr>
        <w:pStyle w:val="8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ind w:firstLine="480"/>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bookmarkStart w:id="26" w:name="_GoBack"/>
      <w:r>
        <w:rPr>
          <w:rFonts w:hint="eastAsia" w:ascii="宋体" w:hAnsi="宋体" w:eastAsia="宋体" w:cs="宋体"/>
          <w:color w:val="000000"/>
          <w:sz w:val="24"/>
          <w:szCs w:val="24"/>
          <w:highlight w:val="cyan"/>
        </w:rPr>
        <w:t>202</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woUserID w:val="1"/>
        </w:rPr>
        <w:t>8</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1</w:t>
      </w:r>
      <w:r>
        <w:rPr>
          <w:rFonts w:hint="default" w:hAnsi="宋体" w:cs="宋体"/>
          <w:color w:val="000000"/>
          <w:sz w:val="24"/>
          <w:szCs w:val="24"/>
          <w:highlight w:val="cyan"/>
          <w:woUserID w:val="1"/>
        </w:rPr>
        <w:t>9</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二</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上</w:t>
      </w:r>
      <w:r>
        <w:rPr>
          <w:rFonts w:hint="eastAsia" w:ascii="宋体" w:hAnsi="宋体" w:eastAsia="宋体" w:cs="宋体"/>
          <w:color w:val="000000"/>
          <w:sz w:val="24"/>
          <w:szCs w:val="24"/>
          <w:highlight w:val="cyan"/>
        </w:rPr>
        <w:t>午</w:t>
      </w:r>
      <w:r>
        <w:rPr>
          <w:rFonts w:hint="default" w:hAnsi="宋体" w:cs="宋体"/>
          <w:color w:val="000000"/>
          <w:sz w:val="24"/>
          <w:szCs w:val="24"/>
          <w:highlight w:val="cyan"/>
          <w:woUserID w:val="1"/>
        </w:rPr>
        <w:t>9</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00</w:t>
      </w:r>
      <w:bookmarkEnd w:id="26"/>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rPr>
        <w:t>技术标入围后，原则上合理最低价中标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资质标评审：资质标审核通过的单位，进入</w:t>
      </w:r>
      <w:r>
        <w:rPr>
          <w:rFonts w:hint="default" w:ascii="宋体" w:hAnsi="宋体" w:cs="宋体"/>
          <w:b/>
          <w:sz w:val="24"/>
          <w:szCs w:val="24"/>
        </w:rPr>
        <w:t>唱标环节；</w:t>
      </w:r>
    </w:p>
    <w:p>
      <w:pPr>
        <w:numPr>
          <w:ilvl w:val="0"/>
          <w:numId w:val="5"/>
        </w:numPr>
        <w:spacing w:line="420" w:lineRule="exact"/>
        <w:rPr>
          <w:rFonts w:hint="eastAsia"/>
        </w:rPr>
      </w:pPr>
      <w:r>
        <w:rPr>
          <w:rFonts w:hint="default" w:ascii="宋体" w:hAnsi="宋体" w:cs="宋体"/>
          <w:b/>
          <w:sz w:val="24"/>
          <w:szCs w:val="24"/>
        </w:rPr>
        <w:t>唱标：</w:t>
      </w:r>
      <w:r>
        <w:rPr>
          <w:rFonts w:hint="eastAsia" w:ascii="宋体" w:hAnsi="宋体" w:eastAsia="宋体" w:cs="宋体"/>
          <w:b/>
          <w:sz w:val="24"/>
          <w:szCs w:val="24"/>
        </w:rPr>
        <w:t>公开唱标→商务条款相应确认；</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pPr>
        <w:numPr>
          <w:ilvl w:val="255"/>
          <w:numId w:val="0"/>
        </w:numPr>
        <w:spacing w:line="420" w:lineRule="exact"/>
        <w:ind w:firstLine="480" w:firstLineChars="200"/>
        <w:rPr>
          <w:rFonts w:hint="eastAsia" w:ascii="宋体" w:hAnsi="宋体" w:eastAsia="宋体" w:cs="宋体"/>
          <w:b/>
          <w:sz w:val="24"/>
          <w:szCs w:val="24"/>
          <w:highlight w:val="yellow"/>
        </w:rPr>
      </w:pP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商务标评审：价格澄清→商务标评审；评审期间产生的商务价格澄清均由投标人在重汽e采通平台内限时完成提交；</w:t>
      </w:r>
    </w:p>
    <w:p>
      <w:pPr>
        <w:pStyle w:val="2"/>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中标人确定：技术入围后，原则上合理最低价中标。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78"/>
        <w:ind w:firstLine="480"/>
        <w:rPr>
          <w:rFonts w:hint="eastAsia" w:ascii="宋体" w:hAnsi="宋体" w:eastAsia="宋体" w:cs="宋体"/>
        </w:rPr>
      </w:pPr>
      <w:r>
        <w:rPr>
          <w:rFonts w:hint="eastAsia" w:ascii="宋体" w:hAnsi="宋体" w:eastAsia="宋体" w:cs="宋体"/>
        </w:rPr>
        <w:t>2、中标</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综合评价得分最高的投标单位不符合成交条件，则本次评标作废。</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25811"/>
      <w:bookmarkStart w:id="7" w:name="_Toc212369550"/>
      <w:bookmarkStart w:id="8" w:name="_Toc639004"/>
      <w:bookmarkStart w:id="9" w:name="_Toc353881012"/>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4409"/>
        <w:gridCol w:w="247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403" w:type="pct"/>
            <w:vAlign w:val="center"/>
          </w:tcPr>
          <w:p>
            <w:pPr>
              <w:pStyle w:val="82"/>
              <w:rPr>
                <w:rFonts w:hint="eastAsia" w:ascii="宋体" w:hAnsi="宋体" w:eastAsia="宋体" w:cs="宋体"/>
              </w:rPr>
            </w:pPr>
            <w:r>
              <w:rPr>
                <w:rFonts w:hint="eastAsia" w:ascii="宋体" w:hAnsi="宋体" w:eastAsia="宋体" w:cs="宋体"/>
              </w:rPr>
              <w:t>序号</w:t>
            </w:r>
          </w:p>
        </w:tc>
        <w:tc>
          <w:tcPr>
            <w:tcW w:w="2375"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03" w:type="pct"/>
          </w:tcPr>
          <w:p>
            <w:pPr>
              <w:pStyle w:val="82"/>
              <w:spacing w:line="480" w:lineRule="auto"/>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2375" w:type="pct"/>
          </w:tcPr>
          <w:p>
            <w:pPr>
              <w:spacing w:line="240" w:lineRule="auto"/>
              <w:ind w:firstLine="420" w:firstLineChars="200"/>
              <w:jc w:val="left"/>
              <w:rPr>
                <w:rFonts w:hint="eastAsia" w:ascii="宋体" w:hAnsi="宋体" w:eastAsia="宋体" w:cs="宋体"/>
                <w:sz w:val="24"/>
              </w:rPr>
            </w:pPr>
            <w:r>
              <w:rPr>
                <w:rFonts w:hint="eastAsia" w:ascii="宋体" w:hAnsi="宋体" w:eastAsia="宋体" w:cs="宋体"/>
                <w:color w:val="000000"/>
                <w:sz w:val="21"/>
                <w:szCs w:val="21"/>
                <w:lang w:val="it-IT"/>
              </w:rPr>
              <w:t>所供柴油必须满足GB 19147-2016技术要求，</w:t>
            </w:r>
            <w:r>
              <w:rPr>
                <w:rFonts w:hint="eastAsia" w:ascii="宋体" w:hAnsi="宋体" w:eastAsia="宋体" w:cs="宋体"/>
                <w:color w:val="000000"/>
                <w:sz w:val="21"/>
                <w:szCs w:val="21"/>
                <w:lang w:val="en-US" w:eastAsia="zh-CN"/>
              </w:rPr>
              <w:t>所供汽油必须满足GB 17930-2016技术要求，</w:t>
            </w:r>
            <w:r>
              <w:rPr>
                <w:rFonts w:hint="eastAsia" w:ascii="宋体" w:hAnsi="宋体" w:eastAsia="宋体" w:cs="宋体"/>
                <w:color w:val="000000"/>
                <w:sz w:val="21"/>
                <w:szCs w:val="21"/>
                <w:lang w:val="it-IT"/>
              </w:rPr>
              <w:t>并</w:t>
            </w:r>
            <w:r>
              <w:rPr>
                <w:rFonts w:hint="eastAsia" w:ascii="宋体" w:hAnsi="宋体" w:eastAsia="宋体" w:cs="宋体"/>
                <w:color w:val="000000"/>
                <w:sz w:val="21"/>
                <w:szCs w:val="21"/>
                <w:lang w:val="en-US" w:eastAsia="zh-CN"/>
              </w:rPr>
              <w:t>可</w:t>
            </w:r>
            <w:r>
              <w:rPr>
                <w:rFonts w:hint="eastAsia" w:ascii="宋体" w:hAnsi="宋体" w:eastAsia="宋体" w:cs="宋体"/>
                <w:color w:val="000000"/>
                <w:sz w:val="21"/>
                <w:szCs w:val="21"/>
                <w:lang w:val="it-IT"/>
              </w:rPr>
              <w:t>定期提供油品相关证明材料。买方可随时对卖方所供油品进行抽样检测，</w:t>
            </w:r>
            <w:r>
              <w:rPr>
                <w:rFonts w:hint="eastAsia" w:ascii="宋体" w:hAnsi="宋体" w:eastAsia="宋体" w:cs="宋体"/>
                <w:color w:val="000000"/>
                <w:sz w:val="21"/>
                <w:szCs w:val="21"/>
                <w:lang w:val="en-US" w:eastAsia="zh-CN"/>
              </w:rPr>
              <w:t>经质量检测部门</w:t>
            </w:r>
            <w:r>
              <w:rPr>
                <w:rFonts w:hint="eastAsia" w:ascii="宋体" w:hAnsi="宋体" w:eastAsia="宋体" w:cs="宋体"/>
                <w:color w:val="000000"/>
                <w:sz w:val="21"/>
                <w:szCs w:val="21"/>
                <w:lang w:val="it-IT"/>
              </w:rPr>
              <w:t>检测不合格，</w:t>
            </w:r>
            <w:r>
              <w:rPr>
                <w:rFonts w:hint="eastAsia" w:ascii="宋体" w:hAnsi="宋体" w:eastAsia="宋体" w:cs="宋体"/>
                <w:color w:val="000000"/>
                <w:sz w:val="21"/>
                <w:szCs w:val="21"/>
                <w:lang w:val="en-US" w:eastAsia="zh-CN"/>
              </w:rPr>
              <w:t>供方需</w:t>
            </w:r>
            <w:r>
              <w:rPr>
                <w:rFonts w:hint="eastAsia" w:ascii="宋体" w:hAnsi="宋体" w:eastAsia="宋体" w:cs="宋体"/>
                <w:color w:val="000000"/>
                <w:sz w:val="21"/>
                <w:szCs w:val="21"/>
                <w:lang w:val="it-IT"/>
              </w:rPr>
              <w:t>赔偿由油品质量问题对买方试验车辆造成的</w:t>
            </w:r>
            <w:r>
              <w:rPr>
                <w:rFonts w:hint="eastAsia" w:ascii="宋体" w:hAnsi="宋体" w:eastAsia="宋体" w:cs="宋体"/>
                <w:color w:val="000000"/>
                <w:sz w:val="21"/>
                <w:szCs w:val="21"/>
                <w:lang w:val="en-US" w:eastAsia="zh-CN"/>
              </w:rPr>
              <w:t>一切</w:t>
            </w:r>
            <w:r>
              <w:rPr>
                <w:rFonts w:hint="eastAsia" w:ascii="宋体" w:hAnsi="宋体" w:eastAsia="宋体" w:cs="宋体"/>
                <w:color w:val="000000"/>
                <w:sz w:val="21"/>
                <w:szCs w:val="21"/>
                <w:lang w:val="it-IT"/>
              </w:rPr>
              <w:t>损失；第二次检测不合格，</w:t>
            </w:r>
            <w:r>
              <w:rPr>
                <w:rFonts w:hint="eastAsia" w:ascii="宋体" w:hAnsi="宋体" w:eastAsia="宋体" w:cs="宋体"/>
                <w:color w:val="000000"/>
                <w:sz w:val="21"/>
                <w:szCs w:val="21"/>
                <w:lang w:val="en-US" w:eastAsia="zh-CN"/>
              </w:rPr>
              <w:t>则</w:t>
            </w:r>
            <w:r>
              <w:rPr>
                <w:rFonts w:hint="eastAsia" w:ascii="宋体" w:hAnsi="宋体" w:eastAsia="宋体" w:cs="宋体"/>
                <w:color w:val="000000"/>
                <w:sz w:val="21"/>
                <w:szCs w:val="21"/>
                <w:lang w:val="it-IT"/>
              </w:rPr>
              <w:t>暂停</w:t>
            </w:r>
            <w:r>
              <w:rPr>
                <w:rFonts w:hint="eastAsia" w:ascii="宋体" w:hAnsi="宋体" w:eastAsia="宋体" w:cs="宋体"/>
                <w:color w:val="000000"/>
                <w:sz w:val="21"/>
                <w:szCs w:val="21"/>
                <w:lang w:val="en-US" w:eastAsia="zh-CN"/>
              </w:rPr>
              <w:t>燃油</w:t>
            </w:r>
            <w:r>
              <w:rPr>
                <w:rFonts w:hint="eastAsia" w:ascii="宋体" w:hAnsi="宋体" w:eastAsia="宋体" w:cs="宋体"/>
                <w:color w:val="000000"/>
                <w:sz w:val="21"/>
                <w:szCs w:val="21"/>
                <w:lang w:val="it-IT"/>
              </w:rPr>
              <w:t>供应</w:t>
            </w:r>
            <w:r>
              <w:rPr>
                <w:rFonts w:hint="eastAsia" w:ascii="宋体" w:hAnsi="宋体" w:eastAsia="宋体" w:cs="宋体"/>
                <w:color w:val="000000"/>
                <w:sz w:val="21"/>
                <w:szCs w:val="21"/>
                <w:lang w:val="en-US" w:eastAsia="zh-CN"/>
              </w:rPr>
              <w:t>并赔偿相应损失</w:t>
            </w:r>
            <w:r>
              <w:rPr>
                <w:rFonts w:hint="eastAsia" w:ascii="宋体" w:hAnsi="宋体" w:eastAsia="宋体" w:cs="宋体"/>
                <w:color w:val="000000"/>
                <w:sz w:val="21"/>
                <w:szCs w:val="21"/>
                <w:lang w:val="it-IT"/>
              </w:rPr>
              <w:t>。</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403" w:type="pct"/>
          </w:tcPr>
          <w:p>
            <w:pPr>
              <w:pStyle w:val="82"/>
              <w:spacing w:line="480" w:lineRule="auto"/>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2375" w:type="pct"/>
          </w:tcPr>
          <w:p>
            <w:pPr>
              <w:pStyle w:val="82"/>
              <w:ind w:firstLine="420" w:firstLineChars="200"/>
              <w:jc w:val="both"/>
              <w:rPr>
                <w:rFonts w:hint="eastAsia" w:ascii="宋体" w:hAnsi="宋体" w:eastAsia="宋体" w:cs="宋体"/>
                <w:sz w:val="24"/>
              </w:rPr>
            </w:pPr>
            <w:r>
              <w:rPr>
                <w:rFonts w:hint="eastAsia" w:ascii="宋体" w:hAnsi="宋体" w:eastAsia="宋体" w:cs="宋体"/>
                <w:b w:val="0"/>
                <w:color w:val="000000"/>
                <w:kern w:val="2"/>
                <w:sz w:val="21"/>
                <w:szCs w:val="21"/>
                <w:lang w:val="it-IT" w:eastAsia="zh-CN" w:bidi="ar-SA"/>
              </w:rPr>
              <w:t>以方便</w:t>
            </w:r>
            <w:r>
              <w:rPr>
                <w:rFonts w:hint="eastAsia" w:ascii="宋体" w:hAnsi="宋体" w:eastAsia="宋体" w:cs="宋体"/>
                <w:b w:val="0"/>
                <w:color w:val="000000"/>
                <w:kern w:val="2"/>
                <w:sz w:val="21"/>
                <w:szCs w:val="21"/>
                <w:lang w:val="en-US" w:eastAsia="zh-CN" w:bidi="ar-SA"/>
              </w:rPr>
              <w:t>招标方试验车在全国范围内</w:t>
            </w:r>
            <w:r>
              <w:rPr>
                <w:rFonts w:hint="eastAsia" w:ascii="宋体" w:hAnsi="宋体" w:eastAsia="宋体" w:cs="宋体"/>
                <w:b w:val="0"/>
                <w:color w:val="000000"/>
                <w:kern w:val="2"/>
                <w:sz w:val="21"/>
                <w:szCs w:val="21"/>
                <w:lang w:val="it-IT" w:eastAsia="zh-CN" w:bidi="ar-SA"/>
              </w:rPr>
              <w:t>加油为前提，通过试验车辆自行到</w:t>
            </w:r>
            <w:r>
              <w:rPr>
                <w:rFonts w:hint="eastAsia" w:ascii="宋体" w:hAnsi="宋体" w:eastAsia="宋体" w:cs="宋体"/>
                <w:b w:val="0"/>
                <w:color w:val="000000"/>
                <w:kern w:val="2"/>
                <w:sz w:val="21"/>
                <w:szCs w:val="21"/>
                <w:lang w:val="en-US" w:eastAsia="zh-CN" w:bidi="ar-SA"/>
              </w:rPr>
              <w:t>途径</w:t>
            </w:r>
            <w:r>
              <w:rPr>
                <w:rFonts w:hint="eastAsia" w:ascii="宋体" w:hAnsi="宋体" w:eastAsia="宋体" w:cs="宋体"/>
                <w:b w:val="0"/>
                <w:color w:val="000000"/>
                <w:kern w:val="2"/>
                <w:sz w:val="21"/>
                <w:szCs w:val="21"/>
                <w:lang w:val="it-IT" w:eastAsia="zh-CN" w:bidi="ar-SA"/>
              </w:rPr>
              <w:t>加油站加油的方式进行供油，</w:t>
            </w:r>
            <w:r>
              <w:rPr>
                <w:rFonts w:hint="eastAsia" w:ascii="宋体" w:hAnsi="宋体" w:eastAsia="宋体" w:cs="宋体"/>
                <w:b w:val="0"/>
                <w:color w:val="000000"/>
                <w:kern w:val="2"/>
                <w:sz w:val="21"/>
                <w:szCs w:val="21"/>
                <w:lang w:val="en-US" w:eastAsia="zh-CN" w:bidi="ar-SA"/>
              </w:rPr>
              <w:t>要求投标方在全国各省市均具备服务站点且可提供加油服务站点总数不少于22000个，投标时提供全国各省市服务网点数目详细证明</w:t>
            </w:r>
            <w:r>
              <w:rPr>
                <w:rFonts w:hint="eastAsia" w:ascii="宋体" w:hAnsi="宋体" w:eastAsia="宋体" w:cs="宋体"/>
                <w:b w:val="0"/>
                <w:color w:val="000000"/>
                <w:kern w:val="2"/>
                <w:sz w:val="21"/>
                <w:szCs w:val="21"/>
                <w:lang w:val="it-IT" w:eastAsia="zh-CN" w:bidi="ar-SA"/>
              </w:rPr>
              <w:t>。</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03" w:type="pct"/>
          </w:tcPr>
          <w:p>
            <w:pPr>
              <w:pStyle w:val="82"/>
              <w:spacing w:line="480" w:lineRule="auto"/>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2375" w:type="pct"/>
          </w:tcPr>
          <w:p>
            <w:pPr>
              <w:pStyle w:val="82"/>
              <w:ind w:firstLine="420" w:firstLineChars="200"/>
              <w:jc w:val="both"/>
              <w:rPr>
                <w:rFonts w:hint="eastAsia" w:ascii="宋体" w:hAnsi="宋体" w:eastAsia="宋体" w:cs="宋体"/>
                <w:sz w:val="24"/>
              </w:rPr>
            </w:pPr>
            <w:r>
              <w:rPr>
                <w:rFonts w:hint="eastAsia" w:ascii="宋体" w:hAnsi="宋体" w:eastAsia="宋体" w:cs="宋体"/>
                <w:b w:val="0"/>
                <w:color w:val="000000"/>
                <w:kern w:val="2"/>
                <w:sz w:val="21"/>
                <w:szCs w:val="21"/>
                <w:lang w:val="en-US" w:eastAsia="zh-CN" w:bidi="ar-SA"/>
              </w:rPr>
              <w:t>在投标方处办理的加油卡需能在全国范围内加注汽油和柴油使用，在山东济南统一开具发票，主卡可在山东济南进行该套卡的管理、加油钱款分配、加油明细查询导出等，副卡需在全国范围内能实现油款的圈存、圈提等以保障招标方试验车即时的加油需求。</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exact"/>
        </w:trPr>
        <w:tc>
          <w:tcPr>
            <w:tcW w:w="403" w:type="pct"/>
          </w:tcPr>
          <w:p>
            <w:pPr>
              <w:pStyle w:val="82"/>
              <w:spacing w:line="480" w:lineRule="auto"/>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2375" w:type="pct"/>
          </w:tcPr>
          <w:p>
            <w:pPr>
              <w:pStyle w:val="82"/>
              <w:ind w:firstLine="420" w:firstLineChars="200"/>
              <w:jc w:val="both"/>
              <w:rPr>
                <w:rFonts w:hint="eastAsia"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投标方需满足在重点地点范围（详见技术要求）具备加注汽油和柴油的站点，以满足招标方在该地区年度极限环境试验需求</w:t>
            </w:r>
          </w:p>
        </w:tc>
        <w:tc>
          <w:tcPr>
            <w:tcW w:w="1332" w:type="pct"/>
          </w:tcPr>
          <w:p>
            <w:pPr>
              <w:pStyle w:val="82"/>
              <w:ind w:firstLine="420" w:firstLineChars="200"/>
              <w:jc w:val="both"/>
              <w:rPr>
                <w:rFonts w:hint="eastAsia" w:ascii="宋体" w:hAnsi="宋体" w:eastAsia="宋体" w:cs="宋体"/>
                <w:b w:val="0"/>
                <w:color w:val="000000"/>
                <w:kern w:val="2"/>
                <w:sz w:val="21"/>
                <w:szCs w:val="21"/>
                <w:lang w:val="en-US" w:eastAsia="zh-CN" w:bidi="ar-SA"/>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03" w:type="pct"/>
          </w:tcPr>
          <w:p>
            <w:pPr>
              <w:pStyle w:val="82"/>
              <w:spacing w:line="480" w:lineRule="auto"/>
              <w:rPr>
                <w:rFonts w:hint="eastAsia" w:ascii="宋体" w:hAnsi="宋体" w:eastAsia="宋体" w:cs="宋体"/>
                <w:sz w:val="24"/>
                <w:lang w:val="en-US" w:eastAsia="zh-CN"/>
              </w:rPr>
            </w:pPr>
            <w:r>
              <w:rPr>
                <w:rFonts w:hint="eastAsia" w:ascii="宋体" w:hAnsi="宋体" w:eastAsia="宋体" w:cs="宋体"/>
                <w:sz w:val="24"/>
                <w:lang w:val="en-US" w:eastAsia="zh-CN"/>
              </w:rPr>
              <w:t>5</w:t>
            </w:r>
          </w:p>
        </w:tc>
        <w:tc>
          <w:tcPr>
            <w:tcW w:w="2375" w:type="pct"/>
          </w:tcPr>
          <w:p>
            <w:pPr>
              <w:pStyle w:val="82"/>
              <w:ind w:firstLine="420" w:firstLineChars="200"/>
              <w:jc w:val="both"/>
              <w:rPr>
                <w:rFonts w:hint="eastAsia" w:ascii="宋体" w:hAnsi="宋体" w:eastAsia="宋体" w:cs="宋体"/>
                <w:sz w:val="24"/>
              </w:rPr>
            </w:pPr>
            <w:r>
              <w:rPr>
                <w:rFonts w:hint="eastAsia" w:ascii="宋体" w:hAnsi="宋体" w:eastAsia="宋体" w:cs="宋体"/>
                <w:b w:val="0"/>
                <w:color w:val="000000"/>
                <w:kern w:val="2"/>
                <w:sz w:val="21"/>
                <w:szCs w:val="21"/>
                <w:lang w:val="en-US" w:eastAsia="zh-CN" w:bidi="ar-SA"/>
              </w:rPr>
              <w:t>投标方</w:t>
            </w:r>
            <w:r>
              <w:rPr>
                <w:rFonts w:hint="eastAsia" w:ascii="宋体" w:hAnsi="宋体" w:eastAsia="宋体" w:cs="宋体"/>
                <w:b w:val="0"/>
                <w:color w:val="000000"/>
                <w:kern w:val="2"/>
                <w:sz w:val="21"/>
                <w:szCs w:val="21"/>
                <w:lang w:val="it-IT" w:eastAsia="zh-CN" w:bidi="ar-SA"/>
              </w:rPr>
              <w:t>需提供</w:t>
            </w:r>
            <w:r>
              <w:rPr>
                <w:rFonts w:hint="eastAsia" w:ascii="宋体" w:hAnsi="宋体" w:eastAsia="宋体" w:cs="宋体"/>
                <w:b w:val="0"/>
                <w:color w:val="000000"/>
                <w:kern w:val="2"/>
                <w:sz w:val="21"/>
                <w:szCs w:val="21"/>
                <w:lang w:val="en-US" w:eastAsia="zh-CN" w:bidi="ar-SA"/>
              </w:rPr>
              <w:t>其</w:t>
            </w:r>
            <w:r>
              <w:rPr>
                <w:rFonts w:hint="eastAsia" w:ascii="宋体" w:hAnsi="宋体" w:eastAsia="宋体" w:cs="宋体"/>
                <w:b w:val="0"/>
                <w:color w:val="000000"/>
                <w:kern w:val="2"/>
                <w:sz w:val="21"/>
                <w:szCs w:val="21"/>
                <w:lang w:val="it-IT" w:eastAsia="zh-CN" w:bidi="ar-SA"/>
              </w:rPr>
              <w:t>相关加油计量设备供检定合格证明</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403" w:type="pct"/>
          </w:tcPr>
          <w:p>
            <w:pPr>
              <w:pStyle w:val="82"/>
              <w:spacing w:line="480" w:lineRule="auto"/>
              <w:rPr>
                <w:rFonts w:hint="eastAsia" w:ascii="宋体" w:hAnsi="宋体" w:eastAsia="宋体" w:cs="宋体"/>
                <w:sz w:val="24"/>
                <w:lang w:val="en-US" w:eastAsia="zh-CN"/>
              </w:rPr>
            </w:pPr>
            <w:r>
              <w:rPr>
                <w:rFonts w:hint="eastAsia" w:ascii="宋体" w:hAnsi="宋体" w:eastAsia="宋体" w:cs="宋体"/>
                <w:sz w:val="24"/>
                <w:lang w:val="en-US" w:eastAsia="zh-CN"/>
              </w:rPr>
              <w:t>6</w:t>
            </w:r>
          </w:p>
        </w:tc>
        <w:tc>
          <w:tcPr>
            <w:tcW w:w="2375" w:type="pct"/>
          </w:tcPr>
          <w:p>
            <w:pPr>
              <w:pStyle w:val="82"/>
              <w:ind w:firstLine="420" w:firstLineChars="200"/>
              <w:jc w:val="both"/>
              <w:rPr>
                <w:rFonts w:hint="eastAsia" w:ascii="宋体" w:hAnsi="宋体" w:eastAsia="宋体" w:cs="宋体"/>
                <w:sz w:val="24"/>
              </w:rPr>
            </w:pPr>
            <w:r>
              <w:rPr>
                <w:rFonts w:hint="eastAsia" w:ascii="宋体" w:hAnsi="宋体" w:eastAsia="宋体" w:cs="宋体"/>
                <w:b w:val="0"/>
                <w:color w:val="000000"/>
                <w:kern w:val="2"/>
                <w:sz w:val="21"/>
                <w:szCs w:val="21"/>
                <w:lang w:val="en-US" w:eastAsia="zh-CN" w:bidi="ar-SA"/>
              </w:rPr>
              <w:t>投标方需详细介绍其优惠方案，优惠明细查询和核对方式。</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03" w:type="pct"/>
          </w:tcPr>
          <w:p>
            <w:pPr>
              <w:pStyle w:val="82"/>
              <w:spacing w:line="480" w:lineRule="auto"/>
              <w:rPr>
                <w:rFonts w:hint="eastAsia" w:ascii="宋体" w:hAnsi="宋体" w:eastAsia="宋体" w:cs="宋体"/>
                <w:sz w:val="24"/>
                <w:lang w:val="en-US" w:eastAsia="zh-CN"/>
              </w:rPr>
            </w:pPr>
            <w:r>
              <w:rPr>
                <w:rFonts w:hint="eastAsia" w:ascii="宋体" w:hAnsi="宋体" w:eastAsia="宋体" w:cs="宋体"/>
                <w:sz w:val="24"/>
                <w:lang w:val="en-US" w:eastAsia="zh-CN"/>
              </w:rPr>
              <w:t>7</w:t>
            </w:r>
          </w:p>
        </w:tc>
        <w:tc>
          <w:tcPr>
            <w:tcW w:w="2375" w:type="pct"/>
          </w:tcPr>
          <w:p>
            <w:pPr>
              <w:pStyle w:val="82"/>
              <w:ind w:firstLine="420" w:firstLineChars="200"/>
              <w:jc w:val="both"/>
              <w:rPr>
                <w:rFonts w:hint="eastAsia" w:ascii="宋体" w:hAnsi="宋体" w:eastAsia="宋体" w:cs="宋体"/>
                <w:sz w:val="24"/>
              </w:rPr>
            </w:pPr>
            <w:r>
              <w:rPr>
                <w:rFonts w:hint="eastAsia" w:ascii="宋体" w:hAnsi="宋体" w:eastAsia="宋体" w:cs="宋体"/>
                <w:b w:val="0"/>
                <w:color w:val="000000"/>
                <w:kern w:val="2"/>
                <w:sz w:val="21"/>
                <w:szCs w:val="21"/>
                <w:lang w:val="en-US" w:eastAsia="zh-CN" w:bidi="ar-SA"/>
              </w:rPr>
              <w:t>定</w:t>
            </w:r>
            <w:r>
              <w:rPr>
                <w:rFonts w:hint="eastAsia" w:ascii="宋体" w:hAnsi="宋体" w:eastAsia="宋体" w:cs="宋体"/>
                <w:b w:val="0"/>
                <w:color w:val="000000"/>
                <w:kern w:val="2"/>
                <w:sz w:val="21"/>
                <w:szCs w:val="21"/>
                <w:lang w:val="it-IT" w:eastAsia="zh-CN" w:bidi="ar-SA"/>
              </w:rPr>
              <w:t>价方式：</w:t>
            </w:r>
            <w:r>
              <w:rPr>
                <w:rFonts w:hint="eastAsia" w:ascii="宋体" w:hAnsi="宋体" w:eastAsia="宋体" w:cs="宋体"/>
                <w:b w:val="0"/>
                <w:color w:val="000000"/>
                <w:kern w:val="2"/>
                <w:sz w:val="21"/>
                <w:szCs w:val="21"/>
                <w:lang w:val="en-US" w:eastAsia="zh-CN" w:bidi="ar-SA"/>
              </w:rPr>
              <w:t>投标方</w:t>
            </w:r>
            <w:r>
              <w:rPr>
                <w:rFonts w:hint="eastAsia" w:ascii="宋体" w:hAnsi="宋体" w:eastAsia="宋体" w:cs="宋体"/>
                <w:b w:val="0"/>
                <w:color w:val="000000"/>
                <w:kern w:val="2"/>
                <w:sz w:val="21"/>
                <w:szCs w:val="21"/>
                <w:lang w:val="it-IT" w:eastAsia="zh-CN" w:bidi="ar-SA"/>
              </w:rPr>
              <w:t>可以根据国家规定的调价时间进行价格</w:t>
            </w:r>
            <w:r>
              <w:rPr>
                <w:rFonts w:hint="eastAsia" w:ascii="宋体" w:hAnsi="宋体" w:eastAsia="宋体" w:cs="宋体"/>
                <w:b w:val="0"/>
                <w:color w:val="000000"/>
                <w:kern w:val="2"/>
                <w:sz w:val="21"/>
                <w:szCs w:val="21"/>
                <w:lang w:val="en-US" w:eastAsia="zh-CN" w:bidi="ar-SA"/>
              </w:rPr>
              <w:t>浮动</w:t>
            </w:r>
            <w:r>
              <w:rPr>
                <w:rFonts w:hint="eastAsia" w:ascii="宋体" w:hAnsi="宋体" w:eastAsia="宋体" w:cs="宋体"/>
                <w:b w:val="0"/>
                <w:color w:val="000000"/>
                <w:kern w:val="2"/>
                <w:sz w:val="21"/>
                <w:szCs w:val="21"/>
                <w:lang w:val="it-IT" w:eastAsia="zh-CN" w:bidi="ar-SA"/>
              </w:rPr>
              <w:t>调整，但价格不得高于</w:t>
            </w:r>
            <w:r>
              <w:rPr>
                <w:rFonts w:hint="eastAsia" w:ascii="宋体" w:hAnsi="宋体" w:eastAsia="宋体" w:cs="宋体"/>
                <w:b w:val="0"/>
                <w:color w:val="000000"/>
                <w:kern w:val="2"/>
                <w:sz w:val="21"/>
                <w:szCs w:val="21"/>
                <w:lang w:val="en-US" w:eastAsia="zh-CN" w:bidi="ar-SA"/>
              </w:rPr>
              <w:t>面向社会车辆统一</w:t>
            </w:r>
            <w:r>
              <w:rPr>
                <w:rFonts w:hint="eastAsia" w:ascii="宋体" w:hAnsi="宋体" w:eastAsia="宋体" w:cs="宋体"/>
                <w:b w:val="0"/>
                <w:color w:val="000000"/>
                <w:kern w:val="2"/>
                <w:sz w:val="21"/>
                <w:szCs w:val="21"/>
                <w:lang w:val="it-IT" w:eastAsia="zh-CN" w:bidi="ar-SA"/>
              </w:rPr>
              <w:t>市场价格</w:t>
            </w:r>
            <w:r>
              <w:rPr>
                <w:rFonts w:hint="eastAsia" w:ascii="宋体" w:hAnsi="宋体" w:eastAsia="宋体" w:cs="宋体"/>
                <w:b w:val="0"/>
                <w:color w:val="000000"/>
                <w:kern w:val="2"/>
                <w:sz w:val="21"/>
                <w:szCs w:val="21"/>
                <w:lang w:val="en-US" w:eastAsia="zh-CN" w:bidi="ar-SA"/>
              </w:rPr>
              <w:t>且</w:t>
            </w:r>
            <w:r>
              <w:rPr>
                <w:rFonts w:hint="eastAsia" w:ascii="宋体" w:hAnsi="宋体" w:eastAsia="宋体" w:cs="宋体"/>
                <w:b w:val="0"/>
                <w:color w:val="000000"/>
                <w:kern w:val="2"/>
                <w:sz w:val="21"/>
                <w:szCs w:val="21"/>
                <w:lang w:val="it-IT" w:eastAsia="zh-CN" w:bidi="ar-SA"/>
              </w:rPr>
              <w:t>仍按</w:t>
            </w:r>
            <w:r>
              <w:rPr>
                <w:rFonts w:hint="eastAsia" w:ascii="宋体" w:hAnsi="宋体" w:eastAsia="宋体" w:cs="宋体"/>
                <w:b w:val="0"/>
                <w:color w:val="000000"/>
                <w:kern w:val="2"/>
                <w:sz w:val="21"/>
                <w:szCs w:val="21"/>
                <w:lang w:val="en-US" w:eastAsia="zh-CN" w:bidi="ar-SA"/>
              </w:rPr>
              <w:t>承诺招标方的</w:t>
            </w:r>
            <w:r>
              <w:rPr>
                <w:rFonts w:hint="eastAsia" w:ascii="宋体" w:hAnsi="宋体" w:eastAsia="宋体" w:cs="宋体"/>
                <w:b w:val="0"/>
                <w:color w:val="000000"/>
                <w:kern w:val="2"/>
                <w:sz w:val="21"/>
                <w:szCs w:val="21"/>
                <w:lang w:val="it-IT" w:eastAsia="zh-CN" w:bidi="ar-SA"/>
              </w:rPr>
              <w:t>执行优惠。</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403" w:type="pct"/>
          </w:tcPr>
          <w:p>
            <w:pPr>
              <w:pStyle w:val="82"/>
              <w:spacing w:line="480" w:lineRule="auto"/>
              <w:rPr>
                <w:rFonts w:hint="eastAsia" w:ascii="宋体" w:hAnsi="宋体" w:eastAsia="宋体" w:cs="宋体"/>
                <w:sz w:val="24"/>
                <w:lang w:val="en-US" w:eastAsia="zh-CN"/>
              </w:rPr>
            </w:pPr>
            <w:r>
              <w:rPr>
                <w:rFonts w:hint="eastAsia" w:ascii="宋体" w:hAnsi="宋体" w:eastAsia="宋体" w:cs="宋体"/>
                <w:sz w:val="24"/>
                <w:lang w:val="en-US" w:eastAsia="zh-CN"/>
              </w:rPr>
              <w:t>8</w:t>
            </w:r>
          </w:p>
        </w:tc>
        <w:tc>
          <w:tcPr>
            <w:tcW w:w="2375" w:type="pct"/>
          </w:tcPr>
          <w:p>
            <w:pPr>
              <w:pStyle w:val="82"/>
              <w:ind w:firstLine="420" w:firstLineChars="200"/>
              <w:jc w:val="both"/>
              <w:rPr>
                <w:rFonts w:hint="eastAsia" w:ascii="宋体" w:hAnsi="宋体" w:eastAsia="宋体" w:cs="宋体"/>
                <w:sz w:val="24"/>
              </w:rPr>
            </w:pPr>
            <w:r>
              <w:rPr>
                <w:rFonts w:hint="eastAsia" w:ascii="宋体" w:hAnsi="宋体" w:eastAsia="宋体" w:cs="宋体"/>
                <w:b w:val="0"/>
                <w:color w:val="000000"/>
                <w:kern w:val="2"/>
                <w:sz w:val="21"/>
                <w:szCs w:val="21"/>
                <w:lang w:val="en-US" w:eastAsia="zh-CN" w:bidi="ar-SA"/>
              </w:rPr>
              <w:t>投标方</w:t>
            </w:r>
            <w:r>
              <w:rPr>
                <w:rFonts w:hint="default" w:ascii="宋体" w:hAnsi="宋体" w:eastAsia="宋体" w:cs="宋体"/>
                <w:b w:val="0"/>
                <w:color w:val="000000"/>
                <w:kern w:val="2"/>
                <w:sz w:val="21"/>
                <w:szCs w:val="21"/>
                <w:lang w:val="en-US" w:eastAsia="zh-CN" w:bidi="ar-SA"/>
              </w:rPr>
              <w:t>保证</w:t>
            </w:r>
            <w:r>
              <w:rPr>
                <w:rFonts w:hint="eastAsia" w:ascii="宋体" w:hAnsi="宋体" w:eastAsia="宋体" w:cs="宋体"/>
                <w:b w:val="0"/>
                <w:color w:val="000000"/>
                <w:kern w:val="2"/>
                <w:sz w:val="21"/>
                <w:szCs w:val="21"/>
                <w:lang w:val="en-US" w:eastAsia="zh-CN" w:bidi="ar-SA"/>
              </w:rPr>
              <w:t>招标</w:t>
            </w:r>
            <w:r>
              <w:rPr>
                <w:rFonts w:hint="default" w:ascii="宋体" w:hAnsi="宋体" w:eastAsia="宋体" w:cs="宋体"/>
                <w:b w:val="0"/>
                <w:color w:val="000000"/>
                <w:kern w:val="2"/>
                <w:sz w:val="21"/>
                <w:szCs w:val="21"/>
                <w:lang w:val="en-US" w:eastAsia="zh-CN" w:bidi="ar-SA"/>
              </w:rPr>
              <w:t>方</w:t>
            </w:r>
            <w:r>
              <w:rPr>
                <w:rFonts w:hint="eastAsia" w:ascii="宋体" w:hAnsi="宋体" w:eastAsia="宋体" w:cs="宋体"/>
                <w:b w:val="0"/>
                <w:color w:val="000000"/>
                <w:kern w:val="2"/>
                <w:sz w:val="21"/>
                <w:szCs w:val="21"/>
                <w:lang w:val="en-US" w:eastAsia="zh-CN" w:bidi="ar-SA"/>
              </w:rPr>
              <w:t>车辆</w:t>
            </w:r>
            <w:r>
              <w:rPr>
                <w:rFonts w:hint="default" w:ascii="宋体" w:hAnsi="宋体" w:eastAsia="宋体" w:cs="宋体"/>
                <w:b w:val="0"/>
                <w:color w:val="000000"/>
                <w:kern w:val="2"/>
                <w:sz w:val="21"/>
                <w:szCs w:val="21"/>
                <w:lang w:val="en-US" w:eastAsia="zh-CN" w:bidi="ar-SA"/>
              </w:rPr>
              <w:t>在合同期间内的正常用油，包括油源紧张时</w:t>
            </w:r>
            <w:r>
              <w:rPr>
                <w:rFonts w:hint="eastAsia" w:ascii="宋体" w:hAnsi="宋体" w:eastAsia="宋体" w:cs="宋体"/>
                <w:b w:val="0"/>
                <w:color w:val="000000"/>
                <w:kern w:val="2"/>
                <w:sz w:val="21"/>
                <w:szCs w:val="21"/>
                <w:lang w:val="en-US" w:eastAsia="zh-CN" w:bidi="ar-SA"/>
              </w:rPr>
              <w:t>招标方</w:t>
            </w:r>
            <w:r>
              <w:rPr>
                <w:rFonts w:hint="default" w:ascii="宋体" w:hAnsi="宋体" w:eastAsia="宋体" w:cs="宋体"/>
                <w:b w:val="0"/>
                <w:color w:val="000000"/>
                <w:kern w:val="2"/>
                <w:sz w:val="21"/>
                <w:szCs w:val="21"/>
                <w:lang w:val="en-US" w:eastAsia="zh-CN" w:bidi="ar-SA"/>
              </w:rPr>
              <w:t>的车辆用油。</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03" w:type="pct"/>
          </w:tcPr>
          <w:p>
            <w:pPr>
              <w:pStyle w:val="82"/>
              <w:spacing w:line="480" w:lineRule="auto"/>
              <w:rPr>
                <w:rFonts w:hint="eastAsia" w:ascii="宋体" w:hAnsi="宋体" w:eastAsia="宋体" w:cs="宋体"/>
                <w:sz w:val="24"/>
                <w:lang w:val="en-US" w:eastAsia="zh-CN"/>
              </w:rPr>
            </w:pPr>
            <w:r>
              <w:rPr>
                <w:rFonts w:hint="eastAsia" w:ascii="宋体" w:hAnsi="宋体" w:eastAsia="宋体" w:cs="宋体"/>
                <w:sz w:val="24"/>
                <w:lang w:val="en-US" w:eastAsia="zh-CN"/>
              </w:rPr>
              <w:t>9</w:t>
            </w:r>
          </w:p>
        </w:tc>
        <w:tc>
          <w:tcPr>
            <w:tcW w:w="2375" w:type="pct"/>
          </w:tcPr>
          <w:p>
            <w:pPr>
              <w:pStyle w:val="82"/>
              <w:ind w:firstLine="420" w:firstLineChars="200"/>
              <w:jc w:val="both"/>
              <w:rPr>
                <w:rFonts w:hint="eastAsia" w:ascii="宋体" w:hAnsi="宋体" w:eastAsia="宋体" w:cs="宋体"/>
                <w:sz w:val="24"/>
              </w:rPr>
            </w:pPr>
            <w:r>
              <w:rPr>
                <w:rFonts w:hint="eastAsia" w:ascii="宋体" w:hAnsi="宋体" w:eastAsia="宋体" w:cs="宋体"/>
                <w:b w:val="0"/>
                <w:color w:val="000000"/>
                <w:kern w:val="2"/>
                <w:sz w:val="21"/>
                <w:szCs w:val="21"/>
                <w:lang w:val="it-IT" w:eastAsia="zh-CN" w:bidi="ar-SA"/>
              </w:rPr>
              <w:t>加油站</w:t>
            </w:r>
            <w:r>
              <w:rPr>
                <w:rFonts w:hint="eastAsia" w:ascii="宋体" w:hAnsi="宋体" w:eastAsia="宋体" w:cs="宋体"/>
                <w:b w:val="0"/>
                <w:color w:val="000000"/>
                <w:kern w:val="2"/>
                <w:sz w:val="21"/>
                <w:szCs w:val="21"/>
                <w:lang w:val="en-US" w:eastAsia="zh-CN" w:bidi="ar-SA"/>
              </w:rPr>
              <w:t>应</w:t>
            </w:r>
            <w:r>
              <w:rPr>
                <w:rFonts w:hint="eastAsia" w:ascii="宋体" w:hAnsi="宋体" w:eastAsia="宋体" w:cs="宋体"/>
                <w:b w:val="0"/>
                <w:color w:val="000000"/>
                <w:kern w:val="2"/>
                <w:sz w:val="21"/>
                <w:szCs w:val="21"/>
                <w:lang w:val="it-IT" w:eastAsia="zh-CN" w:bidi="ar-SA"/>
              </w:rPr>
              <w:t>保证试验车辆通过顺畅，</w:t>
            </w:r>
            <w:r>
              <w:rPr>
                <w:rFonts w:hint="eastAsia" w:ascii="宋体" w:hAnsi="宋体" w:eastAsia="宋体" w:cs="宋体"/>
                <w:b w:val="0"/>
                <w:color w:val="000000"/>
                <w:kern w:val="2"/>
                <w:sz w:val="21"/>
                <w:szCs w:val="21"/>
                <w:lang w:val="en-US" w:eastAsia="zh-CN" w:bidi="ar-SA"/>
              </w:rPr>
              <w:t>并能在发生交通事故时协助出面处理事故</w:t>
            </w:r>
            <w:r>
              <w:rPr>
                <w:rFonts w:hint="eastAsia" w:ascii="宋体" w:hAnsi="宋体" w:eastAsia="宋体" w:cs="宋体"/>
                <w:b w:val="0"/>
                <w:color w:val="000000"/>
                <w:kern w:val="2"/>
                <w:sz w:val="21"/>
                <w:szCs w:val="21"/>
                <w:lang w:val="it-IT" w:eastAsia="zh-CN" w:bidi="ar-SA"/>
              </w:rPr>
              <w:t>。</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pPr w:leftFromText="180" w:rightFromText="180" w:vertAnchor="text" w:horzAnchor="page" w:tblpX="1497" w:tblpY="310"/>
        <w:tblOverlap w:val="never"/>
        <w:tblW w:w="483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
        <w:gridCol w:w="1215"/>
        <w:gridCol w:w="1560"/>
        <w:gridCol w:w="1485"/>
        <w:gridCol w:w="870"/>
        <w:gridCol w:w="930"/>
        <w:gridCol w:w="1185"/>
        <w:gridCol w:w="1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0" w:type="pct"/>
            <w:vAlign w:val="center"/>
          </w:tcPr>
          <w:p>
            <w:pPr>
              <w:pStyle w:val="82"/>
              <w:rPr>
                <w:rFonts w:hint="eastAsia" w:ascii="宋体" w:hAnsi="宋体" w:eastAsia="宋体" w:cs="宋体"/>
              </w:rPr>
            </w:pPr>
            <w:r>
              <w:rPr>
                <w:rFonts w:hint="eastAsia" w:ascii="宋体" w:hAnsi="宋体" w:eastAsia="宋体" w:cs="宋体"/>
              </w:rPr>
              <w:t>序号</w:t>
            </w:r>
          </w:p>
        </w:tc>
        <w:tc>
          <w:tcPr>
            <w:tcW w:w="676" w:type="pct"/>
            <w:vAlign w:val="center"/>
          </w:tcPr>
          <w:p>
            <w:pPr>
              <w:pStyle w:val="82"/>
              <w:rPr>
                <w:rFonts w:hint="eastAsia" w:ascii="宋体" w:hAnsi="宋体" w:eastAsia="宋体" w:cs="宋体"/>
              </w:rPr>
            </w:pPr>
            <w:r>
              <w:rPr>
                <w:rFonts w:hint="eastAsia" w:ascii="宋体" w:hAnsi="宋体" w:eastAsia="宋体" w:cs="宋体"/>
              </w:rPr>
              <w:t>项目名称</w:t>
            </w:r>
          </w:p>
        </w:tc>
        <w:tc>
          <w:tcPr>
            <w:tcW w:w="868" w:type="pct"/>
            <w:vAlign w:val="center"/>
          </w:tcPr>
          <w:p>
            <w:pPr>
              <w:pStyle w:val="82"/>
              <w:rPr>
                <w:rFonts w:hint="eastAsia" w:ascii="宋体" w:hAnsi="宋体" w:eastAsia="宋体" w:cs="宋体"/>
              </w:rPr>
            </w:pPr>
            <w:r>
              <w:rPr>
                <w:rFonts w:hint="eastAsia" w:ascii="宋体" w:hAnsi="宋体" w:eastAsia="宋体" w:cs="宋体"/>
              </w:rPr>
              <w:t>投标</w:t>
            </w:r>
            <w:r>
              <w:rPr>
                <w:rFonts w:hint="eastAsia" w:ascii="宋体" w:hAnsi="宋体" w:eastAsia="宋体" w:cs="宋体"/>
                <w:lang w:val="en-US" w:eastAsia="zh-CN"/>
              </w:rPr>
              <w:t>单价优惠</w:t>
            </w:r>
          </w:p>
        </w:tc>
        <w:tc>
          <w:tcPr>
            <w:tcW w:w="827" w:type="pct"/>
            <w:vAlign w:val="center"/>
          </w:tcPr>
          <w:p>
            <w:pPr>
              <w:pStyle w:val="82"/>
              <w:rPr>
                <w:rFonts w:hint="eastAsia" w:ascii="宋体" w:hAnsi="宋体" w:eastAsia="宋体" w:cs="宋体"/>
                <w:szCs w:val="21"/>
              </w:rPr>
            </w:pPr>
            <w:r>
              <w:rPr>
                <w:rFonts w:hint="eastAsia" w:ascii="宋体" w:hAnsi="宋体" w:eastAsia="宋体" w:cs="宋体"/>
                <w:szCs w:val="21"/>
              </w:rPr>
              <w:t>不含税价</w:t>
            </w:r>
          </w:p>
        </w:tc>
        <w:tc>
          <w:tcPr>
            <w:tcW w:w="484" w:type="pct"/>
            <w:vAlign w:val="center"/>
          </w:tcPr>
          <w:p>
            <w:pPr>
              <w:pStyle w:val="82"/>
              <w:rPr>
                <w:rFonts w:hint="eastAsia" w:ascii="宋体" w:hAnsi="宋体" w:eastAsia="宋体" w:cs="宋体"/>
                <w:szCs w:val="21"/>
              </w:rPr>
            </w:pPr>
            <w:r>
              <w:rPr>
                <w:rFonts w:hint="eastAsia" w:ascii="宋体" w:hAnsi="宋体" w:eastAsia="宋体" w:cs="宋体"/>
                <w:szCs w:val="21"/>
              </w:rPr>
              <w:t>税率</w:t>
            </w:r>
          </w:p>
        </w:tc>
        <w:tc>
          <w:tcPr>
            <w:tcW w:w="518" w:type="pct"/>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含税</w:t>
            </w:r>
          </w:p>
          <w:p>
            <w:pPr>
              <w:pStyle w:val="82"/>
              <w:rPr>
                <w:rFonts w:hint="default" w:ascii="宋体" w:hAnsi="宋体" w:eastAsia="宋体" w:cs="宋体"/>
                <w:lang w:val="en-US" w:eastAsia="zh-CN"/>
              </w:rPr>
            </w:pPr>
            <w:r>
              <w:rPr>
                <w:rFonts w:hint="eastAsia" w:ascii="宋体" w:hAnsi="宋体" w:eastAsia="宋体" w:cs="宋体"/>
                <w:lang w:val="en-US" w:eastAsia="zh-CN"/>
              </w:rPr>
              <w:t>总价</w:t>
            </w:r>
          </w:p>
        </w:tc>
        <w:tc>
          <w:tcPr>
            <w:tcW w:w="660" w:type="pct"/>
            <w:vAlign w:val="center"/>
          </w:tcPr>
          <w:p>
            <w:pPr>
              <w:pStyle w:val="82"/>
              <w:rPr>
                <w:rFonts w:hint="eastAsia" w:ascii="宋体" w:hAnsi="宋体" w:eastAsia="宋体" w:cs="宋体"/>
              </w:rPr>
            </w:pPr>
            <w:r>
              <w:rPr>
                <w:rFonts w:hint="eastAsia" w:ascii="宋体" w:hAnsi="宋体" w:eastAsia="宋体" w:cs="宋体"/>
              </w:rPr>
              <w:t>付款方式及比例如何响应</w:t>
            </w:r>
          </w:p>
        </w:tc>
        <w:tc>
          <w:tcPr>
            <w:tcW w:w="674"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3" w:hRule="atLeast"/>
        </w:trPr>
        <w:tc>
          <w:tcPr>
            <w:tcW w:w="290" w:type="pct"/>
            <w:vAlign w:val="center"/>
          </w:tcPr>
          <w:p>
            <w:pPr>
              <w:pStyle w:val="82"/>
              <w:rPr>
                <w:rFonts w:hint="eastAsia" w:ascii="宋体" w:hAnsi="宋体" w:eastAsia="宋体" w:cs="宋体"/>
              </w:rPr>
            </w:pPr>
            <w:r>
              <w:rPr>
                <w:rFonts w:hint="eastAsia" w:ascii="宋体" w:hAnsi="宋体" w:eastAsia="宋体" w:cs="宋体"/>
              </w:rPr>
              <w:t>1</w:t>
            </w:r>
          </w:p>
        </w:tc>
        <w:tc>
          <w:tcPr>
            <w:tcW w:w="676" w:type="pct"/>
            <w:vAlign w:val="center"/>
          </w:tcPr>
          <w:p>
            <w:pPr>
              <w:pStyle w:val="82"/>
              <w:rPr>
                <w:rFonts w:hint="eastAsia" w:ascii="宋体" w:hAnsi="宋体" w:eastAsia="宋体" w:cs="宋体"/>
              </w:rPr>
            </w:pPr>
            <w:r>
              <w:rPr>
                <w:rFonts w:hint="eastAsia" w:ascii="宋体" w:hAnsi="宋体" w:eastAsia="宋体" w:cs="宋体"/>
                <w:color w:val="000000"/>
                <w:sz w:val="24"/>
                <w:szCs w:val="24"/>
              </w:rPr>
              <w:t>全国路试、三高试验、济南试验车用燃油采购（加油卡形式）</w:t>
            </w:r>
          </w:p>
        </w:tc>
        <w:tc>
          <w:tcPr>
            <w:tcW w:w="868" w:type="pct"/>
            <w:vAlign w:val="center"/>
          </w:tcPr>
          <w:p>
            <w:pPr>
              <w:pStyle w:val="82"/>
              <w:rPr>
                <w:rFonts w:hint="eastAsia" w:ascii="宋体" w:hAnsi="宋体" w:eastAsia="宋体" w:cs="宋体"/>
              </w:rPr>
            </w:pPr>
            <w:r>
              <w:rPr>
                <w:rFonts w:hint="eastAsia" w:ascii="宋体" w:hAnsi="宋体" w:eastAsia="宋体" w:cs="宋体"/>
                <w:b/>
                <w:highlight w:val="none"/>
              </w:rPr>
              <w:t>各种标号</w:t>
            </w:r>
            <w:r>
              <w:rPr>
                <w:rFonts w:hint="eastAsia" w:eastAsia="宋体" w:cs="宋体"/>
                <w:b/>
                <w:highlight w:val="none"/>
                <w:lang w:val="en-US" w:eastAsia="zh-CN"/>
              </w:rPr>
              <w:t>汽油和柴油</w:t>
            </w:r>
            <w:r>
              <w:rPr>
                <w:rFonts w:hint="eastAsia" w:ascii="宋体" w:hAnsi="宋体" w:eastAsia="宋体" w:cs="宋体"/>
                <w:b/>
                <w:highlight w:val="none"/>
              </w:rPr>
              <w:t>比</w:t>
            </w:r>
            <w:r>
              <w:rPr>
                <w:rFonts w:hint="eastAsia" w:ascii="宋体" w:hAnsi="宋体" w:eastAsia="宋体" w:cs="宋体"/>
                <w:b/>
                <w:highlight w:val="none"/>
                <w:lang w:val="en-US" w:eastAsia="zh-CN"/>
              </w:rPr>
              <w:t>其</w:t>
            </w:r>
            <w:r>
              <w:rPr>
                <w:rFonts w:hint="eastAsia" w:ascii="宋体" w:hAnsi="宋体" w:eastAsia="宋体" w:cs="宋体"/>
                <w:b/>
                <w:highlight w:val="none"/>
              </w:rPr>
              <w:t>同期</w:t>
            </w:r>
            <w:r>
              <w:rPr>
                <w:rFonts w:hint="eastAsia" w:ascii="宋体" w:hAnsi="宋体" w:eastAsia="宋体" w:cs="宋体"/>
                <w:b/>
                <w:highlight w:val="none"/>
                <w:lang w:val="en-US" w:eastAsia="zh-CN"/>
              </w:rPr>
              <w:t>对外挂牌</w:t>
            </w:r>
            <w:r>
              <w:rPr>
                <w:rFonts w:hint="eastAsia" w:ascii="宋体" w:hAnsi="宋体" w:eastAsia="宋体" w:cs="宋体"/>
                <w:b/>
                <w:highlight w:val="none"/>
              </w:rPr>
              <w:t>市场价优惠</w:t>
            </w:r>
            <w:r>
              <w:rPr>
                <w:rFonts w:hint="eastAsia" w:ascii="宋体" w:hAnsi="宋体" w:eastAsia="宋体" w:cs="宋体"/>
                <w:b/>
                <w:highlight w:val="none"/>
                <w:u w:val="single"/>
                <w:lang w:val="en-US" w:eastAsia="zh-CN"/>
              </w:rPr>
              <w:t xml:space="preserve">  </w:t>
            </w:r>
            <w:r>
              <w:rPr>
                <w:rFonts w:hint="eastAsia" w:ascii="宋体" w:hAnsi="宋体" w:eastAsia="宋体" w:cs="宋体"/>
                <w:b/>
                <w:highlight w:val="none"/>
                <w:u w:val="single"/>
              </w:rPr>
              <w:t>元</w:t>
            </w:r>
            <w:r>
              <w:rPr>
                <w:rFonts w:hint="eastAsia" w:eastAsia="宋体" w:cs="宋体"/>
                <w:b/>
                <w:highlight w:val="none"/>
                <w:u w:val="single"/>
                <w:lang w:val="en-US" w:eastAsia="zh-CN"/>
              </w:rPr>
              <w:t>/L</w:t>
            </w:r>
          </w:p>
        </w:tc>
        <w:tc>
          <w:tcPr>
            <w:tcW w:w="827" w:type="pct"/>
            <w:vAlign w:val="center"/>
          </w:tcPr>
          <w:p>
            <w:pPr>
              <w:pStyle w:val="82"/>
              <w:rPr>
                <w:rFonts w:hint="eastAsia" w:ascii="宋体" w:hAnsi="宋体" w:eastAsia="宋体" w:cs="宋体"/>
              </w:rPr>
            </w:pPr>
            <w:r>
              <w:rPr>
                <w:rFonts w:hint="eastAsia" w:ascii="宋体" w:hAnsi="宋体" w:eastAsia="宋体" w:cs="宋体"/>
                <w:b/>
                <w:highlight w:val="none"/>
              </w:rPr>
              <w:t>各种标号</w:t>
            </w:r>
            <w:r>
              <w:rPr>
                <w:rFonts w:hint="eastAsia" w:eastAsia="宋体" w:cs="宋体"/>
                <w:b/>
                <w:highlight w:val="none"/>
                <w:lang w:val="en-US" w:eastAsia="zh-CN"/>
              </w:rPr>
              <w:t>汽油和柴油</w:t>
            </w:r>
            <w:r>
              <w:rPr>
                <w:rFonts w:hint="eastAsia" w:ascii="宋体" w:hAnsi="宋体" w:eastAsia="宋体" w:cs="宋体"/>
                <w:b/>
                <w:highlight w:val="none"/>
              </w:rPr>
              <w:t>比</w:t>
            </w:r>
            <w:r>
              <w:rPr>
                <w:rFonts w:hint="eastAsia" w:ascii="宋体" w:hAnsi="宋体" w:eastAsia="宋体" w:cs="宋体"/>
                <w:b/>
                <w:highlight w:val="none"/>
                <w:lang w:val="en-US" w:eastAsia="zh-CN"/>
              </w:rPr>
              <w:t>其</w:t>
            </w:r>
            <w:r>
              <w:rPr>
                <w:rFonts w:hint="eastAsia" w:ascii="宋体" w:hAnsi="宋体" w:eastAsia="宋体" w:cs="宋体"/>
                <w:b/>
                <w:highlight w:val="none"/>
              </w:rPr>
              <w:t>同期</w:t>
            </w:r>
            <w:r>
              <w:rPr>
                <w:rFonts w:hint="eastAsia" w:ascii="宋体" w:hAnsi="宋体" w:eastAsia="宋体" w:cs="宋体"/>
                <w:b/>
                <w:highlight w:val="none"/>
                <w:lang w:val="en-US" w:eastAsia="zh-CN"/>
              </w:rPr>
              <w:t>对外挂牌</w:t>
            </w:r>
            <w:r>
              <w:rPr>
                <w:rFonts w:hint="eastAsia" w:ascii="宋体" w:hAnsi="宋体" w:eastAsia="宋体" w:cs="宋体"/>
                <w:b/>
                <w:highlight w:val="none"/>
              </w:rPr>
              <w:t>市场价优惠</w:t>
            </w:r>
            <w:r>
              <w:rPr>
                <w:rFonts w:hint="eastAsia" w:ascii="宋体" w:hAnsi="宋体" w:eastAsia="宋体" w:cs="宋体"/>
                <w:b/>
                <w:highlight w:val="none"/>
                <w:u w:val="single"/>
                <w:lang w:val="en-US" w:eastAsia="zh-CN"/>
              </w:rPr>
              <w:t xml:space="preserve">  </w:t>
            </w:r>
            <w:r>
              <w:rPr>
                <w:rFonts w:hint="eastAsia" w:ascii="宋体" w:hAnsi="宋体" w:eastAsia="宋体" w:cs="宋体"/>
                <w:b/>
                <w:highlight w:val="none"/>
                <w:u w:val="single"/>
              </w:rPr>
              <w:t>元</w:t>
            </w:r>
            <w:r>
              <w:rPr>
                <w:rFonts w:hint="eastAsia" w:eastAsia="宋体" w:cs="宋体"/>
                <w:b/>
                <w:highlight w:val="none"/>
                <w:u w:val="single"/>
                <w:lang w:val="en-US" w:eastAsia="zh-CN"/>
              </w:rPr>
              <w:t>/L</w:t>
            </w:r>
          </w:p>
        </w:tc>
        <w:tc>
          <w:tcPr>
            <w:tcW w:w="484" w:type="pct"/>
            <w:vAlign w:val="center"/>
          </w:tcPr>
          <w:p>
            <w:pPr>
              <w:pStyle w:val="82"/>
              <w:rPr>
                <w:rFonts w:hint="eastAsia" w:ascii="宋体" w:hAnsi="宋体" w:eastAsia="宋体" w:cs="宋体"/>
              </w:rPr>
            </w:pPr>
          </w:p>
        </w:tc>
        <w:tc>
          <w:tcPr>
            <w:tcW w:w="518" w:type="pct"/>
            <w:vAlign w:val="center"/>
          </w:tcPr>
          <w:p>
            <w:pPr>
              <w:pStyle w:val="82"/>
              <w:rPr>
                <w:rFonts w:hint="eastAsia" w:ascii="宋体" w:hAnsi="宋体" w:eastAsia="宋体" w:cs="宋体"/>
              </w:rPr>
            </w:pPr>
          </w:p>
        </w:tc>
        <w:tc>
          <w:tcPr>
            <w:tcW w:w="660" w:type="pct"/>
            <w:vAlign w:val="center"/>
          </w:tcPr>
          <w:p>
            <w:pPr>
              <w:pStyle w:val="82"/>
              <w:rPr>
                <w:rFonts w:hint="eastAsia" w:ascii="宋体" w:hAnsi="宋体" w:eastAsia="宋体" w:cs="宋体"/>
              </w:rPr>
            </w:pPr>
          </w:p>
        </w:tc>
        <w:tc>
          <w:tcPr>
            <w:tcW w:w="674" w:type="pct"/>
            <w:vAlign w:val="center"/>
          </w:tcPr>
          <w:p>
            <w:pPr>
              <w:pStyle w:val="82"/>
              <w:rPr>
                <w:rFonts w:hint="eastAsia" w:ascii="宋体" w:hAnsi="宋体" w:eastAsia="宋体" w:cs="宋体"/>
              </w:rPr>
            </w:pPr>
          </w:p>
        </w:tc>
      </w:tr>
    </w:tbl>
    <w:p>
      <w:pPr>
        <w:pStyle w:val="78"/>
        <w:ind w:left="0" w:leftChars="0" w:firstLine="0" w:firstLineChars="0"/>
        <w:rPr>
          <w:rFonts w:hint="eastAsia" w:ascii="宋体" w:hAnsi="宋体" w:eastAsia="宋体" w:cs="宋体"/>
          <w:b/>
          <w:bCs/>
          <w:szCs w:val="21"/>
        </w:rPr>
      </w:pPr>
    </w:p>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300" w:lineRule="auto"/>
        <w:rPr>
          <w:rFonts w:hint="default" w:ascii="宋体" w:hAnsi="宋体" w:eastAsia="宋体" w:cs="宋体"/>
          <w:b/>
          <w:bCs/>
          <w:szCs w:val="21"/>
          <w:lang w:val="en-US" w:eastAsia="zh-CN"/>
        </w:rPr>
      </w:pPr>
      <w:r>
        <w:rPr>
          <w:rFonts w:hint="eastAsia" w:ascii="宋体" w:hAnsi="宋体" w:cs="宋体"/>
          <w:b/>
          <w:bCs/>
          <w:szCs w:val="21"/>
          <w:lang w:val="en-US" w:eastAsia="zh-CN"/>
        </w:rPr>
        <w:t>4、本项目报价上限为435万元（含税）</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353881017"/>
      <w:bookmarkStart w:id="11" w:name="_Toc639008"/>
      <w:bookmarkStart w:id="12" w:name="_Toc26556"/>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9317" w:type="dxa"/>
        <w:tblInd w:w="0" w:type="dxa"/>
        <w:tblLayout w:type="fixed"/>
        <w:tblCellMar>
          <w:top w:w="0" w:type="dxa"/>
          <w:left w:w="108" w:type="dxa"/>
          <w:bottom w:w="0" w:type="dxa"/>
          <w:right w:w="108" w:type="dxa"/>
        </w:tblCellMar>
      </w:tblPr>
      <w:tblGrid>
        <w:gridCol w:w="497"/>
        <w:gridCol w:w="891"/>
        <w:gridCol w:w="978"/>
        <w:gridCol w:w="1289"/>
        <w:gridCol w:w="949"/>
        <w:gridCol w:w="1233"/>
        <w:gridCol w:w="1176"/>
        <w:gridCol w:w="1275"/>
        <w:gridCol w:w="1029"/>
      </w:tblGrid>
      <w:tr>
        <w:tblPrEx>
          <w:tblCellMar>
            <w:top w:w="0" w:type="dxa"/>
            <w:left w:w="108" w:type="dxa"/>
            <w:bottom w:w="0" w:type="dxa"/>
            <w:right w:w="108" w:type="dxa"/>
          </w:tblCellMar>
        </w:tblPrEx>
        <w:trPr>
          <w:trHeight w:val="106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燃油类型</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燃油标号</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cs="宋体"/>
                <w:kern w:val="0"/>
                <w:sz w:val="18"/>
                <w:szCs w:val="18"/>
                <w:lang w:val="en-US" w:eastAsia="zh-CN"/>
              </w:rPr>
              <w:t>挂牌</w:t>
            </w: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r>
              <w:rPr>
                <w:rFonts w:hint="eastAsia" w:ascii="宋体" w:hAnsi="宋体" w:cs="宋体"/>
                <w:kern w:val="0"/>
                <w:sz w:val="18"/>
                <w:szCs w:val="18"/>
                <w:lang w:val="en-US" w:eastAsia="zh-CN"/>
              </w:rPr>
              <w:t>/L</w:t>
            </w:r>
            <w:r>
              <w:rPr>
                <w:rFonts w:hint="eastAsia" w:ascii="宋体" w:hAnsi="宋体" w:eastAsia="宋体" w:cs="宋体"/>
                <w:kern w:val="0"/>
                <w:sz w:val="18"/>
                <w:szCs w:val="18"/>
              </w:rPr>
              <w:t>)</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优惠</w:t>
            </w:r>
          </w:p>
          <w:p>
            <w:pPr>
              <w:widowControl/>
              <w:jc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（元/L）</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优惠后单价</w:t>
            </w:r>
          </w:p>
          <w:p>
            <w:pPr>
              <w:widowControl/>
              <w:jc w:val="center"/>
              <w:rPr>
                <w:rFonts w:hint="default" w:ascii="宋体" w:hAnsi="宋体" w:cs="宋体"/>
                <w:kern w:val="0"/>
                <w:sz w:val="18"/>
                <w:szCs w:val="18"/>
                <w:lang w:val="en-US" w:eastAsia="zh-CN"/>
              </w:rPr>
            </w:pPr>
            <w:r>
              <w:rPr>
                <w:rFonts w:hint="eastAsia" w:ascii="宋体" w:hAnsi="宋体" w:eastAsia="宋体" w:cs="宋体"/>
                <w:kern w:val="0"/>
                <w:sz w:val="18"/>
                <w:szCs w:val="18"/>
              </w:rPr>
              <w:t>(元</w:t>
            </w:r>
            <w:r>
              <w:rPr>
                <w:rFonts w:hint="eastAsia" w:ascii="宋体" w:hAnsi="宋体" w:cs="宋体"/>
                <w:kern w:val="0"/>
                <w:sz w:val="18"/>
                <w:szCs w:val="18"/>
                <w:lang w:val="en-US" w:eastAsia="zh-CN"/>
              </w:rPr>
              <w:t>/L</w:t>
            </w:r>
            <w:r>
              <w:rPr>
                <w:rFonts w:hint="eastAsia" w:ascii="宋体" w:hAnsi="宋体" w:eastAsia="宋体" w:cs="宋体"/>
                <w:kern w:val="0"/>
                <w:sz w:val="18"/>
                <w:szCs w:val="18"/>
              </w:rPr>
              <w:t>)</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预估使用数量（L）</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预估总价（元）</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336"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柴油</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0#</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500000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36"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柴油</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20000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36"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柴油</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-20#</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10000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36"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4</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柴油</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-35#</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80000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36"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5</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柴油</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-50#</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36"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6</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汽油</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92#</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78"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7</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汽油</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95#</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1000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8" w:hRule="atLeast"/>
        </w:trPr>
        <w:tc>
          <w:tcPr>
            <w:tcW w:w="701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含税总价（元）</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bl>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pStyle w:val="78"/>
        <w:ind w:firstLine="480"/>
        <w:rPr>
          <w:rFonts w:hint="default" w:ascii="宋体" w:hAnsi="宋体" w:eastAsia="宋体" w:cs="宋体"/>
          <w:b/>
          <w:lang w:val="en-US" w:eastAsia="zh-CN"/>
        </w:rPr>
      </w:pPr>
      <w:r>
        <w:rPr>
          <w:rFonts w:hint="eastAsia" w:eastAsia="宋体" w:cs="宋体"/>
          <w:b/>
          <w:lang w:val="en-US" w:eastAsia="zh-CN"/>
        </w:rPr>
        <w:t>4、挂牌单价请以2025年7月20日的挂牌市场价进行核算。</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02"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82"/>
              <w:ind w:firstLine="420" w:firstLineChars="200"/>
              <w:jc w:val="both"/>
              <w:rPr>
                <w:rFonts w:hint="eastAsia" w:ascii="宋体" w:hAnsi="宋体" w:eastAsia="宋体" w:cs="宋体"/>
                <w:szCs w:val="21"/>
              </w:rPr>
            </w:pPr>
            <w:r>
              <w:rPr>
                <w:rFonts w:hint="eastAsia" w:ascii="宋体" w:hAnsi="宋体" w:eastAsia="宋体" w:cs="宋体"/>
                <w:b w:val="0"/>
                <w:bCs/>
                <w:szCs w:val="21"/>
              </w:rPr>
              <w:t>中标人与中国重汽集团济南动力有限公司签订合同</w:t>
            </w:r>
            <w:r>
              <w:rPr>
                <w:rFonts w:hint="eastAsia" w:ascii="宋体" w:hAnsi="宋体" w:eastAsia="宋体" w:cs="宋体"/>
                <w:b w:val="0"/>
                <w:bCs/>
                <w:szCs w:val="21"/>
                <w:lang w:eastAsia="zh-CN"/>
              </w:rPr>
              <w:t>，</w:t>
            </w:r>
            <w:r>
              <w:rPr>
                <w:rFonts w:hint="eastAsia" w:ascii="宋体" w:hAnsi="宋体" w:eastAsia="宋体" w:cs="宋体"/>
                <w:b w:val="0"/>
                <w:bCs/>
                <w:szCs w:val="21"/>
                <w:lang w:val="en-US" w:eastAsia="zh-CN"/>
              </w:rPr>
              <w:t>办理加油卡。由招标方指定管理使用人员按照</w:t>
            </w:r>
            <w:r>
              <w:rPr>
                <w:rFonts w:hint="eastAsia" w:ascii="宋体" w:hAnsi="宋体" w:eastAsia="宋体" w:cs="宋体"/>
                <w:b w:val="0"/>
                <w:bCs/>
                <w:szCs w:val="21"/>
              </w:rPr>
              <w:t>公司财务制度</w:t>
            </w:r>
            <w:r>
              <w:rPr>
                <w:rFonts w:hint="eastAsia" w:ascii="宋体" w:hAnsi="宋体" w:eastAsia="宋体" w:cs="宋体"/>
                <w:b w:val="0"/>
                <w:bCs/>
                <w:szCs w:val="21"/>
                <w:lang w:val="en-US" w:eastAsia="zh-CN"/>
              </w:rPr>
              <w:t>进行预算上报请款，并通过银行电汇方式公对公转账将申请款项打到中标方公司账户，圈存到办理加油卡上，进行使用。</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ind w:firstLine="420" w:firstLineChars="200"/>
              <w:jc w:val="both"/>
              <w:rPr>
                <w:rFonts w:hint="eastAsia" w:ascii="宋体" w:hAnsi="宋体" w:eastAsia="宋体" w:cs="宋体"/>
                <w:szCs w:val="21"/>
                <w:lang w:val="en-US" w:eastAsia="zh-CN"/>
              </w:rPr>
            </w:pPr>
            <w:r>
              <w:rPr>
                <w:rFonts w:hint="eastAsia" w:ascii="宋体" w:hAnsi="宋体" w:eastAsia="宋体" w:cs="宋体"/>
                <w:b w:val="0"/>
                <w:bCs/>
                <w:szCs w:val="21"/>
                <w:lang w:val="en-US" w:eastAsia="zh-CN"/>
              </w:rPr>
              <w:t>加油卡余额使用完后，中标方提供相应的加油明细，经招标方确认无误后，中标方开具金额为实际消费金额100%的增值税专用发票。</w:t>
            </w:r>
            <w:r>
              <w:rPr>
                <w:rFonts w:hint="eastAsia" w:ascii="宋体" w:hAnsi="宋体" w:eastAsia="宋体" w:cs="宋体"/>
                <w:b w:val="0"/>
                <w:bCs/>
                <w:szCs w:val="21"/>
              </w:rPr>
              <w:t>在投标方处办理的加油卡需能在全国范围内使用，在山东济南统一开具发票</w:t>
            </w:r>
            <w:r>
              <w:rPr>
                <w:rFonts w:hint="eastAsia" w:ascii="宋体" w:hAnsi="宋体" w:eastAsia="宋体" w:cs="宋体"/>
                <w:b w:val="0"/>
                <w:bCs/>
                <w:szCs w:val="21"/>
                <w:lang w:eastAsia="zh-CN"/>
              </w:rPr>
              <w:t>。</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jc w:val="both"/>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jc w:val="both"/>
              <w:rPr>
                <w:rFonts w:hint="eastAsia" w:ascii="宋体" w:hAnsi="宋体" w:eastAsia="宋体" w:cs="宋体"/>
                <w:szCs w:val="21"/>
              </w:rPr>
            </w:pPr>
          </w:p>
          <w:p>
            <w:pPr>
              <w:pStyle w:val="82"/>
              <w:jc w:val="both"/>
              <w:rPr>
                <w:rFonts w:hint="eastAsia" w:ascii="宋体" w:hAnsi="宋体" w:eastAsia="宋体" w:cs="宋体"/>
                <w:szCs w:val="21"/>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353881022"/>
      <w:bookmarkStart w:id="14" w:name="_Toc9193"/>
      <w:bookmarkStart w:id="15" w:name="_Toc63901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bookmarkStart w:id="16" w:name="_Toc465187638"/>
      <w:r>
        <w:rPr>
          <w:rFonts w:hint="eastAsia" w:ascii="宋体" w:hAnsi="宋体" w:eastAsia="宋体" w:cs="宋体"/>
        </w:rPr>
        <w:t>附件1</w:t>
      </w:r>
      <w:bookmarkStart w:id="17" w:name="_Toc92678174"/>
      <w:bookmarkStart w:id="18" w:name="_Toc212369556"/>
      <w:bookmarkStart w:id="19" w:name="_Toc15535"/>
      <w:bookmarkStart w:id="20" w:name="_Toc353881023"/>
      <w:bookmarkStart w:id="21" w:name="_Toc639014"/>
      <w:r>
        <w:rPr>
          <w:rFonts w:hint="eastAsia" w:ascii="宋体" w:hAnsi="宋体" w:eastAsia="宋体" w:cs="宋体"/>
          <w:lang w:val="en-US" w:eastAsia="zh-CN"/>
        </w:rPr>
        <w:t>2</w:t>
      </w:r>
      <w:r>
        <w:rPr>
          <w:rFonts w:hint="eastAsia" w:ascii="宋体" w:hAnsi="宋体" w:eastAsia="宋体" w:cs="宋体"/>
        </w:rPr>
        <w:t>投标文件封面及封口</w:t>
      </w:r>
      <w:bookmarkEnd w:id="17"/>
      <w:r>
        <w:rPr>
          <w:rFonts w:hint="eastAsia" w:ascii="宋体" w:hAnsi="宋体" w:eastAsia="宋体" w:cs="宋体"/>
        </w:rPr>
        <w:t>格式</w:t>
      </w:r>
      <w:bookmarkEnd w:id="18"/>
      <w:bookmarkEnd w:id="19"/>
      <w:bookmarkEnd w:id="20"/>
      <w:bookmarkEnd w:id="21"/>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6"/>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7"/>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8"/>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9"/>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0"/>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headerReference r:id="rId11" w:type="default"/>
          <w:footerReference r:id="rId12"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1"/>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2"/>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3"/>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4"/>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5"/>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6"/>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7"/>
                    <a:stretch>
                      <a:fillRect/>
                    </a:stretch>
                  </pic:blipFill>
                  <pic:spPr>
                    <a:xfrm>
                      <a:off x="0" y="0"/>
                      <a:ext cx="5760085" cy="1956600"/>
                    </a:xfrm>
                    <a:prstGeom prst="rect">
                      <a:avLst/>
                    </a:prstGeom>
                  </pic:spPr>
                </pic:pic>
              </a:graphicData>
            </a:graphic>
          </wp:inline>
        </w:drawing>
      </w:r>
    </w:p>
    <w:p>
      <w:pPr>
        <w:pStyle w:val="15"/>
        <w:rPr>
          <w:rFonts w:hint="eastAsia" w:ascii="宋体" w:hAnsi="宋体" w:eastAsia="宋体" w:cs="宋体"/>
          <w:b/>
          <w:color w:val="000000"/>
          <w:sz w:val="24"/>
          <w:szCs w:val="24"/>
        </w:rPr>
      </w:pPr>
    </w:p>
    <w:p>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pPr>
        <w:pStyle w:val="2"/>
        <w:jc w:val="center"/>
        <w:rPr>
          <w:rFonts w:hint="eastAsia" w:ascii="宋体" w:hAnsi="宋体" w:eastAsia="宋体" w:cs="宋体"/>
          <w:szCs w:val="24"/>
        </w:rPr>
      </w:pPr>
      <w:r>
        <w:rPr>
          <w:rFonts w:hint="eastAsia" w:ascii="宋体" w:hAnsi="宋体" w:eastAsia="宋体" w:cs="宋体"/>
          <w:szCs w:val="24"/>
        </w:rPr>
        <w:t>技术标评审表（</w:t>
      </w:r>
      <w:r>
        <w:rPr>
          <w:rFonts w:hint="default" w:ascii="宋体" w:hAnsi="宋体" w:eastAsia="宋体" w:cs="宋体"/>
          <w:szCs w:val="24"/>
        </w:rPr>
        <w:t>100</w:t>
      </w:r>
      <w:r>
        <w:rPr>
          <w:rFonts w:hint="eastAsia" w:ascii="宋体" w:hAnsi="宋体" w:eastAsia="宋体" w:cs="宋体"/>
          <w:szCs w:val="24"/>
        </w:rPr>
        <w:t>分）</w:t>
      </w:r>
    </w:p>
    <w:p>
      <w:pPr>
        <w:rPr>
          <w:rFonts w:hint="eastAsia" w:ascii="宋体" w:hAnsi="宋体" w:eastAsia="宋体" w:cs="宋体"/>
          <w:b/>
          <w:bCs/>
          <w:sz w:val="24"/>
          <w:szCs w:val="24"/>
        </w:rPr>
      </w:pP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0" w:hRule="atLeast"/>
          <w:jc w:val="center"/>
        </w:trPr>
        <w:tc>
          <w:tcPr>
            <w:tcW w:w="825" w:type="dxa"/>
            <w:vMerge w:val="restart"/>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pPr>
              <w:tabs>
                <w:tab w:val="left" w:pos="13965"/>
              </w:tabs>
              <w:spacing w:line="360" w:lineRule="auto"/>
              <w:ind w:right="-6"/>
              <w:jc w:val="center"/>
              <w:rPr>
                <w:rFonts w:hint="eastAsia" w:ascii="宋体" w:hAnsi="宋体" w:eastAsia="宋体" w:cs="宋体"/>
                <w:szCs w:val="21"/>
              </w:rPr>
            </w:pPr>
            <w:r>
              <w:rPr>
                <w:rFonts w:hint="default" w:ascii="宋体" w:hAnsi="宋体" w:cs="宋体"/>
                <w:szCs w:val="21"/>
              </w:rPr>
              <w:t>100</w:t>
            </w:r>
            <w:r>
              <w:rPr>
                <w:rFonts w:hint="eastAsia" w:ascii="宋体" w:hAnsi="宋体" w:eastAsia="宋体" w:cs="宋体"/>
                <w:szCs w:val="21"/>
              </w:rPr>
              <w:t>分</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color w:val="000000"/>
                <w:szCs w:val="21"/>
              </w:rPr>
              <w:t>产品技术</w:t>
            </w:r>
          </w:p>
        </w:tc>
        <w:tc>
          <w:tcPr>
            <w:tcW w:w="875" w:type="dxa"/>
            <w:vAlign w:val="center"/>
          </w:tcPr>
          <w:p>
            <w:pPr>
              <w:tabs>
                <w:tab w:val="left" w:pos="13965"/>
              </w:tabs>
              <w:spacing w:line="360" w:lineRule="auto"/>
              <w:ind w:right="-6"/>
              <w:jc w:val="center"/>
              <w:rPr>
                <w:rFonts w:hint="default" w:ascii="宋体" w:hAnsi="宋体" w:eastAsia="宋体" w:cs="宋体"/>
                <w:szCs w:val="21"/>
              </w:rPr>
            </w:pPr>
            <w:r>
              <w:rPr>
                <w:rFonts w:hint="default" w:ascii="宋体" w:hAnsi="宋体" w:cs="宋体"/>
                <w:szCs w:val="21"/>
              </w:rPr>
              <w:t>40</w:t>
            </w:r>
          </w:p>
        </w:tc>
        <w:tc>
          <w:tcPr>
            <w:tcW w:w="5604" w:type="dxa"/>
            <w:vAlign w:val="center"/>
          </w:tcPr>
          <w:p>
            <w:pPr>
              <w:spacing w:line="360" w:lineRule="auto"/>
              <w:rPr>
                <w:rFonts w:hint="eastAsia" w:ascii="宋体" w:hAnsi="宋体" w:eastAsia="宋体" w:cs="宋体"/>
                <w:szCs w:val="21"/>
              </w:rPr>
            </w:pPr>
            <w:r>
              <w:rPr>
                <w:rFonts w:hint="eastAsia" w:ascii="宋体" w:hAnsi="宋体" w:eastAsia="宋体" w:cs="宋体"/>
                <w:szCs w:val="21"/>
              </w:rPr>
              <w:t xml:space="preserve">以下各项由评标委员会成员独立进行客观、公正的评价打分。 </w:t>
            </w:r>
          </w:p>
          <w:p>
            <w:pPr>
              <w:spacing w:line="360" w:lineRule="auto"/>
              <w:rPr>
                <w:rFonts w:hint="eastAsia" w:ascii="宋体" w:hAnsi="宋体" w:eastAsia="宋体" w:cs="宋体"/>
                <w:szCs w:val="21"/>
              </w:rPr>
            </w:pPr>
            <w:r>
              <w:rPr>
                <w:rFonts w:hint="eastAsia" w:ascii="宋体" w:hAnsi="宋体" w:eastAsia="宋体" w:cs="宋体"/>
                <w:szCs w:val="21"/>
              </w:rPr>
              <w:t>（1）投标文件中技术参数满足招标要求，关键技术资料完整，打分0-</w:t>
            </w:r>
            <w:r>
              <w:rPr>
                <w:rFonts w:hint="default" w:ascii="宋体" w:hAnsi="宋体" w:cs="宋体"/>
                <w:szCs w:val="21"/>
              </w:rPr>
              <w:t>16</w:t>
            </w:r>
            <w:r>
              <w:rPr>
                <w:rFonts w:hint="eastAsia" w:ascii="宋体" w:hAnsi="宋体" w:eastAsia="宋体" w:cs="宋体"/>
                <w:szCs w:val="21"/>
              </w:rPr>
              <w:t>分。</w:t>
            </w:r>
          </w:p>
          <w:p>
            <w:pPr>
              <w:spacing w:line="360" w:lineRule="auto"/>
              <w:rPr>
                <w:rFonts w:hint="eastAsia" w:ascii="宋体" w:hAnsi="宋体" w:eastAsia="宋体" w:cs="宋体"/>
                <w:bCs/>
                <w:szCs w:val="21"/>
              </w:rPr>
            </w:pPr>
            <w:r>
              <w:rPr>
                <w:rFonts w:hint="eastAsia" w:ascii="宋体" w:hAnsi="宋体" w:eastAsia="宋体" w:cs="宋体"/>
                <w:szCs w:val="21"/>
              </w:rPr>
              <w:t>（2）</w:t>
            </w:r>
            <w:r>
              <w:rPr>
                <w:rFonts w:hint="eastAsia" w:ascii="宋体" w:hAnsi="宋体" w:eastAsia="宋体" w:cs="宋体"/>
                <w:szCs w:val="21"/>
                <w:lang w:val="en-US" w:eastAsia="zh-CN"/>
              </w:rPr>
              <w:t>投标方</w:t>
            </w:r>
            <w:r>
              <w:rPr>
                <w:rFonts w:hint="eastAsia" w:ascii="宋体" w:hAnsi="宋体" w:cs="宋体"/>
                <w:szCs w:val="21"/>
                <w:lang w:val="en-US" w:eastAsia="zh-CN"/>
              </w:rPr>
              <w:t>全国范围内站点数最多的者满分</w:t>
            </w:r>
            <w:r>
              <w:rPr>
                <w:rFonts w:hint="default" w:ascii="宋体" w:hAnsi="宋体" w:cs="宋体"/>
                <w:szCs w:val="21"/>
                <w:lang w:eastAsia="zh-CN"/>
              </w:rPr>
              <w:t>10</w:t>
            </w:r>
            <w:r>
              <w:rPr>
                <w:rFonts w:hint="eastAsia" w:ascii="宋体" w:hAnsi="宋体" w:cs="宋体"/>
                <w:szCs w:val="21"/>
                <w:lang w:val="en-US" w:eastAsia="zh-CN"/>
              </w:rPr>
              <w:t>分</w:t>
            </w:r>
            <w:r>
              <w:rPr>
                <w:rFonts w:hint="eastAsia" w:ascii="宋体" w:hAnsi="宋体" w:eastAsia="宋体" w:cs="宋体"/>
                <w:szCs w:val="21"/>
                <w:lang w:val="en-US" w:eastAsia="zh-CN"/>
              </w:rPr>
              <w:t>，</w:t>
            </w:r>
            <w:r>
              <w:rPr>
                <w:rFonts w:hint="eastAsia" w:ascii="宋体" w:hAnsi="宋体" w:eastAsia="宋体" w:cs="宋体"/>
                <w:bCs/>
                <w:szCs w:val="21"/>
              </w:rPr>
              <w:t>第二名得</w:t>
            </w:r>
            <w:r>
              <w:rPr>
                <w:rFonts w:hint="default" w:ascii="宋体" w:hAnsi="宋体" w:cs="宋体"/>
                <w:bCs/>
                <w:szCs w:val="21"/>
              </w:rPr>
              <w:t>6</w:t>
            </w:r>
            <w:r>
              <w:rPr>
                <w:rFonts w:hint="eastAsia" w:ascii="宋体" w:hAnsi="宋体" w:eastAsia="宋体" w:cs="宋体"/>
                <w:bCs/>
                <w:szCs w:val="21"/>
              </w:rPr>
              <w:t>分，第三名得</w:t>
            </w:r>
            <w:r>
              <w:rPr>
                <w:rFonts w:hint="default" w:ascii="宋体" w:hAnsi="宋体" w:cs="宋体"/>
                <w:bCs/>
                <w:szCs w:val="21"/>
              </w:rPr>
              <w:t>4</w:t>
            </w:r>
            <w:r>
              <w:rPr>
                <w:rFonts w:hint="eastAsia" w:ascii="宋体" w:hAnsi="宋体" w:eastAsia="宋体" w:cs="宋体"/>
                <w:bCs/>
                <w:szCs w:val="21"/>
              </w:rPr>
              <w:t>分，第四名得</w:t>
            </w:r>
            <w:r>
              <w:rPr>
                <w:rFonts w:hint="default" w:ascii="宋体" w:hAnsi="宋体" w:cs="宋体"/>
                <w:bCs/>
                <w:szCs w:val="21"/>
              </w:rPr>
              <w:t>2</w:t>
            </w:r>
            <w:r>
              <w:rPr>
                <w:rFonts w:hint="eastAsia" w:ascii="宋体" w:hAnsi="宋体" w:eastAsia="宋体" w:cs="宋体"/>
                <w:bCs/>
                <w:szCs w:val="21"/>
              </w:rPr>
              <w:t>分，其余得</w:t>
            </w:r>
            <w:r>
              <w:rPr>
                <w:rFonts w:hint="eastAsia" w:ascii="宋体" w:hAnsi="宋体" w:cs="宋体"/>
                <w:bCs/>
                <w:szCs w:val="21"/>
                <w:lang w:val="en-US" w:eastAsia="zh-CN"/>
              </w:rPr>
              <w:t>0</w:t>
            </w:r>
            <w:r>
              <w:rPr>
                <w:rFonts w:hint="eastAsia" w:ascii="宋体" w:hAnsi="宋体" w:eastAsia="宋体" w:cs="宋体"/>
                <w:bCs/>
                <w:szCs w:val="21"/>
              </w:rPr>
              <w:t>分。</w:t>
            </w:r>
          </w:p>
          <w:p>
            <w:pPr>
              <w:spacing w:line="360" w:lineRule="auto"/>
              <w:rPr>
                <w:rFonts w:hint="eastAsia" w:ascii="宋体" w:hAnsi="宋体" w:eastAsia="宋体" w:cs="宋体"/>
                <w:szCs w:val="21"/>
              </w:rPr>
            </w:pPr>
            <w:r>
              <w:rPr>
                <w:rFonts w:hint="eastAsia" w:ascii="宋体" w:hAnsi="宋体" w:eastAsia="宋体" w:cs="宋体"/>
                <w:szCs w:val="21"/>
              </w:rPr>
              <w:t>（</w:t>
            </w:r>
            <w:r>
              <w:rPr>
                <w:rFonts w:hint="eastAsia" w:ascii="宋体" w:hAnsi="宋体" w:cs="宋体"/>
                <w:szCs w:val="21"/>
                <w:lang w:val="en-US" w:eastAsia="zh-CN"/>
              </w:rPr>
              <w:t>3</w:t>
            </w:r>
            <w:r>
              <w:rPr>
                <w:rFonts w:hint="eastAsia" w:ascii="宋体" w:hAnsi="宋体" w:eastAsia="宋体" w:cs="宋体"/>
                <w:szCs w:val="21"/>
              </w:rPr>
              <w:t>）</w:t>
            </w:r>
            <w:r>
              <w:rPr>
                <w:rFonts w:hint="eastAsia" w:ascii="宋体" w:hAnsi="宋体" w:cs="宋体"/>
                <w:szCs w:val="21"/>
                <w:lang w:val="en-US" w:eastAsia="zh-CN"/>
              </w:rPr>
              <w:t>投标方优惠方案清晰简单，便于招标方查询优惠明细、核对优惠数额，打0-</w:t>
            </w:r>
            <w:r>
              <w:rPr>
                <w:rFonts w:hint="default" w:ascii="宋体" w:hAnsi="宋体" w:cs="宋体"/>
                <w:szCs w:val="21"/>
                <w:lang w:eastAsia="zh-CN"/>
              </w:rPr>
              <w:t>10</w:t>
            </w:r>
            <w:r>
              <w:rPr>
                <w:rFonts w:hint="eastAsia" w:ascii="宋体" w:hAnsi="宋体" w:cs="宋体"/>
                <w:szCs w:val="21"/>
                <w:lang w:val="en-US" w:eastAsia="zh-CN"/>
              </w:rPr>
              <w:t>分</w:t>
            </w:r>
          </w:p>
          <w:p>
            <w:pPr>
              <w:spacing w:line="360" w:lineRule="auto"/>
              <w:rPr>
                <w:rFonts w:hint="eastAsia" w:ascii="宋体" w:hAnsi="宋体" w:eastAsia="宋体" w:cs="宋体"/>
                <w:szCs w:val="21"/>
              </w:rPr>
            </w:pPr>
            <w:r>
              <w:rPr>
                <w:rFonts w:hint="eastAsia" w:ascii="宋体" w:hAnsi="宋体" w:eastAsia="宋体" w:cs="宋体"/>
                <w:szCs w:val="21"/>
              </w:rPr>
              <w:t>综合评价，打分0-</w:t>
            </w:r>
            <w:r>
              <w:rPr>
                <w:rFonts w:hint="default" w:ascii="宋体" w:hAnsi="宋体" w:cs="宋体"/>
                <w:szCs w:val="21"/>
              </w:rPr>
              <w:t>4</w:t>
            </w:r>
            <w:r>
              <w:rPr>
                <w:rFonts w:hint="eastAsia" w:ascii="宋体" w:hAnsi="宋体" w:eastAsia="宋体"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500" w:type="dxa"/>
            <w:vAlign w:val="center"/>
          </w:tcPr>
          <w:p>
            <w:pPr>
              <w:tabs>
                <w:tab w:val="left" w:pos="7854"/>
              </w:tabs>
              <w:spacing w:line="300" w:lineRule="exact"/>
              <w:rPr>
                <w:rFonts w:hint="eastAsia" w:ascii="宋体" w:hAnsi="宋体" w:eastAsia="宋体" w:cs="宋体"/>
                <w:szCs w:val="21"/>
              </w:rPr>
            </w:pPr>
            <w:r>
              <w:rPr>
                <w:rFonts w:hint="eastAsia" w:ascii="宋体" w:hAnsi="宋体" w:eastAsia="宋体" w:cs="宋体"/>
                <w:szCs w:val="21"/>
              </w:rPr>
              <w:t>售后服务/资质</w:t>
            </w:r>
          </w:p>
        </w:tc>
        <w:tc>
          <w:tcPr>
            <w:tcW w:w="875" w:type="dxa"/>
            <w:vAlign w:val="center"/>
          </w:tcPr>
          <w:p>
            <w:pPr>
              <w:spacing w:line="360" w:lineRule="auto"/>
              <w:jc w:val="center"/>
              <w:rPr>
                <w:rFonts w:hint="default" w:ascii="宋体" w:hAnsi="宋体" w:eastAsia="宋体" w:cs="宋体"/>
                <w:szCs w:val="21"/>
                <w:lang w:eastAsia="zh-CN"/>
              </w:rPr>
            </w:pPr>
            <w:r>
              <w:rPr>
                <w:rFonts w:hint="default" w:ascii="宋体" w:hAnsi="宋体" w:cs="宋体"/>
                <w:szCs w:val="21"/>
                <w:lang w:eastAsia="zh-CN"/>
              </w:rPr>
              <w:t>20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1.有完整的售后服务体系（1</w:t>
            </w:r>
            <w:r>
              <w:rPr>
                <w:rFonts w:hint="default" w:ascii="宋体" w:hAnsi="宋体" w:cs="宋体"/>
                <w:bCs/>
                <w:szCs w:val="21"/>
              </w:rPr>
              <w:t>0</w:t>
            </w:r>
            <w:r>
              <w:rPr>
                <w:rFonts w:hint="eastAsia" w:ascii="宋体" w:hAnsi="宋体" w:eastAsia="宋体" w:cs="宋体"/>
                <w:bCs/>
                <w:szCs w:val="21"/>
              </w:rPr>
              <w:t>分）</w:t>
            </w:r>
          </w:p>
          <w:p>
            <w:pPr>
              <w:spacing w:line="360" w:lineRule="auto"/>
              <w:rPr>
                <w:rFonts w:hint="eastAsia" w:ascii="宋体" w:hAnsi="宋体" w:eastAsia="宋体" w:cs="宋体"/>
                <w:bCs/>
                <w:szCs w:val="21"/>
              </w:rPr>
            </w:pPr>
            <w:r>
              <w:rPr>
                <w:rFonts w:hint="eastAsia" w:ascii="宋体" w:hAnsi="宋体" w:eastAsia="宋体" w:cs="宋体"/>
                <w:bCs/>
                <w:szCs w:val="21"/>
              </w:rPr>
              <w:t>2.提供完备的本地化服务支持承诺（1</w:t>
            </w:r>
            <w:r>
              <w:rPr>
                <w:rFonts w:hint="default" w:ascii="宋体" w:hAnsi="宋体" w:cs="宋体"/>
                <w:bCs/>
                <w:szCs w:val="21"/>
              </w:rPr>
              <w:t>0</w:t>
            </w:r>
            <w:r>
              <w:rPr>
                <w:rFonts w:hint="eastAsia" w:ascii="宋体" w:hAnsi="宋体" w:eastAsia="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1500" w:type="dxa"/>
            <w:vAlign w:val="center"/>
          </w:tcPr>
          <w:p>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pPr>
              <w:spacing w:line="360" w:lineRule="auto"/>
              <w:jc w:val="center"/>
              <w:rPr>
                <w:rFonts w:hint="default" w:ascii="宋体" w:hAnsi="宋体" w:eastAsia="宋体" w:cs="宋体"/>
                <w:szCs w:val="21"/>
              </w:rPr>
            </w:pPr>
            <w:r>
              <w:rPr>
                <w:rFonts w:hint="default" w:ascii="宋体" w:hAnsi="宋体" w:cs="宋体"/>
                <w:szCs w:val="21"/>
              </w:rPr>
              <w:t>20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投标人代表</w:t>
            </w:r>
            <w:r>
              <w:rPr>
                <w:rFonts w:hint="eastAsia" w:ascii="宋体" w:hAnsi="宋体" w:cs="宋体"/>
                <w:bCs/>
                <w:szCs w:val="21"/>
                <w:lang w:val="en-US" w:eastAsia="zh-CN"/>
              </w:rPr>
              <w:t>对能够提供的技术服务</w:t>
            </w:r>
            <w:r>
              <w:rPr>
                <w:rFonts w:hint="eastAsia" w:ascii="宋体" w:hAnsi="宋体" w:eastAsia="宋体" w:cs="宋体"/>
                <w:bCs/>
                <w:szCs w:val="21"/>
              </w:rPr>
              <w:t>的讲解，以及就该项目难点回答评标专家现场提问，打分0-</w:t>
            </w:r>
            <w:r>
              <w:rPr>
                <w:rFonts w:hint="default" w:ascii="宋体" w:hAnsi="宋体" w:cs="宋体"/>
                <w:bCs/>
                <w:szCs w:val="21"/>
              </w:rPr>
              <w:t>20</w:t>
            </w:r>
            <w:r>
              <w:rPr>
                <w:rFonts w:hint="eastAsia" w:ascii="宋体" w:hAnsi="宋体" w:eastAsia="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1500" w:type="dxa"/>
            <w:vAlign w:val="center"/>
          </w:tcPr>
          <w:p>
            <w:pPr>
              <w:spacing w:line="360" w:lineRule="auto"/>
              <w:rPr>
                <w:rFonts w:hint="eastAsia" w:ascii="宋体" w:hAnsi="宋体" w:eastAsia="宋体" w:cs="宋体"/>
                <w:szCs w:val="21"/>
              </w:rPr>
            </w:pPr>
            <w:r>
              <w:rPr>
                <w:rFonts w:hint="eastAsia" w:ascii="宋体" w:hAnsi="宋体" w:cs="宋体"/>
                <w:szCs w:val="21"/>
                <w:lang w:val="en-US" w:eastAsia="zh-CN"/>
              </w:rPr>
              <w:t>投标方</w:t>
            </w:r>
            <w:r>
              <w:rPr>
                <w:rFonts w:hint="eastAsia" w:ascii="宋体" w:hAnsi="宋体" w:eastAsia="宋体" w:cs="宋体"/>
                <w:szCs w:val="21"/>
              </w:rPr>
              <w:t>同类型项目业绩</w:t>
            </w:r>
          </w:p>
        </w:tc>
        <w:tc>
          <w:tcPr>
            <w:tcW w:w="875" w:type="dxa"/>
            <w:vAlign w:val="center"/>
          </w:tcPr>
          <w:p>
            <w:pPr>
              <w:spacing w:line="360" w:lineRule="auto"/>
              <w:jc w:val="center"/>
              <w:rPr>
                <w:rFonts w:hint="default" w:ascii="宋体" w:hAnsi="宋体" w:eastAsia="宋体" w:cs="宋体"/>
                <w:szCs w:val="21"/>
              </w:rPr>
            </w:pPr>
            <w:r>
              <w:rPr>
                <w:rFonts w:hint="default" w:ascii="宋体" w:hAnsi="宋体" w:cs="宋体"/>
                <w:szCs w:val="21"/>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同类型项目业绩：202</w:t>
            </w:r>
            <w:r>
              <w:rPr>
                <w:rFonts w:hint="eastAsia" w:ascii="宋体" w:hAnsi="宋体" w:cs="宋体"/>
                <w:bCs/>
                <w:szCs w:val="21"/>
                <w:lang w:val="en-US" w:eastAsia="zh-CN"/>
              </w:rPr>
              <w:t>3</w:t>
            </w:r>
            <w:r>
              <w:rPr>
                <w:rFonts w:hint="eastAsia" w:ascii="宋体" w:hAnsi="宋体" w:eastAsia="宋体" w:cs="宋体"/>
                <w:bCs/>
                <w:szCs w:val="21"/>
              </w:rPr>
              <w:t>年1月以来到现在以来已</w:t>
            </w:r>
            <w:r>
              <w:rPr>
                <w:rFonts w:hint="eastAsia" w:ascii="宋体" w:hAnsi="宋体" w:cs="宋体"/>
                <w:bCs/>
                <w:szCs w:val="21"/>
                <w:lang w:val="en-US" w:eastAsia="zh-CN"/>
              </w:rPr>
              <w:t>签订合同</w:t>
            </w:r>
            <w:r>
              <w:rPr>
                <w:rFonts w:hint="eastAsia" w:ascii="宋体" w:hAnsi="宋体" w:eastAsia="宋体" w:cs="宋体"/>
                <w:bCs/>
                <w:szCs w:val="21"/>
              </w:rPr>
              <w:t>的与本次招标项目类似产品的业绩，业绩最多者满分，第二名得</w:t>
            </w:r>
            <w:r>
              <w:rPr>
                <w:rFonts w:hint="default" w:ascii="宋体" w:hAnsi="宋体" w:cs="宋体"/>
                <w:bCs/>
                <w:szCs w:val="21"/>
              </w:rPr>
              <w:t>8</w:t>
            </w:r>
            <w:r>
              <w:rPr>
                <w:rFonts w:hint="eastAsia" w:ascii="宋体" w:hAnsi="宋体" w:eastAsia="宋体" w:cs="宋体"/>
                <w:bCs/>
                <w:szCs w:val="21"/>
              </w:rPr>
              <w:t>分，第三名得</w:t>
            </w:r>
            <w:r>
              <w:rPr>
                <w:rFonts w:hint="default" w:ascii="宋体" w:hAnsi="宋体" w:cs="宋体"/>
                <w:bCs/>
                <w:szCs w:val="21"/>
              </w:rPr>
              <w:t>6</w:t>
            </w:r>
            <w:r>
              <w:rPr>
                <w:rFonts w:hint="eastAsia" w:ascii="宋体" w:hAnsi="宋体" w:eastAsia="宋体" w:cs="宋体"/>
                <w:bCs/>
                <w:szCs w:val="21"/>
              </w:rPr>
              <w:t>分，第四名得</w:t>
            </w:r>
            <w:r>
              <w:rPr>
                <w:rFonts w:hint="default" w:ascii="宋体" w:hAnsi="宋体" w:cs="宋体"/>
                <w:bCs/>
                <w:szCs w:val="21"/>
              </w:rPr>
              <w:t>4</w:t>
            </w:r>
            <w:r>
              <w:rPr>
                <w:rFonts w:hint="eastAsia" w:ascii="宋体" w:hAnsi="宋体" w:eastAsia="宋体" w:cs="宋体"/>
                <w:bCs/>
                <w:szCs w:val="21"/>
              </w:rPr>
              <w:t>分，其余得</w:t>
            </w:r>
            <w:r>
              <w:rPr>
                <w:rFonts w:hint="default" w:ascii="宋体" w:hAnsi="宋体" w:cs="宋体"/>
                <w:bCs/>
                <w:szCs w:val="21"/>
              </w:rPr>
              <w:t>2</w:t>
            </w:r>
            <w:r>
              <w:rPr>
                <w:rFonts w:hint="eastAsia" w:ascii="宋体" w:hAnsi="宋体" w:eastAsia="宋体" w:cs="宋体"/>
                <w:bCs/>
                <w:szCs w:val="21"/>
              </w:rPr>
              <w:t>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6</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响应及偏离</w:t>
            </w:r>
          </w:p>
        </w:tc>
        <w:tc>
          <w:tcPr>
            <w:tcW w:w="875" w:type="dxa"/>
            <w:vAlign w:val="center"/>
          </w:tcPr>
          <w:p>
            <w:pPr>
              <w:spacing w:line="360" w:lineRule="auto"/>
              <w:jc w:val="center"/>
              <w:rPr>
                <w:rFonts w:hint="default" w:ascii="宋体" w:hAnsi="宋体" w:eastAsia="宋体" w:cs="宋体"/>
                <w:szCs w:val="21"/>
              </w:rPr>
            </w:pPr>
            <w:r>
              <w:rPr>
                <w:rFonts w:hint="default" w:ascii="宋体" w:hAnsi="宋体" w:cs="宋体"/>
                <w:szCs w:val="21"/>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由评标委员会成员独立进行客观、公正的评价，根据各投标单位的技术偏离情况，在满足我司技术基本要求的前提下偏离，无偏离得满分</w:t>
            </w:r>
            <w:r>
              <w:rPr>
                <w:rFonts w:hint="default" w:ascii="宋体" w:hAnsi="宋体" w:cs="宋体"/>
                <w:bCs/>
                <w:szCs w:val="21"/>
              </w:rPr>
              <w:t>10</w:t>
            </w:r>
            <w:r>
              <w:rPr>
                <w:rFonts w:hint="eastAsia" w:ascii="宋体" w:hAnsi="宋体" w:eastAsia="宋体" w:cs="宋体"/>
                <w:bCs/>
                <w:szCs w:val="21"/>
              </w:rPr>
              <w:t>分，较大偏离每一项扣</w:t>
            </w:r>
            <w:r>
              <w:rPr>
                <w:rFonts w:hint="default" w:ascii="宋体" w:hAnsi="宋体" w:cs="宋体"/>
                <w:bCs/>
                <w:szCs w:val="21"/>
              </w:rPr>
              <w:t>4</w:t>
            </w:r>
            <w:r>
              <w:rPr>
                <w:rFonts w:hint="eastAsia" w:ascii="宋体" w:hAnsi="宋体" w:eastAsia="宋体" w:cs="宋体"/>
                <w:bCs/>
                <w:szCs w:val="21"/>
              </w:rPr>
              <w:t>分，一般偏离每一项扣</w:t>
            </w:r>
            <w:r>
              <w:rPr>
                <w:rFonts w:hint="default" w:ascii="宋体" w:hAnsi="宋体" w:cs="宋体"/>
                <w:bCs/>
                <w:szCs w:val="21"/>
              </w:rPr>
              <w:t>2</w:t>
            </w:r>
            <w:r>
              <w:rPr>
                <w:rFonts w:hint="eastAsia" w:ascii="宋体" w:hAnsi="宋体" w:eastAsia="宋体" w:cs="宋体"/>
                <w:bCs/>
                <w:szCs w:val="21"/>
              </w:rPr>
              <w:t>分，最低0分。</w:t>
            </w:r>
          </w:p>
        </w:tc>
      </w:tr>
    </w:tbl>
    <w:p>
      <w:pPr>
        <w:pStyle w:val="58"/>
        <w:rPr>
          <w:rFonts w:hint="eastAsia" w:ascii="宋体" w:hAnsi="宋体" w:eastAsia="宋体" w:cs="宋体"/>
        </w:rPr>
      </w:pPr>
      <w:r>
        <w:rPr>
          <w:rFonts w:hint="eastAsia" w:ascii="宋体" w:hAnsi="宋体" w:eastAsia="宋体" w:cs="宋体"/>
        </w:rPr>
        <w:br w:type="page"/>
      </w:r>
      <w:bookmarkEnd w:id="16"/>
      <w:bookmarkStart w:id="22" w:name="_Toc425801541"/>
      <w:r>
        <w:rPr>
          <w:rFonts w:hint="eastAsia" w:ascii="宋体" w:hAnsi="宋体" w:eastAsia="宋体" w:cs="宋体"/>
        </w:rPr>
        <w:t>第二章技术协议书</w:t>
      </w:r>
    </w:p>
    <w:bookmarkEnd w:id="22"/>
    <w:p>
      <w:pPr>
        <w:pStyle w:val="3"/>
        <w:spacing w:before="120" w:after="120" w:line="480" w:lineRule="exact"/>
        <w:jc w:val="center"/>
        <w:rPr>
          <w:rFonts w:hint="eastAsia" w:ascii="Arial" w:hAnsi="Arial" w:eastAsia="仿宋"/>
          <w:b w:val="0"/>
          <w:bCs w:val="0"/>
          <w:color w:val="000000"/>
          <w:kern w:val="2"/>
          <w:sz w:val="32"/>
          <w:szCs w:val="32"/>
        </w:rPr>
      </w:pPr>
      <w:r>
        <w:rPr>
          <w:rFonts w:hint="eastAsia" w:ascii="Arial" w:hAnsi="Arial" w:eastAsia="仿宋"/>
          <w:b w:val="0"/>
          <w:bCs w:val="0"/>
          <w:color w:val="000000"/>
          <w:kern w:val="2"/>
          <w:sz w:val="32"/>
          <w:szCs w:val="32"/>
        </w:rPr>
        <w:t xml:space="preserve"> 采购货物概况</w:t>
      </w:r>
    </w:p>
    <w:p>
      <w:pPr>
        <w:pStyle w:val="2"/>
        <w:spacing w:before="120" w:after="120" w:line="480" w:lineRule="exact"/>
        <w:jc w:val="center"/>
        <w:rPr>
          <w:rFonts w:hint="eastAsia"/>
          <w:b w:val="0"/>
          <w:bCs w:val="0"/>
          <w:color w:val="000000"/>
          <w:sz w:val="28"/>
          <w:szCs w:val="28"/>
        </w:rPr>
      </w:pPr>
      <w:bookmarkStart w:id="23" w:name="_Toc465187639"/>
      <w:r>
        <w:rPr>
          <w:rFonts w:hint="eastAsia"/>
          <w:b w:val="0"/>
          <w:bCs w:val="0"/>
          <w:color w:val="000000"/>
          <w:sz w:val="28"/>
          <w:szCs w:val="28"/>
        </w:rPr>
        <w:t>第一节使用环境</w:t>
      </w:r>
      <w:bookmarkEnd w:id="23"/>
    </w:p>
    <w:p>
      <w:pPr>
        <w:pStyle w:val="78"/>
        <w:ind w:left="0" w:leftChars="0" w:firstLine="0" w:firstLineChars="0"/>
        <w:rPr>
          <w:rFonts w:ascii="仿宋" w:hAnsi="Arial" w:eastAsia="仿宋"/>
          <w:color w:val="000000"/>
        </w:rPr>
      </w:pPr>
      <w:r>
        <w:rPr>
          <w:rFonts w:hint="eastAsia" w:ascii="Arial" w:hAnsi="Arial" w:eastAsia="仿宋"/>
          <w:bCs/>
          <w:color w:val="000000"/>
          <w:sz w:val="28"/>
          <w:szCs w:val="30"/>
        </w:rPr>
        <w:t>一、项目名称：全国路试、三高试验、济南试验车用燃油采购（加油卡形式）项目</w:t>
      </w:r>
    </w:p>
    <w:p>
      <w:pPr>
        <w:spacing w:line="420" w:lineRule="exact"/>
        <w:rPr>
          <w:rFonts w:ascii="Arial" w:hAnsi="Arial"/>
          <w:color w:val="000000"/>
        </w:rPr>
      </w:pPr>
      <w:r>
        <w:rPr>
          <w:rFonts w:hint="eastAsia" w:ascii="Arial" w:hAnsi="Arial" w:eastAsia="仿宋"/>
          <w:bCs/>
          <w:color w:val="000000"/>
          <w:sz w:val="28"/>
          <w:szCs w:val="30"/>
        </w:rPr>
        <w:t>二、使用地点区域自然环境：</w:t>
      </w:r>
    </w:p>
    <w:p>
      <w:pPr>
        <w:spacing w:line="420" w:lineRule="exact"/>
        <w:ind w:firstLine="480" w:firstLineChars="200"/>
        <w:rPr>
          <w:rFonts w:hint="default" w:ascii="等线" w:hAnsi="等线" w:eastAsia="等线" w:cs="等线"/>
          <w:bCs/>
          <w:color w:val="000000"/>
          <w:sz w:val="24"/>
          <w:szCs w:val="24"/>
          <w:lang w:val="en-US" w:eastAsia="zh-CN"/>
        </w:rPr>
      </w:pPr>
      <w:r>
        <w:rPr>
          <w:rFonts w:hint="eastAsia" w:ascii="等线" w:hAnsi="等线" w:eastAsia="等线" w:cs="等线"/>
          <w:bCs/>
          <w:color w:val="000000"/>
          <w:sz w:val="24"/>
          <w:szCs w:val="24"/>
        </w:rPr>
        <w:t>1、</w:t>
      </w:r>
      <w:r>
        <w:rPr>
          <w:rFonts w:hint="eastAsia" w:ascii="等线" w:hAnsi="等线" w:eastAsia="等线" w:cs="等线"/>
          <w:bCs/>
          <w:color w:val="000000"/>
          <w:sz w:val="24"/>
          <w:szCs w:val="24"/>
          <w:lang w:val="en-US" w:eastAsia="zh-CN"/>
        </w:rPr>
        <w:t>路线范围遍及全国，尤其极端环境的偏远地区</w:t>
      </w:r>
    </w:p>
    <w:p>
      <w:pPr>
        <w:spacing w:line="420" w:lineRule="exact"/>
        <w:ind w:firstLine="480" w:firstLineChars="200"/>
        <w:rPr>
          <w:rFonts w:hint="eastAsia" w:ascii="等线" w:hAnsi="等线" w:eastAsia="等线" w:cs="等线"/>
          <w:bCs/>
          <w:color w:val="000000"/>
          <w:sz w:val="24"/>
          <w:szCs w:val="24"/>
        </w:rPr>
      </w:pPr>
      <w:r>
        <w:rPr>
          <w:rFonts w:hint="eastAsia" w:ascii="等线" w:hAnsi="等线" w:eastAsia="等线" w:cs="等线"/>
          <w:bCs/>
          <w:color w:val="000000"/>
          <w:sz w:val="24"/>
          <w:szCs w:val="24"/>
          <w:lang w:val="en-US" w:eastAsia="zh-CN"/>
        </w:rPr>
        <w:t>2、</w:t>
      </w:r>
      <w:r>
        <w:rPr>
          <w:rFonts w:hint="eastAsia" w:ascii="等线" w:hAnsi="等线" w:eastAsia="等线" w:cs="等线"/>
          <w:bCs/>
          <w:color w:val="000000"/>
          <w:sz w:val="24"/>
          <w:szCs w:val="24"/>
        </w:rPr>
        <w:t>海拔高度：</w:t>
      </w:r>
      <w:r>
        <w:rPr>
          <w:rFonts w:hint="eastAsia" w:ascii="等线" w:hAnsi="等线" w:eastAsia="等线" w:cs="等线"/>
          <w:bCs/>
          <w:color w:val="000000"/>
          <w:sz w:val="24"/>
          <w:szCs w:val="24"/>
          <w:lang w:val="en-US" w:eastAsia="zh-CN"/>
        </w:rPr>
        <w:t>5500</w:t>
      </w:r>
      <w:r>
        <w:rPr>
          <w:rFonts w:hint="eastAsia" w:ascii="等线" w:hAnsi="等线" w:eastAsia="等线" w:cs="等线"/>
          <w:bCs/>
          <w:color w:val="000000"/>
          <w:sz w:val="24"/>
          <w:szCs w:val="24"/>
        </w:rPr>
        <w:t>m</w:t>
      </w:r>
      <w:r>
        <w:rPr>
          <w:rFonts w:hint="eastAsia" w:ascii="等线" w:hAnsi="等线" w:eastAsia="等线" w:cs="等线"/>
          <w:bCs/>
          <w:color w:val="000000"/>
          <w:sz w:val="24"/>
          <w:szCs w:val="24"/>
          <w:lang w:val="en-US" w:eastAsia="zh-CN"/>
        </w:rPr>
        <w:t>及</w:t>
      </w:r>
      <w:r>
        <w:rPr>
          <w:rFonts w:hint="eastAsia" w:ascii="等线" w:hAnsi="等线" w:eastAsia="等线" w:cs="等线"/>
          <w:bCs/>
          <w:color w:val="000000"/>
          <w:sz w:val="24"/>
          <w:szCs w:val="24"/>
        </w:rPr>
        <w:t>以下。</w:t>
      </w:r>
    </w:p>
    <w:p>
      <w:pPr>
        <w:spacing w:line="420" w:lineRule="exact"/>
        <w:ind w:firstLine="480" w:firstLineChars="200"/>
        <w:rPr>
          <w:rFonts w:hint="eastAsia" w:ascii="等线" w:hAnsi="等线" w:eastAsia="等线" w:cs="等线"/>
          <w:color w:val="000000"/>
          <w:sz w:val="24"/>
          <w:szCs w:val="24"/>
        </w:rPr>
      </w:pPr>
      <w:r>
        <w:rPr>
          <w:rFonts w:hint="eastAsia" w:ascii="等线" w:hAnsi="等线" w:eastAsia="等线" w:cs="等线"/>
          <w:bCs/>
          <w:color w:val="000000"/>
          <w:sz w:val="24"/>
          <w:szCs w:val="24"/>
          <w:lang w:val="en-US" w:eastAsia="zh-CN"/>
        </w:rPr>
        <w:t>3</w:t>
      </w:r>
      <w:r>
        <w:rPr>
          <w:rFonts w:hint="eastAsia" w:ascii="等线" w:hAnsi="等线" w:eastAsia="等线" w:cs="等线"/>
          <w:bCs/>
          <w:color w:val="000000"/>
          <w:sz w:val="24"/>
          <w:szCs w:val="24"/>
        </w:rPr>
        <w:t>、</w:t>
      </w:r>
      <w:r>
        <w:rPr>
          <w:rFonts w:hint="eastAsia" w:ascii="等线" w:hAnsi="等线" w:eastAsia="等线" w:cs="等线"/>
          <w:color w:val="000000"/>
          <w:sz w:val="24"/>
          <w:szCs w:val="24"/>
        </w:rPr>
        <w:t>环境温度：极端最低温度-</w:t>
      </w:r>
      <w:r>
        <w:rPr>
          <w:rFonts w:hint="eastAsia" w:ascii="等线" w:hAnsi="等线" w:eastAsia="等线" w:cs="等线"/>
          <w:color w:val="000000"/>
          <w:sz w:val="24"/>
          <w:szCs w:val="24"/>
          <w:lang w:val="en-US" w:eastAsia="zh-CN"/>
        </w:rPr>
        <w:t>50</w:t>
      </w:r>
      <w:r>
        <w:rPr>
          <w:rFonts w:hint="eastAsia" w:ascii="等线" w:hAnsi="等线" w:eastAsia="等线" w:cs="等线"/>
          <w:color w:val="000000"/>
          <w:sz w:val="24"/>
          <w:szCs w:val="24"/>
        </w:rPr>
        <w:t>℃、极端最高温度</w:t>
      </w:r>
      <w:r>
        <w:rPr>
          <w:rFonts w:hint="eastAsia" w:ascii="等线" w:hAnsi="等线" w:eastAsia="等线" w:cs="等线"/>
          <w:color w:val="000000"/>
          <w:sz w:val="24"/>
          <w:szCs w:val="24"/>
          <w:lang w:val="en-US" w:eastAsia="zh-CN"/>
        </w:rPr>
        <w:t>55</w:t>
      </w:r>
      <w:r>
        <w:rPr>
          <w:rFonts w:hint="eastAsia" w:ascii="等线" w:hAnsi="等线" w:eastAsia="等线" w:cs="等线"/>
          <w:color w:val="000000"/>
          <w:sz w:val="24"/>
          <w:szCs w:val="24"/>
        </w:rPr>
        <w:t>℃</w:t>
      </w:r>
      <w:r>
        <w:rPr>
          <w:rFonts w:hint="eastAsia" w:ascii="等线" w:hAnsi="等线" w:eastAsia="等线" w:cs="等线"/>
          <w:bCs/>
          <w:color w:val="000000"/>
          <w:sz w:val="24"/>
          <w:szCs w:val="24"/>
        </w:rPr>
        <w:t>。</w:t>
      </w:r>
    </w:p>
    <w:p>
      <w:pPr>
        <w:spacing w:line="420" w:lineRule="exact"/>
        <w:ind w:firstLine="480" w:firstLineChars="200"/>
        <w:rPr>
          <w:rFonts w:hint="eastAsia" w:ascii="等线" w:hAnsi="等线" w:eastAsia="等线" w:cs="等线"/>
          <w:bCs/>
          <w:color w:val="000000"/>
          <w:sz w:val="24"/>
          <w:szCs w:val="24"/>
        </w:rPr>
      </w:pPr>
      <w:r>
        <w:rPr>
          <w:rFonts w:hint="eastAsia" w:ascii="等线" w:hAnsi="等线" w:eastAsia="等线" w:cs="等线"/>
          <w:color w:val="000000"/>
          <w:sz w:val="24"/>
          <w:szCs w:val="24"/>
          <w:lang w:val="en-US" w:eastAsia="zh-CN"/>
        </w:rPr>
        <w:t>4</w:t>
      </w:r>
      <w:r>
        <w:rPr>
          <w:rFonts w:hint="eastAsia" w:ascii="等线" w:hAnsi="等线" w:eastAsia="等线" w:cs="等线"/>
          <w:color w:val="000000"/>
          <w:sz w:val="24"/>
          <w:szCs w:val="24"/>
        </w:rPr>
        <w:t>、相对湿度：</w:t>
      </w:r>
      <w:r>
        <w:rPr>
          <w:rFonts w:hint="eastAsia" w:ascii="等线" w:hAnsi="等线" w:eastAsia="等线" w:cs="等线"/>
          <w:bCs/>
          <w:color w:val="000000"/>
          <w:sz w:val="24"/>
          <w:szCs w:val="24"/>
        </w:rPr>
        <w:t>最大95%、最小15%。</w:t>
      </w:r>
    </w:p>
    <w:p>
      <w:pPr>
        <w:pStyle w:val="2"/>
        <w:spacing w:before="120" w:after="120" w:line="480" w:lineRule="exact"/>
        <w:jc w:val="center"/>
        <w:rPr>
          <w:b w:val="0"/>
          <w:color w:val="000000"/>
          <w:sz w:val="24"/>
          <w:szCs w:val="24"/>
        </w:rPr>
      </w:pPr>
      <w:bookmarkStart w:id="24" w:name="_Toc465187640"/>
      <w:r>
        <w:rPr>
          <w:rFonts w:hint="eastAsia"/>
          <w:b w:val="0"/>
          <w:bCs w:val="0"/>
          <w:color w:val="000000"/>
          <w:sz w:val="28"/>
          <w:szCs w:val="28"/>
        </w:rPr>
        <w:t>第二节 采购货物概况</w:t>
      </w:r>
      <w:bookmarkEnd w:id="24"/>
    </w:p>
    <w:p>
      <w:pPr>
        <w:spacing w:line="420" w:lineRule="exact"/>
        <w:jc w:val="left"/>
        <w:rPr>
          <w:rFonts w:hint="eastAsia" w:ascii="Arial" w:hAnsi="Arial" w:eastAsia="仿宋"/>
          <w:b w:val="0"/>
          <w:bCs w:val="0"/>
          <w:color w:val="000000"/>
          <w:kern w:val="2"/>
          <w:sz w:val="32"/>
          <w:szCs w:val="32"/>
        </w:rPr>
      </w:pPr>
      <w:r>
        <w:rPr>
          <w:rFonts w:hint="eastAsia" w:ascii="Arial" w:hAnsi="Arial" w:eastAsia="仿宋"/>
          <w:bCs/>
          <w:color w:val="000000"/>
          <w:sz w:val="28"/>
          <w:szCs w:val="30"/>
        </w:rPr>
        <w:t>一、货物名称</w:t>
      </w:r>
      <w:r>
        <w:rPr>
          <w:rFonts w:hint="eastAsia" w:ascii="仿宋" w:hAnsi="仿宋" w:eastAsia="仿宋" w:cs="仿宋"/>
          <w:bCs/>
          <w:color w:val="000000"/>
          <w:sz w:val="28"/>
          <w:szCs w:val="30"/>
        </w:rPr>
        <w:t>：试验车辆用</w:t>
      </w:r>
      <w:r>
        <w:rPr>
          <w:rFonts w:hint="eastAsia" w:ascii="仿宋" w:hAnsi="仿宋" w:eastAsia="仿宋" w:cs="仿宋"/>
          <w:bCs/>
          <w:color w:val="000000"/>
          <w:sz w:val="28"/>
          <w:szCs w:val="30"/>
          <w:lang w:val="en-US" w:eastAsia="zh-CN"/>
        </w:rPr>
        <w:t>各种标号柴油（至少能够</w:t>
      </w:r>
      <w:r>
        <w:rPr>
          <w:rFonts w:hint="eastAsia" w:ascii="仿宋" w:hAnsi="仿宋" w:eastAsia="仿宋" w:cs="仿宋"/>
          <w:b w:val="0"/>
          <w:bCs/>
          <w:color w:val="000000"/>
          <w:sz w:val="28"/>
          <w:szCs w:val="30"/>
          <w:lang w:val="en-US" w:eastAsia="zh-CN"/>
        </w:rPr>
        <w:t>包含0#、-10#、-20#、-35#、-50#（极寒地区））和汽油（至少包含92#、95#）</w:t>
      </w:r>
      <w:r>
        <w:rPr>
          <w:rFonts w:hint="eastAsia" w:ascii="Arial" w:hAnsi="Arial" w:eastAsia="仿宋"/>
          <w:b w:val="0"/>
          <w:bCs/>
          <w:color w:val="000000"/>
          <w:sz w:val="28"/>
          <w:szCs w:val="30"/>
        </w:rPr>
        <w:br w:type="page"/>
      </w:r>
      <w:bookmarkStart w:id="25" w:name="_Toc465187641"/>
      <w:r>
        <w:rPr>
          <w:rFonts w:hint="eastAsia" w:ascii="Arial" w:hAnsi="Arial" w:eastAsia="仿宋"/>
          <w:b w:val="0"/>
          <w:bCs w:val="0"/>
          <w:color w:val="000000"/>
          <w:kern w:val="2"/>
          <w:sz w:val="32"/>
          <w:szCs w:val="32"/>
        </w:rPr>
        <w:t xml:space="preserve"> 技术要求</w:t>
      </w:r>
    </w:p>
    <w:p>
      <w:pPr>
        <w:pStyle w:val="80"/>
        <w:rPr>
          <w:rFonts w:hint="eastAsia" w:ascii="仿宋"/>
          <w:color w:val="000000"/>
          <w:szCs w:val="28"/>
          <w:lang w:val="en-US" w:eastAsia="zh-CN"/>
        </w:rPr>
      </w:pPr>
      <w:r>
        <w:rPr>
          <w:rFonts w:hint="eastAsia" w:ascii="仿宋"/>
          <w:color w:val="000000"/>
          <w:szCs w:val="28"/>
          <w:lang w:val="en-US" w:eastAsia="zh-CN"/>
        </w:rPr>
        <w:t>一、特别提示</w:t>
      </w:r>
    </w:p>
    <w:p>
      <w:pPr>
        <w:spacing w:line="360" w:lineRule="auto"/>
        <w:ind w:firstLine="420" w:firstLineChars="200"/>
        <w:rPr>
          <w:rFonts w:hint="eastAsia"/>
        </w:rPr>
      </w:pPr>
      <w:r>
        <w:rPr>
          <w:rFonts w:hint="eastAsia"/>
        </w:rPr>
        <w:t>1</w:t>
      </w:r>
      <w:r>
        <w:rPr>
          <w:rFonts w:hint="eastAsia" w:ascii="等线" w:hAnsi="等线" w:eastAsia="等线" w:cs="等线"/>
          <w:color w:val="000000"/>
          <w:sz w:val="24"/>
          <w:szCs w:val="24"/>
        </w:rPr>
        <w:t>、本章技术要求，仅对功能、设计、结构、性能、转运、存放和试验检验等方面，提出了最低和一般性的技术要求，并未对一切技术细节作出规定。</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2、本技术要求所使用的标准、规范等，如与投标方所执行的标准、规范不一致时，应按高于本技术要求所列的标准、规范执行。</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3、投标方应根据招投标货物具体要求，提出对超出招标文件、投标文件、答疑文件、技术交流文件、技术协议书和合同等规定的、有特殊需要的解释、说明和要求。</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4、无论是否有技术偏离，投标方均应在投标文件“技术偏离”中明确作出有无说明。若有异议，不管是多么微小，投标方必须予以明确和详细的说明或澄清。</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5、为避免投标方优势在招标评审时漏项，质保期超出本技术标书要求的，应当在投标文件“技术偏离”中特别注明。</w:t>
      </w:r>
    </w:p>
    <w:p>
      <w:pPr>
        <w:pStyle w:val="80"/>
        <w:rPr>
          <w:rFonts w:hint="eastAsia" w:ascii="仿宋"/>
          <w:color w:val="000000"/>
          <w:szCs w:val="28"/>
          <w:lang w:val="en-US" w:eastAsia="zh-CN"/>
        </w:rPr>
      </w:pPr>
      <w:r>
        <w:rPr>
          <w:rFonts w:hint="eastAsia" w:ascii="仿宋"/>
          <w:color w:val="000000"/>
          <w:szCs w:val="28"/>
          <w:lang w:val="en-US" w:eastAsia="zh-CN"/>
        </w:rPr>
        <w:t>二、基本要求</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1、投标方所供的货物，必须符合中国最新版的法律、法规和相关标准、规范的要求，符合项目所在地政府有关特殊要求。</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2、投标方所供货物涉及的专利权技术以及知识产权保护的其它技术等，应保证招标方不因此受到任何侵权指控以及实际损失。</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3、投标方应保证所供货物的先进性、可靠性、经济性和实用性，并为全新货物（或设备）。</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4、投标方应满足招标方提出的各项技术要求，必要时应当免费提供技术承诺或担保。</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5、投标方应保证所供货物（或设备）为中国政府指定或规定的主管部门公布的非淘汰货物（或设备），并尽力提供中国政府指定或规定的主管部门认可的环保型和节能型货物（或设备）。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6、投标方应保证所供货物的完整性和成套性，提供货物便携转运箱，能保证货物的正常运行、使用。</w:t>
      </w:r>
    </w:p>
    <w:p>
      <w:pPr>
        <w:spacing w:line="360" w:lineRule="auto"/>
        <w:ind w:firstLine="480" w:firstLineChars="200"/>
        <w:rPr>
          <w:rFonts w:ascii="Arial" w:hAnsi="Arial"/>
          <w:color w:val="000000"/>
        </w:rPr>
      </w:pPr>
      <w:r>
        <w:rPr>
          <w:rFonts w:hint="eastAsia" w:ascii="等线" w:hAnsi="等线" w:eastAsia="等线" w:cs="等线"/>
          <w:color w:val="000000"/>
          <w:sz w:val="24"/>
          <w:szCs w:val="24"/>
        </w:rPr>
        <w:t>7、投标方应对招标方采购的货物所涉及的技术、产能等信息负有保密义务，招标方拥有追究投标方泄密责任的权利；招标方如有需要，投标方应无条件签署保密协议。</w:t>
      </w:r>
    </w:p>
    <w:p>
      <w:pPr>
        <w:pStyle w:val="80"/>
        <w:rPr>
          <w:rFonts w:hint="eastAsia" w:ascii="仿宋"/>
          <w:color w:val="000000"/>
          <w:szCs w:val="28"/>
          <w:lang w:val="en-US" w:eastAsia="zh-CN"/>
        </w:rPr>
      </w:pPr>
      <w:r>
        <w:rPr>
          <w:rFonts w:hint="eastAsia" w:ascii="仿宋"/>
          <w:color w:val="000000"/>
          <w:szCs w:val="28"/>
          <w:lang w:val="en-US" w:eastAsia="zh-CN"/>
        </w:rPr>
        <w:t>三、技术要求：</w:t>
      </w:r>
    </w:p>
    <w:p>
      <w:pPr>
        <w:spacing w:line="360" w:lineRule="auto"/>
        <w:ind w:firstLine="480" w:firstLineChars="200"/>
        <w:rPr>
          <w:rFonts w:hint="default" w:ascii="等线" w:hAnsi="等线" w:eastAsia="等线" w:cs="等线"/>
          <w:color w:val="000000"/>
          <w:sz w:val="24"/>
          <w:szCs w:val="24"/>
          <w:lang w:val="en-US" w:eastAsia="zh-CN"/>
        </w:rPr>
      </w:pPr>
      <w:r>
        <w:rPr>
          <w:rFonts w:hint="eastAsia" w:ascii="等线" w:hAnsi="等线" w:eastAsia="等线" w:cs="等线"/>
          <w:b/>
          <w:color w:val="000000"/>
          <w:sz w:val="24"/>
          <w:szCs w:val="24"/>
        </w:rPr>
        <w:t>（注：带*的项目为</w:t>
      </w:r>
      <w:r>
        <w:rPr>
          <w:rFonts w:hint="eastAsia" w:ascii="等线" w:hAnsi="等线" w:eastAsia="等线" w:cs="等线"/>
          <w:b/>
          <w:color w:val="000000"/>
          <w:sz w:val="24"/>
          <w:szCs w:val="24"/>
          <w:lang w:val="en-US" w:eastAsia="zh-CN"/>
        </w:rPr>
        <w:t>淘汰</w:t>
      </w:r>
      <w:r>
        <w:rPr>
          <w:rFonts w:hint="eastAsia" w:ascii="等线" w:hAnsi="等线" w:eastAsia="等线" w:cs="等线"/>
          <w:b/>
          <w:color w:val="000000"/>
          <w:sz w:val="24"/>
          <w:szCs w:val="24"/>
        </w:rPr>
        <w:t>项目，如有一项不能满足即</w:t>
      </w:r>
      <w:r>
        <w:rPr>
          <w:rFonts w:hint="eastAsia" w:ascii="等线" w:hAnsi="等线" w:eastAsia="等线" w:cs="等线"/>
          <w:b/>
          <w:color w:val="000000"/>
          <w:sz w:val="24"/>
          <w:szCs w:val="24"/>
          <w:lang w:val="en-US" w:eastAsia="zh-CN"/>
        </w:rPr>
        <w:t>淘汰</w:t>
      </w:r>
      <w:r>
        <w:rPr>
          <w:rFonts w:hint="eastAsia" w:ascii="等线" w:hAnsi="等线" w:eastAsia="等线" w:cs="等线"/>
          <w:b/>
          <w:color w:val="000000"/>
          <w:sz w:val="24"/>
          <w:szCs w:val="24"/>
        </w:rPr>
        <w:t>）</w:t>
      </w:r>
    </w:p>
    <w:p>
      <w:pPr>
        <w:spacing w:line="360" w:lineRule="auto"/>
        <w:ind w:firstLine="480" w:firstLineChars="200"/>
        <w:jc w:val="left"/>
        <w:rPr>
          <w:rFonts w:hint="eastAsia" w:ascii="等线" w:hAnsi="等线" w:eastAsia="等线" w:cs="等线"/>
          <w:color w:val="000000"/>
          <w:sz w:val="24"/>
          <w:szCs w:val="24"/>
          <w:lang w:val="it-IT"/>
        </w:rPr>
      </w:pPr>
      <w:r>
        <w:rPr>
          <w:rFonts w:hint="eastAsia" w:ascii="等线" w:hAnsi="等线" w:eastAsia="等线" w:cs="等线"/>
          <w:color w:val="000000"/>
          <w:sz w:val="24"/>
          <w:szCs w:val="24"/>
          <w:lang w:val="en-US" w:eastAsia="zh-CN"/>
        </w:rPr>
        <w:t>*1、</w:t>
      </w:r>
      <w:r>
        <w:rPr>
          <w:rFonts w:hint="eastAsia" w:ascii="等线" w:hAnsi="等线" w:eastAsia="等线" w:cs="等线"/>
          <w:color w:val="000000"/>
          <w:sz w:val="24"/>
          <w:szCs w:val="24"/>
          <w:lang w:val="it-IT"/>
        </w:rPr>
        <w:t>所供柴油必须满足GB 19147-2016技术要求，</w:t>
      </w:r>
      <w:r>
        <w:rPr>
          <w:rFonts w:hint="eastAsia" w:ascii="等线" w:hAnsi="等线" w:eastAsia="等线" w:cs="等线"/>
          <w:color w:val="000000"/>
          <w:sz w:val="24"/>
          <w:szCs w:val="24"/>
          <w:lang w:val="en-US" w:eastAsia="zh-CN"/>
        </w:rPr>
        <w:t>所供汽油必须满足GB 17930-2016技术要求，</w:t>
      </w:r>
      <w:r>
        <w:rPr>
          <w:rFonts w:hint="eastAsia" w:ascii="等线" w:hAnsi="等线" w:eastAsia="等线" w:cs="等线"/>
          <w:color w:val="000000"/>
          <w:sz w:val="24"/>
          <w:szCs w:val="24"/>
          <w:lang w:val="it-IT"/>
        </w:rPr>
        <w:t>并</w:t>
      </w:r>
      <w:r>
        <w:rPr>
          <w:rFonts w:hint="eastAsia" w:ascii="等线" w:hAnsi="等线" w:eastAsia="等线" w:cs="等线"/>
          <w:color w:val="000000"/>
          <w:sz w:val="24"/>
          <w:szCs w:val="24"/>
          <w:lang w:val="en-US" w:eastAsia="zh-CN"/>
        </w:rPr>
        <w:t>可</w:t>
      </w:r>
      <w:r>
        <w:rPr>
          <w:rFonts w:hint="eastAsia" w:ascii="等线" w:hAnsi="等线" w:eastAsia="等线" w:cs="等线"/>
          <w:color w:val="000000"/>
          <w:sz w:val="24"/>
          <w:szCs w:val="24"/>
          <w:lang w:val="it-IT"/>
        </w:rPr>
        <w:t>定期提供油品相关证明材料。买方可随时对卖方所供油品进行抽样检测，</w:t>
      </w:r>
      <w:r>
        <w:rPr>
          <w:rFonts w:hint="eastAsia" w:ascii="等线" w:hAnsi="等线" w:eastAsia="等线" w:cs="等线"/>
          <w:color w:val="000000"/>
          <w:sz w:val="24"/>
          <w:szCs w:val="24"/>
          <w:lang w:val="en-US" w:eastAsia="zh-CN"/>
        </w:rPr>
        <w:t>经质量检测部门</w:t>
      </w:r>
      <w:r>
        <w:rPr>
          <w:rFonts w:hint="eastAsia" w:ascii="等线" w:hAnsi="等线" w:eastAsia="等线" w:cs="等线"/>
          <w:color w:val="000000"/>
          <w:sz w:val="24"/>
          <w:szCs w:val="24"/>
          <w:lang w:val="it-IT"/>
        </w:rPr>
        <w:t>检测不合格，</w:t>
      </w:r>
      <w:r>
        <w:rPr>
          <w:rFonts w:hint="eastAsia" w:ascii="等线" w:hAnsi="等线" w:eastAsia="等线" w:cs="等线"/>
          <w:color w:val="000000"/>
          <w:sz w:val="24"/>
          <w:szCs w:val="24"/>
          <w:lang w:val="en-US" w:eastAsia="zh-CN"/>
        </w:rPr>
        <w:t>供方需</w:t>
      </w:r>
      <w:r>
        <w:rPr>
          <w:rFonts w:hint="eastAsia" w:ascii="等线" w:hAnsi="等线" w:eastAsia="等线" w:cs="等线"/>
          <w:color w:val="000000"/>
          <w:sz w:val="24"/>
          <w:szCs w:val="24"/>
          <w:lang w:val="it-IT"/>
        </w:rPr>
        <w:t>赔偿由油品质量问题对买方试验车辆造成的</w:t>
      </w:r>
      <w:r>
        <w:rPr>
          <w:rFonts w:hint="eastAsia" w:ascii="等线" w:hAnsi="等线" w:eastAsia="等线" w:cs="等线"/>
          <w:color w:val="000000"/>
          <w:sz w:val="24"/>
          <w:szCs w:val="24"/>
          <w:lang w:val="en-US" w:eastAsia="zh-CN"/>
        </w:rPr>
        <w:t>一切</w:t>
      </w:r>
      <w:r>
        <w:rPr>
          <w:rFonts w:hint="eastAsia" w:ascii="等线" w:hAnsi="等线" w:eastAsia="等线" w:cs="等线"/>
          <w:color w:val="000000"/>
          <w:sz w:val="24"/>
          <w:szCs w:val="24"/>
          <w:lang w:val="it-IT"/>
        </w:rPr>
        <w:t>损失；第二次检测不合格，</w:t>
      </w:r>
      <w:r>
        <w:rPr>
          <w:rFonts w:hint="eastAsia" w:ascii="等线" w:hAnsi="等线" w:eastAsia="等线" w:cs="等线"/>
          <w:color w:val="000000"/>
          <w:sz w:val="24"/>
          <w:szCs w:val="24"/>
          <w:lang w:val="en-US" w:eastAsia="zh-CN"/>
        </w:rPr>
        <w:t>则</w:t>
      </w:r>
      <w:r>
        <w:rPr>
          <w:rFonts w:hint="eastAsia" w:ascii="等线" w:hAnsi="等线" w:eastAsia="等线" w:cs="等线"/>
          <w:color w:val="000000"/>
          <w:sz w:val="24"/>
          <w:szCs w:val="24"/>
          <w:lang w:val="it-IT"/>
        </w:rPr>
        <w:t>暂停</w:t>
      </w:r>
      <w:r>
        <w:rPr>
          <w:rFonts w:hint="eastAsia" w:ascii="等线" w:hAnsi="等线" w:eastAsia="等线" w:cs="等线"/>
          <w:color w:val="000000"/>
          <w:sz w:val="24"/>
          <w:szCs w:val="24"/>
          <w:lang w:val="en-US" w:eastAsia="zh-CN"/>
        </w:rPr>
        <w:t>燃油</w:t>
      </w:r>
      <w:r>
        <w:rPr>
          <w:rFonts w:hint="eastAsia" w:ascii="等线" w:hAnsi="等线" w:eastAsia="等线" w:cs="等线"/>
          <w:color w:val="000000"/>
          <w:sz w:val="24"/>
          <w:szCs w:val="24"/>
          <w:lang w:val="it-IT"/>
        </w:rPr>
        <w:t>供应</w:t>
      </w:r>
      <w:r>
        <w:rPr>
          <w:rFonts w:hint="eastAsia" w:ascii="等线" w:hAnsi="等线" w:eastAsia="等线" w:cs="等线"/>
          <w:color w:val="000000"/>
          <w:sz w:val="24"/>
          <w:szCs w:val="24"/>
          <w:lang w:val="en-US" w:eastAsia="zh-CN"/>
        </w:rPr>
        <w:t>并赔偿相应损失</w:t>
      </w:r>
      <w:r>
        <w:rPr>
          <w:rFonts w:hint="eastAsia" w:ascii="等线" w:hAnsi="等线" w:eastAsia="等线" w:cs="等线"/>
          <w:color w:val="000000"/>
          <w:sz w:val="24"/>
          <w:szCs w:val="24"/>
          <w:lang w:val="it-IT"/>
        </w:rPr>
        <w:t>。</w:t>
      </w:r>
    </w:p>
    <w:p>
      <w:pPr>
        <w:spacing w:line="360" w:lineRule="auto"/>
        <w:ind w:firstLine="480" w:firstLineChars="200"/>
        <w:jc w:val="left"/>
        <w:rPr>
          <w:rFonts w:hint="eastAsia" w:ascii="等线" w:hAnsi="等线" w:eastAsia="等线" w:cs="等线"/>
          <w:color w:val="000000"/>
          <w:sz w:val="24"/>
          <w:szCs w:val="24"/>
          <w:lang w:val="it-IT" w:eastAsia="zh-CN"/>
        </w:rPr>
      </w:pPr>
      <w:r>
        <w:rPr>
          <w:rFonts w:hint="eastAsia" w:ascii="等线" w:hAnsi="等线" w:eastAsia="等线" w:cs="等线"/>
          <w:color w:val="000000"/>
          <w:sz w:val="24"/>
          <w:szCs w:val="24"/>
          <w:lang w:val="en-US" w:eastAsia="zh-CN"/>
        </w:rPr>
        <w:t>*2、</w:t>
      </w:r>
      <w:r>
        <w:rPr>
          <w:rFonts w:hint="eastAsia" w:ascii="等线" w:hAnsi="等线" w:eastAsia="等线" w:cs="等线"/>
          <w:color w:val="000000"/>
          <w:sz w:val="24"/>
          <w:szCs w:val="24"/>
          <w:lang w:val="it-IT"/>
        </w:rPr>
        <w:t>以方便</w:t>
      </w:r>
      <w:r>
        <w:rPr>
          <w:rFonts w:hint="eastAsia" w:ascii="等线" w:hAnsi="等线" w:eastAsia="等线" w:cs="等线"/>
          <w:color w:val="000000"/>
          <w:sz w:val="24"/>
          <w:szCs w:val="24"/>
          <w:lang w:val="en-US" w:eastAsia="zh-CN"/>
        </w:rPr>
        <w:t>招标方试验车在全国范围内</w:t>
      </w:r>
      <w:r>
        <w:rPr>
          <w:rFonts w:hint="eastAsia" w:ascii="等线" w:hAnsi="等线" w:eastAsia="等线" w:cs="等线"/>
          <w:color w:val="000000"/>
          <w:sz w:val="24"/>
          <w:szCs w:val="24"/>
          <w:lang w:val="it-IT"/>
        </w:rPr>
        <w:t>加油为前提，通过试验车辆自行到</w:t>
      </w:r>
      <w:r>
        <w:rPr>
          <w:rFonts w:hint="eastAsia" w:ascii="等线" w:hAnsi="等线" w:eastAsia="等线" w:cs="等线"/>
          <w:color w:val="000000"/>
          <w:sz w:val="24"/>
          <w:szCs w:val="24"/>
          <w:lang w:val="en-US" w:eastAsia="zh-CN"/>
        </w:rPr>
        <w:t>途径</w:t>
      </w:r>
      <w:r>
        <w:rPr>
          <w:rFonts w:hint="eastAsia" w:ascii="等线" w:hAnsi="等线" w:eastAsia="等线" w:cs="等线"/>
          <w:color w:val="000000"/>
          <w:sz w:val="24"/>
          <w:szCs w:val="24"/>
          <w:lang w:val="it-IT"/>
        </w:rPr>
        <w:t>加油站加油的方式进行供油</w:t>
      </w:r>
      <w:r>
        <w:rPr>
          <w:rFonts w:hint="eastAsia" w:ascii="等线" w:hAnsi="等线" w:eastAsia="等线" w:cs="等线"/>
          <w:color w:val="000000"/>
          <w:sz w:val="24"/>
          <w:szCs w:val="24"/>
          <w:lang w:val="it-IT" w:eastAsia="zh-CN"/>
        </w:rPr>
        <w:t>，</w:t>
      </w:r>
      <w:r>
        <w:rPr>
          <w:rFonts w:hint="eastAsia" w:ascii="等线" w:hAnsi="等线" w:eastAsia="等线" w:cs="等线"/>
          <w:color w:val="000000"/>
          <w:sz w:val="24"/>
          <w:szCs w:val="24"/>
          <w:lang w:val="en-US" w:eastAsia="zh-CN"/>
        </w:rPr>
        <w:t>要求投标方在全国各省市均具备服务站点且可提供加油服务站点总数不少于22000个，投标时提供全国各省市服务网点数目详细证明</w:t>
      </w:r>
      <w:r>
        <w:rPr>
          <w:rFonts w:hint="eastAsia" w:ascii="等线" w:hAnsi="等线" w:eastAsia="等线" w:cs="等线"/>
          <w:color w:val="000000"/>
          <w:sz w:val="24"/>
          <w:szCs w:val="24"/>
          <w:lang w:val="it-IT" w:eastAsia="zh-CN"/>
        </w:rPr>
        <w:t>。</w:t>
      </w:r>
    </w:p>
    <w:p>
      <w:pPr>
        <w:spacing w:line="360" w:lineRule="auto"/>
        <w:ind w:firstLine="480" w:firstLineChars="200"/>
        <w:jc w:val="left"/>
        <w:rPr>
          <w:rFonts w:hint="default"/>
          <w:lang w:val="en-US" w:eastAsia="zh-CN"/>
        </w:rPr>
      </w:pPr>
      <w:r>
        <w:rPr>
          <w:rFonts w:hint="eastAsia" w:ascii="等线" w:hAnsi="等线" w:eastAsia="等线" w:cs="等线"/>
          <w:color w:val="000000"/>
          <w:sz w:val="24"/>
          <w:szCs w:val="24"/>
          <w:lang w:val="en-US" w:eastAsia="zh-CN"/>
        </w:rPr>
        <w:t>*3、在投标方处办理的加油卡需能在全国范围内加注汽油和柴油使用，在山东济南统一开具发票，主卡可在山东济南进行该套卡的管理、加油钱款分配、加油明细查询导出等，副卡需在全国范围内能实现油款的圈存、圈提等以保障招标方试验车即时的加油需求。</w:t>
      </w:r>
    </w:p>
    <w:p>
      <w:pPr>
        <w:spacing w:line="360" w:lineRule="auto"/>
        <w:ind w:firstLine="480" w:firstLineChars="200"/>
        <w:jc w:val="left"/>
        <w:rPr>
          <w:rFonts w:hint="eastAsia" w:ascii="等线" w:hAnsi="等线" w:eastAsia="等线" w:cs="等线"/>
          <w:color w:val="000000"/>
          <w:sz w:val="24"/>
          <w:szCs w:val="24"/>
          <w:lang w:val="en-US" w:eastAsia="zh-CN"/>
        </w:rPr>
      </w:pPr>
      <w:r>
        <w:rPr>
          <w:rFonts w:hint="eastAsia" w:ascii="等线" w:hAnsi="等线" w:eastAsia="等线" w:cs="等线"/>
          <w:color w:val="000000"/>
          <w:sz w:val="24"/>
          <w:szCs w:val="24"/>
          <w:lang w:val="en-US" w:eastAsia="zh-CN"/>
        </w:rPr>
        <w:t>*4、投标方需满足在以下重点地点范围具备加注汽油和柴油的站点，以满足招标方在该地区年度极限环境试验需求：</w:t>
      </w:r>
    </w:p>
    <w:p>
      <w:pPr>
        <w:pStyle w:val="11"/>
        <w:numPr>
          <w:ilvl w:val="0"/>
          <w:numId w:val="7"/>
        </w:numPr>
        <w:ind w:left="240"/>
        <w:rPr>
          <w:rFonts w:hint="eastAsia" w:ascii="等线" w:hAnsi="等线" w:eastAsia="等线" w:cs="等线"/>
          <w:color w:val="000000"/>
          <w:sz w:val="24"/>
          <w:szCs w:val="24"/>
          <w:lang w:val="en-US" w:eastAsia="zh-CN"/>
        </w:rPr>
      </w:pPr>
      <w:r>
        <w:rPr>
          <w:rFonts w:hint="eastAsia" w:ascii="等线" w:hAnsi="等线" w:eastAsia="等线" w:cs="等线"/>
          <w:color w:val="000000"/>
          <w:sz w:val="24"/>
          <w:szCs w:val="24"/>
          <w:lang w:val="en-US" w:eastAsia="zh-CN"/>
        </w:rPr>
        <w:t>黑龙江省大兴安岭地区漠河市新宇物流集散中心附近3km范围内有服务站点可进行低温柴油、汽油加注。</w:t>
      </w:r>
    </w:p>
    <w:p>
      <w:pPr>
        <w:pStyle w:val="11"/>
        <w:numPr>
          <w:ilvl w:val="-1"/>
          <w:numId w:val="0"/>
        </w:numPr>
        <w:ind w:left="240"/>
        <w:jc w:val="center"/>
        <w:rPr>
          <w:rFonts w:hint="default" w:ascii="等线" w:hAnsi="等线" w:eastAsia="等线" w:cs="等线"/>
          <w:color w:val="000000"/>
          <w:sz w:val="24"/>
          <w:szCs w:val="24"/>
          <w:lang w:val="en-US" w:eastAsia="zh-CN"/>
        </w:rPr>
      </w:pPr>
      <w:r>
        <w:rPr>
          <w:rFonts w:hint="default" w:ascii="等线" w:hAnsi="等线" w:eastAsia="等线" w:cs="等线"/>
          <w:color w:val="000000"/>
          <w:sz w:val="24"/>
          <w:szCs w:val="24"/>
          <w:lang w:val="en-US" w:eastAsia="zh-CN"/>
        </w:rPr>
        <w:drawing>
          <wp:inline distT="0" distB="0" distL="114300" distR="114300">
            <wp:extent cx="4253865" cy="3181350"/>
            <wp:effectExtent l="0" t="0" r="13335" b="0"/>
            <wp:docPr id="1" name="图片 1" descr="264fd54f9ba077a3298efaa28d1ed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64fd54f9ba077a3298efaa28d1edb1"/>
                    <pic:cNvPicPr>
                      <a:picLocks noChangeAspect="1"/>
                    </pic:cNvPicPr>
                  </pic:nvPicPr>
                  <pic:blipFill>
                    <a:blip r:embed="rId28"/>
                    <a:stretch>
                      <a:fillRect/>
                    </a:stretch>
                  </pic:blipFill>
                  <pic:spPr>
                    <a:xfrm>
                      <a:off x="0" y="0"/>
                      <a:ext cx="4253865" cy="3181350"/>
                    </a:xfrm>
                    <a:prstGeom prst="rect">
                      <a:avLst/>
                    </a:prstGeom>
                  </pic:spPr>
                </pic:pic>
              </a:graphicData>
            </a:graphic>
          </wp:inline>
        </w:drawing>
      </w:r>
    </w:p>
    <w:p>
      <w:pPr>
        <w:numPr>
          <w:ilvl w:val="0"/>
          <w:numId w:val="7"/>
        </w:numPr>
        <w:spacing w:line="360" w:lineRule="auto"/>
        <w:ind w:left="240" w:firstLine="0" w:firstLineChars="0"/>
        <w:jc w:val="left"/>
        <w:rPr>
          <w:rFonts w:hint="eastAsia" w:ascii="等线" w:hAnsi="等线" w:eastAsia="等线" w:cs="等线"/>
          <w:color w:val="000000"/>
          <w:sz w:val="24"/>
          <w:szCs w:val="24"/>
          <w:lang w:val="en-US" w:eastAsia="zh-CN"/>
        </w:rPr>
      </w:pPr>
      <w:r>
        <w:rPr>
          <w:rFonts w:hint="eastAsia" w:ascii="等线" w:hAnsi="等线" w:eastAsia="等线" w:cs="等线"/>
          <w:color w:val="000000"/>
          <w:sz w:val="24"/>
          <w:szCs w:val="24"/>
          <w:lang w:val="en-US" w:eastAsia="zh-CN"/>
        </w:rPr>
        <w:t>内蒙古自治区呼伦贝尔市牙克石市政府附近3公里范围内有服务站点可进行低温柴油、汽油加注。</w:t>
      </w:r>
    </w:p>
    <w:p>
      <w:pPr>
        <w:numPr>
          <w:ilvl w:val="-1"/>
          <w:numId w:val="0"/>
        </w:numPr>
        <w:spacing w:line="360" w:lineRule="auto"/>
        <w:ind w:left="240" w:firstLine="0" w:firstLineChars="0"/>
        <w:jc w:val="center"/>
        <w:rPr>
          <w:rFonts w:hint="default" w:ascii="等线" w:hAnsi="等线" w:eastAsia="等线" w:cs="等线"/>
          <w:color w:val="000000"/>
          <w:sz w:val="24"/>
          <w:szCs w:val="24"/>
          <w:lang w:val="en-US" w:eastAsia="zh-CN"/>
        </w:rPr>
      </w:pPr>
      <w:r>
        <w:rPr>
          <w:rFonts w:hint="default" w:ascii="等线" w:hAnsi="等线" w:eastAsia="等线" w:cs="等线"/>
          <w:color w:val="000000"/>
          <w:sz w:val="24"/>
          <w:szCs w:val="24"/>
          <w:lang w:val="en-US" w:eastAsia="zh-CN"/>
        </w:rPr>
        <w:drawing>
          <wp:inline distT="0" distB="0" distL="114300" distR="114300">
            <wp:extent cx="4706620" cy="2606040"/>
            <wp:effectExtent l="0" t="0" r="17780" b="3810"/>
            <wp:docPr id="2" name="图片 2" descr="401c8df91a31e9796c2699cb5fb91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01c8df91a31e9796c2699cb5fb91cd"/>
                    <pic:cNvPicPr>
                      <a:picLocks noChangeAspect="1"/>
                    </pic:cNvPicPr>
                  </pic:nvPicPr>
                  <pic:blipFill>
                    <a:blip r:embed="rId29"/>
                    <a:stretch>
                      <a:fillRect/>
                    </a:stretch>
                  </pic:blipFill>
                  <pic:spPr>
                    <a:xfrm>
                      <a:off x="0" y="0"/>
                      <a:ext cx="4706620" cy="2606040"/>
                    </a:xfrm>
                    <a:prstGeom prst="rect">
                      <a:avLst/>
                    </a:prstGeom>
                  </pic:spPr>
                </pic:pic>
              </a:graphicData>
            </a:graphic>
          </wp:inline>
        </w:drawing>
      </w:r>
    </w:p>
    <w:p>
      <w:pPr>
        <w:numPr>
          <w:ilvl w:val="0"/>
          <w:numId w:val="7"/>
        </w:numPr>
        <w:spacing w:line="360" w:lineRule="auto"/>
        <w:ind w:left="240" w:firstLine="0" w:firstLineChars="0"/>
        <w:jc w:val="left"/>
        <w:rPr>
          <w:rFonts w:hint="eastAsia" w:ascii="等线" w:hAnsi="等线" w:eastAsia="等线" w:cs="等线"/>
          <w:color w:val="000000"/>
          <w:sz w:val="24"/>
          <w:szCs w:val="24"/>
          <w:lang w:val="en-US" w:eastAsia="zh-CN"/>
        </w:rPr>
      </w:pPr>
      <w:r>
        <w:rPr>
          <w:rFonts w:hint="eastAsia" w:ascii="等线" w:hAnsi="等线" w:eastAsia="等线" w:cs="等线"/>
          <w:color w:val="000000"/>
          <w:sz w:val="24"/>
          <w:szCs w:val="24"/>
          <w:lang w:val="en-US" w:eastAsia="zh-CN"/>
        </w:rPr>
        <w:t>新疆吐鲁番市托克逊县齐鲁顺达物流有限公司附近3km范围内有服务站点可进行柴油、汽油加注。</w:t>
      </w:r>
    </w:p>
    <w:p>
      <w:pPr>
        <w:pStyle w:val="11"/>
        <w:numPr>
          <w:ilvl w:val="-1"/>
          <w:numId w:val="0"/>
        </w:numPr>
        <w:ind w:left="240"/>
        <w:jc w:val="center"/>
        <w:rPr>
          <w:rFonts w:hint="default"/>
          <w:lang w:val="en-US" w:eastAsia="zh-CN"/>
        </w:rPr>
      </w:pPr>
      <w:r>
        <w:rPr>
          <w:rFonts w:hint="default"/>
          <w:lang w:val="en-US" w:eastAsia="zh-CN"/>
        </w:rPr>
        <w:drawing>
          <wp:inline distT="0" distB="0" distL="114300" distR="114300">
            <wp:extent cx="4759325" cy="2966085"/>
            <wp:effectExtent l="0" t="0" r="3175" b="5715"/>
            <wp:docPr id="3" name="图片 3" descr="45165e36e52382acb3d19effbdd87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5165e36e52382acb3d19effbdd877e"/>
                    <pic:cNvPicPr>
                      <a:picLocks noChangeAspect="1"/>
                    </pic:cNvPicPr>
                  </pic:nvPicPr>
                  <pic:blipFill>
                    <a:blip r:embed="rId30"/>
                    <a:stretch>
                      <a:fillRect/>
                    </a:stretch>
                  </pic:blipFill>
                  <pic:spPr>
                    <a:xfrm>
                      <a:off x="0" y="0"/>
                      <a:ext cx="4759325" cy="2966085"/>
                    </a:xfrm>
                    <a:prstGeom prst="rect">
                      <a:avLst/>
                    </a:prstGeom>
                  </pic:spPr>
                </pic:pic>
              </a:graphicData>
            </a:graphic>
          </wp:inline>
        </w:drawing>
      </w:r>
    </w:p>
    <w:p>
      <w:pPr>
        <w:numPr>
          <w:ilvl w:val="0"/>
          <w:numId w:val="7"/>
        </w:numPr>
        <w:spacing w:line="360" w:lineRule="auto"/>
        <w:ind w:left="240"/>
        <w:jc w:val="left"/>
        <w:rPr>
          <w:rFonts w:hint="default"/>
          <w:lang w:val="en-US" w:eastAsia="zh-CN"/>
        </w:rPr>
      </w:pPr>
      <w:r>
        <w:rPr>
          <w:rFonts w:hint="eastAsia" w:ascii="等线" w:hAnsi="等线" w:eastAsia="等线" w:cs="等线"/>
          <w:color w:val="000000"/>
          <w:sz w:val="24"/>
          <w:szCs w:val="24"/>
          <w:lang w:val="en-US" w:eastAsia="zh-CN"/>
        </w:rPr>
        <w:t>新疆吐鲁番市高昌区自然环境试验研究中心附近5km范围内有服务站点可进行柴油、汽油加注。</w:t>
      </w:r>
    </w:p>
    <w:p>
      <w:pPr>
        <w:spacing w:line="360" w:lineRule="auto"/>
        <w:ind w:firstLine="0" w:firstLineChars="0"/>
        <w:jc w:val="center"/>
        <w:rPr>
          <w:rFonts w:hint="eastAsia" w:ascii="等线" w:hAnsi="等线" w:eastAsia="等线" w:cs="等线"/>
          <w:color w:val="000000"/>
          <w:sz w:val="24"/>
          <w:szCs w:val="24"/>
          <w:lang w:val="en-US" w:eastAsia="zh-CN"/>
        </w:rPr>
      </w:pPr>
      <w:r>
        <w:rPr>
          <w:rFonts w:hint="eastAsia" w:ascii="等线" w:hAnsi="等线" w:eastAsia="等线" w:cs="等线"/>
          <w:color w:val="000000"/>
          <w:sz w:val="24"/>
          <w:szCs w:val="24"/>
          <w:lang w:val="en-US" w:eastAsia="zh-CN"/>
        </w:rPr>
        <w:drawing>
          <wp:inline distT="0" distB="0" distL="114300" distR="114300">
            <wp:extent cx="5086350" cy="2762250"/>
            <wp:effectExtent l="0" t="0" r="0" b="0"/>
            <wp:docPr id="4" name="图片 4" descr="80facf13a38e8eef55bfecfa91451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0facf13a38e8eef55bfecfa91451bd"/>
                    <pic:cNvPicPr>
                      <a:picLocks noChangeAspect="1"/>
                    </pic:cNvPicPr>
                  </pic:nvPicPr>
                  <pic:blipFill>
                    <a:blip r:embed="rId31"/>
                    <a:stretch>
                      <a:fillRect/>
                    </a:stretch>
                  </pic:blipFill>
                  <pic:spPr>
                    <a:xfrm>
                      <a:off x="0" y="0"/>
                      <a:ext cx="5086350" cy="2762250"/>
                    </a:xfrm>
                    <a:prstGeom prst="rect">
                      <a:avLst/>
                    </a:prstGeom>
                  </pic:spPr>
                </pic:pic>
              </a:graphicData>
            </a:graphic>
          </wp:inline>
        </w:drawing>
      </w:r>
    </w:p>
    <w:p>
      <w:pPr>
        <w:numPr>
          <w:ilvl w:val="0"/>
          <w:numId w:val="7"/>
        </w:numPr>
        <w:spacing w:line="360" w:lineRule="auto"/>
        <w:ind w:left="240" w:firstLine="0" w:firstLineChars="0"/>
        <w:jc w:val="left"/>
        <w:rPr>
          <w:rFonts w:hint="eastAsia" w:ascii="等线" w:hAnsi="等线" w:eastAsia="等线" w:cs="等线"/>
          <w:color w:val="000000"/>
          <w:sz w:val="24"/>
          <w:szCs w:val="24"/>
          <w:lang w:val="en-US" w:eastAsia="zh-CN"/>
        </w:rPr>
      </w:pPr>
      <w:r>
        <w:rPr>
          <w:rFonts w:hint="eastAsia" w:ascii="等线" w:hAnsi="等线" w:eastAsia="等线" w:cs="等线"/>
          <w:color w:val="000000"/>
          <w:sz w:val="24"/>
          <w:szCs w:val="24"/>
          <w:lang w:val="en-US" w:eastAsia="zh-CN"/>
        </w:rPr>
        <w:t>在青海省格尔木市万岳商贸有限公司（重汽服务站）周边2.5㎞范围内有服务站点可进行柴油汽油加注。</w:t>
      </w:r>
    </w:p>
    <w:p>
      <w:pPr>
        <w:pStyle w:val="11"/>
        <w:numPr>
          <w:ilvl w:val="-1"/>
          <w:numId w:val="0"/>
        </w:numPr>
        <w:ind w:left="240"/>
        <w:jc w:val="center"/>
        <w:rPr>
          <w:rFonts w:hint="default"/>
          <w:lang w:val="en-US" w:eastAsia="zh-CN"/>
        </w:rPr>
      </w:pPr>
      <w:r>
        <w:rPr>
          <w:rFonts w:hint="default"/>
          <w:lang w:val="en-US" w:eastAsia="zh-CN"/>
        </w:rPr>
        <w:drawing>
          <wp:inline distT="0" distB="0" distL="114300" distR="114300">
            <wp:extent cx="4894580" cy="2378710"/>
            <wp:effectExtent l="0" t="0" r="1270" b="2540"/>
            <wp:docPr id="5" name="图片 5" descr="ef99f562e47ee706f3d834b1083ef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f99f562e47ee706f3d834b1083ef8b"/>
                    <pic:cNvPicPr>
                      <a:picLocks noChangeAspect="1"/>
                    </pic:cNvPicPr>
                  </pic:nvPicPr>
                  <pic:blipFill>
                    <a:blip r:embed="rId32"/>
                    <a:stretch>
                      <a:fillRect/>
                    </a:stretch>
                  </pic:blipFill>
                  <pic:spPr>
                    <a:xfrm>
                      <a:off x="0" y="0"/>
                      <a:ext cx="4894580" cy="2378710"/>
                    </a:xfrm>
                    <a:prstGeom prst="rect">
                      <a:avLst/>
                    </a:prstGeom>
                  </pic:spPr>
                </pic:pic>
              </a:graphicData>
            </a:graphic>
          </wp:inline>
        </w:drawing>
      </w:r>
    </w:p>
    <w:p>
      <w:pPr>
        <w:numPr>
          <w:ilvl w:val="0"/>
          <w:numId w:val="8"/>
        </w:numPr>
        <w:spacing w:line="360" w:lineRule="auto"/>
        <w:ind w:firstLine="480" w:firstLineChars="200"/>
        <w:jc w:val="left"/>
        <w:rPr>
          <w:rFonts w:hint="eastAsia" w:ascii="等线" w:hAnsi="等线" w:eastAsia="等线" w:cs="等线"/>
          <w:color w:val="000000"/>
          <w:sz w:val="24"/>
          <w:szCs w:val="24"/>
          <w:lang w:val="it-IT" w:eastAsia="zh-CN"/>
        </w:rPr>
      </w:pPr>
      <w:r>
        <w:rPr>
          <w:rFonts w:hint="eastAsia" w:ascii="等线" w:hAnsi="等线" w:eastAsia="等线" w:cs="等线"/>
          <w:color w:val="000000"/>
          <w:sz w:val="24"/>
          <w:szCs w:val="24"/>
          <w:lang w:val="en-US" w:eastAsia="zh-CN"/>
        </w:rPr>
        <w:t>投标方</w:t>
      </w:r>
      <w:r>
        <w:rPr>
          <w:rFonts w:hint="eastAsia" w:ascii="等线" w:hAnsi="等线" w:eastAsia="等线" w:cs="等线"/>
          <w:color w:val="000000"/>
          <w:sz w:val="24"/>
          <w:szCs w:val="24"/>
          <w:lang w:val="it-IT"/>
        </w:rPr>
        <w:t>需提供</w:t>
      </w:r>
      <w:r>
        <w:rPr>
          <w:rFonts w:hint="eastAsia" w:ascii="等线" w:hAnsi="等线" w:eastAsia="等线" w:cs="等线"/>
          <w:color w:val="000000"/>
          <w:sz w:val="24"/>
          <w:szCs w:val="24"/>
          <w:lang w:val="en-US" w:eastAsia="zh-CN"/>
        </w:rPr>
        <w:t>其</w:t>
      </w:r>
      <w:r>
        <w:rPr>
          <w:rFonts w:hint="eastAsia" w:ascii="等线" w:hAnsi="等线" w:eastAsia="等线" w:cs="等线"/>
          <w:color w:val="000000"/>
          <w:sz w:val="24"/>
          <w:szCs w:val="24"/>
          <w:lang w:val="it-IT"/>
        </w:rPr>
        <w:t>相关加油计量设备供检定合格证明</w:t>
      </w:r>
      <w:r>
        <w:rPr>
          <w:rFonts w:hint="eastAsia" w:ascii="等线" w:hAnsi="等线" w:eastAsia="等线" w:cs="等线"/>
          <w:color w:val="000000"/>
          <w:sz w:val="24"/>
          <w:szCs w:val="24"/>
          <w:lang w:val="it-IT" w:eastAsia="zh-CN"/>
        </w:rPr>
        <w:t>。</w:t>
      </w:r>
    </w:p>
    <w:p>
      <w:pPr>
        <w:pStyle w:val="11"/>
        <w:numPr>
          <w:ilvl w:val="0"/>
          <w:numId w:val="0"/>
        </w:numPr>
        <w:ind w:firstLine="480" w:firstLineChars="200"/>
        <w:rPr>
          <w:rFonts w:hint="default" w:ascii="等线" w:hAnsi="等线" w:eastAsia="等线" w:cs="等线"/>
          <w:color w:val="000000"/>
          <w:sz w:val="24"/>
          <w:szCs w:val="24"/>
          <w:lang w:val="en-US" w:eastAsia="zh-CN"/>
        </w:rPr>
      </w:pPr>
      <w:r>
        <w:rPr>
          <w:rFonts w:hint="eastAsia" w:ascii="等线" w:hAnsi="等线" w:eastAsia="等线" w:cs="等线"/>
          <w:color w:val="000000"/>
          <w:sz w:val="24"/>
          <w:szCs w:val="24"/>
          <w:lang w:val="en-US" w:eastAsia="zh-CN"/>
        </w:rPr>
        <w:t>6、投标方需详细介绍其优惠方案，优惠明细查询和核对方式。</w:t>
      </w:r>
    </w:p>
    <w:p>
      <w:pPr>
        <w:pStyle w:val="11"/>
        <w:numPr>
          <w:ilvl w:val="0"/>
          <w:numId w:val="0"/>
        </w:numPr>
        <w:ind w:firstLine="480" w:firstLineChars="200"/>
        <w:rPr>
          <w:rFonts w:hint="eastAsia" w:ascii="等线" w:hAnsi="等线" w:eastAsia="等线" w:cs="等线"/>
          <w:color w:val="000000" w:themeColor="text1"/>
          <w:sz w:val="24"/>
          <w:szCs w:val="24"/>
          <w:lang w:val="it-IT" w:eastAsia="zh-CN"/>
          <w14:textFill>
            <w14:solidFill>
              <w14:schemeClr w14:val="tx1"/>
            </w14:solidFill>
          </w14:textFill>
        </w:rPr>
      </w:pPr>
      <w:r>
        <w:rPr>
          <w:rFonts w:hint="eastAsia" w:ascii="等线" w:hAnsi="等线" w:eastAsia="等线" w:cs="等线"/>
          <w:color w:val="000000"/>
          <w:sz w:val="24"/>
          <w:szCs w:val="24"/>
          <w:lang w:val="en-US" w:eastAsia="zh-CN"/>
        </w:rPr>
        <w:t>*7、</w:t>
      </w:r>
      <w:r>
        <w:rPr>
          <w:rFonts w:hint="eastAsia" w:ascii="等线" w:hAnsi="等线" w:eastAsia="等线" w:cs="等线"/>
          <w:color w:val="000000"/>
          <w:sz w:val="24"/>
          <w:szCs w:val="24"/>
          <w:lang w:val="en-US"/>
        </w:rPr>
        <w:t>定</w:t>
      </w:r>
      <w:r>
        <w:rPr>
          <w:rFonts w:hint="eastAsia" w:ascii="等线" w:hAnsi="等线" w:eastAsia="等线" w:cs="等线"/>
          <w:color w:val="000000" w:themeColor="text1"/>
          <w:sz w:val="24"/>
          <w:szCs w:val="24"/>
          <w:lang w:val="it-IT"/>
          <w14:textFill>
            <w14:solidFill>
              <w14:schemeClr w14:val="tx1"/>
            </w14:solidFill>
          </w14:textFill>
        </w:rPr>
        <w:t>价方式：</w:t>
      </w:r>
      <w:r>
        <w:rPr>
          <w:rFonts w:hint="eastAsia" w:ascii="等线" w:hAnsi="等线" w:eastAsia="等线" w:cs="等线"/>
          <w:color w:val="000000" w:themeColor="text1"/>
          <w:sz w:val="24"/>
          <w:szCs w:val="24"/>
          <w:lang w:val="en-US" w:eastAsia="zh-CN"/>
          <w14:textFill>
            <w14:solidFill>
              <w14:schemeClr w14:val="tx1"/>
            </w14:solidFill>
          </w14:textFill>
        </w:rPr>
        <w:t>投标方</w:t>
      </w:r>
      <w:r>
        <w:rPr>
          <w:rFonts w:hint="eastAsia" w:ascii="等线" w:hAnsi="等线" w:eastAsia="等线" w:cs="等线"/>
          <w:color w:val="000000" w:themeColor="text1"/>
          <w:sz w:val="24"/>
          <w:szCs w:val="24"/>
          <w:lang w:val="it-IT"/>
          <w14:textFill>
            <w14:solidFill>
              <w14:schemeClr w14:val="tx1"/>
            </w14:solidFill>
          </w14:textFill>
        </w:rPr>
        <w:t>可以根据国家规定的调价时间进行价格</w:t>
      </w:r>
      <w:r>
        <w:rPr>
          <w:rFonts w:hint="eastAsia" w:ascii="等线" w:hAnsi="等线" w:eastAsia="等线" w:cs="等线"/>
          <w:color w:val="000000" w:themeColor="text1"/>
          <w:sz w:val="24"/>
          <w:szCs w:val="24"/>
          <w:lang w:val="en-US" w:eastAsia="zh-CN"/>
          <w14:textFill>
            <w14:solidFill>
              <w14:schemeClr w14:val="tx1"/>
            </w14:solidFill>
          </w14:textFill>
        </w:rPr>
        <w:t>浮动</w:t>
      </w:r>
      <w:r>
        <w:rPr>
          <w:rFonts w:hint="eastAsia" w:ascii="等线" w:hAnsi="等线" w:eastAsia="等线" w:cs="等线"/>
          <w:color w:val="000000" w:themeColor="text1"/>
          <w:sz w:val="24"/>
          <w:szCs w:val="24"/>
          <w:lang w:val="it-IT"/>
          <w14:textFill>
            <w14:solidFill>
              <w14:schemeClr w14:val="tx1"/>
            </w14:solidFill>
          </w14:textFill>
        </w:rPr>
        <w:t>调整，但价格不得高于</w:t>
      </w:r>
      <w:r>
        <w:rPr>
          <w:rFonts w:hint="eastAsia" w:ascii="等线" w:hAnsi="等线" w:eastAsia="等线" w:cs="等线"/>
          <w:color w:val="000000" w:themeColor="text1"/>
          <w:sz w:val="24"/>
          <w:szCs w:val="24"/>
          <w:lang w:val="en-US" w:eastAsia="zh-CN"/>
          <w14:textFill>
            <w14:solidFill>
              <w14:schemeClr w14:val="tx1"/>
            </w14:solidFill>
          </w14:textFill>
        </w:rPr>
        <w:t>面向社会车辆统一</w:t>
      </w:r>
      <w:r>
        <w:rPr>
          <w:rFonts w:hint="eastAsia" w:ascii="等线" w:hAnsi="等线" w:eastAsia="等线" w:cs="等线"/>
          <w:color w:val="000000" w:themeColor="text1"/>
          <w:sz w:val="24"/>
          <w:szCs w:val="24"/>
          <w:lang w:val="it-IT"/>
          <w14:textFill>
            <w14:solidFill>
              <w14:schemeClr w14:val="tx1"/>
            </w14:solidFill>
          </w14:textFill>
        </w:rPr>
        <w:t>市场价格</w:t>
      </w:r>
      <w:r>
        <w:rPr>
          <w:rFonts w:hint="eastAsia" w:ascii="等线" w:hAnsi="等线" w:eastAsia="等线" w:cs="等线"/>
          <w:color w:val="000000" w:themeColor="text1"/>
          <w:sz w:val="24"/>
          <w:szCs w:val="24"/>
          <w:lang w:val="en-US" w:eastAsia="zh-CN"/>
          <w14:textFill>
            <w14:solidFill>
              <w14:schemeClr w14:val="tx1"/>
            </w14:solidFill>
          </w14:textFill>
        </w:rPr>
        <w:t>且</w:t>
      </w:r>
      <w:r>
        <w:rPr>
          <w:rFonts w:hint="eastAsia" w:ascii="等线" w:hAnsi="等线" w:eastAsia="等线" w:cs="等线"/>
          <w:color w:val="000000" w:themeColor="text1"/>
          <w:sz w:val="24"/>
          <w:szCs w:val="24"/>
          <w:lang w:val="it-IT" w:eastAsia="zh-CN"/>
          <w14:textFill>
            <w14:solidFill>
              <w14:schemeClr w14:val="tx1"/>
            </w14:solidFill>
          </w14:textFill>
        </w:rPr>
        <w:t>仍按</w:t>
      </w:r>
      <w:r>
        <w:rPr>
          <w:rFonts w:hint="eastAsia" w:ascii="等线" w:hAnsi="等线" w:eastAsia="等线" w:cs="等线"/>
          <w:color w:val="000000" w:themeColor="text1"/>
          <w:sz w:val="24"/>
          <w:szCs w:val="24"/>
          <w:lang w:val="en-US" w:eastAsia="zh-CN"/>
          <w14:textFill>
            <w14:solidFill>
              <w14:schemeClr w14:val="tx1"/>
            </w14:solidFill>
          </w14:textFill>
        </w:rPr>
        <w:t>承诺招标方的</w:t>
      </w:r>
      <w:r>
        <w:rPr>
          <w:rFonts w:hint="eastAsia" w:ascii="等线" w:hAnsi="等线" w:eastAsia="等线" w:cs="等线"/>
          <w:color w:val="000000" w:themeColor="text1"/>
          <w:sz w:val="24"/>
          <w:szCs w:val="24"/>
          <w:lang w:val="it-IT" w:eastAsia="zh-CN"/>
          <w14:textFill>
            <w14:solidFill>
              <w14:schemeClr w14:val="tx1"/>
            </w14:solidFill>
          </w14:textFill>
        </w:rPr>
        <w:t>执行优惠。</w:t>
      </w:r>
    </w:p>
    <w:p>
      <w:pPr>
        <w:spacing w:line="360" w:lineRule="auto"/>
        <w:ind w:firstLine="480" w:firstLineChars="200"/>
        <w:jc w:val="left"/>
        <w:rPr>
          <w:rFonts w:hint="default" w:ascii="等线" w:hAnsi="等线" w:eastAsia="等线" w:cs="等线"/>
          <w:color w:val="000000" w:themeColor="text1"/>
          <w:sz w:val="24"/>
          <w:szCs w:val="24"/>
          <w:lang w:val="en-US" w:eastAsia="zh-CN"/>
          <w14:textFill>
            <w14:solidFill>
              <w14:schemeClr w14:val="tx1"/>
            </w14:solidFill>
          </w14:textFill>
        </w:rPr>
      </w:pPr>
      <w:r>
        <w:rPr>
          <w:rFonts w:hint="eastAsia" w:ascii="等线" w:hAnsi="等线" w:eastAsia="等线" w:cs="等线"/>
          <w:color w:val="000000" w:themeColor="text1"/>
          <w:sz w:val="24"/>
          <w:szCs w:val="24"/>
          <w:lang w:val="en-US" w:eastAsia="zh-CN"/>
          <w14:textFill>
            <w14:solidFill>
              <w14:schemeClr w14:val="tx1"/>
            </w14:solidFill>
          </w14:textFill>
        </w:rPr>
        <w:t>8、投标方</w:t>
      </w:r>
      <w:r>
        <w:rPr>
          <w:rFonts w:hint="default" w:ascii="等线" w:hAnsi="等线" w:eastAsia="等线" w:cs="等线"/>
          <w:color w:val="000000" w:themeColor="text1"/>
          <w:sz w:val="24"/>
          <w:szCs w:val="24"/>
          <w:lang w:val="en-US" w:eastAsia="zh-CN"/>
          <w14:textFill>
            <w14:solidFill>
              <w14:schemeClr w14:val="tx1"/>
            </w14:solidFill>
          </w14:textFill>
        </w:rPr>
        <w:t>保证</w:t>
      </w:r>
      <w:r>
        <w:rPr>
          <w:rFonts w:hint="eastAsia" w:ascii="等线" w:hAnsi="等线" w:eastAsia="等线" w:cs="等线"/>
          <w:color w:val="000000" w:themeColor="text1"/>
          <w:sz w:val="24"/>
          <w:szCs w:val="24"/>
          <w:lang w:val="en-US" w:eastAsia="zh-CN"/>
          <w14:textFill>
            <w14:solidFill>
              <w14:schemeClr w14:val="tx1"/>
            </w14:solidFill>
          </w14:textFill>
        </w:rPr>
        <w:t>招标</w:t>
      </w:r>
      <w:r>
        <w:rPr>
          <w:rFonts w:hint="default" w:ascii="等线" w:hAnsi="等线" w:eastAsia="等线" w:cs="等线"/>
          <w:color w:val="000000" w:themeColor="text1"/>
          <w:sz w:val="24"/>
          <w:szCs w:val="24"/>
          <w:lang w:val="en-US" w:eastAsia="zh-CN"/>
          <w14:textFill>
            <w14:solidFill>
              <w14:schemeClr w14:val="tx1"/>
            </w14:solidFill>
          </w14:textFill>
        </w:rPr>
        <w:t>方</w:t>
      </w:r>
      <w:r>
        <w:rPr>
          <w:rFonts w:hint="eastAsia" w:ascii="等线" w:hAnsi="等线" w:eastAsia="等线" w:cs="等线"/>
          <w:color w:val="000000" w:themeColor="text1"/>
          <w:sz w:val="24"/>
          <w:szCs w:val="24"/>
          <w:lang w:val="en-US" w:eastAsia="zh-CN"/>
          <w14:textFill>
            <w14:solidFill>
              <w14:schemeClr w14:val="tx1"/>
            </w14:solidFill>
          </w14:textFill>
        </w:rPr>
        <w:t>车辆</w:t>
      </w:r>
      <w:r>
        <w:rPr>
          <w:rFonts w:hint="default" w:ascii="等线" w:hAnsi="等线" w:eastAsia="等线" w:cs="等线"/>
          <w:color w:val="000000" w:themeColor="text1"/>
          <w:sz w:val="24"/>
          <w:szCs w:val="24"/>
          <w:lang w:val="en-US" w:eastAsia="zh-CN"/>
          <w14:textFill>
            <w14:solidFill>
              <w14:schemeClr w14:val="tx1"/>
            </w14:solidFill>
          </w14:textFill>
        </w:rPr>
        <w:t>在合同期间内的正常用油，包括油源紧张时</w:t>
      </w:r>
      <w:r>
        <w:rPr>
          <w:rFonts w:hint="eastAsia" w:ascii="等线" w:hAnsi="等线" w:eastAsia="等线" w:cs="等线"/>
          <w:color w:val="000000" w:themeColor="text1"/>
          <w:sz w:val="24"/>
          <w:szCs w:val="24"/>
          <w:lang w:val="en-US" w:eastAsia="zh-CN"/>
          <w14:textFill>
            <w14:solidFill>
              <w14:schemeClr w14:val="tx1"/>
            </w14:solidFill>
          </w14:textFill>
        </w:rPr>
        <w:t>招标方</w:t>
      </w:r>
      <w:r>
        <w:rPr>
          <w:rFonts w:hint="default" w:ascii="等线" w:hAnsi="等线" w:eastAsia="等线" w:cs="等线"/>
          <w:color w:val="000000" w:themeColor="text1"/>
          <w:sz w:val="24"/>
          <w:szCs w:val="24"/>
          <w:lang w:val="en-US" w:eastAsia="zh-CN"/>
          <w14:textFill>
            <w14:solidFill>
              <w14:schemeClr w14:val="tx1"/>
            </w14:solidFill>
          </w14:textFill>
        </w:rPr>
        <w:t>的车辆用油。</w:t>
      </w:r>
    </w:p>
    <w:p>
      <w:pPr>
        <w:spacing w:line="360" w:lineRule="auto"/>
        <w:ind w:firstLine="480" w:firstLineChars="200"/>
        <w:jc w:val="left"/>
        <w:rPr>
          <w:rFonts w:hint="eastAsia" w:ascii="等线" w:hAnsi="等线" w:eastAsia="等线" w:cs="等线"/>
          <w:color w:val="000000" w:themeColor="text1"/>
          <w:sz w:val="24"/>
          <w:szCs w:val="24"/>
          <w:lang w:val="it-IT" w:eastAsia="zh-CN"/>
          <w14:textFill>
            <w14:solidFill>
              <w14:schemeClr w14:val="tx1"/>
            </w14:solidFill>
          </w14:textFill>
        </w:rPr>
      </w:pPr>
      <w:r>
        <w:rPr>
          <w:rFonts w:hint="eastAsia" w:ascii="等线" w:hAnsi="等线" w:eastAsia="等线" w:cs="等线"/>
          <w:color w:val="000000" w:themeColor="text1"/>
          <w:sz w:val="24"/>
          <w:szCs w:val="24"/>
          <w:lang w:val="en-US" w:eastAsia="zh-CN"/>
          <w14:textFill>
            <w14:solidFill>
              <w14:schemeClr w14:val="tx1"/>
            </w14:solidFill>
          </w14:textFill>
        </w:rPr>
        <w:t>9、</w:t>
      </w:r>
      <w:r>
        <w:rPr>
          <w:rFonts w:hint="eastAsia" w:ascii="等线" w:hAnsi="等线" w:eastAsia="等线" w:cs="等线"/>
          <w:color w:val="000000" w:themeColor="text1"/>
          <w:sz w:val="24"/>
          <w:szCs w:val="24"/>
          <w:lang w:val="it-IT"/>
          <w14:textFill>
            <w14:solidFill>
              <w14:schemeClr w14:val="tx1"/>
            </w14:solidFill>
          </w14:textFill>
        </w:rPr>
        <w:t>加油站</w:t>
      </w:r>
      <w:r>
        <w:rPr>
          <w:rFonts w:hint="eastAsia" w:ascii="等线" w:hAnsi="等线" w:eastAsia="等线" w:cs="等线"/>
          <w:color w:val="000000" w:themeColor="text1"/>
          <w:sz w:val="24"/>
          <w:szCs w:val="24"/>
          <w:lang w:val="en-US" w:eastAsia="zh-CN"/>
          <w14:textFill>
            <w14:solidFill>
              <w14:schemeClr w14:val="tx1"/>
            </w14:solidFill>
          </w14:textFill>
        </w:rPr>
        <w:t>应</w:t>
      </w:r>
      <w:r>
        <w:rPr>
          <w:rFonts w:hint="eastAsia" w:ascii="等线" w:hAnsi="等线" w:eastAsia="等线" w:cs="等线"/>
          <w:color w:val="000000" w:themeColor="text1"/>
          <w:sz w:val="24"/>
          <w:szCs w:val="24"/>
          <w:lang w:val="it-IT"/>
          <w14:textFill>
            <w14:solidFill>
              <w14:schemeClr w14:val="tx1"/>
            </w14:solidFill>
          </w14:textFill>
        </w:rPr>
        <w:t>保证试验车辆通过顺畅</w:t>
      </w:r>
      <w:r>
        <w:rPr>
          <w:rFonts w:hint="eastAsia" w:ascii="等线" w:hAnsi="等线" w:eastAsia="等线" w:cs="等线"/>
          <w:color w:val="000000" w:themeColor="text1"/>
          <w:sz w:val="24"/>
          <w:szCs w:val="24"/>
          <w:lang w:val="it-IT" w:eastAsia="zh-CN"/>
          <w14:textFill>
            <w14:solidFill>
              <w14:schemeClr w14:val="tx1"/>
            </w14:solidFill>
          </w14:textFill>
        </w:rPr>
        <w:t>，</w:t>
      </w:r>
      <w:r>
        <w:rPr>
          <w:rFonts w:hint="eastAsia" w:ascii="等线" w:hAnsi="等线" w:eastAsia="等线" w:cs="等线"/>
          <w:color w:val="000000" w:themeColor="text1"/>
          <w:sz w:val="24"/>
          <w:szCs w:val="24"/>
          <w:lang w:val="en-US" w:eastAsia="zh-CN"/>
          <w14:textFill>
            <w14:solidFill>
              <w14:schemeClr w14:val="tx1"/>
            </w14:solidFill>
          </w14:textFill>
        </w:rPr>
        <w:t>并能在发生交通事故时协助出面处理事故</w:t>
      </w:r>
      <w:r>
        <w:rPr>
          <w:rFonts w:hint="eastAsia" w:ascii="等线" w:hAnsi="等线" w:eastAsia="等线" w:cs="等线"/>
          <w:color w:val="000000" w:themeColor="text1"/>
          <w:sz w:val="24"/>
          <w:szCs w:val="24"/>
          <w:lang w:val="it-IT" w:eastAsia="zh-CN"/>
          <w14:textFill>
            <w14:solidFill>
              <w14:schemeClr w14:val="tx1"/>
            </w14:solidFill>
          </w14:textFill>
        </w:rPr>
        <w:t>。</w:t>
      </w:r>
    </w:p>
    <w:p>
      <w:pPr>
        <w:pStyle w:val="80"/>
        <w:rPr>
          <w:rFonts w:hint="eastAsia"/>
          <w:color w:val="000000"/>
          <w:lang w:val="en-US" w:eastAsia="zh-CN"/>
        </w:rPr>
      </w:pPr>
      <w:r>
        <w:rPr>
          <w:rFonts w:hint="eastAsia"/>
          <w:color w:val="000000"/>
          <w:lang w:val="en-US" w:eastAsia="zh-CN"/>
        </w:rPr>
        <w:t>四、执行标准</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1、招标方所列标准仅为涉及的主要标准，而且不保证其为最新版执行标准；投标方应当在投标文件中认真予以填写、补充和修改完善。</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2、投标方需要执行的标准，应当采用所供货物通过买方组织的最终验收之日已经开始执行的最新标准。</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3、采购货物的产品质量、技术标准如在招投标文件中无相应说明，则按中华人民共和国有关部门颁发的最新的国标或专业（部）标准执行。</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4、采购货物没有国家或专业（部）标准的，按企业标准执行时，卖方应在合同签署之前，将所涉及的企业标准提供给买方确认。</w:t>
      </w:r>
    </w:p>
    <w:p>
      <w:pPr>
        <w:spacing w:line="360" w:lineRule="auto"/>
        <w:ind w:firstLine="480" w:firstLineChars="200"/>
        <w:rPr>
          <w:rFonts w:hint="eastAsia" w:ascii="等线" w:hAnsi="等线" w:eastAsia="等线" w:cs="等线"/>
          <w:color w:val="000000"/>
          <w:sz w:val="24"/>
          <w:szCs w:val="24"/>
        </w:rPr>
      </w:pPr>
      <w:r>
        <w:rPr>
          <w:rFonts w:hint="eastAsia" w:ascii="等线" w:hAnsi="等线" w:eastAsia="等线" w:cs="等线"/>
          <w:color w:val="000000"/>
          <w:sz w:val="24"/>
          <w:szCs w:val="24"/>
        </w:rPr>
        <w:t>5、采购货物如果采用国际标准，其执行标准由投标方提供、招标方确认。</w:t>
      </w:r>
    </w:p>
    <w:p>
      <w:pPr>
        <w:spacing w:line="360" w:lineRule="auto"/>
        <w:ind w:firstLine="480" w:firstLineChars="200"/>
        <w:jc w:val="both"/>
        <w:rPr>
          <w:rFonts w:hint="eastAsia" w:ascii="等线" w:hAnsi="等线" w:eastAsia="等线" w:cs="等线"/>
          <w:color w:val="000000"/>
          <w:sz w:val="24"/>
          <w:szCs w:val="24"/>
        </w:rPr>
      </w:pPr>
      <w:r>
        <w:rPr>
          <w:rFonts w:hint="eastAsia" w:ascii="等线" w:hAnsi="等线" w:eastAsia="等线" w:cs="等线"/>
          <w:color w:val="000000"/>
          <w:sz w:val="24"/>
          <w:szCs w:val="24"/>
        </w:rPr>
        <w:t>6、采购货物所涉及的标准不统一时，原则上按照最严格标准执行。</w:t>
      </w:r>
      <w:bookmarkEnd w:id="25"/>
    </w:p>
    <w:p>
      <w:pPr>
        <w:spacing w:line="360" w:lineRule="auto"/>
        <w:ind w:firstLine="480" w:firstLineChars="200"/>
        <w:jc w:val="left"/>
        <w:rPr>
          <w:rFonts w:hint="eastAsia" w:ascii="等线" w:hAnsi="等线" w:eastAsia="等线" w:cs="等线"/>
          <w:color w:val="000000"/>
          <w:sz w:val="24"/>
          <w:szCs w:val="24"/>
          <w:lang w:val="en-US"/>
        </w:rPr>
      </w:pPr>
      <w:r>
        <w:rPr>
          <w:rFonts w:hint="eastAsia" w:ascii="等线" w:hAnsi="等线" w:eastAsia="等线" w:cs="等线"/>
          <w:color w:val="000000"/>
          <w:sz w:val="24"/>
          <w:szCs w:val="24"/>
          <w:lang w:val="it-IT"/>
        </w:rPr>
        <w:t>7、涉及的主要标准表</w:t>
      </w:r>
      <w:r>
        <w:rPr>
          <w:rFonts w:hint="eastAsia" w:ascii="等线" w:hAnsi="等线" w:eastAsia="等线" w:cs="等线"/>
          <w:color w:val="000000"/>
          <w:sz w:val="24"/>
          <w:szCs w:val="24"/>
          <w:lang w:val="en-US" w:eastAsia="zh-CN"/>
        </w:rPr>
        <w:t>:</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4838"/>
        <w:gridCol w:w="2427"/>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0" w:type="dxa"/>
            <w:noWrap w:val="0"/>
            <w:vAlign w:val="top"/>
          </w:tcPr>
          <w:p>
            <w:pPr>
              <w:spacing w:line="240" w:lineRule="atLeast"/>
              <w:jc w:val="center"/>
              <w:rPr>
                <w:rFonts w:ascii="宋体" w:hAnsi="宋体" w:eastAsia="宋体" w:cs="Arial"/>
                <w:color w:val="000000"/>
              </w:rPr>
            </w:pPr>
            <w:r>
              <w:rPr>
                <w:rFonts w:hint="eastAsia" w:ascii="宋体" w:hAnsi="宋体" w:eastAsia="宋体" w:cs="Arial"/>
                <w:color w:val="000000"/>
              </w:rPr>
              <w:t>序号</w:t>
            </w:r>
          </w:p>
        </w:tc>
        <w:tc>
          <w:tcPr>
            <w:tcW w:w="4838" w:type="dxa"/>
            <w:noWrap w:val="0"/>
            <w:vAlign w:val="top"/>
          </w:tcPr>
          <w:p>
            <w:pPr>
              <w:spacing w:line="240" w:lineRule="atLeast"/>
              <w:jc w:val="center"/>
              <w:rPr>
                <w:rFonts w:ascii="宋体" w:hAnsi="宋体" w:eastAsia="宋体" w:cs="Arial"/>
                <w:color w:val="000000"/>
              </w:rPr>
            </w:pPr>
            <w:r>
              <w:rPr>
                <w:rFonts w:hint="eastAsia" w:ascii="宋体" w:hAnsi="宋体" w:eastAsia="宋体" w:cs="Arial"/>
                <w:color w:val="000000"/>
              </w:rPr>
              <w:t>标准名称</w:t>
            </w:r>
          </w:p>
        </w:tc>
        <w:tc>
          <w:tcPr>
            <w:tcW w:w="2427" w:type="dxa"/>
            <w:noWrap w:val="0"/>
            <w:vAlign w:val="top"/>
          </w:tcPr>
          <w:p>
            <w:pPr>
              <w:spacing w:line="240" w:lineRule="atLeast"/>
              <w:jc w:val="center"/>
              <w:rPr>
                <w:rFonts w:ascii="宋体" w:hAnsi="宋体" w:eastAsia="宋体" w:cs="Arial"/>
                <w:color w:val="000000"/>
              </w:rPr>
            </w:pPr>
            <w:r>
              <w:rPr>
                <w:rFonts w:hint="eastAsia" w:ascii="宋体" w:hAnsi="宋体" w:eastAsia="宋体" w:cs="Arial"/>
                <w:color w:val="000000"/>
              </w:rPr>
              <w:t>标准编号</w:t>
            </w:r>
          </w:p>
        </w:tc>
        <w:tc>
          <w:tcPr>
            <w:tcW w:w="1098" w:type="dxa"/>
            <w:noWrap w:val="0"/>
            <w:vAlign w:val="top"/>
          </w:tcPr>
          <w:p>
            <w:pPr>
              <w:spacing w:line="240" w:lineRule="atLeast"/>
              <w:jc w:val="center"/>
              <w:rPr>
                <w:rFonts w:ascii="宋体" w:hAnsi="宋体" w:eastAsia="宋体" w:cs="Arial"/>
                <w:color w:val="000000"/>
              </w:rPr>
            </w:pPr>
            <w:r>
              <w:rPr>
                <w:rFonts w:hint="eastAsia" w:ascii="宋体" w:hAnsi="宋体" w:eastAsia="宋体" w:cs="Arial"/>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0" w:type="dxa"/>
            <w:noWrap w:val="0"/>
            <w:vAlign w:val="center"/>
          </w:tcPr>
          <w:p>
            <w:pPr>
              <w:spacing w:line="240" w:lineRule="atLeast"/>
              <w:jc w:val="center"/>
              <w:rPr>
                <w:rFonts w:ascii="宋体" w:hAnsi="宋体" w:eastAsia="宋体" w:cs="Arial"/>
                <w:color w:val="000000"/>
              </w:rPr>
            </w:pPr>
            <w:r>
              <w:rPr>
                <w:rFonts w:hint="eastAsia" w:ascii="宋体" w:hAnsi="宋体" w:eastAsia="宋体" w:cs="Arial"/>
                <w:color w:val="000000"/>
              </w:rPr>
              <w:t>1</w:t>
            </w:r>
          </w:p>
        </w:tc>
        <w:tc>
          <w:tcPr>
            <w:tcW w:w="4838" w:type="dxa"/>
            <w:noWrap w:val="0"/>
            <w:vAlign w:val="center"/>
          </w:tcPr>
          <w:p>
            <w:pPr>
              <w:spacing w:line="240" w:lineRule="atLeast"/>
              <w:jc w:val="center"/>
              <w:rPr>
                <w:rFonts w:ascii="宋体" w:hAnsi="宋体" w:eastAsia="宋体" w:cs="Arial"/>
                <w:bCs/>
                <w:color w:val="000000"/>
                <w:szCs w:val="21"/>
              </w:rPr>
            </w:pPr>
            <w:r>
              <w:rPr>
                <w:rFonts w:hint="eastAsia" w:ascii="宋体" w:hAnsi="宋体" w:eastAsia="宋体" w:cs="Arial"/>
                <w:bCs/>
                <w:color w:val="000000"/>
                <w:szCs w:val="21"/>
              </w:rPr>
              <w:t>车用柴油</w:t>
            </w:r>
          </w:p>
        </w:tc>
        <w:tc>
          <w:tcPr>
            <w:tcW w:w="2427" w:type="dxa"/>
            <w:noWrap w:val="0"/>
            <w:vAlign w:val="center"/>
          </w:tcPr>
          <w:p>
            <w:pPr>
              <w:spacing w:line="240" w:lineRule="atLeast"/>
              <w:jc w:val="center"/>
              <w:rPr>
                <w:rFonts w:ascii="宋体" w:hAnsi="宋体" w:eastAsia="宋体" w:cs="Arial"/>
                <w:color w:val="000000"/>
                <w:szCs w:val="21"/>
              </w:rPr>
            </w:pPr>
            <w:r>
              <w:rPr>
                <w:rFonts w:hint="eastAsia" w:ascii="宋体" w:hAnsi="宋体" w:eastAsia="宋体"/>
                <w:color w:val="000000"/>
                <w:szCs w:val="21"/>
                <w:lang w:val="it-IT"/>
              </w:rPr>
              <w:t>GB</w:t>
            </w:r>
            <w:r>
              <w:rPr>
                <w:rFonts w:ascii="宋体" w:hAnsi="宋体" w:eastAsia="宋体"/>
                <w:color w:val="000000"/>
                <w:szCs w:val="21"/>
                <w:lang w:val="it-IT"/>
              </w:rPr>
              <w:t xml:space="preserve"> </w:t>
            </w:r>
            <w:r>
              <w:rPr>
                <w:rFonts w:hint="eastAsia" w:ascii="宋体" w:hAnsi="宋体" w:eastAsia="宋体"/>
                <w:color w:val="000000"/>
                <w:szCs w:val="21"/>
                <w:lang w:val="it-IT"/>
              </w:rPr>
              <w:t>19147-2016</w:t>
            </w:r>
          </w:p>
        </w:tc>
        <w:tc>
          <w:tcPr>
            <w:tcW w:w="1098" w:type="dxa"/>
            <w:noWrap w:val="0"/>
            <w:vAlign w:val="center"/>
          </w:tcPr>
          <w:p>
            <w:pPr>
              <w:spacing w:line="240" w:lineRule="atLeast"/>
              <w:jc w:val="center"/>
              <w:rPr>
                <w:rFonts w:ascii="宋体" w:hAnsi="宋体" w:eastAsia="宋体" w:cs="Arial"/>
                <w:bCs/>
                <w:color w:val="000000"/>
                <w:szCs w:val="21"/>
              </w:rPr>
            </w:pPr>
            <w:r>
              <w:rPr>
                <w:rFonts w:hint="eastAsia" w:ascii="宋体" w:hAnsi="宋体" w:eastAsia="宋体" w:cs="Arial"/>
                <w:bCs/>
                <w:color w:val="000000"/>
                <w:szCs w:val="21"/>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0" w:type="dxa"/>
            <w:noWrap w:val="0"/>
            <w:vAlign w:val="center"/>
          </w:tcPr>
          <w:p>
            <w:pPr>
              <w:spacing w:line="240" w:lineRule="atLeast"/>
              <w:jc w:val="center"/>
              <w:rPr>
                <w:rFonts w:hint="eastAsia" w:ascii="宋体" w:hAnsi="宋体" w:eastAsia="宋体" w:cs="Arial"/>
                <w:color w:val="000000"/>
                <w:lang w:val="en-US" w:eastAsia="zh-CN"/>
              </w:rPr>
            </w:pPr>
            <w:r>
              <w:rPr>
                <w:rFonts w:hint="eastAsia" w:ascii="宋体" w:hAnsi="宋体" w:cs="Arial"/>
                <w:color w:val="000000"/>
                <w:lang w:val="en-US" w:eastAsia="zh-CN"/>
              </w:rPr>
              <w:t>2</w:t>
            </w:r>
          </w:p>
        </w:tc>
        <w:tc>
          <w:tcPr>
            <w:tcW w:w="4838" w:type="dxa"/>
            <w:noWrap w:val="0"/>
            <w:vAlign w:val="center"/>
          </w:tcPr>
          <w:p>
            <w:pPr>
              <w:spacing w:line="240" w:lineRule="atLeast"/>
              <w:jc w:val="center"/>
              <w:rPr>
                <w:rFonts w:hint="eastAsia" w:ascii="宋体" w:hAnsi="宋体" w:eastAsia="宋体" w:cs="Arial"/>
                <w:bCs/>
                <w:color w:val="000000"/>
                <w:szCs w:val="21"/>
                <w:lang w:val="en-US" w:eastAsia="zh-CN"/>
              </w:rPr>
            </w:pPr>
            <w:r>
              <w:rPr>
                <w:rFonts w:hint="eastAsia" w:ascii="宋体" w:hAnsi="宋体" w:cs="Arial"/>
                <w:bCs/>
                <w:color w:val="000000"/>
                <w:szCs w:val="21"/>
                <w:lang w:val="en-US" w:eastAsia="zh-CN"/>
              </w:rPr>
              <w:t>车用汽油</w:t>
            </w:r>
          </w:p>
        </w:tc>
        <w:tc>
          <w:tcPr>
            <w:tcW w:w="2427" w:type="dxa"/>
            <w:noWrap w:val="0"/>
            <w:vAlign w:val="center"/>
          </w:tcPr>
          <w:p>
            <w:pPr>
              <w:spacing w:line="240" w:lineRule="atLeast"/>
              <w:jc w:val="center"/>
              <w:rPr>
                <w:rFonts w:hint="eastAsia" w:ascii="宋体" w:hAnsi="宋体" w:eastAsia="宋体"/>
                <w:color w:val="000000"/>
                <w:szCs w:val="21"/>
                <w:lang w:val="it-IT"/>
              </w:rPr>
            </w:pPr>
            <w:r>
              <w:rPr>
                <w:rFonts w:hint="eastAsia" w:ascii="宋体" w:hAnsi="宋体" w:eastAsia="宋体"/>
                <w:color w:val="000000"/>
                <w:szCs w:val="21"/>
                <w:lang w:val="it-IT"/>
              </w:rPr>
              <w:t>GB 17930-2016</w:t>
            </w:r>
          </w:p>
        </w:tc>
        <w:tc>
          <w:tcPr>
            <w:tcW w:w="1098" w:type="dxa"/>
            <w:noWrap w:val="0"/>
            <w:vAlign w:val="center"/>
          </w:tcPr>
          <w:p>
            <w:pPr>
              <w:spacing w:line="240" w:lineRule="atLeast"/>
              <w:jc w:val="center"/>
              <w:rPr>
                <w:rFonts w:hint="eastAsia" w:ascii="宋体" w:hAnsi="宋体" w:eastAsia="宋体" w:cs="Arial"/>
                <w:bCs/>
                <w:color w:val="000000"/>
                <w:szCs w:val="21"/>
              </w:rPr>
            </w:pPr>
            <w:r>
              <w:rPr>
                <w:rFonts w:hint="eastAsia" w:ascii="宋体" w:hAnsi="宋体" w:eastAsia="宋体" w:cs="Arial"/>
                <w:bCs/>
                <w:color w:val="000000"/>
                <w:szCs w:val="21"/>
              </w:rPr>
              <w:t>买方确认</w:t>
            </w:r>
          </w:p>
        </w:tc>
      </w:tr>
    </w:tbl>
    <w:p>
      <w:pPr>
        <w:pStyle w:val="78"/>
        <w:ind w:left="0" w:leftChars="0" w:firstLine="0" w:firstLineChars="0"/>
        <w:rPr>
          <w:rFonts w:hint="eastAsia" w:ascii="宋体" w:hAnsi="宋体" w:eastAsia="宋体" w:cs="宋体"/>
        </w:rPr>
      </w:pPr>
    </w:p>
    <w:sectPr>
      <w:headerReference r:id="rId13" w:type="default"/>
      <w:footerReference r:id="rId14"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仿宋">
    <w:altName w:val="汉仪仿宋KW"/>
    <w:panose1 w:val="02010609060101010101"/>
    <w:charset w:val="86"/>
    <w:family w:val="auto"/>
    <w:pitch w:val="default"/>
    <w:sig w:usb0="00000000" w:usb1="00000000" w:usb2="00000016" w:usb3="00000000" w:csb0="00040001"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763FEF"/>
    <w:multiLevelType w:val="singleLevel"/>
    <w:tmpl w:val="88763FEF"/>
    <w:lvl w:ilvl="0" w:tentative="0">
      <w:start w:val="1"/>
      <w:numFmt w:val="decimal"/>
      <w:suff w:val="nothing"/>
      <w:lvlText w:val="%1）"/>
      <w:lvlJc w:val="left"/>
      <w:pPr>
        <w:ind w:left="240" w:leftChars="0" w:firstLine="0" w:firstLineChars="0"/>
      </w:pPr>
    </w:lvl>
  </w:abstractNum>
  <w:abstractNum w:abstractNumId="1">
    <w:nsid w:val="BB97A3B2"/>
    <w:multiLevelType w:val="singleLevel"/>
    <w:tmpl w:val="BB97A3B2"/>
    <w:lvl w:ilvl="0" w:tentative="0">
      <w:start w:val="5"/>
      <w:numFmt w:val="decimal"/>
      <w:suff w:val="nothing"/>
      <w:lvlText w:val="%1、"/>
      <w:lvlJc w:val="left"/>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7"/>
  </w:num>
  <w:num w:numId="2">
    <w:abstractNumId w:val="4"/>
  </w:num>
  <w:num w:numId="3">
    <w:abstractNumId w:val="3"/>
  </w:num>
  <w:num w:numId="4">
    <w:abstractNumId w:val="6"/>
  </w:num>
  <w:num w:numId="5">
    <w:abstractNumId w:val="2"/>
  </w:num>
  <w:num w:numId="6">
    <w:abstractNumId w:val="5"/>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k2NzI1OTA3MjVjNmRmMDQ1M2ExNWZkYTliMTY5ZWE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0F43EA"/>
    <w:rsid w:val="034D0622"/>
    <w:rsid w:val="047E2524"/>
    <w:rsid w:val="062A150A"/>
    <w:rsid w:val="0B127EF8"/>
    <w:rsid w:val="0BCF0AAA"/>
    <w:rsid w:val="118B17C0"/>
    <w:rsid w:val="14A15C19"/>
    <w:rsid w:val="153FD55F"/>
    <w:rsid w:val="179E2AB3"/>
    <w:rsid w:val="17EC378B"/>
    <w:rsid w:val="298B521D"/>
    <w:rsid w:val="29EF3901"/>
    <w:rsid w:val="2BD001FB"/>
    <w:rsid w:val="2C351677"/>
    <w:rsid w:val="2EB771D0"/>
    <w:rsid w:val="2FE71692"/>
    <w:rsid w:val="347E0C7B"/>
    <w:rsid w:val="34F7633C"/>
    <w:rsid w:val="384F7117"/>
    <w:rsid w:val="390F0BB6"/>
    <w:rsid w:val="3A913FBE"/>
    <w:rsid w:val="3BE424B2"/>
    <w:rsid w:val="43EB2FE4"/>
    <w:rsid w:val="446134BD"/>
    <w:rsid w:val="44723004"/>
    <w:rsid w:val="4C3A530E"/>
    <w:rsid w:val="4C9A3B95"/>
    <w:rsid w:val="4FE45CAE"/>
    <w:rsid w:val="509F2194"/>
    <w:rsid w:val="520D3BC4"/>
    <w:rsid w:val="60AE53F2"/>
    <w:rsid w:val="62F343B9"/>
    <w:rsid w:val="636F4F70"/>
    <w:rsid w:val="65AD6236"/>
    <w:rsid w:val="65BD5933"/>
    <w:rsid w:val="67235D1E"/>
    <w:rsid w:val="699A3928"/>
    <w:rsid w:val="6ACE1ACC"/>
    <w:rsid w:val="6BFA5F04"/>
    <w:rsid w:val="6C5A0E3F"/>
    <w:rsid w:val="720E4873"/>
    <w:rsid w:val="770462AF"/>
    <w:rsid w:val="77EF6C01"/>
    <w:rsid w:val="799025B6"/>
    <w:rsid w:val="7CC65B1D"/>
    <w:rsid w:val="7D4635F6"/>
    <w:rsid w:val="B78E980B"/>
    <w:rsid w:val="C7FBDBBC"/>
    <w:rsid w:val="CDDFD987"/>
    <w:rsid w:val="FEBF8EB8"/>
    <w:rsid w:val="FFF9448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36</Pages>
  <Words>7482</Words>
  <Characters>7737</Characters>
  <Lines>247</Lines>
  <Paragraphs>69</Paragraphs>
  <TotalTime>0</TotalTime>
  <ScaleCrop>false</ScaleCrop>
  <LinksUpToDate>false</LinksUpToDate>
  <CharactersWithSpaces>9169</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2021-12-10T23:38:00Z</dcterms:created>
  <dc:creator>JonMMx 2000</dc:creator>
  <cp:lastModifiedBy>JonMMx 2000</cp:lastModifiedBy>
  <dcterms:modified xsi:type="dcterms:W3CDTF">2025-08-14T14:56:21Z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ED7C20BB9CD443E8A24C5CF128A2F662_13</vt:lpwstr>
  </property>
  <property fmtid="{D5CDD505-2E9C-101B-9397-08002B2CF9AE}" pid="4" name="KSOTemplateDocerSaveRecord">
    <vt:lpwstr>eyJoZGlkIjoiN2ZiZjhjZjUxYjg2N2Y1ZjY0NTc5ZGMxYTcwNjRmNWYiLCJ1c2VySWQiOiIzMDg0MzUwNTAifQ==</vt:lpwstr>
  </property>
</Properties>
</file>