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储漆间新增废气收集处理项目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FSCZB2025120144</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人：重汽（重庆）轻型汽车有限公司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39D5314D">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10</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5FD61933">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23927"/>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w:t>
      </w:r>
      <w:r>
        <w:rPr>
          <w:rFonts w:hint="eastAsia"/>
          <w:highlight w:val="none"/>
        </w:rPr>
        <w:t>称：</w:t>
      </w:r>
      <w:r>
        <w:rPr>
          <w:rFonts w:hint="eastAsia"/>
          <w:highlight w:val="none"/>
          <w:lang w:val="en-US" w:eastAsia="zh-CN"/>
        </w:rPr>
        <w:t>储漆间新增废气收集处理项目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FSCZB2025120144</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lang w:val="en-US" w:eastAsia="zh-CN"/>
        </w:rPr>
        <w:t>项目概况：为解决重汽（重庆）汽车有限公司储漆间废气无组织排放的环保问题，现拟实施储漆间新增废气收集处理项目。该项目旨在通过合理配置风管、防爆风机、活性炭过滤器等设备，实现有效收集与排放。</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w:t>
      </w:r>
      <w:r>
        <w:rPr>
          <w:rFonts w:hint="eastAsia" w:ascii="宋体" w:hAnsi="宋体" w:eastAsia="宋体" w:cs="宋体"/>
          <w:i w:val="0"/>
          <w:iCs w:val="0"/>
          <w:caps w:val="0"/>
          <w:color w:val="0F1115"/>
          <w:spacing w:val="0"/>
          <w:sz w:val="21"/>
          <w:szCs w:val="21"/>
          <w:highlight w:val="none"/>
          <w:shd w:val="clear" w:fill="FFFFFF"/>
        </w:rPr>
        <w:t>人民币</w:t>
      </w:r>
      <w:r>
        <w:rPr>
          <w:rFonts w:hint="eastAsia" w:hAnsi="宋体" w:cs="宋体"/>
          <w:i w:val="0"/>
          <w:iCs w:val="0"/>
          <w:caps w:val="0"/>
          <w:color w:val="0F1115"/>
          <w:spacing w:val="0"/>
          <w:sz w:val="21"/>
          <w:szCs w:val="21"/>
          <w:highlight w:val="none"/>
          <w:shd w:val="clear" w:fill="FFFFFF"/>
          <w:lang w:val="en-US" w:eastAsia="zh-CN"/>
        </w:rPr>
        <w:t>7.9778</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03D4F12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注：本项目需在厂区内施工，投标人投标前请务必联系技术联络人进行充分技术交流及现场勘测，以便准确预估项目价格。</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招标人名称：重汽（重庆）轻型汽车有限公司</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37"/>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lang w:val="en-US" w:eastAsia="zh-CN" w:bidi="ar-SA"/>
        </w:rPr>
        <w:t>项目技术</w:t>
      </w:r>
      <w:r>
        <w:rPr>
          <w:rFonts w:hint="eastAsia" w:ascii="宋体" w:hAnsi="Courier New" w:eastAsia="宋体" w:cs="Times New Roman"/>
          <w:b w:val="0"/>
          <w:bCs w:val="0"/>
          <w:kern w:val="2"/>
          <w:sz w:val="21"/>
          <w:lang w:val="en-US" w:eastAsia="zh-CN" w:bidi="ar-SA"/>
        </w:rPr>
        <w:t>联系</w:t>
      </w:r>
      <w:r>
        <w:rPr>
          <w:rFonts w:hint="eastAsia" w:ascii="宋体" w:hAnsi="Courier New" w:eastAsia="宋体" w:cs="Times New Roman"/>
          <w:b w:val="0"/>
          <w:bCs w:val="0"/>
          <w:kern w:val="2"/>
          <w:sz w:val="21"/>
          <w:highlight w:val="none"/>
          <w:lang w:val="en-US" w:eastAsia="zh-CN" w:bidi="ar-SA"/>
        </w:rPr>
        <w:t>人：梁鹏飞</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eastAsia="宋体" w:cs="Times New Roman"/>
          <w:b w:val="0"/>
          <w:bCs w:val="0"/>
          <w:kern w:val="2"/>
          <w:sz w:val="21"/>
          <w:highlight w:val="none"/>
          <w:lang w:val="en-US" w:eastAsia="zh-CN" w:bidi="ar-SA"/>
        </w:rPr>
        <w:t>15802895250</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eastAsia="宋体" w:cs="Times New Roman"/>
          <w:b w:val="0"/>
          <w:bCs w:val="0"/>
          <w:kern w:val="2"/>
          <w:sz w:val="21"/>
          <w:highlight w:val="none"/>
          <w:lang w:val="en-US" w:eastAsia="zh-CN" w:bidi="ar-SA"/>
        </w:rPr>
        <w:t>liangpengfei1@sinotruk.com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03CC1E01">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投标人须遵守《中华人民共和国招标投标法》、《中华人民共和国民法典》及其它有关的法律和法规；为中华人民共和国境内注册的独立法人机构，具有独立承担民事责任能力；</w:t>
      </w:r>
    </w:p>
    <w:p w14:paraId="4DBCC747">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投标方的注册资本不少于50万元人民币（或等值其他货币）。</w:t>
      </w:r>
    </w:p>
    <w:p w14:paraId="5E35CE8D">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近三年（截止到报名时）类似项目业绩不少于1个。</w:t>
      </w:r>
    </w:p>
    <w:p w14:paraId="476BBEF7">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0B89E85E">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近三年内的经营活动中经营业绩良好、无招标违规、谎报年度报告信息、提供虚假资质资料等行为或其他行政处罚记录，没有违法违纪行为；</w:t>
      </w:r>
    </w:p>
    <w:p w14:paraId="138152B2">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投标方有专业售后服务团队，满足我司售后服务要求；</w:t>
      </w:r>
    </w:p>
    <w:p w14:paraId="7FB2FD6E">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投标人没有被列入招标人《黑名单》（《黑名单》指投标人与招标人在以往或正在进行的合作中，存在招标人认为的违反合同约定或违反法律法规等的失信行为）的；</w:t>
      </w:r>
    </w:p>
    <w:p w14:paraId="53A2A83B">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投标方的直接或间接股东、法定代表人、董事、监事、高管非重汽员工及其亲属。</w:t>
      </w:r>
    </w:p>
    <w:p w14:paraId="6654922C">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法律法规对合格投标方的其他要求、规定。</w:t>
      </w:r>
    </w:p>
    <w:p w14:paraId="414DE0D2">
      <w:pPr>
        <w:pStyle w:val="62"/>
        <w:numPr>
          <w:ilvl w:val="0"/>
          <w:numId w:val="11"/>
        </w:numPr>
        <w:adjustRightInd w:val="0"/>
        <w:snapToGrid w:val="0"/>
        <w:spacing w:line="400" w:lineRule="exact"/>
        <w:ind w:firstLineChars="0"/>
        <w:jc w:val="left"/>
        <w:rPr>
          <w:rFonts w:hint="eastAsia" w:ascii="宋体" w:hAnsi="宋体" w:eastAsia="宋体" w:cs="宋体"/>
          <w:bCs/>
          <w:sz w:val="21"/>
          <w:szCs w:val="21"/>
        </w:rPr>
      </w:pPr>
      <w:r>
        <w:rPr>
          <w:rFonts w:hint="eastAsia" w:ascii="宋体" w:hAnsi="宋体" w:eastAsia="宋体" w:cs="宋体"/>
          <w:bCs/>
          <w:sz w:val="21"/>
          <w:szCs w:val="21"/>
        </w:rPr>
        <w:t>不接受联合体投标。</w:t>
      </w:r>
    </w:p>
    <w:p w14:paraId="425B223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23</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r>
        <w:rPr>
          <w:rFonts w:hint="eastAsia" w:cs="宋体"/>
          <w:b/>
          <w:bCs/>
          <w:highlight w:val="none"/>
          <w:lang w:eastAsia="zh-CN"/>
        </w:rPr>
        <w:t>，</w:t>
      </w:r>
      <w:r>
        <w:rPr>
          <w:rFonts w:hint="eastAsia" w:eastAsia="宋体" w:cs="宋体"/>
          <w:b/>
          <w:bCs/>
          <w:highlight w:val="none"/>
        </w:rPr>
        <w:t>请投标人确认中国重汽e采通系统中供应商信息完整、准确，因供应商信息不全或错误导致的报名不成功，由投标人自行承担。</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24</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12月24日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1A1A787">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投标货物分项报价表（附件</w:t>
      </w:r>
      <w:r>
        <w:rPr>
          <w:rFonts w:hint="eastAsia" w:cs="Times New Roman"/>
          <w:highlight w:val="none"/>
          <w:lang w:val="en-US" w:eastAsia="zh-CN"/>
        </w:rPr>
        <w:t>7</w:t>
      </w:r>
      <w:r>
        <w:rPr>
          <w:rFonts w:hint="eastAsia" w:cs="Times New Roman"/>
          <w:highlight w:val="none"/>
        </w:rPr>
        <w:t>）；</w:t>
      </w:r>
    </w:p>
    <w:p w14:paraId="53DECED4">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7.9778</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w:t>
      </w:r>
      <w:r>
        <w:rPr>
          <w:rFonts w:hint="eastAsia"/>
          <w:highlight w:val="none"/>
          <w:u w:val="single"/>
          <w:lang w:val="en-US" w:eastAsia="zh-CN"/>
        </w:rPr>
        <w:t>025年12月29日9</w:t>
      </w:r>
      <w:r>
        <w:rPr>
          <w:rFonts w:hint="eastAsia"/>
          <w:u w:val="single"/>
          <w:lang w:val="en-US" w:eastAsia="zh-CN"/>
        </w:rPr>
        <w:t>:00:00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0F63531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单位名称：重汽（重庆）轻型汽车有限公司</w:t>
      </w:r>
    </w:p>
    <w:p w14:paraId="78AF2941">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收款账号：8112501012801267437</w:t>
      </w:r>
    </w:p>
    <w:p w14:paraId="07002D3F">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开户行名称：中信银行济南舜耕支行</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开户行行号：302451037264</w:t>
      </w:r>
    </w:p>
    <w:p w14:paraId="1591D62C">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29</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ascii="宋体" w:hAnsi="宋体" w:eastAsia="宋体" w:cs="宋体"/>
          <w:b w:val="0"/>
          <w:bCs w:val="0"/>
          <w:szCs w:val="21"/>
          <w:highlight w:val="none"/>
        </w:rPr>
        <w:t>供</w:t>
      </w:r>
      <w:r>
        <w:rPr>
          <w:rFonts w:hint="eastAsia"/>
          <w:highlight w:val="none"/>
        </w:rPr>
        <w:t>应商在提交响应文件截止时间后撤回响应文件的；</w:t>
      </w:r>
    </w:p>
    <w:p w14:paraId="56CEC55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供应商在响应文件中提供虚假材料的；</w:t>
      </w:r>
    </w:p>
    <w:p w14:paraId="14DF0C7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除因不可抗力或谈判文件、询价通知书认可的情形以外，成交供应商不与采购人签订合同的；</w:t>
      </w:r>
    </w:p>
    <w:p w14:paraId="1D9AD29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供应商与采购人、其他供应商或者采购代理机构恶意串通、围标、陪标的；</w:t>
      </w:r>
    </w:p>
    <w:p w14:paraId="1211AC71">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自中标通知书发出之日起30日内，中标人无正当理由投标人无正当签订合同的；</w:t>
      </w:r>
    </w:p>
    <w:p w14:paraId="271EC8C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highlight w:val="none"/>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lang w:val="en-US" w:eastAsia="zh-CN"/>
        </w:rPr>
        <w:t>开评标</w:t>
      </w:r>
    </w:p>
    <w:p w14:paraId="6D5294CB">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29</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hAnsi="宋体" w:cs="宋体"/>
          <w:b w:val="0"/>
          <w:bCs w:val="0"/>
          <w:sz w:val="21"/>
          <w:szCs w:val="21"/>
          <w:highlight w:val="none"/>
          <w:lang w:val="en-US" w:eastAsia="zh-CN"/>
        </w:rPr>
        <w:t>钉钉会议及e采通系统</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1A7C6FA9">
      <w:pPr>
        <w:pStyle w:val="75"/>
        <w:keepNext w:val="0"/>
        <w:keepLines w:val="0"/>
        <w:pageBreakBefore w:val="0"/>
        <w:widowControl w:val="0"/>
        <w:numPr>
          <w:ilvl w:val="0"/>
          <w:numId w:val="24"/>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4"/>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68175892">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本次招标采用合理最低价法进行评标。以《储漆间新增废气收集处理项目价格清单》合计总价（未税）为评分依据。本着公平、公正、公开的原则，选择合理最低价确定中标人，对未中标单位不做任何解释。</w:t>
      </w:r>
    </w:p>
    <w:p w14:paraId="0B2A8F6D">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4"/>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个中标</w:t>
      </w:r>
      <w:r>
        <w:rPr>
          <w:rFonts w:hint="eastAsia"/>
        </w:rPr>
        <w:t>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7"/>
      <w:bookmarkStart w:id="8" w:name="OLE_LINK25"/>
      <w:bookmarkStart w:id="9" w:name="OLE_LINK29"/>
      <w:bookmarkStart w:id="10" w:name="OLE_LINK26"/>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付款</w:t>
      </w:r>
    </w:p>
    <w:p w14:paraId="517A66BC">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p>
    <w:p w14:paraId="0C63FD2B">
      <w:pPr>
        <w:pStyle w:val="75"/>
        <w:keepNext w:val="0"/>
        <w:keepLines w:val="0"/>
        <w:pageBreakBefore w:val="0"/>
        <w:widowControl w:val="0"/>
        <w:numPr>
          <w:ilvl w:val="0"/>
          <w:numId w:val="24"/>
        </w:numPr>
        <w:kinsoku/>
        <w:wordWrap/>
        <w:overflowPunct/>
        <w:topLinePunct w:val="0"/>
        <w:autoSpaceDE/>
        <w:autoSpaceDN/>
        <w:bidi w:val="0"/>
        <w:adjustRightInd/>
        <w:snapToGrid/>
        <w:ind w:left="420" w:leftChars="0" w:hanging="420" w:firstLineChars="0"/>
        <w:textAlignment w:val="auto"/>
        <w:outlineLvl w:val="9"/>
        <w:rPr>
          <w:rFonts w:hint="eastAsia" w:cs="Times New Roman"/>
          <w:b w:val="0"/>
          <w:bCs/>
          <w:color w:val="auto"/>
          <w:highlight w:val="none"/>
          <w:u w:val="single"/>
          <w:lang w:val="en-US" w:eastAsia="zh-CN"/>
        </w:rPr>
      </w:pPr>
      <w:r>
        <w:rPr>
          <w:rFonts w:hint="eastAsia" w:cs="Times New Roman"/>
          <w:b w:val="0"/>
          <w:bCs/>
          <w:color w:val="auto"/>
          <w:highlight w:val="none"/>
          <w:u w:val="single"/>
          <w:lang w:val="en-US" w:eastAsia="zh-CN"/>
        </w:rPr>
        <w:t>半年期商业汇票（包括银行承兑汇票和商业承兑汇票）；</w:t>
      </w:r>
    </w:p>
    <w:p w14:paraId="36776B88">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482EBE5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cs="Times New Roman"/>
          <w:lang w:val="en-US" w:eastAsia="zh-CN"/>
        </w:rPr>
      </w:pPr>
      <w:r>
        <w:rPr>
          <w:rFonts w:hint="eastAsia" w:cs="Times New Roman"/>
          <w:lang w:val="en-US" w:eastAsia="zh-CN"/>
        </w:rPr>
        <w:t>验收款：中标人完成按合同约定完成项目实施，次月由招标人组织验收，验收合格后通知中标人开具合同总金额100%的增值税专用发票到招标人财务挂账，挂账后次月招标人向中标人支付合同总金额90%款项。</w:t>
      </w:r>
    </w:p>
    <w:p w14:paraId="1C27444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cs="Times New Roman"/>
          <w:lang w:val="en-US" w:eastAsia="zh-CN"/>
        </w:rPr>
      </w:pPr>
      <w:r>
        <w:rPr>
          <w:rFonts w:hint="eastAsia" w:cs="Times New Roman"/>
          <w:lang w:val="en-US" w:eastAsia="zh-CN"/>
        </w:rPr>
        <w:t>质保金：合同总价款的10%作为本合同约定的质量保证金，质量保证金在质量保证期内不计利息。终验收后一年质保期满，经招标人审核不存在未解决的质量问题后支付。如有质量问题，质量保证金予以相应扣除。</w:t>
      </w:r>
    </w:p>
    <w:p w14:paraId="10B6E3E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default" w:cs="Times New Roman"/>
          <w:b/>
          <w:bCs/>
          <w:lang w:val="en-US" w:eastAsia="zh-CN"/>
        </w:rPr>
      </w:pPr>
      <w:r>
        <w:rPr>
          <w:rFonts w:hint="eastAsia" w:cs="Times New Roman"/>
          <w:b/>
          <w:bCs/>
          <w:lang w:val="en-US" w:eastAsia="zh-CN"/>
        </w:rPr>
        <w:t>付款方式及节点不允许偏离。</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本次招标最终解释权归重汽（重庆）轻型汽车有限公司。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5193B878">
      <w:pPr>
        <w:wordWrap w:val="0"/>
        <w:ind w:right="480"/>
        <w:jc w:val="right"/>
        <w:rPr>
          <w:rFonts w:asciiTheme="minorEastAsia" w:hAnsiTheme="minorEastAsia" w:eastAsiaTheme="minorEastAsia"/>
          <w:sz w:val="24"/>
        </w:rPr>
      </w:pPr>
      <w:bookmarkStart w:id="13" w:name="_Toc23347328"/>
    </w:p>
    <w:p w14:paraId="7B7A5BBE">
      <w:pPr>
        <w:spacing w:line="720" w:lineRule="auto"/>
        <w:ind w:left="218" w:leftChars="104"/>
        <w:jc w:val="center"/>
        <w:rPr>
          <w:rFonts w:asciiTheme="minorEastAsia" w:hAnsiTheme="minorEastAsia" w:eastAsiaTheme="minorEastAsia"/>
          <w:b/>
          <w:sz w:val="40"/>
          <w:szCs w:val="32"/>
        </w:rPr>
      </w:pPr>
      <w:r>
        <w:rPr>
          <w:rFonts w:hint="eastAsia" w:ascii="宋体" w:hAnsi="宋体"/>
          <w:b/>
          <w:color w:val="000000"/>
          <w:sz w:val="40"/>
          <w:szCs w:val="32"/>
        </w:rPr>
        <w:t>储漆间新增废气收集处理项目技术要求</w:t>
      </w:r>
    </w:p>
    <w:p w14:paraId="5FB2E5AA">
      <w:pPr>
        <w:spacing w:line="360" w:lineRule="auto"/>
        <w:jc w:val="center"/>
        <w:rPr>
          <w:rFonts w:asciiTheme="minorEastAsia" w:hAnsiTheme="minorEastAsia" w:eastAsiaTheme="minorEastAsia"/>
          <w:sz w:val="32"/>
          <w:szCs w:val="32"/>
        </w:rPr>
      </w:pPr>
    </w:p>
    <w:p w14:paraId="2A2F289A">
      <w:pPr>
        <w:spacing w:line="360" w:lineRule="auto"/>
        <w:jc w:val="center"/>
        <w:rPr>
          <w:rFonts w:asciiTheme="minorEastAsia" w:hAnsiTheme="minorEastAsia" w:eastAsiaTheme="minorEastAsia"/>
          <w:b/>
          <w:sz w:val="44"/>
          <w:szCs w:val="44"/>
        </w:rPr>
      </w:pPr>
    </w:p>
    <w:p w14:paraId="0CC5247B">
      <w:pPr>
        <w:spacing w:line="360" w:lineRule="auto"/>
        <w:jc w:val="center"/>
        <w:rPr>
          <w:rFonts w:asciiTheme="minorEastAsia" w:hAnsiTheme="minorEastAsia" w:eastAsiaTheme="minorEastAsia"/>
          <w:b/>
          <w:sz w:val="44"/>
          <w:szCs w:val="44"/>
        </w:rPr>
      </w:pPr>
      <w:r>
        <w:rPr>
          <w:rFonts w:asciiTheme="minorEastAsia" w:hAnsiTheme="minorEastAsia" w:eastAsiaTheme="minorEastAsia"/>
          <w:b/>
          <w:sz w:val="44"/>
          <w:szCs w:val="44"/>
        </w:rPr>
        <w:t>目</w:t>
      </w:r>
      <w:r>
        <w:rPr>
          <w:rFonts w:hint="eastAsia" w:asciiTheme="minorEastAsia" w:hAnsiTheme="minorEastAsia" w:eastAsiaTheme="minorEastAsia"/>
          <w:b/>
          <w:sz w:val="44"/>
          <w:szCs w:val="44"/>
        </w:rPr>
        <w:t xml:space="preserve"> </w:t>
      </w:r>
      <w:r>
        <w:rPr>
          <w:rFonts w:asciiTheme="minorEastAsia" w:hAnsiTheme="minorEastAsia" w:eastAsiaTheme="minorEastAsia"/>
          <w:b/>
          <w:sz w:val="44"/>
          <w:szCs w:val="44"/>
        </w:rPr>
        <w:t>录</w:t>
      </w:r>
    </w:p>
    <w:p w14:paraId="1EF8B61D">
      <w:pPr>
        <w:spacing w:line="480" w:lineRule="auto"/>
        <w:rPr>
          <w:rFonts w:asciiTheme="minorEastAsia" w:hAnsiTheme="minorEastAsia" w:eastAsiaTheme="minorEastAsia"/>
          <w:b/>
          <w:sz w:val="30"/>
          <w:szCs w:val="30"/>
        </w:rPr>
      </w:pPr>
      <w:r>
        <w:rPr>
          <w:rFonts w:hint="eastAsia" w:asciiTheme="minorEastAsia" w:hAnsiTheme="minorEastAsia" w:eastAsiaTheme="minorEastAsia"/>
          <w:b/>
          <w:sz w:val="30"/>
          <w:szCs w:val="30"/>
        </w:rPr>
        <w:fldChar w:fldCharType="begin"/>
      </w:r>
      <w:r>
        <w:rPr>
          <w:rFonts w:hint="eastAsia" w:asciiTheme="minorEastAsia" w:hAnsiTheme="minorEastAsia" w:eastAsiaTheme="minorEastAsia"/>
          <w:b/>
          <w:sz w:val="30"/>
          <w:szCs w:val="30"/>
        </w:rPr>
        <w:instrText xml:space="preserve">TOC \o "1-2" \h \u </w:instrText>
      </w:r>
      <w:r>
        <w:rPr>
          <w:rFonts w:hint="eastAsia" w:asciiTheme="minorEastAsia" w:hAnsiTheme="minorEastAsia" w:eastAsiaTheme="minorEastAsia"/>
          <w:b/>
          <w:sz w:val="30"/>
          <w:szCs w:val="30"/>
        </w:rPr>
        <w:fldChar w:fldCharType="separate"/>
      </w:r>
      <w:r>
        <w:fldChar w:fldCharType="begin"/>
      </w:r>
      <w:r>
        <w:instrText xml:space="preserve"> HYPERLINK \l "_Toc18976" </w:instrText>
      </w:r>
      <w:r>
        <w:fldChar w:fldCharType="separate"/>
      </w:r>
      <w:r>
        <w:rPr>
          <w:rFonts w:hint="eastAsia" w:asciiTheme="minorEastAsia" w:hAnsiTheme="minorEastAsia" w:eastAsiaTheme="minorEastAsia"/>
          <w:b/>
          <w:sz w:val="30"/>
          <w:szCs w:val="30"/>
        </w:rPr>
        <w:t>1. 项目概述</w:t>
      </w:r>
      <w:r>
        <w:rPr>
          <w:rFonts w:hint="eastAsia" w:asciiTheme="minorEastAsia" w:hAnsiTheme="minorEastAsia" w:eastAsiaTheme="minorEastAsia"/>
          <w:b/>
          <w:sz w:val="30"/>
          <w:szCs w:val="30"/>
        </w:rPr>
        <w:fldChar w:fldCharType="end"/>
      </w:r>
    </w:p>
    <w:p w14:paraId="3DEB9E90">
      <w:pPr>
        <w:spacing w:line="480" w:lineRule="auto"/>
        <w:rPr>
          <w:rFonts w:asciiTheme="minorEastAsia" w:hAnsiTheme="minorEastAsia" w:eastAsiaTheme="minorEastAsia"/>
          <w:b/>
          <w:sz w:val="30"/>
          <w:szCs w:val="30"/>
        </w:rPr>
      </w:pPr>
      <w:r>
        <w:fldChar w:fldCharType="begin"/>
      </w:r>
      <w:r>
        <w:instrText xml:space="preserve"> HYPERLINK \l "_Toc28015" </w:instrText>
      </w:r>
      <w:r>
        <w:fldChar w:fldCharType="separate"/>
      </w:r>
      <w:r>
        <w:rPr>
          <w:rFonts w:hint="eastAsia" w:asciiTheme="minorEastAsia" w:hAnsiTheme="minorEastAsia" w:eastAsiaTheme="minorEastAsia"/>
          <w:b/>
          <w:sz w:val="30"/>
          <w:szCs w:val="30"/>
        </w:rPr>
        <w:t>2. 基础数据及改造方案</w:t>
      </w:r>
      <w:r>
        <w:rPr>
          <w:rFonts w:hint="eastAsia" w:asciiTheme="minorEastAsia" w:hAnsiTheme="minorEastAsia" w:eastAsiaTheme="minorEastAsia"/>
          <w:b/>
          <w:sz w:val="30"/>
          <w:szCs w:val="30"/>
        </w:rPr>
        <w:fldChar w:fldCharType="end"/>
      </w:r>
    </w:p>
    <w:p w14:paraId="665A44A4">
      <w:pPr>
        <w:spacing w:line="480" w:lineRule="auto"/>
        <w:rPr>
          <w:rFonts w:asciiTheme="minorEastAsia" w:hAnsiTheme="minorEastAsia" w:eastAsiaTheme="minorEastAsia"/>
          <w:b/>
          <w:sz w:val="30"/>
          <w:szCs w:val="30"/>
        </w:rPr>
      </w:pPr>
      <w:r>
        <w:fldChar w:fldCharType="begin"/>
      </w:r>
      <w:r>
        <w:instrText xml:space="preserve"> HYPERLINK \l "_Toc3003" </w:instrText>
      </w:r>
      <w:r>
        <w:fldChar w:fldCharType="separate"/>
      </w:r>
      <w:r>
        <w:rPr>
          <w:rFonts w:hint="eastAsia" w:asciiTheme="minorEastAsia" w:hAnsiTheme="minorEastAsia" w:eastAsiaTheme="minorEastAsia"/>
          <w:b/>
          <w:sz w:val="30"/>
          <w:szCs w:val="30"/>
        </w:rPr>
        <w:t>3. 项目改造内容</w:t>
      </w:r>
      <w:r>
        <w:rPr>
          <w:rFonts w:hint="eastAsia" w:asciiTheme="minorEastAsia" w:hAnsiTheme="minorEastAsia" w:eastAsiaTheme="minorEastAsia"/>
          <w:b/>
          <w:sz w:val="30"/>
          <w:szCs w:val="30"/>
        </w:rPr>
        <w:fldChar w:fldCharType="end"/>
      </w:r>
    </w:p>
    <w:p w14:paraId="165D2AB5">
      <w:pPr>
        <w:spacing w:line="480" w:lineRule="auto"/>
        <w:rPr>
          <w:rFonts w:asciiTheme="minorEastAsia" w:hAnsiTheme="minorEastAsia" w:eastAsiaTheme="minorEastAsia"/>
          <w:b/>
          <w:sz w:val="30"/>
          <w:szCs w:val="30"/>
        </w:rPr>
      </w:pPr>
      <w:r>
        <w:fldChar w:fldCharType="begin"/>
      </w:r>
      <w:r>
        <w:instrText xml:space="preserve"> HYPERLINK \l "_Toc24737" </w:instrText>
      </w:r>
      <w:r>
        <w:fldChar w:fldCharType="separate"/>
      </w:r>
      <w:r>
        <w:rPr>
          <w:rFonts w:hint="eastAsia" w:asciiTheme="minorEastAsia" w:hAnsiTheme="minorEastAsia" w:eastAsiaTheme="minorEastAsia"/>
          <w:b/>
          <w:sz w:val="30"/>
          <w:szCs w:val="30"/>
        </w:rPr>
        <w:t>4. 项目施工周期</w:t>
      </w:r>
      <w:r>
        <w:rPr>
          <w:rFonts w:hint="eastAsia" w:asciiTheme="minorEastAsia" w:hAnsiTheme="minorEastAsia" w:eastAsiaTheme="minorEastAsia"/>
          <w:b/>
          <w:sz w:val="30"/>
          <w:szCs w:val="30"/>
        </w:rPr>
        <w:fldChar w:fldCharType="end"/>
      </w:r>
    </w:p>
    <w:p w14:paraId="4C8D9D83">
      <w:pPr>
        <w:spacing w:line="480" w:lineRule="auto"/>
        <w:rPr>
          <w:rFonts w:asciiTheme="minorEastAsia" w:hAnsiTheme="minorEastAsia" w:eastAsiaTheme="minorEastAsia"/>
          <w:b/>
          <w:sz w:val="30"/>
          <w:szCs w:val="30"/>
        </w:rPr>
      </w:pPr>
      <w:r>
        <w:fldChar w:fldCharType="begin"/>
      </w:r>
      <w:r>
        <w:instrText xml:space="preserve"> HYPERLINK \l "_Toc14655" </w:instrText>
      </w:r>
      <w:r>
        <w:fldChar w:fldCharType="separate"/>
      </w:r>
      <w:r>
        <w:rPr>
          <w:rFonts w:hint="eastAsia" w:asciiTheme="minorEastAsia" w:hAnsiTheme="minorEastAsia" w:eastAsiaTheme="minorEastAsia"/>
          <w:b/>
          <w:sz w:val="30"/>
          <w:szCs w:val="30"/>
        </w:rPr>
        <w:t>5. 技术要求</w:t>
      </w:r>
      <w:r>
        <w:rPr>
          <w:rFonts w:hint="eastAsia" w:asciiTheme="minorEastAsia" w:hAnsiTheme="minorEastAsia" w:eastAsiaTheme="minorEastAsia"/>
          <w:b/>
          <w:sz w:val="30"/>
          <w:szCs w:val="30"/>
        </w:rPr>
        <w:fldChar w:fldCharType="end"/>
      </w:r>
    </w:p>
    <w:p w14:paraId="2074F399">
      <w:pPr>
        <w:spacing w:line="480" w:lineRule="auto"/>
        <w:rPr>
          <w:rFonts w:asciiTheme="minorEastAsia" w:hAnsiTheme="minorEastAsia" w:eastAsiaTheme="minorEastAsia"/>
          <w:b/>
          <w:sz w:val="30"/>
          <w:szCs w:val="30"/>
        </w:rPr>
      </w:pPr>
      <w:r>
        <w:fldChar w:fldCharType="begin"/>
      </w:r>
      <w:r>
        <w:instrText xml:space="preserve"> HYPERLINK \l "_Toc13663" </w:instrText>
      </w:r>
      <w:r>
        <w:fldChar w:fldCharType="separate"/>
      </w:r>
      <w:r>
        <w:rPr>
          <w:rFonts w:hint="eastAsia" w:asciiTheme="minorEastAsia" w:hAnsiTheme="minorEastAsia" w:eastAsiaTheme="minorEastAsia"/>
          <w:b/>
          <w:sz w:val="30"/>
          <w:szCs w:val="30"/>
        </w:rPr>
        <w:t>6. 培训</w:t>
      </w:r>
      <w:r>
        <w:rPr>
          <w:rFonts w:hint="eastAsia" w:asciiTheme="minorEastAsia" w:hAnsiTheme="minorEastAsia" w:eastAsiaTheme="minorEastAsia"/>
          <w:b/>
          <w:sz w:val="30"/>
          <w:szCs w:val="30"/>
        </w:rPr>
        <w:fldChar w:fldCharType="end"/>
      </w:r>
    </w:p>
    <w:p w14:paraId="6EFC287E">
      <w:pPr>
        <w:spacing w:line="480" w:lineRule="auto"/>
        <w:rPr>
          <w:rFonts w:asciiTheme="minorEastAsia" w:hAnsiTheme="minorEastAsia" w:eastAsiaTheme="minorEastAsia"/>
          <w:b/>
          <w:sz w:val="30"/>
          <w:szCs w:val="30"/>
        </w:rPr>
      </w:pPr>
      <w:r>
        <w:fldChar w:fldCharType="begin"/>
      </w:r>
      <w:r>
        <w:instrText xml:space="preserve"> HYPERLINK \l "_Toc19267" </w:instrText>
      </w:r>
      <w:r>
        <w:fldChar w:fldCharType="separate"/>
      </w:r>
      <w:r>
        <w:rPr>
          <w:rFonts w:hint="eastAsia" w:asciiTheme="minorEastAsia" w:hAnsiTheme="minorEastAsia" w:eastAsiaTheme="minorEastAsia"/>
          <w:b/>
          <w:sz w:val="30"/>
          <w:szCs w:val="30"/>
        </w:rPr>
        <w:t>7. 验收</w:t>
      </w:r>
      <w:r>
        <w:rPr>
          <w:rFonts w:hint="eastAsia" w:asciiTheme="minorEastAsia" w:hAnsiTheme="minorEastAsia" w:eastAsiaTheme="minorEastAsia"/>
          <w:b/>
          <w:sz w:val="30"/>
          <w:szCs w:val="30"/>
        </w:rPr>
        <w:fldChar w:fldCharType="end"/>
      </w:r>
    </w:p>
    <w:p w14:paraId="4AC9EDDE">
      <w:pPr>
        <w:spacing w:line="480" w:lineRule="auto"/>
        <w:rPr>
          <w:rFonts w:asciiTheme="minorEastAsia" w:hAnsiTheme="minorEastAsia" w:eastAsiaTheme="minorEastAsia"/>
          <w:b/>
          <w:sz w:val="30"/>
          <w:szCs w:val="30"/>
        </w:rPr>
      </w:pPr>
      <w:r>
        <w:fldChar w:fldCharType="begin"/>
      </w:r>
      <w:r>
        <w:instrText xml:space="preserve"> HYPERLINK \l "_Toc22076" </w:instrText>
      </w:r>
      <w:r>
        <w:fldChar w:fldCharType="separate"/>
      </w:r>
      <w:r>
        <w:rPr>
          <w:rFonts w:hint="eastAsia" w:asciiTheme="minorEastAsia" w:hAnsiTheme="minorEastAsia" w:eastAsiaTheme="minorEastAsia"/>
          <w:b/>
          <w:sz w:val="30"/>
          <w:szCs w:val="30"/>
        </w:rPr>
        <w:t>8. 质保及售后服务</w:t>
      </w:r>
      <w:r>
        <w:rPr>
          <w:rFonts w:hint="eastAsia" w:asciiTheme="minorEastAsia" w:hAnsiTheme="minorEastAsia" w:eastAsiaTheme="minorEastAsia"/>
          <w:b/>
          <w:sz w:val="30"/>
          <w:szCs w:val="30"/>
        </w:rPr>
        <w:fldChar w:fldCharType="end"/>
      </w:r>
    </w:p>
    <w:p w14:paraId="55C67661">
      <w:pPr>
        <w:spacing w:line="480" w:lineRule="auto"/>
        <w:rPr>
          <w:rFonts w:asciiTheme="minorEastAsia" w:hAnsiTheme="minorEastAsia" w:eastAsiaTheme="minorEastAsia"/>
          <w:b/>
          <w:sz w:val="30"/>
          <w:szCs w:val="30"/>
        </w:rPr>
      </w:pPr>
      <w:r>
        <w:fldChar w:fldCharType="begin"/>
      </w:r>
      <w:r>
        <w:instrText xml:space="preserve"> HYPERLINK \l "_Toc22076" </w:instrText>
      </w:r>
      <w:r>
        <w:fldChar w:fldCharType="separate"/>
      </w:r>
      <w:r>
        <w:rPr>
          <w:rFonts w:hint="eastAsia" w:asciiTheme="minorEastAsia" w:hAnsiTheme="minorEastAsia" w:eastAsiaTheme="minorEastAsia"/>
          <w:b/>
          <w:sz w:val="30"/>
          <w:szCs w:val="30"/>
        </w:rPr>
        <w:t>9. 其他事宜</w:t>
      </w:r>
      <w:r>
        <w:rPr>
          <w:rFonts w:hint="eastAsia" w:asciiTheme="minorEastAsia" w:hAnsiTheme="minorEastAsia" w:eastAsiaTheme="minorEastAsia"/>
          <w:b/>
          <w:sz w:val="30"/>
          <w:szCs w:val="30"/>
        </w:rPr>
        <w:fldChar w:fldCharType="end"/>
      </w:r>
    </w:p>
    <w:p w14:paraId="196CBAA0">
      <w:pPr>
        <w:spacing w:line="480" w:lineRule="auto"/>
        <w:rPr>
          <w:rFonts w:asciiTheme="minorEastAsia" w:hAnsiTheme="minorEastAsia" w:eastAsiaTheme="minorEastAsia"/>
          <w:sz w:val="28"/>
          <w:szCs w:val="28"/>
        </w:rPr>
      </w:pPr>
      <w:r>
        <w:rPr>
          <w:rFonts w:hint="eastAsia" w:asciiTheme="minorEastAsia" w:hAnsiTheme="minorEastAsia" w:eastAsiaTheme="minorEastAsia"/>
          <w:b/>
          <w:sz w:val="30"/>
          <w:szCs w:val="30"/>
        </w:rPr>
        <w:fldChar w:fldCharType="end"/>
      </w:r>
    </w:p>
    <w:p w14:paraId="617B0668">
      <w:pPr>
        <w:rPr>
          <w:rFonts w:asciiTheme="minorEastAsia" w:hAnsiTheme="minorEastAsia" w:eastAsiaTheme="minorEastAsia"/>
          <w:sz w:val="28"/>
          <w:szCs w:val="28"/>
        </w:rPr>
      </w:pPr>
    </w:p>
    <w:p w14:paraId="0A902E55">
      <w:pPr>
        <w:rPr>
          <w:rFonts w:asciiTheme="minorEastAsia" w:hAnsiTheme="minorEastAsia" w:eastAsiaTheme="minorEastAsia"/>
          <w:sz w:val="28"/>
          <w:szCs w:val="28"/>
        </w:rPr>
      </w:pPr>
    </w:p>
    <w:p w14:paraId="13C914F3">
      <w:pPr>
        <w:rPr>
          <w:rFonts w:asciiTheme="minorEastAsia" w:hAnsiTheme="minorEastAsia" w:eastAsiaTheme="minorEastAsia"/>
          <w:sz w:val="28"/>
          <w:szCs w:val="28"/>
        </w:rPr>
      </w:pPr>
    </w:p>
    <w:bookmarkEnd w:id="13"/>
    <w:p w14:paraId="1B2F0A6A">
      <w:pPr>
        <w:pStyle w:val="58"/>
        <w:spacing w:line="360" w:lineRule="auto"/>
        <w:ind w:firstLine="0"/>
        <w:jc w:val="left"/>
        <w:rPr>
          <w:rFonts w:asciiTheme="minorEastAsia" w:hAnsiTheme="minorEastAsia" w:eastAsiaTheme="minorEastAsia"/>
          <w:sz w:val="24"/>
          <w:szCs w:val="24"/>
        </w:rPr>
      </w:pPr>
    </w:p>
    <w:p w14:paraId="59B9C088">
      <w:pPr>
        <w:pStyle w:val="58"/>
        <w:spacing w:line="360" w:lineRule="auto"/>
        <w:ind w:firstLine="0"/>
        <w:jc w:val="left"/>
        <w:rPr>
          <w:rFonts w:asciiTheme="minorEastAsia" w:hAnsiTheme="minorEastAsia" w:eastAsiaTheme="minorEastAsia"/>
          <w:sz w:val="24"/>
          <w:szCs w:val="24"/>
        </w:rPr>
      </w:pPr>
    </w:p>
    <w:p w14:paraId="54D39B14">
      <w:pPr>
        <w:numPr>
          <w:ilvl w:val="0"/>
          <w:numId w:val="30"/>
        </w:numPr>
        <w:spacing w:line="360" w:lineRule="auto"/>
        <w:outlineLvl w:val="0"/>
        <w:rPr>
          <w:b/>
          <w:bCs/>
          <w:sz w:val="28"/>
          <w:szCs w:val="28"/>
        </w:rPr>
      </w:pPr>
      <w:r>
        <w:rPr>
          <w:rFonts w:hint="eastAsia"/>
          <w:b/>
          <w:bCs/>
          <w:sz w:val="28"/>
          <w:szCs w:val="28"/>
        </w:rPr>
        <w:t>项目概要</w:t>
      </w:r>
    </w:p>
    <w:p w14:paraId="6F0FE07A">
      <w:pPr>
        <w:spacing w:line="360" w:lineRule="auto"/>
        <w:ind w:firstLine="480" w:firstLineChars="200"/>
        <w:outlineLvl w:val="0"/>
        <w:rPr>
          <w:rFonts w:ascii="宋体" w:hAnsi="宋体" w:cs="宋体"/>
          <w:sz w:val="24"/>
        </w:rPr>
      </w:pPr>
      <w:bookmarkStart w:id="14" w:name="_Toc28015"/>
      <w:r>
        <w:rPr>
          <w:rFonts w:ascii="宋体" w:hAnsi="宋体" w:cs="宋体"/>
          <w:sz w:val="24"/>
        </w:rPr>
        <w:t>为解决重汽（重庆）汽车有限公司</w:t>
      </w:r>
      <w:r>
        <w:rPr>
          <w:rFonts w:hint="eastAsia" w:ascii="宋体" w:hAnsi="宋体" w:cs="宋体"/>
          <w:sz w:val="24"/>
        </w:rPr>
        <w:t>（以下简称需方）</w:t>
      </w:r>
      <w:r>
        <w:rPr>
          <w:rFonts w:ascii="宋体" w:hAnsi="宋体" w:cs="宋体"/>
          <w:sz w:val="24"/>
        </w:rPr>
        <w:t>储漆间废气无组织排放的环保问题，现拟实施</w:t>
      </w:r>
      <w:r>
        <w:rPr>
          <w:rFonts w:hint="eastAsia" w:ascii="宋体" w:hAnsi="宋体" w:cs="宋体"/>
          <w:sz w:val="24"/>
        </w:rPr>
        <w:t>储漆间新增废气收集处理项目</w:t>
      </w:r>
      <w:r>
        <w:rPr>
          <w:rFonts w:ascii="宋体" w:hAnsi="宋体" w:cs="宋体"/>
          <w:sz w:val="24"/>
        </w:rPr>
        <w:t>。</w:t>
      </w:r>
      <w:r>
        <w:rPr>
          <w:rFonts w:ascii="Segoe UI" w:hAnsi="Segoe UI" w:eastAsia="Segoe UI" w:cs="Segoe UI"/>
          <w:sz w:val="24"/>
          <w:shd w:val="clear" w:color="auto" w:fill="F3F3F3"/>
        </w:rPr>
        <w:t>该项目旨在通过合理配置风管、</w:t>
      </w:r>
      <w:r>
        <w:rPr>
          <w:rFonts w:hint="eastAsia" w:ascii="Segoe UI" w:hAnsi="Segoe UI" w:cs="Segoe UI"/>
          <w:sz w:val="24"/>
          <w:shd w:val="clear" w:color="auto" w:fill="F3F3F3"/>
        </w:rPr>
        <w:t>防爆</w:t>
      </w:r>
      <w:r>
        <w:rPr>
          <w:rFonts w:ascii="Segoe UI" w:hAnsi="Segoe UI" w:eastAsia="Segoe UI" w:cs="Segoe UI"/>
          <w:sz w:val="24"/>
          <w:shd w:val="clear" w:color="auto" w:fill="F3F3F3"/>
        </w:rPr>
        <w:t>风机、活性炭过滤</w:t>
      </w:r>
      <w:r>
        <w:rPr>
          <w:rFonts w:hint="eastAsia" w:ascii="Segoe UI" w:hAnsi="Segoe UI" w:cs="Segoe UI"/>
          <w:sz w:val="24"/>
          <w:shd w:val="clear" w:color="auto" w:fill="F3F3F3"/>
        </w:rPr>
        <w:t>器</w:t>
      </w:r>
      <w:r>
        <w:rPr>
          <w:rFonts w:ascii="Segoe UI" w:hAnsi="Segoe UI" w:eastAsia="Segoe UI" w:cs="Segoe UI"/>
          <w:sz w:val="24"/>
          <w:shd w:val="clear" w:color="auto" w:fill="F3F3F3"/>
        </w:rPr>
        <w:t>等设备，实现有效收集与排放</w:t>
      </w:r>
      <w:r>
        <w:rPr>
          <w:rFonts w:hint="eastAsia" w:ascii="Segoe UI" w:hAnsi="Segoe UI" w:cs="Segoe UI"/>
          <w:sz w:val="24"/>
          <w:shd w:val="clear" w:color="auto" w:fill="F3F3F3"/>
        </w:rPr>
        <w:t>。</w:t>
      </w:r>
    </w:p>
    <w:p w14:paraId="2A23351F">
      <w:pPr>
        <w:spacing w:line="360" w:lineRule="auto"/>
        <w:ind w:firstLine="480" w:firstLineChars="200"/>
        <w:outlineLvl w:val="0"/>
        <w:rPr>
          <w:b/>
          <w:bCs/>
          <w:sz w:val="24"/>
        </w:rPr>
      </w:pPr>
      <w:r>
        <w:rPr>
          <w:rFonts w:ascii="宋体" w:hAnsi="宋体" w:cs="宋体"/>
          <w:sz w:val="24"/>
        </w:rPr>
        <w:t>本项目为交钥匙工程</w:t>
      </w:r>
      <w:r>
        <w:rPr>
          <w:rFonts w:hint="eastAsia" w:ascii="宋体" w:hAnsi="宋体" w:cs="宋体"/>
          <w:sz w:val="24"/>
        </w:rPr>
        <w:t>，</w:t>
      </w:r>
      <w:r>
        <w:rPr>
          <w:rFonts w:ascii="宋体" w:hAnsi="宋体" w:cs="宋体"/>
          <w:sz w:val="24"/>
        </w:rPr>
        <w:t>供</w:t>
      </w:r>
      <w:r>
        <w:rPr>
          <w:rFonts w:hint="eastAsia" w:ascii="宋体" w:hAnsi="宋体" w:cs="宋体"/>
          <w:sz w:val="24"/>
        </w:rPr>
        <w:t>方</w:t>
      </w:r>
      <w:r>
        <w:rPr>
          <w:rFonts w:ascii="宋体" w:hAnsi="宋体" w:cs="宋体"/>
          <w:sz w:val="24"/>
        </w:rPr>
        <w:t>须对本项目的设计、采购、施工、调试及最终交付成果负全部责任，确保系统性能、工程质量及合规性。质保期内，因设计、设备、材料、安装等原因引发的任何问题，均由供应商承担相应责任及费用。</w:t>
      </w:r>
    </w:p>
    <w:bookmarkEnd w:id="14"/>
    <w:p w14:paraId="28D43232">
      <w:pPr>
        <w:numPr>
          <w:ilvl w:val="0"/>
          <w:numId w:val="30"/>
        </w:numPr>
        <w:spacing w:line="360" w:lineRule="auto"/>
        <w:outlineLvl w:val="0"/>
        <w:rPr>
          <w:b/>
          <w:bCs/>
          <w:sz w:val="28"/>
          <w:szCs w:val="28"/>
        </w:rPr>
      </w:pPr>
      <w:r>
        <w:rPr>
          <w:rFonts w:hint="eastAsia"/>
          <w:b/>
          <w:bCs/>
          <w:sz w:val="28"/>
          <w:szCs w:val="28"/>
        </w:rPr>
        <w:t>基础数据及改造方案</w:t>
      </w:r>
    </w:p>
    <w:p w14:paraId="033472D6">
      <w:pPr>
        <w:spacing w:line="360" w:lineRule="auto"/>
        <w:outlineLvl w:val="0"/>
        <w:rPr>
          <w:b/>
          <w:bCs/>
          <w:sz w:val="24"/>
        </w:rPr>
      </w:pPr>
      <w:r>
        <w:rPr>
          <w:rFonts w:hint="eastAsia"/>
          <w:b/>
          <w:bCs/>
          <w:sz w:val="24"/>
        </w:rPr>
        <w:t>2.1.储漆间废气基础数据：</w:t>
      </w:r>
    </w:p>
    <w:tbl>
      <w:tblPr>
        <w:tblStyle w:val="30"/>
        <w:tblW w:w="8397" w:type="dxa"/>
        <w:jc w:val="center"/>
        <w:tblLayout w:type="autofit"/>
        <w:tblCellMar>
          <w:top w:w="0" w:type="dxa"/>
          <w:left w:w="0" w:type="dxa"/>
          <w:bottom w:w="0" w:type="dxa"/>
          <w:right w:w="0" w:type="dxa"/>
        </w:tblCellMar>
      </w:tblPr>
      <w:tblGrid>
        <w:gridCol w:w="1724"/>
        <w:gridCol w:w="1900"/>
        <w:gridCol w:w="1534"/>
        <w:gridCol w:w="1582"/>
        <w:gridCol w:w="1657"/>
      </w:tblGrid>
      <w:tr w14:paraId="48E7AC1F">
        <w:tblPrEx>
          <w:tblCellMar>
            <w:top w:w="0" w:type="dxa"/>
            <w:left w:w="0" w:type="dxa"/>
            <w:bottom w:w="0" w:type="dxa"/>
            <w:right w:w="0" w:type="dxa"/>
          </w:tblCellMar>
        </w:tblPrEx>
        <w:trPr>
          <w:trHeight w:val="683" w:hRule="atLeast"/>
          <w:jc w:val="center"/>
        </w:trPr>
        <w:tc>
          <w:tcPr>
            <w:tcW w:w="1724" w:type="dxa"/>
            <w:tcBorders>
              <w:top w:val="single" w:color="000000" w:sz="8" w:space="0"/>
              <w:left w:val="single" w:color="000000" w:sz="8" w:space="0"/>
              <w:bottom w:val="single" w:color="000000" w:sz="8" w:space="0"/>
              <w:right w:val="single" w:color="000000" w:sz="8" w:space="0"/>
            </w:tcBorders>
            <w:tcMar>
              <w:top w:w="54" w:type="dxa"/>
              <w:left w:w="144" w:type="dxa"/>
              <w:bottom w:w="54" w:type="dxa"/>
              <w:right w:w="144" w:type="dxa"/>
            </w:tcMar>
            <w:vAlign w:val="center"/>
          </w:tcPr>
          <w:p w14:paraId="4CCEE4CB">
            <w:pPr>
              <w:tabs>
                <w:tab w:val="left" w:pos="1092"/>
              </w:tabs>
              <w:jc w:val="center"/>
              <w:rPr>
                <w:rFonts w:ascii="宋体" w:hAnsi="宋体"/>
                <w:sz w:val="24"/>
              </w:rPr>
            </w:pPr>
            <w:r>
              <w:rPr>
                <w:rFonts w:hint="eastAsia" w:ascii="宋体" w:hAnsi="宋体"/>
                <w:b/>
                <w:bCs/>
                <w:sz w:val="24"/>
              </w:rPr>
              <w:t>储漆间</w:t>
            </w:r>
            <w:r>
              <w:rPr>
                <w:rFonts w:ascii="宋体" w:hAnsi="宋体"/>
                <w:b/>
                <w:bCs/>
                <w:sz w:val="24"/>
              </w:rPr>
              <w:t>体积</w:t>
            </w:r>
          </w:p>
        </w:tc>
        <w:tc>
          <w:tcPr>
            <w:tcW w:w="1900" w:type="dxa"/>
            <w:tcBorders>
              <w:top w:val="single" w:color="000000" w:sz="8" w:space="0"/>
              <w:left w:val="single" w:color="000000" w:sz="8" w:space="0"/>
              <w:bottom w:val="single" w:color="000000" w:sz="8" w:space="0"/>
              <w:right w:val="single" w:color="000000" w:sz="8" w:space="0"/>
            </w:tcBorders>
            <w:vAlign w:val="center"/>
          </w:tcPr>
          <w:p w14:paraId="79814BBE">
            <w:pPr>
              <w:tabs>
                <w:tab w:val="left" w:pos="1092"/>
              </w:tabs>
              <w:jc w:val="center"/>
              <w:rPr>
                <w:rFonts w:ascii="宋体" w:hAnsi="宋体"/>
                <w:b/>
                <w:bCs/>
                <w:sz w:val="24"/>
              </w:rPr>
            </w:pPr>
            <w:r>
              <w:rPr>
                <w:rFonts w:hint="eastAsia" w:ascii="宋体" w:hAnsi="宋体"/>
                <w:b/>
                <w:bCs/>
                <w:sz w:val="24"/>
              </w:rPr>
              <w:t>废气类型</w:t>
            </w:r>
          </w:p>
        </w:tc>
        <w:tc>
          <w:tcPr>
            <w:tcW w:w="1534" w:type="dxa"/>
            <w:tcBorders>
              <w:top w:val="single" w:color="000000" w:sz="8" w:space="0"/>
              <w:left w:val="single" w:color="000000" w:sz="8" w:space="0"/>
              <w:bottom w:val="single" w:color="000000" w:sz="8" w:space="0"/>
              <w:right w:val="single" w:color="000000" w:sz="8" w:space="0"/>
            </w:tcBorders>
            <w:vAlign w:val="center"/>
          </w:tcPr>
          <w:p w14:paraId="02C4B7B7">
            <w:pPr>
              <w:tabs>
                <w:tab w:val="left" w:pos="1092"/>
              </w:tabs>
              <w:jc w:val="center"/>
              <w:rPr>
                <w:rFonts w:ascii="宋体" w:hAnsi="宋体"/>
                <w:b/>
                <w:bCs/>
                <w:sz w:val="24"/>
              </w:rPr>
            </w:pPr>
            <w:r>
              <w:rPr>
                <w:rFonts w:hint="eastAsia" w:ascii="宋体" w:hAnsi="宋体"/>
                <w:b/>
                <w:bCs/>
                <w:sz w:val="24"/>
              </w:rPr>
              <w:t>温度</w:t>
            </w:r>
          </w:p>
        </w:tc>
        <w:tc>
          <w:tcPr>
            <w:tcW w:w="1582" w:type="dxa"/>
            <w:tcBorders>
              <w:top w:val="single" w:color="000000" w:sz="8" w:space="0"/>
              <w:left w:val="single" w:color="000000" w:sz="8" w:space="0"/>
              <w:bottom w:val="single" w:color="000000" w:sz="8" w:space="0"/>
              <w:right w:val="single" w:color="000000" w:sz="8" w:space="0"/>
            </w:tcBorders>
            <w:vAlign w:val="center"/>
          </w:tcPr>
          <w:p w14:paraId="3365C39F">
            <w:pPr>
              <w:tabs>
                <w:tab w:val="left" w:pos="1092"/>
              </w:tabs>
              <w:jc w:val="center"/>
              <w:rPr>
                <w:rFonts w:ascii="宋体" w:hAnsi="宋体"/>
                <w:b/>
                <w:bCs/>
                <w:sz w:val="24"/>
              </w:rPr>
            </w:pPr>
            <w:r>
              <w:rPr>
                <w:rFonts w:hint="eastAsia" w:ascii="宋体" w:hAnsi="宋体"/>
                <w:b/>
                <w:bCs/>
                <w:sz w:val="24"/>
              </w:rPr>
              <w:t>相对湿度</w:t>
            </w:r>
          </w:p>
        </w:tc>
        <w:tc>
          <w:tcPr>
            <w:tcW w:w="1657" w:type="dxa"/>
            <w:tcBorders>
              <w:top w:val="single" w:color="000000" w:sz="8" w:space="0"/>
              <w:left w:val="single" w:color="000000" w:sz="8" w:space="0"/>
              <w:bottom w:val="single" w:color="000000" w:sz="8" w:space="0"/>
              <w:right w:val="single" w:color="000000" w:sz="8" w:space="0"/>
            </w:tcBorders>
            <w:vAlign w:val="center"/>
          </w:tcPr>
          <w:p w14:paraId="6567D804">
            <w:pPr>
              <w:tabs>
                <w:tab w:val="left" w:pos="1092"/>
              </w:tabs>
              <w:jc w:val="center"/>
              <w:rPr>
                <w:rFonts w:ascii="宋体" w:hAnsi="宋体"/>
                <w:b/>
                <w:bCs/>
                <w:sz w:val="24"/>
              </w:rPr>
            </w:pPr>
            <w:r>
              <w:rPr>
                <w:rFonts w:hint="eastAsia" w:ascii="宋体" w:hAnsi="宋体"/>
                <w:b/>
                <w:bCs/>
                <w:sz w:val="24"/>
              </w:rPr>
              <w:t>目前排放方式</w:t>
            </w:r>
          </w:p>
        </w:tc>
      </w:tr>
      <w:tr w14:paraId="7237EEC4">
        <w:tblPrEx>
          <w:tblCellMar>
            <w:top w:w="0" w:type="dxa"/>
            <w:left w:w="0" w:type="dxa"/>
            <w:bottom w:w="0" w:type="dxa"/>
            <w:right w:w="0" w:type="dxa"/>
          </w:tblCellMar>
        </w:tblPrEx>
        <w:trPr>
          <w:trHeight w:val="472" w:hRule="atLeast"/>
          <w:jc w:val="center"/>
        </w:trPr>
        <w:tc>
          <w:tcPr>
            <w:tcW w:w="1724" w:type="dxa"/>
            <w:tcBorders>
              <w:top w:val="single" w:color="000000" w:sz="8" w:space="0"/>
              <w:left w:val="single" w:color="000000" w:sz="8" w:space="0"/>
              <w:bottom w:val="single" w:color="000000" w:sz="8" w:space="0"/>
              <w:right w:val="single" w:color="000000" w:sz="8" w:space="0"/>
            </w:tcBorders>
            <w:tcMar>
              <w:top w:w="54" w:type="dxa"/>
              <w:left w:w="144" w:type="dxa"/>
              <w:bottom w:w="54" w:type="dxa"/>
              <w:right w:w="144" w:type="dxa"/>
            </w:tcMar>
            <w:vAlign w:val="center"/>
          </w:tcPr>
          <w:p w14:paraId="3A4AB76F">
            <w:pPr>
              <w:tabs>
                <w:tab w:val="left" w:pos="1092"/>
              </w:tabs>
              <w:spacing w:line="360" w:lineRule="auto"/>
              <w:jc w:val="center"/>
              <w:rPr>
                <w:rFonts w:ascii="宋体" w:hAnsi="宋体"/>
                <w:sz w:val="24"/>
              </w:rPr>
            </w:pPr>
            <w:r>
              <w:rPr>
                <w:rFonts w:hint="eastAsia" w:ascii="宋体" w:hAnsi="宋体"/>
                <w:sz w:val="24"/>
              </w:rPr>
              <w:t>约450</w:t>
            </w:r>
            <w:r>
              <w:rPr>
                <w:rFonts w:ascii="宋体" w:hAnsi="宋体"/>
                <w:sz w:val="24"/>
              </w:rPr>
              <w:t>m3</w:t>
            </w:r>
          </w:p>
        </w:tc>
        <w:tc>
          <w:tcPr>
            <w:tcW w:w="1900" w:type="dxa"/>
            <w:tcBorders>
              <w:top w:val="single" w:color="000000" w:sz="8" w:space="0"/>
              <w:left w:val="single" w:color="000000" w:sz="8" w:space="0"/>
              <w:bottom w:val="single" w:color="000000" w:sz="8" w:space="0"/>
              <w:right w:val="single" w:color="000000" w:sz="8" w:space="0"/>
            </w:tcBorders>
            <w:vAlign w:val="center"/>
          </w:tcPr>
          <w:p w14:paraId="4711B1D5">
            <w:pPr>
              <w:tabs>
                <w:tab w:val="left" w:pos="1092"/>
              </w:tabs>
              <w:spacing w:line="360" w:lineRule="auto"/>
              <w:jc w:val="center"/>
              <w:rPr>
                <w:rFonts w:ascii="宋体" w:hAnsi="宋体"/>
                <w:sz w:val="24"/>
              </w:rPr>
            </w:pPr>
            <w:r>
              <w:rPr>
                <w:rFonts w:hint="eastAsia" w:ascii="宋体" w:hAnsi="宋体"/>
                <w:sz w:val="24"/>
              </w:rPr>
              <w:t>低浓度有机废气</w:t>
            </w:r>
          </w:p>
        </w:tc>
        <w:tc>
          <w:tcPr>
            <w:tcW w:w="1534" w:type="dxa"/>
            <w:tcBorders>
              <w:top w:val="single" w:color="000000" w:sz="8" w:space="0"/>
              <w:left w:val="single" w:color="000000" w:sz="8" w:space="0"/>
              <w:bottom w:val="single" w:color="000000" w:sz="8" w:space="0"/>
              <w:right w:val="single" w:color="000000" w:sz="8" w:space="0"/>
            </w:tcBorders>
            <w:vAlign w:val="center"/>
          </w:tcPr>
          <w:p w14:paraId="19E72CF3">
            <w:pPr>
              <w:tabs>
                <w:tab w:val="left" w:pos="1092"/>
              </w:tabs>
              <w:spacing w:line="360" w:lineRule="auto"/>
              <w:jc w:val="center"/>
              <w:rPr>
                <w:rFonts w:ascii="宋体" w:hAnsi="宋体"/>
                <w:sz w:val="24"/>
              </w:rPr>
            </w:pPr>
            <w:r>
              <w:rPr>
                <w:rFonts w:hint="eastAsia" w:ascii="宋体" w:hAnsi="宋体"/>
                <w:sz w:val="24"/>
              </w:rPr>
              <w:t>-10-50℃</w:t>
            </w:r>
          </w:p>
        </w:tc>
        <w:tc>
          <w:tcPr>
            <w:tcW w:w="1582" w:type="dxa"/>
            <w:tcBorders>
              <w:top w:val="single" w:color="000000" w:sz="8" w:space="0"/>
              <w:left w:val="single" w:color="000000" w:sz="8" w:space="0"/>
              <w:bottom w:val="single" w:color="000000" w:sz="8" w:space="0"/>
              <w:right w:val="single" w:color="000000" w:sz="8" w:space="0"/>
            </w:tcBorders>
            <w:vAlign w:val="center"/>
          </w:tcPr>
          <w:p w14:paraId="3D57F1B7">
            <w:pPr>
              <w:tabs>
                <w:tab w:val="left" w:pos="1092"/>
              </w:tabs>
              <w:spacing w:line="360" w:lineRule="auto"/>
              <w:jc w:val="center"/>
              <w:rPr>
                <w:rFonts w:ascii="宋体" w:hAnsi="宋体"/>
                <w:sz w:val="24"/>
              </w:rPr>
            </w:pPr>
            <w:r>
              <w:rPr>
                <w:rFonts w:hint="eastAsia" w:ascii="宋体" w:hAnsi="宋体"/>
                <w:sz w:val="24"/>
              </w:rPr>
              <w:t>50%-98%</w:t>
            </w:r>
          </w:p>
        </w:tc>
        <w:tc>
          <w:tcPr>
            <w:tcW w:w="1657" w:type="dxa"/>
            <w:tcBorders>
              <w:top w:val="single" w:color="000000" w:sz="8" w:space="0"/>
              <w:left w:val="single" w:color="000000" w:sz="8" w:space="0"/>
              <w:bottom w:val="single" w:color="000000" w:sz="8" w:space="0"/>
              <w:right w:val="single" w:color="000000" w:sz="8" w:space="0"/>
            </w:tcBorders>
            <w:vAlign w:val="center"/>
          </w:tcPr>
          <w:p w14:paraId="69DFE5D0">
            <w:pPr>
              <w:tabs>
                <w:tab w:val="left" w:pos="1092"/>
              </w:tabs>
              <w:spacing w:line="360" w:lineRule="auto"/>
              <w:jc w:val="center"/>
              <w:rPr>
                <w:rFonts w:ascii="宋体" w:hAnsi="宋体"/>
                <w:sz w:val="24"/>
              </w:rPr>
            </w:pPr>
            <w:r>
              <w:rPr>
                <w:rFonts w:hint="eastAsia" w:ascii="宋体" w:hAnsi="宋体"/>
                <w:sz w:val="24"/>
              </w:rPr>
              <w:t>换气扇散排</w:t>
            </w:r>
          </w:p>
        </w:tc>
      </w:tr>
    </w:tbl>
    <w:p w14:paraId="2A8A0C5E">
      <w:pPr>
        <w:spacing w:line="360" w:lineRule="auto"/>
        <w:rPr>
          <w:b/>
          <w:bCs/>
          <w:sz w:val="24"/>
        </w:rPr>
      </w:pPr>
      <w:r>
        <w:rPr>
          <w:rFonts w:hint="eastAsia"/>
          <w:b/>
          <w:bCs/>
          <w:sz w:val="24"/>
        </w:rPr>
        <w:t>2.2.改造方案：</w:t>
      </w:r>
    </w:p>
    <w:p w14:paraId="4EDF2704">
      <w:pPr>
        <w:spacing w:line="360" w:lineRule="auto"/>
        <w:rPr>
          <w:b/>
          <w:bCs/>
          <w:sz w:val="24"/>
        </w:rPr>
      </w:pPr>
      <w:r>
        <w:rPr>
          <w:rFonts w:hint="eastAsia"/>
          <w:b/>
          <w:bCs/>
          <w:sz w:val="24"/>
        </w:rPr>
        <w:t xml:space="preserve">    </w:t>
      </w:r>
      <w:r>
        <w:rPr>
          <w:rFonts w:hint="eastAsia"/>
          <w:sz w:val="24"/>
        </w:rPr>
        <w:t>新增一台防爆式离心风机将储漆间废气收集后通过活性炭板式过滤器进行过滤，过滤后的废气再和现有的调漆间废气混合后通过调漆间现有的烟囱进行排放。</w:t>
      </w:r>
    </w:p>
    <w:p w14:paraId="0ED8C26A">
      <w:pPr>
        <w:spacing w:line="360" w:lineRule="auto"/>
        <w:rPr>
          <w:b/>
          <w:bCs/>
          <w:sz w:val="24"/>
        </w:rPr>
      </w:pPr>
      <w:r>
        <w:drawing>
          <wp:inline distT="0" distB="0" distL="114300" distR="114300">
            <wp:extent cx="5272405" cy="2214880"/>
            <wp:effectExtent l="0" t="0" r="6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2405" cy="2214880"/>
                    </a:xfrm>
                    <a:prstGeom prst="rect">
                      <a:avLst/>
                    </a:prstGeom>
                    <a:noFill/>
                    <a:ln>
                      <a:noFill/>
                    </a:ln>
                  </pic:spPr>
                </pic:pic>
              </a:graphicData>
            </a:graphic>
          </wp:inline>
        </w:drawing>
      </w:r>
    </w:p>
    <w:p w14:paraId="4DA2E23C">
      <w:pPr>
        <w:numPr>
          <w:ilvl w:val="0"/>
          <w:numId w:val="30"/>
        </w:numPr>
        <w:spacing w:line="360" w:lineRule="auto"/>
        <w:rPr>
          <w:b/>
          <w:bCs/>
          <w:sz w:val="28"/>
          <w:szCs w:val="28"/>
        </w:rPr>
      </w:pPr>
      <w:r>
        <w:rPr>
          <w:rFonts w:hint="eastAsia"/>
          <w:b/>
          <w:bCs/>
          <w:sz w:val="28"/>
          <w:szCs w:val="28"/>
        </w:rPr>
        <w:t>项目改造内容</w:t>
      </w:r>
    </w:p>
    <w:tbl>
      <w:tblPr>
        <w:tblStyle w:val="31"/>
        <w:tblW w:w="83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8"/>
        <w:gridCol w:w="2084"/>
        <w:gridCol w:w="5366"/>
      </w:tblGrid>
      <w:tr w14:paraId="500EB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trPr>
        <w:tc>
          <w:tcPr>
            <w:tcW w:w="878" w:type="dxa"/>
            <w:tcBorders>
              <w:right w:val="single" w:color="auto" w:sz="4" w:space="0"/>
            </w:tcBorders>
            <w:vAlign w:val="center"/>
          </w:tcPr>
          <w:p w14:paraId="2CBB46E2">
            <w:pPr>
              <w:tabs>
                <w:tab w:val="left" w:pos="1092"/>
              </w:tabs>
              <w:spacing w:line="360" w:lineRule="auto"/>
              <w:jc w:val="center"/>
              <w:rPr>
                <w:rFonts w:ascii="宋体" w:hAnsi="宋体"/>
                <w:b/>
                <w:bCs/>
                <w:sz w:val="24"/>
              </w:rPr>
            </w:pPr>
            <w:r>
              <w:rPr>
                <w:rFonts w:hint="eastAsia" w:ascii="宋体" w:hAnsi="宋体"/>
                <w:b/>
                <w:bCs/>
                <w:sz w:val="24"/>
              </w:rPr>
              <w:t>序号</w:t>
            </w:r>
          </w:p>
        </w:tc>
        <w:tc>
          <w:tcPr>
            <w:tcW w:w="2084" w:type="dxa"/>
            <w:tcBorders>
              <w:left w:val="single" w:color="auto" w:sz="4" w:space="0"/>
            </w:tcBorders>
            <w:vAlign w:val="center"/>
          </w:tcPr>
          <w:p w14:paraId="726EFEEC">
            <w:pPr>
              <w:tabs>
                <w:tab w:val="left" w:pos="1092"/>
              </w:tabs>
              <w:spacing w:line="360" w:lineRule="auto"/>
              <w:jc w:val="center"/>
              <w:rPr>
                <w:rFonts w:ascii="宋体" w:hAnsi="宋体"/>
                <w:b/>
                <w:bCs/>
                <w:sz w:val="24"/>
              </w:rPr>
            </w:pPr>
            <w:r>
              <w:rPr>
                <w:rFonts w:ascii="宋体" w:hAnsi="宋体"/>
                <w:b/>
                <w:bCs/>
                <w:sz w:val="24"/>
              </w:rPr>
              <w:t>项目</w:t>
            </w:r>
          </w:p>
        </w:tc>
        <w:tc>
          <w:tcPr>
            <w:tcW w:w="5366" w:type="dxa"/>
            <w:vAlign w:val="center"/>
          </w:tcPr>
          <w:p w14:paraId="0CE09EF7">
            <w:pPr>
              <w:tabs>
                <w:tab w:val="left" w:pos="1092"/>
              </w:tabs>
              <w:spacing w:line="360" w:lineRule="auto"/>
              <w:jc w:val="center"/>
              <w:rPr>
                <w:rFonts w:ascii="宋体" w:hAnsi="宋体"/>
                <w:b/>
                <w:bCs/>
                <w:sz w:val="24"/>
              </w:rPr>
            </w:pPr>
            <w:r>
              <w:rPr>
                <w:rFonts w:ascii="宋体" w:hAnsi="宋体"/>
                <w:b/>
                <w:bCs/>
                <w:sz w:val="24"/>
              </w:rPr>
              <w:t>内容描述</w:t>
            </w:r>
          </w:p>
        </w:tc>
      </w:tr>
      <w:tr w14:paraId="4C720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878" w:type="dxa"/>
            <w:tcBorders>
              <w:bottom w:val="single" w:color="auto" w:sz="4" w:space="0"/>
            </w:tcBorders>
            <w:vAlign w:val="center"/>
          </w:tcPr>
          <w:p w14:paraId="4D02595C">
            <w:pPr>
              <w:tabs>
                <w:tab w:val="left" w:pos="1092"/>
              </w:tabs>
              <w:spacing w:line="276" w:lineRule="auto"/>
              <w:jc w:val="center"/>
              <w:rPr>
                <w:rFonts w:ascii="宋体" w:hAnsi="宋体"/>
                <w:sz w:val="24"/>
              </w:rPr>
            </w:pPr>
            <w:r>
              <w:rPr>
                <w:rFonts w:hint="eastAsia" w:ascii="宋体" w:hAnsi="宋体"/>
                <w:sz w:val="24"/>
              </w:rPr>
              <w:t>1</w:t>
            </w:r>
          </w:p>
        </w:tc>
        <w:tc>
          <w:tcPr>
            <w:tcW w:w="2084" w:type="dxa"/>
            <w:vAlign w:val="center"/>
          </w:tcPr>
          <w:p w14:paraId="636EE264">
            <w:pPr>
              <w:tabs>
                <w:tab w:val="left" w:pos="1092"/>
              </w:tabs>
              <w:spacing w:line="276" w:lineRule="auto"/>
              <w:jc w:val="center"/>
              <w:rPr>
                <w:rFonts w:ascii="宋体" w:hAnsi="宋体"/>
                <w:sz w:val="24"/>
              </w:rPr>
            </w:pPr>
            <w:r>
              <w:rPr>
                <w:rFonts w:hint="eastAsia" w:ascii="宋体" w:hAnsi="宋体"/>
                <w:sz w:val="24"/>
              </w:rPr>
              <w:t>风机安装/电控</w:t>
            </w:r>
          </w:p>
        </w:tc>
        <w:tc>
          <w:tcPr>
            <w:tcW w:w="5366" w:type="dxa"/>
            <w:vAlign w:val="center"/>
          </w:tcPr>
          <w:p w14:paraId="614AFF18">
            <w:pPr>
              <w:tabs>
                <w:tab w:val="left" w:pos="1092"/>
              </w:tabs>
              <w:spacing w:line="276" w:lineRule="auto"/>
              <w:jc w:val="left"/>
              <w:rPr>
                <w:rFonts w:ascii="宋体" w:hAnsi="宋体"/>
                <w:sz w:val="24"/>
              </w:rPr>
            </w:pPr>
            <w:r>
              <w:rPr>
                <w:rFonts w:hint="eastAsia" w:ascii="宋体" w:hAnsi="宋体"/>
                <w:sz w:val="24"/>
              </w:rPr>
              <w:t>新增1台风量约</w:t>
            </w:r>
            <w:r>
              <w:rPr>
                <w:rFonts w:hint="eastAsia" w:ascii="宋体" w:hAnsi="宋体" w:cs="宋体"/>
                <w:color w:val="000000"/>
                <w:kern w:val="0"/>
                <w:sz w:val="24"/>
                <w:lang w:bidi="ar"/>
              </w:rPr>
              <w:t>1200m³/h,600Pa</w:t>
            </w:r>
            <w:r>
              <w:rPr>
                <w:rFonts w:hint="eastAsia" w:ascii="宋体" w:hAnsi="宋体"/>
                <w:sz w:val="24"/>
              </w:rPr>
              <w:t>的防爆式离心风机（包含风机、电机、控制箱、线缆安装等）将废气收集排放。</w:t>
            </w:r>
          </w:p>
          <w:p w14:paraId="0542F0CF">
            <w:pPr>
              <w:tabs>
                <w:tab w:val="left" w:pos="1092"/>
              </w:tabs>
              <w:spacing w:line="276" w:lineRule="auto"/>
              <w:jc w:val="left"/>
              <w:rPr>
                <w:rFonts w:ascii="宋体" w:hAnsi="宋体"/>
                <w:sz w:val="24"/>
              </w:rPr>
            </w:pPr>
            <w:r>
              <w:rPr>
                <w:rFonts w:hint="eastAsia" w:ascii="宋体" w:hAnsi="宋体"/>
                <w:sz w:val="24"/>
              </w:rPr>
              <w:t>防爆风机要求为一级能效，品牌为上海通用或同等品质品牌</w:t>
            </w:r>
          </w:p>
        </w:tc>
      </w:tr>
      <w:tr w14:paraId="2A8E7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878" w:type="dxa"/>
            <w:tcBorders>
              <w:bottom w:val="single" w:color="auto" w:sz="4" w:space="0"/>
            </w:tcBorders>
            <w:vAlign w:val="center"/>
          </w:tcPr>
          <w:p w14:paraId="5B99A449">
            <w:pPr>
              <w:tabs>
                <w:tab w:val="left" w:pos="1092"/>
              </w:tabs>
              <w:spacing w:line="276" w:lineRule="auto"/>
              <w:jc w:val="center"/>
              <w:rPr>
                <w:rFonts w:ascii="宋体" w:hAnsi="宋体"/>
                <w:sz w:val="24"/>
              </w:rPr>
            </w:pPr>
            <w:r>
              <w:rPr>
                <w:rFonts w:hint="eastAsia" w:ascii="宋体" w:hAnsi="宋体"/>
                <w:sz w:val="24"/>
              </w:rPr>
              <w:t>2</w:t>
            </w:r>
          </w:p>
        </w:tc>
        <w:tc>
          <w:tcPr>
            <w:tcW w:w="2084" w:type="dxa"/>
            <w:vAlign w:val="center"/>
          </w:tcPr>
          <w:p w14:paraId="1F868FA8">
            <w:pPr>
              <w:tabs>
                <w:tab w:val="left" w:pos="1092"/>
              </w:tabs>
              <w:spacing w:line="276" w:lineRule="auto"/>
              <w:jc w:val="center"/>
              <w:rPr>
                <w:rFonts w:ascii="宋体" w:hAnsi="宋体"/>
                <w:sz w:val="24"/>
              </w:rPr>
            </w:pPr>
            <w:r>
              <w:rPr>
                <w:rFonts w:hint="eastAsia" w:ascii="宋体" w:hAnsi="宋体"/>
                <w:sz w:val="24"/>
              </w:rPr>
              <w:t>风管安装</w:t>
            </w:r>
          </w:p>
        </w:tc>
        <w:tc>
          <w:tcPr>
            <w:tcW w:w="5366" w:type="dxa"/>
            <w:vAlign w:val="center"/>
          </w:tcPr>
          <w:p w14:paraId="6B00E0D5">
            <w:pPr>
              <w:tabs>
                <w:tab w:val="left" w:pos="1092"/>
              </w:tabs>
              <w:spacing w:line="360" w:lineRule="auto"/>
              <w:jc w:val="left"/>
              <w:rPr>
                <w:rFonts w:ascii="宋体" w:hAnsi="宋体"/>
                <w:sz w:val="24"/>
              </w:rPr>
            </w:pPr>
            <w:r>
              <w:rPr>
                <w:rFonts w:hint="eastAsia" w:ascii="宋体" w:hAnsi="宋体"/>
                <w:sz w:val="24"/>
              </w:rPr>
              <w:t>新增风管将储漆间废气引入现有调漆间排放管路进行混合排放。</w:t>
            </w:r>
          </w:p>
        </w:tc>
      </w:tr>
      <w:tr w14:paraId="2673F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878" w:type="dxa"/>
            <w:tcBorders>
              <w:top w:val="single" w:color="auto" w:sz="4" w:space="0"/>
              <w:bottom w:val="single" w:color="auto" w:sz="4" w:space="0"/>
            </w:tcBorders>
            <w:vAlign w:val="center"/>
          </w:tcPr>
          <w:p w14:paraId="79972096">
            <w:pPr>
              <w:tabs>
                <w:tab w:val="left" w:pos="1092"/>
              </w:tabs>
              <w:spacing w:line="276" w:lineRule="auto"/>
              <w:jc w:val="center"/>
              <w:rPr>
                <w:rFonts w:ascii="宋体" w:hAnsi="宋体"/>
                <w:sz w:val="24"/>
              </w:rPr>
            </w:pPr>
            <w:r>
              <w:rPr>
                <w:rFonts w:hint="eastAsia" w:ascii="宋体" w:hAnsi="宋体"/>
                <w:sz w:val="24"/>
              </w:rPr>
              <w:t>3</w:t>
            </w:r>
          </w:p>
        </w:tc>
        <w:tc>
          <w:tcPr>
            <w:tcW w:w="2084" w:type="dxa"/>
            <w:tcBorders>
              <w:bottom w:val="single" w:color="auto" w:sz="4" w:space="0"/>
            </w:tcBorders>
            <w:vAlign w:val="center"/>
          </w:tcPr>
          <w:p w14:paraId="52DDB5F7">
            <w:pPr>
              <w:tabs>
                <w:tab w:val="left" w:pos="1092"/>
              </w:tabs>
              <w:spacing w:line="276" w:lineRule="auto"/>
              <w:jc w:val="center"/>
              <w:rPr>
                <w:rFonts w:ascii="宋体" w:hAnsi="宋体"/>
                <w:sz w:val="24"/>
              </w:rPr>
            </w:pPr>
            <w:r>
              <w:rPr>
                <w:rFonts w:hint="eastAsia" w:ascii="宋体" w:hAnsi="宋体" w:cs="宋体"/>
                <w:color w:val="000000"/>
                <w:kern w:val="0"/>
                <w:sz w:val="24"/>
                <w:lang w:bidi="ar"/>
              </w:rPr>
              <w:t>活性炭过滤箱</w:t>
            </w:r>
          </w:p>
        </w:tc>
        <w:tc>
          <w:tcPr>
            <w:tcW w:w="5366" w:type="dxa"/>
            <w:vAlign w:val="center"/>
          </w:tcPr>
          <w:p w14:paraId="04424D22">
            <w:pPr>
              <w:tabs>
                <w:tab w:val="left" w:pos="1092"/>
              </w:tabs>
              <w:spacing w:line="360" w:lineRule="auto"/>
              <w:jc w:val="left"/>
              <w:rPr>
                <w:rFonts w:ascii="宋体" w:hAnsi="宋体"/>
                <w:sz w:val="24"/>
              </w:rPr>
            </w:pPr>
            <w:r>
              <w:rPr>
                <w:rFonts w:hint="eastAsia" w:ascii="宋体" w:hAnsi="宋体"/>
                <w:sz w:val="24"/>
              </w:rPr>
              <w:t>新增一个</w:t>
            </w:r>
            <w:r>
              <w:rPr>
                <w:rFonts w:hint="eastAsia" w:ascii="宋体" w:hAnsi="宋体" w:cs="宋体"/>
                <w:color w:val="000000"/>
                <w:kern w:val="0"/>
                <w:sz w:val="24"/>
                <w:lang w:bidi="ar"/>
              </w:rPr>
              <w:t>活性炭过滤箱，采用活性炭板式过滤器对收集的废气进行过滤处理。</w:t>
            </w:r>
          </w:p>
        </w:tc>
      </w:tr>
      <w:tr w14:paraId="66160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878" w:type="dxa"/>
            <w:tcBorders>
              <w:top w:val="single" w:color="auto" w:sz="4" w:space="0"/>
              <w:bottom w:val="single" w:color="auto" w:sz="4" w:space="0"/>
            </w:tcBorders>
            <w:vAlign w:val="center"/>
          </w:tcPr>
          <w:p w14:paraId="4A5167F7">
            <w:pPr>
              <w:tabs>
                <w:tab w:val="left" w:pos="1092"/>
              </w:tabs>
              <w:spacing w:line="276" w:lineRule="auto"/>
              <w:jc w:val="center"/>
              <w:rPr>
                <w:rFonts w:ascii="宋体" w:hAnsi="宋体"/>
                <w:sz w:val="24"/>
              </w:rPr>
            </w:pPr>
            <w:r>
              <w:rPr>
                <w:rFonts w:hint="eastAsia" w:ascii="宋体" w:hAnsi="宋体"/>
                <w:sz w:val="24"/>
              </w:rPr>
              <w:t>4</w:t>
            </w:r>
          </w:p>
        </w:tc>
        <w:tc>
          <w:tcPr>
            <w:tcW w:w="2084" w:type="dxa"/>
            <w:tcBorders>
              <w:bottom w:val="single" w:color="auto" w:sz="4" w:space="0"/>
            </w:tcBorders>
            <w:vAlign w:val="center"/>
          </w:tcPr>
          <w:p w14:paraId="6D619DC9">
            <w:pPr>
              <w:tabs>
                <w:tab w:val="left" w:pos="1092"/>
              </w:tabs>
              <w:spacing w:line="276" w:lineRule="auto"/>
              <w:jc w:val="center"/>
              <w:rPr>
                <w:rFonts w:ascii="宋体" w:hAnsi="宋体"/>
                <w:sz w:val="24"/>
              </w:rPr>
            </w:pPr>
            <w:r>
              <w:rPr>
                <w:rFonts w:hint="eastAsia" w:ascii="宋体" w:hAnsi="宋体"/>
                <w:sz w:val="24"/>
              </w:rPr>
              <w:t>混风箱</w:t>
            </w:r>
          </w:p>
        </w:tc>
        <w:tc>
          <w:tcPr>
            <w:tcW w:w="5366" w:type="dxa"/>
            <w:vAlign w:val="center"/>
          </w:tcPr>
          <w:p w14:paraId="69253386">
            <w:pPr>
              <w:tabs>
                <w:tab w:val="left" w:pos="1092"/>
              </w:tabs>
              <w:spacing w:line="360" w:lineRule="auto"/>
              <w:jc w:val="left"/>
              <w:rPr>
                <w:rFonts w:ascii="宋体" w:hAnsi="宋体"/>
                <w:sz w:val="24"/>
              </w:rPr>
            </w:pPr>
            <w:r>
              <w:rPr>
                <w:rFonts w:hint="eastAsia" w:ascii="宋体" w:hAnsi="宋体"/>
                <w:sz w:val="24"/>
              </w:rPr>
              <w:t>将现有的调漆间废气混风箱扩容改造，满足调漆间和储漆间两路废气的混合和排放要求。</w:t>
            </w:r>
          </w:p>
        </w:tc>
      </w:tr>
      <w:tr w14:paraId="4EB71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878" w:type="dxa"/>
            <w:tcBorders>
              <w:top w:val="single" w:color="auto" w:sz="4" w:space="0"/>
              <w:bottom w:val="single" w:color="auto" w:sz="4" w:space="0"/>
            </w:tcBorders>
            <w:vAlign w:val="center"/>
          </w:tcPr>
          <w:p w14:paraId="49868F37">
            <w:pPr>
              <w:tabs>
                <w:tab w:val="left" w:pos="1092"/>
              </w:tabs>
              <w:spacing w:line="276" w:lineRule="auto"/>
              <w:jc w:val="center"/>
              <w:rPr>
                <w:rFonts w:ascii="宋体" w:hAnsi="宋体"/>
                <w:sz w:val="24"/>
              </w:rPr>
            </w:pPr>
            <w:r>
              <w:rPr>
                <w:rFonts w:hint="eastAsia" w:ascii="宋体" w:hAnsi="宋体"/>
                <w:sz w:val="24"/>
              </w:rPr>
              <w:t>5</w:t>
            </w:r>
          </w:p>
        </w:tc>
        <w:tc>
          <w:tcPr>
            <w:tcW w:w="2084" w:type="dxa"/>
            <w:tcBorders>
              <w:bottom w:val="single" w:color="auto" w:sz="4" w:space="0"/>
            </w:tcBorders>
            <w:vAlign w:val="center"/>
          </w:tcPr>
          <w:p w14:paraId="7542429E">
            <w:pPr>
              <w:tabs>
                <w:tab w:val="left" w:pos="1092"/>
              </w:tabs>
              <w:spacing w:line="276" w:lineRule="auto"/>
              <w:jc w:val="center"/>
              <w:rPr>
                <w:rFonts w:ascii="宋体" w:hAnsi="宋体"/>
                <w:sz w:val="24"/>
              </w:rPr>
            </w:pPr>
            <w:r>
              <w:rPr>
                <w:rFonts w:hint="eastAsia" w:ascii="宋体" w:hAnsi="宋体"/>
                <w:sz w:val="24"/>
              </w:rPr>
              <w:t>止回阀</w:t>
            </w:r>
          </w:p>
        </w:tc>
        <w:tc>
          <w:tcPr>
            <w:tcW w:w="5366" w:type="dxa"/>
            <w:vAlign w:val="center"/>
          </w:tcPr>
          <w:p w14:paraId="1C37307A">
            <w:pPr>
              <w:tabs>
                <w:tab w:val="left" w:pos="1092"/>
              </w:tabs>
              <w:spacing w:line="360" w:lineRule="auto"/>
              <w:jc w:val="left"/>
              <w:rPr>
                <w:rFonts w:ascii="宋体" w:hAnsi="宋体"/>
                <w:sz w:val="24"/>
              </w:rPr>
            </w:pPr>
            <w:r>
              <w:rPr>
                <w:rFonts w:hint="eastAsia" w:ascii="宋体" w:hAnsi="宋体"/>
                <w:sz w:val="24"/>
              </w:rPr>
              <w:t>为防止调漆间和储漆间废气风管在混风箱处出现废气倒灌或互窜的情况，在风管上需安装止回阀。</w:t>
            </w:r>
          </w:p>
        </w:tc>
      </w:tr>
    </w:tbl>
    <w:p w14:paraId="2563EFA9">
      <w:pPr>
        <w:numPr>
          <w:ilvl w:val="0"/>
          <w:numId w:val="30"/>
        </w:numPr>
        <w:spacing w:line="360" w:lineRule="auto"/>
        <w:outlineLvl w:val="0"/>
        <w:rPr>
          <w:b/>
          <w:bCs/>
          <w:sz w:val="28"/>
          <w:szCs w:val="28"/>
        </w:rPr>
      </w:pPr>
      <w:bookmarkStart w:id="15" w:name="_Toc24737"/>
      <w:r>
        <w:rPr>
          <w:rFonts w:hint="eastAsia"/>
          <w:b/>
          <w:bCs/>
          <w:sz w:val="28"/>
          <w:szCs w:val="28"/>
        </w:rPr>
        <w:t>项目</w:t>
      </w:r>
      <w:bookmarkEnd w:id="15"/>
      <w:r>
        <w:rPr>
          <w:rFonts w:hint="eastAsia"/>
          <w:b/>
          <w:bCs/>
          <w:sz w:val="28"/>
          <w:szCs w:val="28"/>
        </w:rPr>
        <w:t>施工周期</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32"/>
        <w:gridCol w:w="3332"/>
      </w:tblGrid>
      <w:tr w14:paraId="1AC10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3332" w:type="dxa"/>
          </w:tcPr>
          <w:p w14:paraId="6C758764">
            <w:pPr>
              <w:tabs>
                <w:tab w:val="left" w:pos="1092"/>
              </w:tabs>
              <w:spacing w:line="360" w:lineRule="auto"/>
              <w:jc w:val="center"/>
              <w:rPr>
                <w:rFonts w:ascii="宋体" w:hAnsi="宋体"/>
                <w:sz w:val="24"/>
              </w:rPr>
            </w:pPr>
            <w:bookmarkStart w:id="16" w:name="_Toc14655"/>
            <w:r>
              <w:rPr>
                <w:rFonts w:hint="eastAsia" w:ascii="宋体" w:hAnsi="宋体"/>
                <w:sz w:val="24"/>
              </w:rPr>
              <w:t>方案设计、非标制作、外购设备采购</w:t>
            </w:r>
          </w:p>
        </w:tc>
        <w:tc>
          <w:tcPr>
            <w:tcW w:w="3332" w:type="dxa"/>
            <w:vAlign w:val="center"/>
          </w:tcPr>
          <w:p w14:paraId="094A25FA">
            <w:pPr>
              <w:tabs>
                <w:tab w:val="left" w:pos="1092"/>
              </w:tabs>
              <w:spacing w:line="360" w:lineRule="auto"/>
              <w:ind w:firstLine="360" w:firstLineChars="150"/>
              <w:jc w:val="center"/>
              <w:rPr>
                <w:rFonts w:ascii="宋体" w:hAnsi="宋体"/>
                <w:sz w:val="24"/>
              </w:rPr>
            </w:pPr>
            <w:r>
              <w:rPr>
                <w:rFonts w:hint="eastAsia" w:ascii="宋体" w:hAnsi="宋体"/>
                <w:sz w:val="24"/>
              </w:rPr>
              <w:t>合同签订后2周</w:t>
            </w:r>
          </w:p>
        </w:tc>
      </w:tr>
      <w:tr w14:paraId="148A9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3332" w:type="dxa"/>
          </w:tcPr>
          <w:p w14:paraId="6272B846">
            <w:pPr>
              <w:tabs>
                <w:tab w:val="left" w:pos="1092"/>
              </w:tabs>
              <w:spacing w:line="360" w:lineRule="auto"/>
              <w:ind w:firstLine="360" w:firstLineChars="150"/>
              <w:jc w:val="center"/>
              <w:rPr>
                <w:rFonts w:ascii="宋体" w:hAnsi="宋体"/>
                <w:sz w:val="24"/>
              </w:rPr>
            </w:pPr>
            <w:r>
              <w:rPr>
                <w:rFonts w:hint="eastAsia" w:ascii="宋体" w:hAnsi="宋体"/>
                <w:sz w:val="24"/>
              </w:rPr>
              <w:t>安装、调试完成</w:t>
            </w:r>
          </w:p>
        </w:tc>
        <w:tc>
          <w:tcPr>
            <w:tcW w:w="3332" w:type="dxa"/>
          </w:tcPr>
          <w:p w14:paraId="1E953AB2">
            <w:pPr>
              <w:tabs>
                <w:tab w:val="left" w:pos="1092"/>
              </w:tabs>
              <w:spacing w:line="360" w:lineRule="auto"/>
              <w:ind w:firstLine="360" w:firstLineChars="150"/>
              <w:jc w:val="center"/>
              <w:rPr>
                <w:rFonts w:ascii="宋体" w:hAnsi="宋体"/>
                <w:sz w:val="24"/>
              </w:rPr>
            </w:pPr>
            <w:r>
              <w:rPr>
                <w:rFonts w:hint="eastAsia" w:ascii="宋体" w:hAnsi="宋体"/>
                <w:sz w:val="24"/>
              </w:rPr>
              <w:t>2周</w:t>
            </w:r>
          </w:p>
        </w:tc>
      </w:tr>
    </w:tbl>
    <w:p w14:paraId="5F2980AC">
      <w:pPr>
        <w:numPr>
          <w:ilvl w:val="0"/>
          <w:numId w:val="30"/>
        </w:numPr>
        <w:spacing w:line="360" w:lineRule="auto"/>
        <w:outlineLvl w:val="0"/>
        <w:rPr>
          <w:rFonts w:ascii="宋体" w:hAnsi="宋体" w:cs="宋体"/>
          <w:b/>
          <w:bCs/>
          <w:sz w:val="28"/>
          <w:szCs w:val="28"/>
        </w:rPr>
      </w:pPr>
      <w:r>
        <w:rPr>
          <w:rFonts w:hint="eastAsia"/>
          <w:b/>
          <w:bCs/>
          <w:sz w:val="28"/>
          <w:szCs w:val="28"/>
        </w:rPr>
        <w:t>技</w:t>
      </w:r>
      <w:r>
        <w:rPr>
          <w:rFonts w:hint="eastAsia" w:ascii="宋体" w:hAnsi="宋体" w:cs="宋体"/>
          <w:b/>
          <w:bCs/>
          <w:sz w:val="28"/>
          <w:szCs w:val="28"/>
        </w:rPr>
        <w:t>术要求</w:t>
      </w:r>
      <w:bookmarkEnd w:id="16"/>
    </w:p>
    <w:p w14:paraId="2A015060">
      <w:pPr>
        <w:numPr>
          <w:ilvl w:val="0"/>
          <w:numId w:val="31"/>
        </w:numPr>
        <w:spacing w:line="360" w:lineRule="auto"/>
        <w:rPr>
          <w:rFonts w:ascii="宋体" w:hAnsi="宋体" w:cs="宋体"/>
          <w:sz w:val="24"/>
        </w:rPr>
      </w:pPr>
      <w:r>
        <w:rPr>
          <w:rFonts w:hint="eastAsia" w:ascii="宋体" w:hAnsi="宋体" w:cs="宋体"/>
          <w:sz w:val="24"/>
        </w:rPr>
        <w:t>风管采用镀锌板制作，厚度为 1.2mm ，表面光滑，无裂缝、砂眼等缺陷，具备良好的耐腐蚀性和密封性。</w:t>
      </w:r>
    </w:p>
    <w:p w14:paraId="792255F0">
      <w:pPr>
        <w:numPr>
          <w:ilvl w:val="0"/>
          <w:numId w:val="31"/>
        </w:numPr>
        <w:spacing w:line="360" w:lineRule="auto"/>
        <w:rPr>
          <w:rFonts w:ascii="宋体" w:hAnsi="宋体" w:cs="宋体"/>
          <w:sz w:val="24"/>
        </w:rPr>
      </w:pPr>
      <w:r>
        <w:rPr>
          <w:rFonts w:hint="eastAsia" w:ascii="宋体" w:hAnsi="宋体" w:cs="宋体"/>
          <w:sz w:val="24"/>
        </w:rPr>
        <w:t>为防止调漆间和储漆间废气风管在混风箱内出现废气倒灌或互窜的情况，在风管上需安装止回阀。</w:t>
      </w:r>
    </w:p>
    <w:p w14:paraId="7A0767A1">
      <w:pPr>
        <w:numPr>
          <w:ilvl w:val="0"/>
          <w:numId w:val="31"/>
        </w:numPr>
        <w:spacing w:line="360" w:lineRule="auto"/>
        <w:rPr>
          <w:rFonts w:ascii="宋体" w:hAnsi="宋体" w:cs="宋体"/>
          <w:sz w:val="24"/>
        </w:rPr>
      </w:pPr>
      <w:r>
        <w:rPr>
          <w:rFonts w:hint="eastAsia" w:ascii="宋体" w:hAnsi="宋体" w:cs="宋体"/>
          <w:sz w:val="24"/>
        </w:rPr>
        <w:t>止回阀为不锈钢材质，安装位置和结构设计应考虑后期维修、更换的便捷性。</w:t>
      </w:r>
    </w:p>
    <w:p w14:paraId="35638A5B">
      <w:pPr>
        <w:numPr>
          <w:ilvl w:val="0"/>
          <w:numId w:val="31"/>
        </w:numPr>
        <w:spacing w:line="360" w:lineRule="auto"/>
        <w:rPr>
          <w:rFonts w:ascii="宋体" w:hAnsi="宋体" w:cs="宋体"/>
          <w:sz w:val="24"/>
        </w:rPr>
      </w:pPr>
      <w:r>
        <w:rPr>
          <w:rFonts w:hint="eastAsia" w:ascii="宋体" w:hAnsi="宋体" w:cs="宋体"/>
          <w:sz w:val="24"/>
        </w:rPr>
        <w:t>新增风管与现有调漆间风管并行安装至混分箱处</w:t>
      </w:r>
      <w:r>
        <w:rPr>
          <w:rFonts w:hint="eastAsia" w:ascii="宋体" w:hAnsi="宋体" w:cs="宋体"/>
          <w:color w:val="C00000"/>
          <w:sz w:val="24"/>
        </w:rPr>
        <w:t>，</w:t>
      </w:r>
      <w:r>
        <w:rPr>
          <w:rFonts w:hint="eastAsia" w:ascii="宋体" w:hAnsi="宋体" w:cs="宋体"/>
          <w:sz w:val="24"/>
        </w:rPr>
        <w:t>风管安装支架需除锈、涂刷防锈漆，要求风管安装后牢固，可靠且便于后期维护。</w:t>
      </w:r>
    </w:p>
    <w:p w14:paraId="2DE7B302">
      <w:pPr>
        <w:numPr>
          <w:ilvl w:val="0"/>
          <w:numId w:val="31"/>
        </w:numPr>
        <w:spacing w:line="360" w:lineRule="auto"/>
        <w:rPr>
          <w:rFonts w:ascii="宋体" w:hAnsi="宋体" w:cs="宋体"/>
          <w:sz w:val="24"/>
        </w:rPr>
      </w:pPr>
      <w:r>
        <w:rPr>
          <w:rFonts w:hint="eastAsia" w:ascii="宋体" w:hAnsi="宋体" w:cs="宋体"/>
          <w:sz w:val="24"/>
        </w:rPr>
        <w:t>管道尺寸设计及布局合理，阻力小，确保废气能够顺利排放。</w:t>
      </w:r>
    </w:p>
    <w:p w14:paraId="716DD9E0">
      <w:pPr>
        <w:numPr>
          <w:ilvl w:val="0"/>
          <w:numId w:val="31"/>
        </w:numPr>
        <w:spacing w:line="360" w:lineRule="auto"/>
        <w:rPr>
          <w:rFonts w:ascii="宋体" w:hAnsi="宋体" w:cs="宋体"/>
          <w:sz w:val="24"/>
        </w:rPr>
      </w:pPr>
      <w:r>
        <w:rPr>
          <w:rFonts w:hint="eastAsia" w:ascii="宋体" w:hAnsi="宋体" w:cs="宋体"/>
          <w:sz w:val="24"/>
        </w:rPr>
        <w:t>风管进风口须安装格栅网，防止异常吸入杂物造成风机损坏。</w:t>
      </w:r>
    </w:p>
    <w:p w14:paraId="6CCD80F6">
      <w:pPr>
        <w:numPr>
          <w:ilvl w:val="0"/>
          <w:numId w:val="31"/>
        </w:numPr>
        <w:spacing w:line="360" w:lineRule="auto"/>
        <w:rPr>
          <w:rFonts w:ascii="宋体" w:hAnsi="宋体" w:cs="宋体"/>
          <w:sz w:val="24"/>
        </w:rPr>
      </w:pPr>
      <w:r>
        <w:rPr>
          <w:rFonts w:hint="eastAsia" w:ascii="宋体" w:hAnsi="宋体" w:cs="宋体"/>
          <w:sz w:val="24"/>
        </w:rPr>
        <w:t>风机采用上海通用或同等品质品牌的防爆式离心风机，能效等级为一级能效，风量约为</w:t>
      </w:r>
      <w:r>
        <w:rPr>
          <w:rFonts w:hint="eastAsia" w:ascii="宋体" w:hAnsi="宋体" w:cs="宋体"/>
          <w:color w:val="000000"/>
          <w:kern w:val="0"/>
          <w:sz w:val="24"/>
          <w:lang w:bidi="ar"/>
        </w:rPr>
        <w:t>1200m³/h,600Pa</w:t>
      </w:r>
      <w:r>
        <w:rPr>
          <w:rFonts w:hint="eastAsia" w:ascii="宋体" w:hAnsi="宋体" w:cs="宋体"/>
          <w:sz w:val="24"/>
        </w:rPr>
        <w:t>；</w:t>
      </w:r>
    </w:p>
    <w:p w14:paraId="46CF2391">
      <w:pPr>
        <w:numPr>
          <w:ilvl w:val="0"/>
          <w:numId w:val="31"/>
        </w:numPr>
        <w:spacing w:line="360" w:lineRule="auto"/>
        <w:rPr>
          <w:rFonts w:ascii="宋体" w:hAnsi="宋体" w:cs="宋体"/>
          <w:sz w:val="24"/>
        </w:rPr>
      </w:pPr>
      <w:r>
        <w:rPr>
          <w:rFonts w:hint="eastAsia" w:ascii="宋体" w:hAnsi="宋体" w:cs="宋体"/>
          <w:sz w:val="24"/>
        </w:rPr>
        <w:t>风机与风管间的连接部，在安装前遮蔽物不能拆除，防止粉尘进入风管内部；且安装完成后，应对其内部进行吸尘处理。</w:t>
      </w:r>
    </w:p>
    <w:p w14:paraId="6AD3C7A2">
      <w:pPr>
        <w:numPr>
          <w:ilvl w:val="0"/>
          <w:numId w:val="31"/>
        </w:numPr>
        <w:spacing w:line="360" w:lineRule="auto"/>
        <w:rPr>
          <w:rFonts w:ascii="宋体" w:hAnsi="宋体" w:cs="宋体"/>
          <w:sz w:val="24"/>
        </w:rPr>
      </w:pPr>
      <w:r>
        <w:rPr>
          <w:rFonts w:hint="eastAsia" w:ascii="宋体" w:hAnsi="宋体" w:cs="宋体"/>
          <w:sz w:val="24"/>
        </w:rPr>
        <w:t>风机安装在室外，要求安装减震装置及防雨棚。</w:t>
      </w:r>
    </w:p>
    <w:p w14:paraId="5A8324AC">
      <w:pPr>
        <w:numPr>
          <w:ilvl w:val="0"/>
          <w:numId w:val="31"/>
        </w:numPr>
        <w:spacing w:line="360" w:lineRule="auto"/>
        <w:rPr>
          <w:rFonts w:ascii="宋体" w:hAnsi="宋体" w:cs="宋体"/>
          <w:sz w:val="24"/>
        </w:rPr>
      </w:pPr>
      <w:r>
        <w:rPr>
          <w:rFonts w:hint="eastAsia" w:ascii="宋体" w:hAnsi="宋体" w:cs="宋体"/>
          <w:sz w:val="24"/>
        </w:rPr>
        <w:t>活性炭过滤箱采用活性炭板式过滤器方式，过滤器尺寸与涂装车间注蜡间活性炭过滤器尺寸一致（505mm*505mm*40mm），便于后续辅材统一采购管理。</w:t>
      </w:r>
    </w:p>
    <w:p w14:paraId="0C81CD5A">
      <w:pPr>
        <w:numPr>
          <w:ilvl w:val="0"/>
          <w:numId w:val="31"/>
        </w:numPr>
        <w:spacing w:line="360" w:lineRule="auto"/>
        <w:rPr>
          <w:rFonts w:ascii="宋体" w:hAnsi="宋体" w:cs="宋体"/>
          <w:sz w:val="24"/>
        </w:rPr>
      </w:pPr>
      <w:r>
        <w:rPr>
          <w:rFonts w:hint="eastAsia" w:ascii="宋体" w:hAnsi="宋体" w:cs="宋体"/>
          <w:sz w:val="24"/>
        </w:rPr>
        <w:t>活性炭过滤箱过滤器材的更换口设计合理，保证更换的便捷性。</w:t>
      </w:r>
    </w:p>
    <w:p w14:paraId="41AB4D93">
      <w:pPr>
        <w:numPr>
          <w:ilvl w:val="0"/>
          <w:numId w:val="31"/>
        </w:numPr>
        <w:spacing w:line="360" w:lineRule="auto"/>
        <w:rPr>
          <w:rFonts w:ascii="宋体" w:hAnsi="宋体" w:cs="宋体"/>
          <w:sz w:val="24"/>
        </w:rPr>
      </w:pPr>
      <w:r>
        <w:rPr>
          <w:rFonts w:hint="eastAsia" w:ascii="宋体" w:hAnsi="宋体" w:cs="宋体"/>
          <w:sz w:val="24"/>
        </w:rPr>
        <w:t>过滤面积及过滤箱体尺寸根据风量，过滤效率，过滤阻力，换气次数等参数进行合理设计，要求满足废气的过滤效果及排放顺畅。</w:t>
      </w:r>
    </w:p>
    <w:p w14:paraId="53B5BB0C">
      <w:pPr>
        <w:numPr>
          <w:ilvl w:val="0"/>
          <w:numId w:val="31"/>
        </w:numPr>
        <w:spacing w:line="360" w:lineRule="auto"/>
        <w:rPr>
          <w:rFonts w:ascii="宋体" w:hAnsi="宋体" w:cs="宋体"/>
          <w:sz w:val="24"/>
        </w:rPr>
      </w:pPr>
      <w:r>
        <w:rPr>
          <w:rFonts w:hint="eastAsia" w:ascii="宋体" w:hAnsi="宋体" w:cs="宋体"/>
          <w:sz w:val="24"/>
        </w:rPr>
        <w:t>混风箱是将现有调漆间的混风箱进行改造，增加混风面积，满足储漆间废气的混入，混风箱的具体结构及尺寸应设计合理，最终满足废气排放顺畅，不能出现倒灌，漏风等情况。</w:t>
      </w:r>
    </w:p>
    <w:p w14:paraId="539A9A61">
      <w:pPr>
        <w:numPr>
          <w:ilvl w:val="0"/>
          <w:numId w:val="31"/>
        </w:numPr>
        <w:spacing w:line="360" w:lineRule="auto"/>
        <w:rPr>
          <w:rFonts w:ascii="宋体" w:hAnsi="宋体" w:cs="宋体"/>
          <w:sz w:val="24"/>
        </w:rPr>
      </w:pPr>
      <w:r>
        <w:rPr>
          <w:rFonts w:hint="eastAsia" w:ascii="宋体" w:hAnsi="宋体" w:cs="宋体"/>
          <w:sz w:val="24"/>
        </w:rPr>
        <w:t>混风箱采用镀锌板制作，厚度为 1.2mm ，要求表面光滑，无裂缝、砂眼等缺陷，具备良好的耐腐蚀性和密封性。</w:t>
      </w:r>
    </w:p>
    <w:p w14:paraId="2925368C">
      <w:pPr>
        <w:numPr>
          <w:ilvl w:val="0"/>
          <w:numId w:val="31"/>
        </w:numPr>
        <w:spacing w:line="360" w:lineRule="auto"/>
        <w:rPr>
          <w:rFonts w:ascii="宋体" w:hAnsi="宋体" w:cs="宋体"/>
          <w:sz w:val="24"/>
        </w:rPr>
      </w:pPr>
      <w:r>
        <w:rPr>
          <w:rFonts w:hint="eastAsia" w:ascii="宋体" w:hAnsi="宋体" w:cs="宋体"/>
          <w:sz w:val="24"/>
        </w:rPr>
        <w:t>风机启停开关采用防爆开关，所有线路采用防爆方式，开关设置在储漆间内，安装位置便于识别及操作。</w:t>
      </w:r>
    </w:p>
    <w:p w14:paraId="4409AFDE">
      <w:pPr>
        <w:numPr>
          <w:ilvl w:val="0"/>
          <w:numId w:val="31"/>
        </w:numPr>
        <w:spacing w:line="360" w:lineRule="auto"/>
        <w:rPr>
          <w:rFonts w:ascii="宋体" w:hAnsi="宋体" w:cs="宋体"/>
          <w:sz w:val="24"/>
        </w:rPr>
      </w:pPr>
      <w:r>
        <w:rPr>
          <w:rFonts w:hint="eastAsia" w:ascii="宋体" w:hAnsi="宋体" w:cs="宋体"/>
          <w:sz w:val="24"/>
        </w:rPr>
        <w:t>活性炭过滤后的风管上需设置废气采样孔，并配有孔冒，不采样时处于封闭状态。</w:t>
      </w:r>
    </w:p>
    <w:p w14:paraId="44ED587C">
      <w:pPr>
        <w:spacing w:line="360" w:lineRule="auto"/>
        <w:rPr>
          <w:rFonts w:ascii="宋体" w:hAnsi="宋体"/>
          <w:b/>
          <w:bCs/>
          <w:sz w:val="28"/>
          <w:szCs w:val="28"/>
        </w:rPr>
      </w:pPr>
      <w:bookmarkStart w:id="17" w:name="_Toc367713133"/>
      <w:bookmarkStart w:id="18" w:name="_Toc367713132"/>
      <w:r>
        <w:rPr>
          <w:rFonts w:hint="eastAsia" w:ascii="宋体" w:hAnsi="宋体"/>
          <w:b/>
          <w:bCs/>
          <w:sz w:val="28"/>
          <w:szCs w:val="28"/>
        </w:rPr>
        <w:t>6.培训</w:t>
      </w:r>
      <w:bookmarkEnd w:id="17"/>
    </w:p>
    <w:p w14:paraId="5F59ECEB">
      <w:pPr>
        <w:pStyle w:val="2"/>
        <w:keepNext w:val="0"/>
        <w:keepLines w:val="0"/>
        <w:tabs>
          <w:tab w:val="left" w:pos="567"/>
        </w:tabs>
        <w:spacing w:before="0" w:after="0" w:line="500" w:lineRule="exact"/>
        <w:ind w:left="0" w:firstLine="480" w:firstLineChars="200"/>
        <w:rPr>
          <w:rFonts w:ascii="宋体" w:hAnsi="宋体"/>
          <w:b w:val="0"/>
          <w:bCs w:val="0"/>
          <w:kern w:val="2"/>
          <w:sz w:val="24"/>
          <w:szCs w:val="24"/>
        </w:rPr>
      </w:pPr>
      <w:r>
        <w:rPr>
          <w:rFonts w:ascii="宋体" w:hAnsi="宋体"/>
          <w:b w:val="0"/>
          <w:bCs w:val="0"/>
          <w:kern w:val="2"/>
          <w:sz w:val="24"/>
          <w:szCs w:val="24"/>
        </w:rPr>
        <w:t>在设备安装调试完成后，由供方技术人员在现场对需方的工艺</w:t>
      </w:r>
      <w:r>
        <w:rPr>
          <w:rFonts w:hint="eastAsia" w:ascii="宋体" w:hAnsi="宋体"/>
          <w:b w:val="0"/>
          <w:bCs w:val="0"/>
          <w:kern w:val="2"/>
          <w:sz w:val="24"/>
          <w:szCs w:val="24"/>
        </w:rPr>
        <w:t>、</w:t>
      </w:r>
      <w:r>
        <w:rPr>
          <w:rFonts w:ascii="宋体" w:hAnsi="宋体"/>
          <w:b w:val="0"/>
          <w:bCs w:val="0"/>
          <w:kern w:val="2"/>
          <w:sz w:val="24"/>
          <w:szCs w:val="24"/>
        </w:rPr>
        <w:t>设备、及操作人员进行工艺、</w:t>
      </w:r>
      <w:r>
        <w:rPr>
          <w:rFonts w:hint="eastAsia" w:ascii="宋体" w:hAnsi="宋体"/>
          <w:b w:val="0"/>
          <w:bCs w:val="0"/>
          <w:kern w:val="2"/>
          <w:sz w:val="24"/>
          <w:szCs w:val="24"/>
        </w:rPr>
        <w:t>设备、</w:t>
      </w:r>
      <w:r>
        <w:rPr>
          <w:rFonts w:ascii="宋体" w:hAnsi="宋体"/>
          <w:b w:val="0"/>
          <w:bCs w:val="0"/>
          <w:kern w:val="2"/>
          <w:sz w:val="24"/>
          <w:szCs w:val="24"/>
        </w:rPr>
        <w:t>实操等相关培训</w:t>
      </w:r>
      <w:r>
        <w:rPr>
          <w:rFonts w:hint="eastAsia" w:ascii="宋体" w:hAnsi="宋体"/>
          <w:b w:val="0"/>
          <w:bCs w:val="0"/>
          <w:kern w:val="2"/>
          <w:sz w:val="24"/>
          <w:szCs w:val="24"/>
        </w:rPr>
        <w:t>。</w:t>
      </w:r>
      <w:r>
        <w:rPr>
          <w:rFonts w:ascii="宋体" w:hAnsi="宋体"/>
          <w:b w:val="0"/>
          <w:bCs w:val="0"/>
          <w:kern w:val="2"/>
          <w:sz w:val="24"/>
          <w:szCs w:val="24"/>
        </w:rPr>
        <w:t xml:space="preserve"> </w:t>
      </w:r>
    </w:p>
    <w:p w14:paraId="22330B31">
      <w:pPr>
        <w:spacing w:line="360" w:lineRule="auto"/>
        <w:rPr>
          <w:rFonts w:ascii="宋体" w:hAnsi="宋体"/>
          <w:b/>
          <w:bCs/>
          <w:sz w:val="28"/>
          <w:szCs w:val="28"/>
        </w:rPr>
      </w:pPr>
      <w:r>
        <w:rPr>
          <w:rFonts w:hint="eastAsia" w:ascii="宋体" w:hAnsi="宋体"/>
          <w:b/>
          <w:bCs/>
          <w:sz w:val="28"/>
          <w:szCs w:val="28"/>
        </w:rPr>
        <w:t>7.验收</w:t>
      </w:r>
      <w:bookmarkEnd w:id="18"/>
    </w:p>
    <w:p w14:paraId="25AEC748">
      <w:pPr>
        <w:spacing w:line="360" w:lineRule="auto"/>
        <w:rPr>
          <w:rFonts w:ascii="宋体" w:hAnsi="宋体"/>
          <w:sz w:val="24"/>
        </w:rPr>
      </w:pPr>
      <w:r>
        <w:rPr>
          <w:rFonts w:hint="eastAsia" w:ascii="宋体" w:hAnsi="宋体"/>
          <w:sz w:val="24"/>
        </w:rPr>
        <w:t>7.1、本项目只设定终验收，</w:t>
      </w:r>
      <w:r>
        <w:rPr>
          <w:rFonts w:ascii="宋体" w:hAnsi="宋体"/>
          <w:sz w:val="24"/>
        </w:rPr>
        <w:t>设备安装调试完毕，</w:t>
      </w:r>
      <w:r>
        <w:rPr>
          <w:rFonts w:hint="eastAsia" w:ascii="宋体" w:hAnsi="宋体"/>
          <w:sz w:val="24"/>
        </w:rPr>
        <w:t>投入使用3个月，期间废气收集充分，室外无废气泄漏，设备运行稳定</w:t>
      </w:r>
      <w:r>
        <w:rPr>
          <w:rFonts w:ascii="宋体" w:hAnsi="宋体"/>
          <w:sz w:val="24"/>
        </w:rPr>
        <w:t>即满足验收</w:t>
      </w:r>
      <w:r>
        <w:rPr>
          <w:rFonts w:hint="eastAsia" w:ascii="宋体" w:hAnsi="宋体"/>
          <w:sz w:val="24"/>
        </w:rPr>
        <w:t>条件，若使用期间设备出现系统不能运行，风管开裂、塌陷、掉落，各排气支管间出现废气倒灌等严重故障的，自整改完成日起延后3个月验收。</w:t>
      </w:r>
    </w:p>
    <w:p w14:paraId="32B0F555">
      <w:pPr>
        <w:pStyle w:val="2"/>
        <w:keepNext w:val="0"/>
        <w:keepLines w:val="0"/>
        <w:tabs>
          <w:tab w:val="left" w:pos="567"/>
        </w:tabs>
        <w:spacing w:before="0" w:after="0" w:line="360" w:lineRule="auto"/>
        <w:ind w:left="0" w:firstLine="0"/>
      </w:pPr>
      <w:bookmarkStart w:id="19" w:name="_Toc367713134"/>
      <w:r>
        <w:rPr>
          <w:rFonts w:hint="eastAsia" w:ascii="宋体" w:hAnsi="宋体"/>
          <w:b w:val="0"/>
          <w:bCs w:val="0"/>
          <w:kern w:val="2"/>
          <w:sz w:val="24"/>
          <w:szCs w:val="24"/>
        </w:rPr>
        <w:t>7.2、终验收前15日，供方需发出书面验收申请，并</w:t>
      </w:r>
      <w:r>
        <w:rPr>
          <w:rFonts w:ascii="宋体" w:hAnsi="宋体"/>
          <w:b w:val="0"/>
          <w:bCs w:val="0"/>
          <w:kern w:val="2"/>
          <w:sz w:val="24"/>
          <w:szCs w:val="24"/>
        </w:rPr>
        <w:t>提交验收资料（</w:t>
      </w:r>
      <w:r>
        <w:rPr>
          <w:rFonts w:hint="eastAsia" w:ascii="宋体" w:hAnsi="宋体"/>
          <w:b w:val="0"/>
          <w:bCs w:val="0"/>
          <w:kern w:val="2"/>
          <w:sz w:val="24"/>
          <w:szCs w:val="24"/>
        </w:rPr>
        <w:t>包括但不限于</w:t>
      </w:r>
      <w:r>
        <w:rPr>
          <w:rFonts w:ascii="宋体" w:hAnsi="宋体"/>
          <w:b w:val="0"/>
          <w:bCs w:val="0"/>
          <w:kern w:val="2"/>
          <w:sz w:val="24"/>
          <w:szCs w:val="24"/>
        </w:rPr>
        <w:t>外购设备合格证、</w:t>
      </w:r>
      <w:r>
        <w:rPr>
          <w:rFonts w:hint="eastAsia" w:ascii="宋体" w:hAnsi="宋体"/>
          <w:b w:val="0"/>
          <w:bCs w:val="0"/>
          <w:kern w:val="2"/>
          <w:sz w:val="24"/>
          <w:szCs w:val="24"/>
        </w:rPr>
        <w:t>操作手册，设备图纸</w:t>
      </w:r>
      <w:r>
        <w:rPr>
          <w:rFonts w:ascii="宋体" w:hAnsi="宋体"/>
          <w:b w:val="0"/>
          <w:bCs w:val="0"/>
          <w:kern w:val="2"/>
          <w:sz w:val="24"/>
          <w:szCs w:val="24"/>
        </w:rPr>
        <w:t>等）后</w:t>
      </w:r>
      <w:r>
        <w:rPr>
          <w:rFonts w:hint="eastAsia" w:ascii="宋体" w:hAnsi="宋体"/>
          <w:b w:val="0"/>
          <w:bCs w:val="0"/>
          <w:kern w:val="2"/>
          <w:sz w:val="24"/>
          <w:szCs w:val="24"/>
        </w:rPr>
        <w:t>，需方组织验收。</w:t>
      </w:r>
    </w:p>
    <w:p w14:paraId="1291A0AC">
      <w:pPr>
        <w:pStyle w:val="2"/>
        <w:keepNext w:val="0"/>
        <w:keepLines w:val="0"/>
        <w:tabs>
          <w:tab w:val="left" w:pos="567"/>
        </w:tabs>
        <w:spacing w:before="0" w:after="0" w:line="500" w:lineRule="exact"/>
        <w:ind w:left="0" w:firstLine="0"/>
        <w:rPr>
          <w:rFonts w:ascii="宋体" w:hAnsi="宋体"/>
          <w:sz w:val="28"/>
          <w:szCs w:val="48"/>
        </w:rPr>
      </w:pPr>
      <w:r>
        <w:rPr>
          <w:rFonts w:hint="eastAsia" w:ascii="宋体" w:hAnsi="宋体"/>
          <w:sz w:val="28"/>
          <w:szCs w:val="48"/>
        </w:rPr>
        <w:t>8.质保及</w:t>
      </w:r>
      <w:r>
        <w:rPr>
          <w:rFonts w:ascii="宋体" w:hAnsi="宋体"/>
          <w:sz w:val="28"/>
          <w:szCs w:val="48"/>
        </w:rPr>
        <w:t>售后服务</w:t>
      </w:r>
      <w:bookmarkEnd w:id="19"/>
    </w:p>
    <w:p w14:paraId="3A40FF4E">
      <w:pPr>
        <w:pStyle w:val="2"/>
        <w:keepNext w:val="0"/>
        <w:keepLines w:val="0"/>
        <w:tabs>
          <w:tab w:val="left" w:pos="567"/>
        </w:tabs>
        <w:spacing w:before="0" w:after="0" w:line="500" w:lineRule="exact"/>
        <w:ind w:left="0" w:firstLine="0"/>
        <w:rPr>
          <w:rFonts w:ascii="宋体" w:hAnsi="宋体"/>
          <w:b w:val="0"/>
          <w:bCs w:val="0"/>
          <w:kern w:val="2"/>
          <w:sz w:val="24"/>
          <w:szCs w:val="24"/>
        </w:rPr>
      </w:pPr>
      <w:r>
        <w:rPr>
          <w:rFonts w:hint="eastAsia" w:ascii="宋体" w:hAnsi="宋体"/>
          <w:b w:val="0"/>
          <w:bCs w:val="0"/>
          <w:kern w:val="2"/>
          <w:sz w:val="24"/>
          <w:szCs w:val="24"/>
        </w:rPr>
        <w:t>8.1</w:t>
      </w:r>
      <w:bookmarkStart w:id="20" w:name="_Toc444156479"/>
      <w:bookmarkStart w:id="21" w:name="_Toc448909376"/>
      <w:bookmarkStart w:id="22" w:name="_Toc441475847"/>
      <w:bookmarkStart w:id="23" w:name="_Toc441042578"/>
      <w:r>
        <w:rPr>
          <w:rFonts w:hint="eastAsia" w:ascii="宋体" w:hAnsi="宋体"/>
          <w:b w:val="0"/>
          <w:bCs w:val="0"/>
          <w:kern w:val="2"/>
          <w:sz w:val="24"/>
          <w:szCs w:val="24"/>
        </w:rPr>
        <w:t>、</w:t>
      </w:r>
      <w:r>
        <w:rPr>
          <w:rFonts w:ascii="宋体" w:hAnsi="宋体"/>
          <w:b w:val="0"/>
          <w:bCs w:val="0"/>
          <w:kern w:val="2"/>
          <w:sz w:val="24"/>
          <w:szCs w:val="24"/>
        </w:rPr>
        <w:t>合同范围内的设备设施等均属质保范围，质保期为</w:t>
      </w:r>
      <w:r>
        <w:rPr>
          <w:rFonts w:hint="eastAsia" w:ascii="宋体" w:hAnsi="宋体"/>
          <w:b w:val="0"/>
          <w:bCs w:val="0"/>
          <w:kern w:val="2"/>
          <w:sz w:val="24"/>
          <w:szCs w:val="24"/>
        </w:rPr>
        <w:t>12个月</w:t>
      </w:r>
      <w:r>
        <w:rPr>
          <w:rFonts w:ascii="宋体" w:hAnsi="宋体"/>
          <w:b w:val="0"/>
          <w:bCs w:val="0"/>
          <w:kern w:val="2"/>
          <w:sz w:val="24"/>
          <w:szCs w:val="24"/>
        </w:rPr>
        <w:t>，从签署终验收报告之日起开始计算</w:t>
      </w:r>
      <w:bookmarkEnd w:id="20"/>
      <w:bookmarkEnd w:id="21"/>
      <w:bookmarkEnd w:id="22"/>
      <w:bookmarkEnd w:id="23"/>
      <w:bookmarkStart w:id="24" w:name="_Toc441042579"/>
      <w:bookmarkStart w:id="25" w:name="_Toc441475848"/>
      <w:bookmarkStart w:id="26" w:name="_Toc444156480"/>
      <w:bookmarkStart w:id="27" w:name="_Toc448909377"/>
      <w:r>
        <w:rPr>
          <w:rFonts w:hint="eastAsia" w:ascii="宋体" w:hAnsi="宋体"/>
          <w:b w:val="0"/>
          <w:bCs w:val="0"/>
          <w:kern w:val="2"/>
          <w:sz w:val="24"/>
          <w:szCs w:val="24"/>
        </w:rPr>
        <w:t>；</w:t>
      </w:r>
    </w:p>
    <w:bookmarkEnd w:id="24"/>
    <w:bookmarkEnd w:id="25"/>
    <w:bookmarkEnd w:id="26"/>
    <w:bookmarkEnd w:id="27"/>
    <w:p w14:paraId="689D7143">
      <w:pPr>
        <w:pStyle w:val="2"/>
        <w:keepNext w:val="0"/>
        <w:keepLines w:val="0"/>
        <w:tabs>
          <w:tab w:val="left" w:pos="567"/>
        </w:tabs>
        <w:spacing w:before="0" w:after="0" w:line="500" w:lineRule="exact"/>
        <w:ind w:left="0" w:firstLine="0"/>
        <w:rPr>
          <w:rFonts w:ascii="宋体" w:hAnsi="宋体"/>
          <w:b w:val="0"/>
          <w:bCs w:val="0"/>
          <w:kern w:val="2"/>
          <w:sz w:val="24"/>
          <w:szCs w:val="24"/>
        </w:rPr>
      </w:pPr>
      <w:bookmarkStart w:id="28" w:name="_Toc441475849"/>
      <w:bookmarkStart w:id="29" w:name="_Toc441042580"/>
      <w:bookmarkStart w:id="30" w:name="_Toc448909378"/>
      <w:bookmarkStart w:id="31" w:name="_Toc444156481"/>
      <w:r>
        <w:rPr>
          <w:rFonts w:hint="eastAsia" w:ascii="宋体" w:hAnsi="宋体"/>
          <w:b w:val="0"/>
          <w:bCs w:val="0"/>
          <w:kern w:val="2"/>
          <w:sz w:val="24"/>
          <w:szCs w:val="24"/>
        </w:rPr>
        <w:t>8.2、</w:t>
      </w:r>
      <w:r>
        <w:rPr>
          <w:rFonts w:ascii="宋体" w:hAnsi="宋体"/>
          <w:b w:val="0"/>
          <w:bCs w:val="0"/>
          <w:kern w:val="2"/>
          <w:sz w:val="24"/>
          <w:szCs w:val="24"/>
        </w:rPr>
        <w:t>质保期内的任何质量问题，供方必须及时负责修复，所有非需方原因造成的设备损坏，供方承担一切费用（维修及停产损失）；在质保期外，供方应确保维修备件的供应，并在24小时之内提供技术援助。</w:t>
      </w:r>
      <w:bookmarkEnd w:id="28"/>
      <w:bookmarkEnd w:id="29"/>
      <w:bookmarkEnd w:id="30"/>
      <w:bookmarkEnd w:id="31"/>
    </w:p>
    <w:p w14:paraId="1EC57F0E">
      <w:pPr>
        <w:pStyle w:val="114"/>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9、其他事宜</w:t>
      </w:r>
    </w:p>
    <w:p w14:paraId="4B41AAC8">
      <w:pPr>
        <w:spacing w:line="360" w:lineRule="auto"/>
        <w:jc w:val="left"/>
        <w:rPr>
          <w:rFonts w:asciiTheme="minorEastAsia" w:hAnsiTheme="minorEastAsia" w:eastAsiaTheme="minorEastAsia"/>
          <w:sz w:val="24"/>
        </w:rPr>
      </w:pPr>
      <w:r>
        <w:rPr>
          <w:rFonts w:hint="eastAsia" w:eastAsiaTheme="minorEastAsia"/>
          <w:sz w:val="24"/>
        </w:rPr>
        <w:t>9.1、</w:t>
      </w:r>
      <w:r>
        <w:rPr>
          <w:rFonts w:hint="eastAsia" w:asciiTheme="minorEastAsia" w:hAnsiTheme="minorEastAsia" w:eastAsiaTheme="minorEastAsia"/>
          <w:sz w:val="24"/>
        </w:rPr>
        <w:t>供方要保密处理需方提供的文件、产品数据等所有相关资料，未经需方允许，不得将以上资料向第三方公开。否则，需方将向供方提出相应索赔。</w:t>
      </w:r>
    </w:p>
    <w:p w14:paraId="530DFFA3">
      <w:pPr>
        <w:spacing w:line="360" w:lineRule="auto"/>
        <w:jc w:val="left"/>
        <w:rPr>
          <w:rFonts w:asciiTheme="minorEastAsia" w:hAnsiTheme="minorEastAsia" w:eastAsiaTheme="minorEastAsia"/>
          <w:sz w:val="24"/>
        </w:rPr>
      </w:pPr>
      <w:r>
        <w:rPr>
          <w:rFonts w:hint="eastAsia" w:eastAsiaTheme="minorEastAsia"/>
          <w:sz w:val="24"/>
        </w:rPr>
        <w:t>9.2、</w:t>
      </w:r>
      <w:r>
        <w:rPr>
          <w:rFonts w:hint="eastAsia" w:asciiTheme="minorEastAsia" w:hAnsiTheme="minorEastAsia" w:eastAsiaTheme="minorEastAsia"/>
          <w:sz w:val="24"/>
        </w:rPr>
        <w:t>本项目的所有知识产权属于需方，在合同执行过程中及执行完毕之后，供方不得以知识产权为由，向需方索要费用，不得以本项目相关技术提交专利。</w:t>
      </w:r>
    </w:p>
    <w:p w14:paraId="68A4CAA4">
      <w:pPr>
        <w:spacing w:line="360" w:lineRule="auto"/>
        <w:jc w:val="left"/>
        <w:rPr>
          <w:rFonts w:asciiTheme="minorEastAsia" w:hAnsiTheme="minorEastAsia" w:eastAsiaTheme="minorEastAsia"/>
          <w:sz w:val="24"/>
        </w:rPr>
      </w:pPr>
      <w:r>
        <w:rPr>
          <w:rFonts w:hint="eastAsia" w:eastAsiaTheme="minorEastAsia"/>
          <w:sz w:val="24"/>
        </w:rPr>
        <w:t>9.3、</w:t>
      </w:r>
      <w:r>
        <w:rPr>
          <w:rFonts w:hint="eastAsia" w:asciiTheme="minorEastAsia" w:hAnsiTheme="minorEastAsia" w:eastAsiaTheme="minorEastAsia"/>
          <w:sz w:val="24"/>
        </w:rPr>
        <w:t>供方提供给需方的产品，不得侵犯第三方知识产权。如有知识产权纠纷，供方承担全部责任。</w:t>
      </w:r>
    </w:p>
    <w:p w14:paraId="6E5F99B6">
      <w:pPr>
        <w:pStyle w:val="76"/>
        <w:rPr>
          <w:b w:val="0"/>
          <w:bCs w:val="0"/>
        </w:rPr>
      </w:pPr>
    </w:p>
    <w:p w14:paraId="41362990">
      <w:pPr>
        <w:pStyle w:val="76"/>
        <w:rPr>
          <w:b/>
          <w:bCs/>
        </w:rPr>
      </w:pPr>
    </w:p>
    <w:p w14:paraId="1A67A1AE">
      <w:pPr>
        <w:rPr>
          <w:rFonts w:hint="eastAsia"/>
        </w:rPr>
      </w:pPr>
      <w:bookmarkStart w:id="32" w:name="_Toc47976609"/>
      <w:r>
        <w:rPr>
          <w:rFonts w:hint="eastAsia"/>
        </w:rPr>
        <w:br w:type="page"/>
      </w:r>
      <w:bookmarkEnd w:id="32"/>
      <w:bookmarkStart w:id="33" w:name="_Toc47976615"/>
    </w:p>
    <w:p w14:paraId="50D9D845">
      <w:pPr>
        <w:pStyle w:val="71"/>
        <w:rPr>
          <w:rFonts w:ascii="黑体" w:hAnsi="Calibri" w:eastAsia="黑体" w:cs="Times New Roman"/>
          <w:color w:val="000000"/>
          <w:sz w:val="24"/>
          <w:szCs w:val="24"/>
        </w:rPr>
      </w:pPr>
      <w:bookmarkStart w:id="34" w:name="_Toc16500"/>
      <w:r>
        <w:rPr>
          <w:rFonts w:hint="eastAsia"/>
        </w:rPr>
        <w:t>第</w:t>
      </w:r>
      <w:r>
        <w:rPr>
          <w:rFonts w:hint="eastAsia"/>
          <w:lang w:val="en-US" w:eastAsia="zh-CN"/>
        </w:rPr>
        <w:t>三</w:t>
      </w:r>
      <w:r>
        <w:rPr>
          <w:rFonts w:hint="eastAsia"/>
        </w:rPr>
        <w:t>部分　</w:t>
      </w:r>
      <w:bookmarkEnd w:id="33"/>
      <w:r>
        <w:rPr>
          <w:rFonts w:hint="eastAsia"/>
          <w:lang w:val="en-US" w:eastAsia="zh-CN"/>
        </w:rPr>
        <w:t>投标文件附件</w:t>
      </w:r>
      <w:bookmarkEnd w:id="34"/>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35" w:name="_Toc47976618"/>
      <w:bookmarkStart w:id="36" w:name="_Toc29366865"/>
      <w:bookmarkStart w:id="37" w:name="_Toc29366869"/>
      <w:r>
        <w:rPr>
          <w:rFonts w:hint="eastAsia" w:ascii="宋体" w:hAnsi="宋体" w:eastAsia="宋体" w:cs="宋体"/>
          <w:sz w:val="32"/>
          <w:szCs w:val="32"/>
          <w:highlight w:val="none"/>
          <w:lang w:val="en-US" w:eastAsia="zh-CN"/>
        </w:rPr>
        <w:t>附件1 法定代表人授权委托书</w:t>
      </w:r>
    </w:p>
    <w:bookmarkEnd w:id="35"/>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储漆间新增废气收集处理项目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505FE8CB">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2BDF6E9">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cs="宋体"/>
          <w:b/>
          <w:bCs/>
          <w:sz w:val="24"/>
          <w:szCs w:val="24"/>
          <w:highlight w:val="none"/>
          <w:u w:val="single"/>
          <w:lang w:val="en-US" w:eastAsia="zh-CN"/>
        </w:rPr>
        <w:t>储漆间新增废气收集处理项目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36"/>
    <w:bookmarkEnd w:id="37"/>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储漆间新增废气收集处理项目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none"/>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38" w:name="_Toc47976616"/>
      <w:bookmarkStart w:id="39"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38"/>
      <w:bookmarkEnd w:id="39"/>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highlight w:val="none"/>
          <w:u w:val="single"/>
          <w:lang w:val="en-US" w:eastAsia="zh-CN"/>
        </w:rPr>
        <w:t>储漆间新增废气收集处理项目</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储漆间新增废气收集处理项目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object>
          <v:shape id="_x0000_i1025" o:spt="75" type="#_x0000_t75" style="height:65.4pt;width:72.6pt;" o:ole="t" filled="f" o:preferrelative="t" stroked="f" coordsize="21600,21600">
            <v:fill on="f" focussize="0,0"/>
            <v:stroke on="f"/>
            <v:imagedata r:id="rId19" o:title=""/>
            <o:lock v:ext="edit" aspectratio="t"/>
            <w10:wrap type="none"/>
            <w10:anchorlock/>
          </v:shape>
          <o:OLEObject Type="Embed" ProgID="Excel.Sheet.12" ShapeID="_x0000_i1025" DrawAspect="Icon" ObjectID="_1468075725" r:id="rId18">
            <o:LockedField>false</o:LockedField>
          </o:OLEObject>
        </w:object>
      </w:r>
      <w:r>
        <w:rPr>
          <w:rFonts w:hint="default" w:hAnsi="宋体"/>
          <w:sz w:val="24"/>
          <w:lang w:val="en-US"/>
        </w:rPr>
        <w:br w:type="page"/>
      </w:r>
      <w:bookmarkStart w:id="40" w:name="_GoBack"/>
      <w:bookmarkEnd w:id="40"/>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17346439">
      <w:pPr>
        <w:numPr>
          <w:ilvl w:val="0"/>
          <w:numId w:val="3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lang w:val="en-US" w:eastAsia="zh-CN"/>
        </w:rPr>
        <w:t>/</w:t>
      </w:r>
      <w:r>
        <w:rPr>
          <w:rFonts w:hint="eastAsia"/>
          <w:b/>
          <w:bCs/>
          <w:highlight w:val="none"/>
        </w:rPr>
        <w:t>工艺设备 / 工艺设备”</w:t>
      </w:r>
      <w:r>
        <w:rPr>
          <w:rFonts w:hint="eastAsia"/>
          <w:b/>
          <w:bCs/>
          <w:highlight w:val="none"/>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6"/>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7"/>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8"/>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9"/>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1EB4DDE"/>
    <w:multiLevelType w:val="multilevel"/>
    <w:tmpl w:val="01EB4DD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B8672BE"/>
    <w:multiLevelType w:val="singleLevel"/>
    <w:tmpl w:val="2B8672BE"/>
    <w:lvl w:ilvl="0" w:tentative="0">
      <w:start w:val="1"/>
      <w:numFmt w:val="decimal"/>
      <w:lvlText w:val="%1."/>
      <w:lvlJc w:val="left"/>
      <w:pPr>
        <w:ind w:left="425" w:hanging="425"/>
      </w:pPr>
      <w:rPr>
        <w:rFonts w:hint="default"/>
      </w:rPr>
    </w:lvl>
  </w:abstractNum>
  <w:abstractNum w:abstractNumId="19">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ED597C4"/>
    <w:multiLevelType w:val="singleLevel"/>
    <w:tmpl w:val="4ED597C4"/>
    <w:lvl w:ilvl="0" w:tentative="0">
      <w:start w:val="1"/>
      <w:numFmt w:val="decimal"/>
      <w:lvlText w:val="%1)"/>
      <w:lvlJc w:val="left"/>
      <w:pPr>
        <w:ind w:left="425" w:hanging="425"/>
      </w:pPr>
      <w:rPr>
        <w:rFonts w:hint="default"/>
      </w:r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286B672"/>
    <w:multiLevelType w:val="multilevel"/>
    <w:tmpl w:val="5286B672"/>
    <w:lvl w:ilvl="0" w:tentative="0">
      <w:start w:val="1"/>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A6836EF"/>
    <w:multiLevelType w:val="singleLevel"/>
    <w:tmpl w:val="5A6836EF"/>
    <w:lvl w:ilvl="0" w:tentative="0">
      <w:start w:val="1"/>
      <w:numFmt w:val="decimal"/>
      <w:suff w:val="nothing"/>
      <w:lvlText w:val="%1."/>
      <w:lvlJc w:val="left"/>
      <w:pPr>
        <w:ind w:left="0" w:firstLine="0"/>
      </w:pPr>
    </w:lvl>
  </w:abstractNum>
  <w:abstractNum w:abstractNumId="27">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8">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1">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20"/>
  </w:num>
  <w:num w:numId="2">
    <w:abstractNumId w:val="29"/>
  </w:num>
  <w:num w:numId="3">
    <w:abstractNumId w:val="25"/>
  </w:num>
  <w:num w:numId="4">
    <w:abstractNumId w:val="22"/>
  </w:num>
  <w:num w:numId="5">
    <w:abstractNumId w:val="12"/>
  </w:num>
  <w:num w:numId="6">
    <w:abstractNumId w:val="15"/>
  </w:num>
  <w:num w:numId="7">
    <w:abstractNumId w:val="17"/>
  </w:num>
  <w:num w:numId="8">
    <w:abstractNumId w:val="24"/>
  </w:num>
  <w:num w:numId="9">
    <w:abstractNumId w:val="4"/>
  </w:num>
  <w:num w:numId="10">
    <w:abstractNumId w:val="14"/>
  </w:num>
  <w:num w:numId="11">
    <w:abstractNumId w:val="11"/>
  </w:num>
  <w:num w:numId="12">
    <w:abstractNumId w:val="8"/>
  </w:num>
  <w:num w:numId="13">
    <w:abstractNumId w:val="30"/>
  </w:num>
  <w:num w:numId="14">
    <w:abstractNumId w:val="0"/>
  </w:num>
  <w:num w:numId="15">
    <w:abstractNumId w:val="5"/>
  </w:num>
  <w:num w:numId="16">
    <w:abstractNumId w:val="6"/>
  </w:num>
  <w:num w:numId="17">
    <w:abstractNumId w:val="3"/>
  </w:num>
  <w:num w:numId="18">
    <w:abstractNumId w:val="13"/>
  </w:num>
  <w:num w:numId="19">
    <w:abstractNumId w:val="16"/>
  </w:num>
  <w:num w:numId="20">
    <w:abstractNumId w:val="2"/>
  </w:num>
  <w:num w:numId="21">
    <w:abstractNumId w:val="28"/>
  </w:num>
  <w:num w:numId="22">
    <w:abstractNumId w:val="7"/>
  </w:num>
  <w:num w:numId="23">
    <w:abstractNumId w:val="27"/>
  </w:num>
  <w:num w:numId="24">
    <w:abstractNumId w:val="31"/>
  </w:num>
  <w:num w:numId="25">
    <w:abstractNumId w:val="9"/>
  </w:num>
  <w:num w:numId="26">
    <w:abstractNumId w:val="1"/>
  </w:num>
  <w:num w:numId="27">
    <w:abstractNumId w:val="19"/>
  </w:num>
  <w:num w:numId="28">
    <w:abstractNumId w:val="26"/>
  </w:num>
  <w:num w:numId="29">
    <w:abstractNumId w:val="18"/>
  </w:num>
  <w:num w:numId="30">
    <w:abstractNumId w:val="23"/>
  </w:num>
  <w:num w:numId="31">
    <w:abstractNumId w:val="21"/>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C4FF1"/>
    <w:rsid w:val="02FE76EF"/>
    <w:rsid w:val="03F033B0"/>
    <w:rsid w:val="042D7FF0"/>
    <w:rsid w:val="057C1D39"/>
    <w:rsid w:val="05891259"/>
    <w:rsid w:val="0654565B"/>
    <w:rsid w:val="08633479"/>
    <w:rsid w:val="0A486315"/>
    <w:rsid w:val="0A63147A"/>
    <w:rsid w:val="0A81331A"/>
    <w:rsid w:val="0ADB2EF0"/>
    <w:rsid w:val="0ADD4CBE"/>
    <w:rsid w:val="0C83309C"/>
    <w:rsid w:val="0CB51572"/>
    <w:rsid w:val="0DE73E36"/>
    <w:rsid w:val="0E4D31E3"/>
    <w:rsid w:val="0E530E38"/>
    <w:rsid w:val="10DC2AA3"/>
    <w:rsid w:val="10FA7C8C"/>
    <w:rsid w:val="12F64B6E"/>
    <w:rsid w:val="130B198F"/>
    <w:rsid w:val="13B54178"/>
    <w:rsid w:val="13FA68E0"/>
    <w:rsid w:val="15BB1367"/>
    <w:rsid w:val="16A918E4"/>
    <w:rsid w:val="17D966D6"/>
    <w:rsid w:val="19517BDA"/>
    <w:rsid w:val="19E33213"/>
    <w:rsid w:val="1A463A67"/>
    <w:rsid w:val="1B481CDF"/>
    <w:rsid w:val="1BA3160C"/>
    <w:rsid w:val="1BC71D3B"/>
    <w:rsid w:val="1C59115B"/>
    <w:rsid w:val="1D596BD7"/>
    <w:rsid w:val="1E296445"/>
    <w:rsid w:val="1EFD1680"/>
    <w:rsid w:val="1FB23E60"/>
    <w:rsid w:val="1FBA79B4"/>
    <w:rsid w:val="212F23EA"/>
    <w:rsid w:val="21F50ADF"/>
    <w:rsid w:val="226A2E83"/>
    <w:rsid w:val="227640E7"/>
    <w:rsid w:val="227F2CA6"/>
    <w:rsid w:val="22C5630B"/>
    <w:rsid w:val="23567554"/>
    <w:rsid w:val="23EC0BA6"/>
    <w:rsid w:val="24701A48"/>
    <w:rsid w:val="25B85291"/>
    <w:rsid w:val="25EC6AF8"/>
    <w:rsid w:val="268B0052"/>
    <w:rsid w:val="26CF6817"/>
    <w:rsid w:val="27743C90"/>
    <w:rsid w:val="27B358EA"/>
    <w:rsid w:val="28B55739"/>
    <w:rsid w:val="29CA2459"/>
    <w:rsid w:val="2B12477E"/>
    <w:rsid w:val="2B271A58"/>
    <w:rsid w:val="2B6304A7"/>
    <w:rsid w:val="2BAC194A"/>
    <w:rsid w:val="2BCB24AC"/>
    <w:rsid w:val="2C642D3E"/>
    <w:rsid w:val="2CF6734C"/>
    <w:rsid w:val="2D4D284A"/>
    <w:rsid w:val="2D663463"/>
    <w:rsid w:val="2E112A52"/>
    <w:rsid w:val="2EF96EE4"/>
    <w:rsid w:val="31E37A09"/>
    <w:rsid w:val="32C207BF"/>
    <w:rsid w:val="3380787D"/>
    <w:rsid w:val="33822A0F"/>
    <w:rsid w:val="34F565DC"/>
    <w:rsid w:val="35D271A0"/>
    <w:rsid w:val="36254FE4"/>
    <w:rsid w:val="36AA39B8"/>
    <w:rsid w:val="372F61E0"/>
    <w:rsid w:val="39322FCA"/>
    <w:rsid w:val="395C1BFB"/>
    <w:rsid w:val="3A503E1E"/>
    <w:rsid w:val="3AB90991"/>
    <w:rsid w:val="3B706131"/>
    <w:rsid w:val="3BF833EC"/>
    <w:rsid w:val="3C8E02FC"/>
    <w:rsid w:val="3E0838CB"/>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F75369"/>
    <w:rsid w:val="4EA23B01"/>
    <w:rsid w:val="4EB0217D"/>
    <w:rsid w:val="4F482E54"/>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547A6B"/>
    <w:rsid w:val="5BF95104"/>
    <w:rsid w:val="5C4627AE"/>
    <w:rsid w:val="5C9249CA"/>
    <w:rsid w:val="5D5C60B4"/>
    <w:rsid w:val="5D8073BF"/>
    <w:rsid w:val="5F4F52F9"/>
    <w:rsid w:val="60651FB9"/>
    <w:rsid w:val="614E12EC"/>
    <w:rsid w:val="616D6769"/>
    <w:rsid w:val="629E3C71"/>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E891568"/>
    <w:rsid w:val="6FC523EB"/>
    <w:rsid w:val="6FE22646"/>
    <w:rsid w:val="70825D63"/>
    <w:rsid w:val="71F00129"/>
    <w:rsid w:val="71FE41EB"/>
    <w:rsid w:val="72895F2E"/>
    <w:rsid w:val="72C02EBE"/>
    <w:rsid w:val="72C507AD"/>
    <w:rsid w:val="72D028D8"/>
    <w:rsid w:val="745D47C3"/>
    <w:rsid w:val="751B1584"/>
    <w:rsid w:val="75341FA7"/>
    <w:rsid w:val="764F7753"/>
    <w:rsid w:val="76AC3757"/>
    <w:rsid w:val="77D4005C"/>
    <w:rsid w:val="78292927"/>
    <w:rsid w:val="78E42452"/>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styleId="114">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1.bin"/><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9277</Words>
  <Characters>9638</Characters>
  <Lines>127</Lines>
  <Paragraphs>35</Paragraphs>
  <TotalTime>1</TotalTime>
  <ScaleCrop>false</ScaleCrop>
  <LinksUpToDate>false</LinksUpToDate>
  <CharactersWithSpaces>11224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2025-12-12T07:22:42Z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