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统帅右置驾驶室车型焊夹具改制项目</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：中国重汽集团济南商用车有限公司轻卡制造公司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2242"/>
      <w:bookmarkStart w:id="1" w:name="_Toc29994"/>
      <w:bookmarkStart w:id="2" w:name="_Toc23693"/>
      <w:bookmarkStart w:id="3" w:name="_Toc15480"/>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项目名称：统帅右置驾驶室车型焊夹具改制项目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项目编号：FSCZB2025110244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招标内容：进行焊夹具新增、改制，并对焊装线进行适应性改造。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招标人名称：中国重汽集团济南商用车有限公司轻卡制造公司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招标人地址：山东省济南市章丘区潘王路11号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喻新</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电话：17398245138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48.14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拟投标人必须是在中华人民共和国境内注册的独立法人机构，具有独立承担民事责任能力；注册资金不少于</w:t>
            </w:r>
            <w:r>
              <w:rPr>
                <w:rFonts w:hint="eastAsia" w:ascii="仿宋_GB2312" w:hAnsi="仿宋_GB2312" w:eastAsia="仿宋_GB2312" w:cs="仿宋_GB2312"/>
                <w:color w:val="000000"/>
                <w:sz w:val="24"/>
                <w:szCs w:val="24"/>
                <w:lang w:val="en-US" w:eastAsia="zh-CN"/>
              </w:rPr>
              <w:t>500</w:t>
            </w:r>
            <w:r>
              <w:rPr>
                <w:rFonts w:hint="eastAsia" w:ascii="仿宋_GB2312" w:hAnsi="仿宋_GB2312" w:eastAsia="仿宋_GB2312" w:cs="仿宋_GB2312"/>
                <w:color w:val="000000"/>
                <w:sz w:val="24"/>
                <w:szCs w:val="24"/>
              </w:rPr>
              <w:t>万人民币（或等值其他货币）；公司成立三年以上（以营业执照成立日期到开标当日满三年为准），且经营范围</w:t>
            </w:r>
            <w:r>
              <w:rPr>
                <w:rFonts w:hint="eastAsia" w:ascii="仿宋_GB2312" w:hAnsi="仿宋_GB2312" w:eastAsia="仿宋_GB2312" w:cs="仿宋_GB2312"/>
                <w:color w:val="000000"/>
                <w:sz w:val="24"/>
                <w:szCs w:val="24"/>
                <w:lang w:val="en-US" w:eastAsia="zh-CN"/>
              </w:rPr>
              <w:t>符合项目要求</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并在人员、设备、资金等方面具有承担本项目的能力</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且</w:t>
            </w:r>
            <w:r>
              <w:rPr>
                <w:rFonts w:hint="eastAsia" w:ascii="仿宋_GB2312" w:hAnsi="仿宋_GB2312" w:eastAsia="仿宋_GB2312" w:cs="仿宋_GB2312"/>
                <w:color w:val="000000"/>
                <w:sz w:val="24"/>
                <w:szCs w:val="24"/>
              </w:rPr>
              <w:t>满足技术、质量、资金等要求，财务状况良好、经营稳定，具有全面履约的能力，能提供相关信用等级和完税证明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拟</w:t>
            </w:r>
            <w:r>
              <w:rPr>
                <w:rFonts w:hint="eastAsia" w:ascii="仿宋_GB2312" w:hAnsi="仿宋_GB2312" w:eastAsia="仿宋_GB2312" w:cs="仿宋_GB2312"/>
                <w:color w:val="000000"/>
                <w:sz w:val="24"/>
                <w:szCs w:val="24"/>
                <w:lang w:eastAsia="zh-CN"/>
              </w:rPr>
              <w:t>投标人为该标的物的设计和制造商或其在中国境内有完善的技术以及售后服务体系，该项目不允许代理商参标。</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拟投标人应提供营业执照副本原件和扫描件（需盖章）；</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3.拟投标人应提供法定代表人资格证明文件；</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4.拟投标人在“国家企业信用信息公示系统”、“中国执行信息公开网”、“信用中国”、“天眼查”“裁判文书网”等信息平台中，无行政处罚及失信记录等信息；</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5.拟投标人不存在严重违规或被列入招标人“黑名单”的声明；</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6.拟投标人</w:t>
            </w:r>
            <w:r>
              <w:rPr>
                <w:rFonts w:hint="eastAsia" w:ascii="仿宋_GB2312" w:hAnsi="仿宋_GB2312" w:eastAsia="仿宋_GB2312" w:cs="仿宋_GB2312"/>
                <w:color w:val="000000"/>
                <w:sz w:val="24"/>
                <w:szCs w:val="24"/>
                <w:lang w:eastAsia="zh-CN"/>
              </w:rPr>
              <w:t>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w:t>
            </w:r>
            <w:r>
              <w:rPr>
                <w:rFonts w:hint="eastAsia" w:ascii="仿宋_GB2312" w:hAnsi="仿宋_GB2312" w:eastAsia="仿宋_GB2312" w:cs="仿宋_GB2312"/>
                <w:color w:val="000000"/>
                <w:sz w:val="24"/>
                <w:szCs w:val="24"/>
              </w:rPr>
              <w:t>至今经会计师事务所审计且出具无保留意见的财务审计报告，并加盖公章，包括但不限于报告页、经审计的资产负债表、利润表、现金流量表及报表附注（如投标人公司没有经审计的财务报告，可提供加盖公章的近</w:t>
            </w:r>
            <w:r>
              <w:rPr>
                <w:rFonts w:hint="eastAsia" w:ascii="仿宋_GB2312" w:hAnsi="仿宋_GB2312" w:eastAsia="仿宋_GB2312" w:cs="仿宋_GB2312"/>
                <w:color w:val="000000"/>
                <w:sz w:val="24"/>
                <w:szCs w:val="24"/>
                <w:lang w:val="en-US" w:eastAsia="zh-CN"/>
              </w:rPr>
              <w:t>三</w:t>
            </w:r>
            <w:r>
              <w:rPr>
                <w:rFonts w:hint="eastAsia" w:ascii="仿宋_GB2312" w:hAnsi="仿宋_GB2312" w:eastAsia="仿宋_GB2312" w:cs="仿宋_GB2312"/>
                <w:color w:val="000000"/>
                <w:sz w:val="24"/>
                <w:szCs w:val="24"/>
              </w:rPr>
              <w:t>年财务报表，包括但不限于资产负债表、利润表、现金流量表）；</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7.拟投标人202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年1月1日至今，有与本次招标内容相同或类似项目业绩，且近</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lang w:eastAsia="zh-CN"/>
              </w:rPr>
              <w:t>年内无因服务不当而造成重大事故；</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8.拟投标人近三年内在经营活动中无招标违规、谎报年度报告信息、提供虚假资质资料等行为或其他行政处罚记录；</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9.拟投标人须认可招标人的工作指令，包括节、假日能正常开展工作的要求；</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10.拟投标人最近半年纳税正常；</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11.拟投标人信用证明材料（征信报告）未显示异常；</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12.拟投标人的直接或间接股东、法定代表人、董事、监事、高管非重汽员工及其亲属；</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13.本项目不接受联合体投标，拟投标人必须是最终投标单位和签订合同单位，不得以任何理由将已中标项目以任何形式分包或转包给其他单位；</w:t>
            </w:r>
          </w:p>
          <w:p>
            <w:pPr>
              <w:pStyle w:val="22"/>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.与招标人存在利害关系可能影响招标公正性的法人、其他组织或者个人，不得参加投标。</w:t>
            </w:r>
          </w:p>
          <w:p>
            <w:pPr>
              <w:pStyle w:val="22"/>
              <w:ind w:firstLine="480" w:firstLineChars="200"/>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15.本项目不允许代理商投标。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2025年11月24日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2025年11月29日17：00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2025年12月4日17：00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开户名称：</w:t>
            </w:r>
            <w:r>
              <w:rPr>
                <w:rFonts w:hint="eastAsia" w:ascii="仿宋_GB2312" w:hAnsi="仿宋_GB2312" w:eastAsia="仿宋_GB2312" w:cs="仿宋_GB2312"/>
                <w:sz w:val="24"/>
                <w:szCs w:val="24"/>
              </w:rPr>
              <w:t>中国重汽集团济南商用车有限公司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开户银行：</w:t>
            </w:r>
            <w:r>
              <w:rPr>
                <w:rFonts w:hint="eastAsia" w:ascii="仿宋_GB2312" w:hAnsi="仿宋_GB2312" w:eastAsia="仿宋_GB2312" w:cs="仿宋_GB2312"/>
                <w:sz w:val="24"/>
                <w:szCs w:val="24"/>
              </w:rPr>
              <w:t>中国银行股份有限公司济南分行</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银行账号：</w:t>
            </w:r>
            <w:r>
              <w:rPr>
                <w:rFonts w:hint="eastAsia" w:ascii="仿宋_GB2312" w:hAnsi="仿宋_GB2312" w:eastAsia="仿宋_GB2312" w:cs="仿宋_GB2312"/>
                <w:sz w:val="24"/>
                <w:szCs w:val="24"/>
              </w:rPr>
              <w:t>237744219844</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联行号：</w:t>
            </w:r>
            <w:r>
              <w:rPr>
                <w:rFonts w:hint="eastAsia" w:ascii="仿宋_GB2312" w:hAnsi="仿宋_GB2312" w:eastAsia="仿宋_GB2312" w:cs="仿宋_GB2312"/>
                <w:sz w:val="24"/>
                <w:szCs w:val="24"/>
              </w:rPr>
              <w:t>104451039687</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2025年12月4日17：00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2025年12月8日9</w:t>
            </w:r>
            <w:bookmarkStart w:id="124" w:name="_GoBack"/>
            <w:bookmarkEnd w:id="124"/>
            <w:r>
              <w:rPr>
                <w:rFonts w:hint="eastAsia" w:ascii="仿宋_GB2312" w:hAnsi="仿宋_GB2312" w:eastAsia="仿宋_GB2312" w:cs="仿宋_GB2312"/>
                <w:color w:val="000000"/>
                <w:sz w:val="24"/>
                <w:szCs w:val="24"/>
                <w:highlight w:val="green"/>
                <w:lang w:val="en-US" w:eastAsia="zh-CN"/>
              </w:rPr>
              <w:t>：00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B050"/>
                <w:sz w:val="24"/>
                <w:szCs w:val="24"/>
                <w:highlight w:val="green"/>
                <w:lang w:val="en-US" w:eastAsia="zh-CN"/>
              </w:rPr>
              <w:t>45</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B050"/>
                <w:sz w:val="24"/>
                <w:szCs w:val="24"/>
                <w:highlight w:val="green"/>
                <w:lang w:val="en-US" w:eastAsia="zh-CN"/>
              </w:rPr>
              <w:t>10</w:t>
            </w:r>
            <w:r>
              <w:rPr>
                <w:rFonts w:hint="eastAsia" w:ascii="仿宋_GB2312" w:hAnsi="仿宋_GB2312" w:eastAsia="仿宋_GB2312" w:cs="仿宋_GB2312"/>
                <w:b/>
                <w:bCs/>
                <w:color w:val="000000"/>
                <w:sz w:val="24"/>
                <w:szCs w:val="24"/>
              </w:rPr>
              <w:t>个日历日之内安装调试完毕。</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交货地点：中国重汽集团济南商用车有限公司轻卡制造公司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1.半年期商业汇票（包括银行承兑汇票和商业承兑汇票），（5万元及</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rPr>
              <w:t>以上）</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2.付款节点:</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 xml:space="preserve">其他付款节点：3:6:1 </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A.设备全部到货后，中标人提交金额为合同价款30%的收据并提供合同价款30%的增值税专用发票（含复印件二份），经招标人依照财务制度审核通过后支付；</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B.设备验收合格后，中标人提交金额为合同价款60%的收据并提供合同价款70%的增值税专用发票（含复印件二份），经招标人依照财务制度审核通过后支付；</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1216"/>
      <w:bookmarkStart w:id="8" w:name="_Toc9448"/>
      <w:bookmarkStart w:id="9" w:name="_Toc427"/>
      <w:bookmarkStart w:id="10" w:name="_Toc27087"/>
      <w:bookmarkStart w:id="11" w:name="_Toc19183"/>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6627"/>
      <w:bookmarkStart w:id="20" w:name="_Toc33267001"/>
      <w:bookmarkStart w:id="21" w:name="_Toc30534"/>
      <w:bookmarkStart w:id="22" w:name="_Toc33265752"/>
      <w:bookmarkStart w:id="23" w:name="_Toc33285487"/>
      <w:bookmarkStart w:id="24" w:name="_Toc33266950"/>
      <w:bookmarkStart w:id="25" w:name="_Toc33266914"/>
      <w:bookmarkStart w:id="26" w:name="_Toc33265653"/>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915"/>
      <w:bookmarkStart w:id="29" w:name="_Toc33267002"/>
      <w:bookmarkStart w:id="30" w:name="_Toc33266951"/>
      <w:bookmarkStart w:id="31" w:name="_Toc33285489"/>
      <w:bookmarkStart w:id="32" w:name="_Toc33265654"/>
      <w:bookmarkStart w:id="33" w:name="_Toc395116634"/>
      <w:bookmarkStart w:id="34" w:name="_Toc33265753"/>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9"/>
      <w:bookmarkStart w:id="40" w:name="OLE_LINK28"/>
      <w:bookmarkStart w:id="41" w:name="OLE_LINK27"/>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2363"/>
      <w:bookmarkStart w:id="45" w:name="_Toc762"/>
      <w:bookmarkStart w:id="46" w:name="_Toc21022"/>
      <w:bookmarkStart w:id="47" w:name="_Toc13002"/>
      <w:bookmarkStart w:id="48" w:name="_Toc31869"/>
      <w:bookmarkStart w:id="49" w:name="_Toc1347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12552"/>
      <w:bookmarkStart w:id="58" w:name="_Toc4029"/>
      <w:bookmarkStart w:id="59" w:name="_Toc18606"/>
      <w:bookmarkStart w:id="60" w:name="_Toc4532"/>
      <w:bookmarkStart w:id="61" w:name="_Toc28236"/>
      <w:bookmarkStart w:id="62" w:name="_Toc4483"/>
      <w:bookmarkStart w:id="63" w:name="_Toc18805"/>
      <w:bookmarkStart w:id="64" w:name="_Toc30738"/>
      <w:bookmarkStart w:id="65" w:name="_Toc3565"/>
      <w:bookmarkStart w:id="66" w:name="_Toc3372"/>
      <w:bookmarkStart w:id="67" w:name="_Toc7110"/>
      <w:bookmarkStart w:id="68" w:name="_Toc12563"/>
      <w:bookmarkStart w:id="69" w:name="_Toc6346"/>
      <w:bookmarkStart w:id="70" w:name="_Toc18182"/>
      <w:bookmarkStart w:id="71" w:name="_Toc23870"/>
      <w:bookmarkStart w:id="72" w:name="_Toc133783966"/>
      <w:bookmarkStart w:id="73" w:name="_Toc7511"/>
      <w:bookmarkStart w:id="74" w:name="_Toc20272"/>
      <w:bookmarkStart w:id="75" w:name="_Toc16358"/>
      <w:bookmarkStart w:id="76" w:name="_Toc6957"/>
      <w:bookmarkStart w:id="77" w:name="_Toc24913"/>
      <w:bookmarkStart w:id="78" w:name="_Toc13605"/>
      <w:bookmarkStart w:id="79" w:name="_Toc8032"/>
      <w:bookmarkStart w:id="80" w:name="_Toc24964"/>
      <w:bookmarkStart w:id="81" w:name="_Toc32378"/>
      <w:bookmarkStart w:id="82" w:name="_Toc12714"/>
      <w:bookmarkStart w:id="83" w:name="_Toc13988"/>
      <w:bookmarkStart w:id="84" w:name="_Toc4194"/>
      <w:bookmarkStart w:id="85" w:name="_Toc14517"/>
      <w:bookmarkStart w:id="86" w:name="_Toc13562"/>
      <w:bookmarkStart w:id="87" w:name="_Toc21497"/>
      <w:bookmarkStart w:id="88" w:name="_Toc11355"/>
      <w:bookmarkStart w:id="89" w:name="_Toc22649"/>
      <w:bookmarkStart w:id="90" w:name="_Toc19672"/>
      <w:bookmarkStart w:id="91" w:name="_Toc13555"/>
      <w:bookmarkStart w:id="92" w:name="_Toc1884"/>
      <w:bookmarkStart w:id="93" w:name="_Toc20467"/>
      <w:bookmarkStart w:id="94" w:name="_Toc8202"/>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eastAsia="仿宋_GB2312"/>
          <w:lang w:val="en-US" w:eastAsia="zh-CN"/>
        </w:rPr>
      </w:pPr>
      <w:r>
        <w:rPr>
          <w:rFonts w:hint="eastAsia" w:eastAsia="仿宋_GB2312"/>
          <w:lang w:val="en-US" w:eastAsia="zh-CN"/>
        </w:rPr>
        <w:br w:type="page"/>
      </w:r>
    </w:p>
    <w:p>
      <w:pPr>
        <w:jc w:val="center"/>
        <w:rPr>
          <w:rFonts w:ascii="宋体" w:hAnsi="Calibri" w:eastAsia="宋体" w:cs="Times New Roman"/>
          <w:color w:val="000000"/>
          <w:sz w:val="30"/>
          <w:szCs w:val="30"/>
          <w:highlight w:val="none"/>
        </w:rPr>
      </w:pPr>
      <w:bookmarkStart w:id="96" w:name="OLE_LINK31"/>
      <w:bookmarkStart w:id="97" w:name="OLE_LINK30"/>
    </w:p>
    <w:p>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中国重汽集团济南商用车有限公司轻卡制造公司</w:t>
      </w:r>
    </w:p>
    <w:p>
      <w:pPr>
        <w:pStyle w:val="22"/>
        <w:jc w:val="center"/>
        <w:rPr>
          <w:highlight w:val="none"/>
        </w:rPr>
      </w:pPr>
      <w:r>
        <w:rPr>
          <w:rFonts w:hint="eastAsia" w:ascii="Calibri" w:hAnsi="宋体" w:eastAsia="宋体" w:cs="Times New Roman"/>
          <w:b/>
          <w:bCs/>
          <w:color w:val="000000"/>
          <w:spacing w:val="-8"/>
          <w:sz w:val="48"/>
          <w:szCs w:val="48"/>
          <w:highlight w:val="none"/>
          <w:lang w:val="en-US" w:eastAsia="zh-CN"/>
        </w:rPr>
        <w:t>轻卡统帅右置驾驶室车型项目焊装分项</w:t>
      </w:r>
    </w:p>
    <w:p>
      <w:pPr>
        <w:pStyle w:val="22"/>
        <w:rPr>
          <w:highlight w:val="none"/>
        </w:rPr>
      </w:pPr>
    </w:p>
    <w:p>
      <w:pPr>
        <w:pStyle w:val="22"/>
        <w:rPr>
          <w:highlight w:val="none"/>
        </w:rPr>
      </w:pPr>
    </w:p>
    <w:p>
      <w:pPr>
        <w:pStyle w:val="22"/>
        <w:rPr>
          <w:highlight w:val="none"/>
        </w:rPr>
      </w:pPr>
    </w:p>
    <w:p>
      <w:pPr>
        <w:pStyle w:val="22"/>
        <w:rPr>
          <w:highlight w:val="none"/>
        </w:rPr>
      </w:pPr>
    </w:p>
    <w:p>
      <w:pPr>
        <w:pStyle w:val="22"/>
        <w:rPr>
          <w:highlight w:val="none"/>
        </w:rPr>
      </w:pP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pPr>
        <w:jc w:val="center"/>
        <w:rPr>
          <w:rFonts w:hint="eastAsia" w:ascii="黑体" w:hAnsi="宋体" w:eastAsia="黑体" w:cs="Times New Roman"/>
          <w:color w:val="000000"/>
          <w:sz w:val="72"/>
          <w:szCs w:val="72"/>
          <w:highlight w:val="none"/>
        </w:rPr>
      </w:pP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hint="eastAsia" w:ascii="黑体" w:hAnsi="宋体" w:eastAsia="黑体" w:cs="Times New Roman"/>
          <w:color w:val="000000"/>
          <w:sz w:val="72"/>
          <w:szCs w:val="72"/>
          <w:highlight w:val="none"/>
        </w:rPr>
      </w:pPr>
    </w:p>
    <w:p>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pPr>
        <w:spacing w:line="860" w:lineRule="exact"/>
        <w:rPr>
          <w:rFonts w:hint="eastAsia"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p>
    <w:p>
      <w:pPr>
        <w:spacing w:line="860" w:lineRule="exact"/>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p>
    <w:p>
      <w:pPr>
        <w:spacing w:line="860" w:lineRule="exact"/>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p>
    <w:p>
      <w:pPr>
        <w:pStyle w:val="22"/>
        <w:rPr>
          <w:b/>
          <w:bCs/>
          <w:highlight w:val="none"/>
        </w:rPr>
      </w:pPr>
    </w:p>
    <w:p>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2025年</w:t>
      </w:r>
      <w:r>
        <w:rPr>
          <w:rFonts w:hint="eastAsia" w:ascii="宋体" w:hAnsi="宋体" w:eastAsia="宋体" w:cs="宋体"/>
          <w:color w:val="000000"/>
          <w:sz w:val="28"/>
          <w:szCs w:val="28"/>
          <w:highlight w:val="none"/>
          <w:lang w:val="en-US" w:eastAsia="zh-CN"/>
        </w:rPr>
        <w:t>11</w:t>
      </w:r>
      <w:r>
        <w:rPr>
          <w:rFonts w:hint="eastAsia" w:ascii="宋体" w:hAnsi="宋体" w:eastAsia="宋体" w:cs="宋体"/>
          <w:color w:val="000000"/>
          <w:sz w:val="28"/>
          <w:szCs w:val="28"/>
          <w:highlight w:val="none"/>
        </w:rPr>
        <w:t>月</w:t>
      </w:r>
    </w:p>
    <w:p>
      <w:pPr>
        <w:keepNext/>
        <w:keepLines/>
        <w:jc w:val="center"/>
        <w:rPr>
          <w:rFonts w:hint="eastAsia" w:ascii="宋体" w:hAnsi="宋体" w:eastAsia="宋体" w:cs="宋体"/>
          <w:b/>
          <w:bCs/>
          <w:kern w:val="44"/>
          <w:sz w:val="36"/>
          <w:szCs w:val="44"/>
          <w:highlight w:val="none"/>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jc w:val="center"/>
        <w:outlineLvl w:val="0"/>
        <w:rPr>
          <w:rFonts w:ascii="Calibri" w:hAnsi="Calibri" w:eastAsia="宋体" w:cs="Times New Roman"/>
          <w:b/>
          <w:bCs/>
          <w:kern w:val="44"/>
          <w:sz w:val="36"/>
          <w:szCs w:val="44"/>
          <w:highlight w:val="none"/>
        </w:rPr>
      </w:pPr>
      <w:bookmarkStart w:id="98" w:name="_Toc32654"/>
      <w:r>
        <w:rPr>
          <w:rFonts w:hint="eastAsia" w:ascii="Calibri" w:hAnsi="Calibri" w:eastAsia="宋体" w:cs="Times New Roman"/>
          <w:b/>
          <w:bCs/>
          <w:kern w:val="44"/>
          <w:sz w:val="36"/>
          <w:szCs w:val="44"/>
          <w:highlight w:val="none"/>
        </w:rPr>
        <w:t>第四部分 技术标书</w:t>
      </w:r>
      <w:bookmarkEnd w:id="98"/>
    </w:p>
    <w:p>
      <w:pPr>
        <w:pStyle w:val="22"/>
        <w:rPr>
          <w:highlight w:val="none"/>
        </w:rPr>
      </w:pPr>
    </w:p>
    <w:p>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中国重汽集团济南商用车有限公司轻卡制造公司</w:t>
      </w:r>
    </w:p>
    <w:p>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lang w:val="en-US" w:eastAsia="zh-CN"/>
        </w:rPr>
        <w:t>轻卡统帅右置驾驶室车型项目焊装分项</w:t>
      </w:r>
    </w:p>
    <w:p>
      <w:pPr>
        <w:spacing w:line="276" w:lineRule="auto"/>
        <w:jc w:val="center"/>
        <w:rPr>
          <w:rFonts w:ascii="Calibri" w:hAnsi="Calibri" w:eastAsia="宋体" w:cs="Times New Roman"/>
          <w:b/>
          <w:bCs/>
          <w:color w:val="000000"/>
          <w:spacing w:val="-8"/>
          <w:sz w:val="48"/>
          <w:szCs w:val="44"/>
          <w:highlight w:val="none"/>
        </w:rPr>
      </w:pPr>
      <w:r>
        <w:rPr>
          <w:rFonts w:ascii="Calibri" w:hAnsi="Calibri" w:eastAsia="宋体" w:cs="Times New Roman"/>
          <w:b/>
          <w:bCs/>
          <w:color w:val="000000"/>
          <w:spacing w:val="-8"/>
          <w:sz w:val="48"/>
          <w:szCs w:val="44"/>
          <w:highlight w:val="none"/>
        </w:rPr>
        <w:t xml:space="preserve"> </w:t>
      </w:r>
    </w:p>
    <w:p>
      <w:pPr>
        <w:jc w:val="right"/>
        <w:rPr>
          <w:rFonts w:ascii="Calibri" w:hAnsi="Calibri" w:eastAsia="宋体" w:cs="Times New Roman"/>
          <w:color w:val="000000"/>
          <w:sz w:val="28"/>
          <w:szCs w:val="28"/>
          <w:highlight w:val="none"/>
        </w:rPr>
      </w:pPr>
    </w:p>
    <w:p>
      <w:pPr>
        <w:pStyle w:val="22"/>
        <w:rPr>
          <w:highlight w:val="none"/>
        </w:rPr>
      </w:pP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pPr>
        <w:pStyle w:val="22"/>
        <w:rPr>
          <w:highlight w:val="none"/>
        </w:rPr>
      </w:pPr>
    </w:p>
    <w:p>
      <w:pPr>
        <w:pStyle w:val="22"/>
        <w:rPr>
          <w:rFonts w:hint="eastAsia" w:ascii="黑体" w:hAnsi="宋体" w:eastAsia="黑体" w:cs="Times New Roman"/>
          <w:color w:val="000000"/>
          <w:sz w:val="72"/>
          <w:szCs w:val="72"/>
          <w:highlight w:val="none"/>
        </w:rPr>
      </w:pPr>
    </w:p>
    <w:p>
      <w:pPr>
        <w:pStyle w:val="22"/>
        <w:rPr>
          <w:rFonts w:hint="eastAsia" w:ascii="黑体" w:hAnsi="宋体" w:eastAsia="黑体" w:cs="Times New Roman"/>
          <w:color w:val="000000"/>
          <w:sz w:val="72"/>
          <w:szCs w:val="72"/>
          <w:highlight w:val="none"/>
        </w:rPr>
      </w:pPr>
    </w:p>
    <w:p>
      <w:pPr>
        <w:pStyle w:val="22"/>
        <w:rPr>
          <w:rFonts w:hint="eastAsia" w:ascii="黑体" w:hAnsi="宋体" w:eastAsia="黑体" w:cs="Times New Roman"/>
          <w:color w:val="000000"/>
          <w:sz w:val="72"/>
          <w:szCs w:val="72"/>
          <w:highlight w:val="none"/>
        </w:rPr>
      </w:pPr>
    </w:p>
    <w:p>
      <w:pPr>
        <w:pStyle w:val="22"/>
        <w:rPr>
          <w:rFonts w:hint="eastAsia" w:ascii="黑体" w:hAnsi="宋体" w:eastAsia="黑体" w:cs="Times New Roman"/>
          <w:color w:val="000000"/>
          <w:sz w:val="72"/>
          <w:szCs w:val="72"/>
          <w:highlight w:val="none"/>
        </w:rPr>
      </w:pPr>
    </w:p>
    <w:p>
      <w:pPr>
        <w:spacing w:line="860" w:lineRule="exact"/>
        <w:rPr>
          <w:rFonts w:hint="eastAsia" w:ascii="华文仿宋" w:hAnsi="华文仿宋" w:eastAsia="华文仿宋"/>
          <w:b/>
          <w:bCs/>
          <w:sz w:val="32"/>
          <w:szCs w:val="28"/>
          <w:highlight w:val="none"/>
        </w:rPr>
      </w:pPr>
    </w:p>
    <w:p>
      <w:pPr>
        <w:pStyle w:val="22"/>
        <w:rPr>
          <w:b/>
          <w:bCs/>
          <w:highlight w:val="none"/>
        </w:rPr>
      </w:pPr>
    </w:p>
    <w:p>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人：中国重汽集团济南商用车有限公司轻卡制造公司</w:t>
      </w:r>
    </w:p>
    <w:p>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11</w:t>
      </w:r>
      <w:r>
        <w:rPr>
          <w:rFonts w:hint="eastAsia" w:ascii="Calibri" w:hAnsi="Calibri" w:eastAsia="宋体" w:cs="Times New Roman"/>
          <w:color w:val="000000"/>
          <w:sz w:val="28"/>
          <w:szCs w:val="28"/>
          <w:highlight w:val="none"/>
        </w:rPr>
        <w:t>月</w:t>
      </w:r>
    </w:p>
    <w:bookmarkEnd w:id="96"/>
    <w:bookmarkEnd w:id="97"/>
    <w:p>
      <w:pPr>
        <w:spacing w:line="360" w:lineRule="auto"/>
        <w:rPr>
          <w:rFonts w:hint="eastAsia"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keepNext/>
        <w:keepLines/>
        <w:spacing w:before="120" w:after="120" w:line="360" w:lineRule="auto"/>
        <w:jc w:val="center"/>
        <w:outlineLvl w:val="0"/>
        <w:rPr>
          <w:rFonts w:hint="eastAsia" w:ascii="黑体" w:hAnsi="等线" w:eastAsia="黑体" w:cs="Times New Roman"/>
          <w:kern w:val="44"/>
          <w:sz w:val="28"/>
          <w:szCs w:val="28"/>
          <w:highlight w:val="none"/>
        </w:rPr>
      </w:pPr>
      <w:bookmarkStart w:id="99" w:name="_Toc8924"/>
      <w:bookmarkStart w:id="100" w:name="_Toc9658377"/>
      <w:bookmarkStart w:id="101" w:name="_Toc169605881"/>
      <w:r>
        <w:rPr>
          <w:rFonts w:hint="eastAsia" w:ascii="黑体" w:hAnsi="等线" w:eastAsia="黑体" w:cs="Times New Roman"/>
          <w:kern w:val="44"/>
          <w:sz w:val="28"/>
          <w:szCs w:val="28"/>
          <w:highlight w:val="none"/>
        </w:rPr>
        <w:t>第一章</w:t>
      </w:r>
      <w:r>
        <w:rPr>
          <w:rFonts w:ascii="黑体" w:hAnsi="等线" w:eastAsia="黑体" w:cs="Times New Roman"/>
          <w:kern w:val="44"/>
          <w:sz w:val="28"/>
          <w:szCs w:val="28"/>
          <w:highlight w:val="none"/>
        </w:rPr>
        <w:t xml:space="preserve">  </w:t>
      </w:r>
      <w:r>
        <w:rPr>
          <w:rFonts w:hint="eastAsia" w:ascii="黑体" w:hAnsi="等线" w:eastAsia="黑体" w:cs="Times New Roman"/>
          <w:kern w:val="44"/>
          <w:sz w:val="28"/>
          <w:szCs w:val="28"/>
          <w:highlight w:val="none"/>
        </w:rPr>
        <w:t>采购货物概况</w:t>
      </w:r>
      <w:bookmarkEnd w:id="99"/>
      <w:bookmarkEnd w:id="100"/>
    </w:p>
    <w:p>
      <w:pPr>
        <w:keepNext/>
        <w:keepLines/>
        <w:spacing w:before="120" w:after="120" w:line="360" w:lineRule="auto"/>
        <w:jc w:val="center"/>
        <w:outlineLvl w:val="1"/>
        <w:rPr>
          <w:rFonts w:ascii="Arial" w:hAnsi="Arial" w:eastAsia="宋体" w:cs="Times New Roman"/>
          <w:sz w:val="24"/>
          <w:szCs w:val="24"/>
          <w:highlight w:val="none"/>
        </w:rPr>
      </w:pPr>
      <w:bookmarkStart w:id="102" w:name="_Toc9658378"/>
      <w:r>
        <w:rPr>
          <w:rFonts w:hint="eastAsia" w:ascii="Arial" w:hAnsi="Arial" w:eastAsia="宋体" w:cs="Times New Roman"/>
          <w:sz w:val="24"/>
          <w:szCs w:val="24"/>
          <w:highlight w:val="none"/>
        </w:rPr>
        <w:t>第一节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使用环境</w:t>
      </w:r>
      <w:bookmarkEnd w:id="102"/>
    </w:p>
    <w:p>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shd w:val="pct10" w:color="auto" w:fill="FFFFFF"/>
          <w:lang w:val="en-US" w:eastAsia="zh-CN"/>
        </w:rPr>
        <w:t>轻卡统帅右置驾驶室车型项目焊装分项</w:t>
      </w:r>
    </w:p>
    <w:p>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pPr>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四、工作制度：采用双班工作制，年工作日251天。</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海拔高度：1000m以下</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室外温度：-20℃～40℃</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室内温度：-5℃～45℃</w:t>
      </w:r>
      <w:r>
        <w:rPr>
          <w:rFonts w:hint="eastAsia" w:ascii="宋体" w:hAnsi="宋体" w:eastAsia="宋体" w:cs="宋体"/>
          <w:sz w:val="24"/>
          <w:szCs w:val="24"/>
          <w:highlight w:val="none"/>
        </w:rPr>
        <w:tab/>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环境湿度：在20℃时最大湿度为90%</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压缩空气压力：0.4～0.6Mpa</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电源电压：380V±15%，50 Hz±2%</w:t>
      </w:r>
    </w:p>
    <w:p>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本项目的工作制度、产能、节拍及效率如下，投标方提供的设施、设备必须满足此要求。</w:t>
      </w:r>
    </w:p>
    <w:tbl>
      <w:tblPr>
        <w:tblStyle w:val="41"/>
        <w:tblW w:w="3974"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88"/>
        <w:gridCol w:w="2428"/>
        <w:gridCol w:w="762"/>
        <w:gridCol w:w="1188"/>
        <w:gridCol w:w="1580"/>
        <w:gridCol w:w="83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 w:hRule="atLeast"/>
          <w:jc w:val="center"/>
        </w:trPr>
        <w:tc>
          <w:tcPr>
            <w:tcW w:w="398"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644"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主体工程</w:t>
            </w:r>
          </w:p>
        </w:tc>
        <w:tc>
          <w:tcPr>
            <w:tcW w:w="516"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804" w:type="pct"/>
            <w:tcBorders>
              <w:tl2br w:val="nil"/>
              <w:tr2bl w:val="nil"/>
            </w:tcBorders>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工艺节拍</w:t>
            </w:r>
          </w:p>
        </w:tc>
        <w:tc>
          <w:tcPr>
            <w:tcW w:w="1070"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w:t>
            </w:r>
          </w:p>
        </w:tc>
        <w:tc>
          <w:tcPr>
            <w:tcW w:w="565"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 w:hRule="atLeast"/>
          <w:jc w:val="center"/>
        </w:trPr>
        <w:tc>
          <w:tcPr>
            <w:tcW w:w="398"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44"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焊装线适应性</w:t>
            </w:r>
            <w:r>
              <w:rPr>
                <w:rFonts w:hint="eastAsia" w:ascii="宋体" w:hAnsi="宋体" w:eastAsia="宋体" w:cs="宋体"/>
                <w:sz w:val="24"/>
                <w:szCs w:val="24"/>
                <w:highlight w:val="none"/>
              </w:rPr>
              <w:t>改造</w:t>
            </w:r>
          </w:p>
        </w:tc>
        <w:tc>
          <w:tcPr>
            <w:tcW w:w="516"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04" w:type="pct"/>
            <w:tcBorders>
              <w:tl2br w:val="nil"/>
              <w:tr2bl w:val="nil"/>
            </w:tcBorders>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min</w:t>
            </w:r>
          </w:p>
        </w:tc>
        <w:tc>
          <w:tcPr>
            <w:tcW w:w="1070" w:type="pct"/>
            <w:tcBorders>
              <w:tl2br w:val="nil"/>
              <w:tr2bl w:val="nil"/>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85%</w:t>
            </w:r>
          </w:p>
        </w:tc>
        <w:tc>
          <w:tcPr>
            <w:tcW w:w="565" w:type="pct"/>
            <w:tcBorders>
              <w:tl2br w:val="nil"/>
              <w:tr2bl w:val="nil"/>
            </w:tcBorders>
            <w:vAlign w:val="center"/>
          </w:tcPr>
          <w:p>
            <w:pPr>
              <w:spacing w:line="360" w:lineRule="auto"/>
              <w:jc w:val="center"/>
              <w:rPr>
                <w:rFonts w:hint="eastAsia" w:ascii="宋体" w:hAnsi="宋体" w:eastAsia="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3" w:hRule="atLeast"/>
          <w:jc w:val="center"/>
        </w:trPr>
        <w:tc>
          <w:tcPr>
            <w:tcW w:w="398" w:type="pct"/>
            <w:tcBorders>
              <w:tl2br w:val="nil"/>
              <w:tr2bl w:val="nil"/>
            </w:tcBorders>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644" w:type="pct"/>
            <w:tcBorders>
              <w:tl2br w:val="nil"/>
              <w:tr2bl w:val="nil"/>
            </w:tcBorders>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手动工装新增及改造</w:t>
            </w:r>
          </w:p>
        </w:tc>
        <w:tc>
          <w:tcPr>
            <w:tcW w:w="516" w:type="pct"/>
            <w:tcBorders>
              <w:tl2br w:val="nil"/>
              <w:tr2bl w:val="nil"/>
            </w:tcBorders>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804" w:type="pct"/>
            <w:tcBorders>
              <w:tl2br w:val="nil"/>
              <w:tr2bl w:val="nil"/>
            </w:tcBorders>
            <w:vAlign w:val="center"/>
          </w:tcPr>
          <w:p>
            <w:pPr>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c>
          <w:tcPr>
            <w:tcW w:w="1070" w:type="pct"/>
            <w:tcBorders>
              <w:tl2br w:val="nil"/>
              <w:tr2bl w:val="nil"/>
            </w:tcBorders>
            <w:vAlign w:val="center"/>
          </w:tcPr>
          <w:p>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565" w:type="pct"/>
            <w:tcBorders>
              <w:tl2br w:val="nil"/>
              <w:tr2bl w:val="nil"/>
            </w:tcBorders>
            <w:vAlign w:val="center"/>
          </w:tcPr>
          <w:p>
            <w:pPr>
              <w:spacing w:line="360" w:lineRule="auto"/>
              <w:jc w:val="center"/>
              <w:rPr>
                <w:rFonts w:hint="eastAsia" w:ascii="宋体" w:hAnsi="宋体" w:eastAsia="宋体" w:cs="宋体"/>
                <w:sz w:val="24"/>
                <w:szCs w:val="24"/>
                <w:highlight w:val="none"/>
              </w:rPr>
            </w:pPr>
          </w:p>
        </w:tc>
      </w:tr>
    </w:tbl>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pPr>
        <w:pStyle w:val="131"/>
        <w:widowControl/>
        <w:numPr>
          <w:ilvl w:val="0"/>
          <w:numId w:val="11"/>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设备开动率指设备计划生产时间内：设备实际开动时间/（设备实际开动时间+设备停机时间）</w:t>
      </w:r>
      <w:r>
        <w:rPr>
          <w:rFonts w:hint="eastAsia" w:ascii="宋体" w:hAnsi="宋体" w:eastAsia="宋体" w:cs="宋体"/>
          <w:sz w:val="24"/>
          <w:szCs w:val="24"/>
          <w:highlight w:val="none"/>
          <w:lang w:eastAsia="zh-CN"/>
        </w:rPr>
        <w:t>。</w:t>
      </w:r>
    </w:p>
    <w:p>
      <w:pPr>
        <w:pStyle w:val="131"/>
        <w:widowControl/>
        <w:numPr>
          <w:ilvl w:val="0"/>
          <w:numId w:val="11"/>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需要投标方对生产线各工位进行节拍平衡调试。</w:t>
      </w:r>
    </w:p>
    <w:p>
      <w:pPr>
        <w:pStyle w:val="131"/>
        <w:widowControl/>
        <w:numPr>
          <w:ilvl w:val="0"/>
          <w:numId w:val="11"/>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节拍要求仅针对</w:t>
      </w:r>
      <w:r>
        <w:rPr>
          <w:rFonts w:hint="eastAsia" w:ascii="宋体" w:hAnsi="宋体" w:eastAsia="宋体" w:cs="宋体"/>
          <w:sz w:val="24"/>
          <w:szCs w:val="24"/>
          <w:highlight w:val="none"/>
          <w:lang w:val="en-US" w:eastAsia="zh-CN"/>
        </w:rPr>
        <w:t>轻卡统帅右置驾驶室车型项目焊装分项</w:t>
      </w:r>
      <w:r>
        <w:rPr>
          <w:rFonts w:hint="eastAsia" w:ascii="宋体" w:hAnsi="宋体" w:eastAsia="宋体" w:cs="宋体"/>
          <w:sz w:val="24"/>
          <w:szCs w:val="24"/>
          <w:highlight w:val="none"/>
        </w:rPr>
        <w:t>涉及车型，</w:t>
      </w:r>
      <w:r>
        <w:rPr>
          <w:rFonts w:hint="eastAsia" w:ascii="宋体" w:hAnsi="宋体" w:eastAsia="宋体" w:cs="宋体"/>
          <w:sz w:val="24"/>
          <w:szCs w:val="24"/>
          <w:highlight w:val="none"/>
          <w:lang w:val="en-US" w:eastAsia="zh-CN"/>
        </w:rPr>
        <w:t>包括轻卡2080单排/排半及1880单排/排半4款车型，</w:t>
      </w:r>
      <w:r>
        <w:rPr>
          <w:rFonts w:hint="eastAsia" w:ascii="宋体" w:hAnsi="宋体" w:eastAsia="宋体" w:cs="宋体"/>
          <w:sz w:val="24"/>
          <w:szCs w:val="24"/>
          <w:highlight w:val="none"/>
        </w:rPr>
        <w:t>线体内原有车型保持改造前的节拍不变。</w:t>
      </w:r>
    </w:p>
    <w:p>
      <w:pPr>
        <w:keepNext/>
        <w:keepLines/>
        <w:spacing w:before="120" w:after="120" w:line="360" w:lineRule="auto"/>
        <w:jc w:val="center"/>
        <w:outlineLvl w:val="1"/>
        <w:rPr>
          <w:rFonts w:hint="eastAsia" w:ascii="Arial" w:hAnsi="Arial" w:eastAsia="宋体" w:cs="Times New Roman"/>
          <w:sz w:val="24"/>
          <w:szCs w:val="24"/>
          <w:highlight w:val="none"/>
        </w:rPr>
      </w:pPr>
      <w:bookmarkStart w:id="103" w:name="_Toc9658379"/>
    </w:p>
    <w:p>
      <w:pPr>
        <w:keepNext/>
        <w:keepLines/>
        <w:spacing w:before="120" w:after="120" w:line="360" w:lineRule="auto"/>
        <w:jc w:val="center"/>
        <w:outlineLvl w:val="1"/>
        <w:rPr>
          <w:rFonts w:hint="eastAsia" w:ascii="Arial" w:hAnsi="Arial" w:eastAsia="宋体" w:cs="Times New Roman"/>
          <w:sz w:val="24"/>
          <w:szCs w:val="24"/>
          <w:highlight w:val="none"/>
        </w:rPr>
      </w:pPr>
    </w:p>
    <w:p>
      <w:pPr>
        <w:keepNext/>
        <w:keepLines/>
        <w:spacing w:before="120" w:after="120" w:line="360" w:lineRule="auto"/>
        <w:jc w:val="center"/>
        <w:outlineLvl w:val="1"/>
        <w:rPr>
          <w:rFonts w:ascii="Arial" w:hAnsi="Arial" w:eastAsia="宋体" w:cs="Times New Roman"/>
          <w:sz w:val="24"/>
          <w:szCs w:val="24"/>
          <w:highlight w:val="none"/>
        </w:rPr>
      </w:pPr>
      <w:r>
        <w:rPr>
          <w:rFonts w:hint="eastAsia" w:ascii="Arial" w:hAnsi="Arial" w:eastAsia="宋体" w:cs="Times New Roman"/>
          <w:sz w:val="24"/>
          <w:szCs w:val="24"/>
          <w:highlight w:val="none"/>
        </w:rPr>
        <w:t>第二节  采购货物概况</w:t>
      </w:r>
      <w:bookmarkEnd w:id="103"/>
    </w:p>
    <w:p>
      <w:pPr>
        <w:spacing w:line="360" w:lineRule="auto"/>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shd w:val="pct10" w:color="auto" w:fill="FFFFFF"/>
          <w:lang w:val="en-US" w:eastAsia="zh-CN"/>
        </w:rPr>
        <w:t>轻卡统帅右置驾驶室车型</w:t>
      </w:r>
      <w:r>
        <w:rPr>
          <w:rFonts w:hint="eastAsia" w:ascii="宋体" w:hAnsi="宋体" w:eastAsia="宋体" w:cs="宋体"/>
          <w:sz w:val="24"/>
          <w:szCs w:val="24"/>
          <w:highlight w:val="none"/>
          <w:u w:val="single"/>
          <w:shd w:val="pct10" w:color="auto" w:fill="FFFFFF"/>
        </w:rPr>
        <w:t>项目</w:t>
      </w:r>
      <w:r>
        <w:rPr>
          <w:rFonts w:hint="eastAsia" w:ascii="宋体" w:hAnsi="宋体" w:eastAsia="宋体" w:cs="宋体"/>
          <w:sz w:val="24"/>
          <w:szCs w:val="24"/>
          <w:highlight w:val="none"/>
          <w:u w:val="single"/>
          <w:shd w:val="pct10" w:color="auto" w:fill="FFFFFF"/>
          <w:lang w:val="en-US" w:eastAsia="zh-CN"/>
        </w:rPr>
        <w:t>焊装分项</w:t>
      </w:r>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一宗</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（详见下表）</w:t>
      </w:r>
    </w:p>
    <w:p>
      <w:pPr>
        <w:spacing w:line="360" w:lineRule="auto"/>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三、分投分中：</w:t>
      </w:r>
      <w:r>
        <w:rPr>
          <w:rFonts w:hint="eastAsia" w:ascii="宋体" w:hAnsi="宋体" w:eastAsia="宋体" w:cs="宋体"/>
          <w:sz w:val="24"/>
          <w:szCs w:val="24"/>
          <w:highlight w:val="none"/>
          <w:u w:val="single"/>
          <w:shd w:val="pct10" w:color="auto" w:fill="FFFFFF"/>
        </w:rPr>
        <w:t>不允许</w:t>
      </w:r>
    </w:p>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轻卡统帅右置基于追梦右置车型开发，包括轻卡2080单排/排半及1880单排/排半4款车型。焊装分项需进行手工焊夹具改造、新制及车身焊装自动线适应性改造。</w:t>
      </w:r>
    </w:p>
    <w:p>
      <w:pPr>
        <w:spacing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主要供货明细详见下表：</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393"/>
        <w:gridCol w:w="960"/>
        <w:gridCol w:w="1520"/>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3393"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96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2866"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自动线中地板焊夹具改造</w:t>
            </w:r>
          </w:p>
        </w:tc>
        <w:tc>
          <w:tcPr>
            <w:tcW w:w="960"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焊装自动线A/B面夹具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后横梁总成手工夹具改造</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新增前围上横梁手工焊夹具</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新增前围总成手工焊夹具</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车门焊接岛焊夹具改造</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焊装车门外板焊接岛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设计、车型识别、安调及运输</w:t>
            </w:r>
          </w:p>
        </w:tc>
        <w:tc>
          <w:tcPr>
            <w:tcW w:w="960" w:type="dxa"/>
            <w:vAlign w:val="center"/>
          </w:tcPr>
          <w:p>
            <w:pPr>
              <w:spacing w:line="240" w:lineRule="auto"/>
              <w:jc w:val="center"/>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bl>
    <w:p>
      <w:pPr>
        <w:pStyle w:val="22"/>
        <w:rPr>
          <w:highlight w:val="none"/>
        </w:rPr>
      </w:pP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本表“供货方式”：交钥匙方式——卖方负责设备的设计、制造、运输、卸载、安装、调试、试运行、验收以及培训等直至达到买方的各项要求并交付使用。</w:t>
      </w:r>
    </w:p>
    <w:p>
      <w:pPr>
        <w:pStyle w:val="22"/>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pPr>
        <w:pStyle w:val="22"/>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2</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27</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pPr>
        <w:pStyle w:val="22"/>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3</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19</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pPr>
        <w:pStyle w:val="22"/>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3</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rPr>
        <w:t>安装调试时间或终验收时间超过规定时间的，投标方应随标书提供详细的工期计划。</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bidi="ar"/>
        </w:rPr>
        <w:t>四、采购货物特别说明</w:t>
      </w:r>
    </w:p>
    <w:p>
      <w:pPr>
        <w:spacing w:line="360" w:lineRule="auto"/>
        <w:ind w:firstLine="480" w:firstLineChars="200"/>
        <w:rPr>
          <w:rFonts w:hint="eastAsia" w:ascii="宋体" w:hAnsi="宋体" w:eastAsia="宋体" w:cs="宋体"/>
          <w:sz w:val="24"/>
          <w:szCs w:val="24"/>
          <w:highlight w:val="none"/>
        </w:rPr>
      </w:pPr>
      <w:bookmarkStart w:id="104" w:name="_Toc9658380"/>
      <w:r>
        <w:rPr>
          <w:rFonts w:hint="eastAsia" w:ascii="宋体" w:hAnsi="宋体" w:eastAsia="宋体" w:cs="宋体"/>
          <w:sz w:val="24"/>
          <w:szCs w:val="24"/>
          <w:highlight w:val="none"/>
        </w:rPr>
        <w:t>1.工程界面</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招标方负责将厂房一次侧的焊接母线、动力母线、进水、回水、压缩空气接入到各生产区域需求点，投标方负责从需求点接入设备。区域分配如下图所示：</w:t>
      </w:r>
    </w:p>
    <w:p>
      <w:pPr>
        <w:keepNext w:val="0"/>
        <w:keepLines w:val="0"/>
        <w:pageBreakBefore w:val="0"/>
        <w:widowControl w:val="0"/>
        <w:kinsoku/>
        <w:wordWrap/>
        <w:overflowPunct/>
        <w:topLinePunct w:val="0"/>
        <w:autoSpaceDE/>
        <w:autoSpaceDN/>
        <w:bidi w:val="0"/>
        <w:adjustRightInd/>
        <w:snapToGrid/>
        <w:spacing w:line="360" w:lineRule="auto"/>
        <w:ind w:left="482"/>
        <w:jc w:val="both"/>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383540</wp:posOffset>
                </wp:positionH>
                <wp:positionV relativeFrom="paragraph">
                  <wp:posOffset>926465</wp:posOffset>
                </wp:positionV>
                <wp:extent cx="5133975" cy="9525"/>
                <wp:effectExtent l="0" t="1270" r="9525" b="1460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5133975" cy="9525"/>
                        </a:xfrm>
                        <a:prstGeom prst="line">
                          <a:avLst/>
                        </a:prstGeom>
                        <a:noFill/>
                        <a:ln w="25400" cmpd="sng">
                          <a:solidFill>
                            <a:srgbClr val="FF0000"/>
                          </a:solidFill>
                          <a:round/>
                        </a:ln>
                        <a:effectLst/>
                      </wps:spPr>
                      <wps:bodyPr/>
                    </wps:wsp>
                  </a:graphicData>
                </a:graphic>
              </wp:anchor>
            </w:drawing>
          </mc:Choice>
          <mc:Fallback>
            <w:pict>
              <v:line id="_x0000_s1026" o:spid="_x0000_s1026" o:spt="20" style="position:absolute;left:0pt;flip:y;margin-left:30.2pt;margin-top:72.95pt;height:0.75pt;width:404.25pt;z-index:251678720;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fill on="f" focussize="0,0"/>
                <v:stroke weight="2pt" color="#FF0000" joinstyle="round"/>
                <v:imagedata o:title=""/>
                <o:lock v:ext="edit" aspectratio="f"/>
              </v:line>
            </w:pict>
          </mc:Fallback>
        </mc:AlternateContent>
      </w:r>
      <w:r>
        <w:rPr>
          <w:rFonts w:hint="eastAsia" w:ascii="宋体" w:hAnsi="宋体" w:eastAsia="宋体" w:cs="宋体"/>
          <w:sz w:val="24"/>
          <w:szCs w:val="24"/>
          <w:highlight w:val="none"/>
        </w:rPr>
        <w:drawing>
          <wp:inline distT="0" distB="0" distL="114300" distR="114300">
            <wp:extent cx="5434330" cy="2520315"/>
            <wp:effectExtent l="0" t="0" r="1270" b="6985"/>
            <wp:docPr id="25" name="图片 1" descr="Inked图片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nked图片1_LI"/>
                    <pic:cNvPicPr>
                      <a:picLocks noChangeAspect="1"/>
                    </pic:cNvPicPr>
                  </pic:nvPicPr>
                  <pic:blipFill>
                    <a:blip r:embed="rId41" cstate="print"/>
                    <a:stretch>
                      <a:fillRect/>
                    </a:stretch>
                  </pic:blipFill>
                  <pic:spPr>
                    <a:xfrm>
                      <a:off x="0" y="0"/>
                      <a:ext cx="5434330" cy="2520315"/>
                    </a:xfrm>
                    <a:prstGeom prst="rect">
                      <a:avLst/>
                    </a:prstGeom>
                    <a:noFill/>
                    <a:ln>
                      <a:noFill/>
                    </a:ln>
                  </pic:spPr>
                </pic:pic>
              </a:graphicData>
            </a:graphic>
          </wp:inline>
        </w:drawing>
      </w:r>
    </w:p>
    <w:p>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具体内容如下表所示：</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序号</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工作内容</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w:t>
            </w:r>
          </w:p>
        </w:tc>
        <w:tc>
          <w:tcPr>
            <w:tcW w:w="17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1</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厂房一次侧水</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投标方负责提供动力配电柜的数量、参数、现场安装位置等技术要求及图纸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2</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厂房一次侧电</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3</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厂房一次侧气</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4</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生产线二次侧水</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招标方将电源线接至投标方的电柜上方；投标方将压缩空气和循环水送至指定的位置，由投标方进行连接。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5</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生产线二次侧电</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6</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生产线二次侧气</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厂房照明</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8</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工位照明</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9</w:t>
            </w:r>
          </w:p>
        </w:tc>
        <w:tc>
          <w:tcPr>
            <w:tcW w:w="127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设备基础</w:t>
            </w:r>
          </w:p>
        </w:tc>
        <w:tc>
          <w:tcPr>
            <w:tcW w:w="7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投标方提供图纸和要求</w:t>
            </w:r>
          </w:p>
        </w:tc>
      </w:tr>
    </w:tbl>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2.主要外购部件/材料选型表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1）所有的用电设备必须符合中国的标准，投标方应主动保证所提供的设备符合或通过中国法规的认证。</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2）在投标方设备选型时，机械和电气元件尽可能选用同型号或种类的产品，</w:t>
      </w:r>
      <w:r>
        <w:rPr>
          <w:rFonts w:hint="eastAsia" w:ascii="宋体" w:hAnsi="宋体" w:eastAsia="宋体" w:cs="宋体"/>
          <w:sz w:val="24"/>
          <w:szCs w:val="24"/>
          <w:highlight w:val="none"/>
          <w:lang w:val="en-US" w:eastAsia="zh-CN"/>
        </w:rPr>
        <w:t>并与自动线体内相关设备品牌保持一致，</w:t>
      </w:r>
      <w:r>
        <w:rPr>
          <w:rFonts w:hint="eastAsia" w:ascii="宋体" w:hAnsi="宋体" w:eastAsia="宋体" w:cs="宋体"/>
          <w:sz w:val="24"/>
          <w:szCs w:val="24"/>
          <w:highlight w:val="none"/>
        </w:rPr>
        <w:t>以便减少备品备件种类。</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3）对于设备的品牌和材料，本标书未明确指定的，首先由投标方提出建议，最终经招标方评审通过并书面确认后实施。</w:t>
      </w:r>
    </w:p>
    <w:p>
      <w:pPr>
        <w:pStyle w:val="131"/>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4）招标方推荐设备品牌选择清单如下表所示：</w:t>
      </w:r>
    </w:p>
    <w:p>
      <w:pPr>
        <w:pStyle w:val="131"/>
        <w:spacing w:line="360" w:lineRule="auto"/>
        <w:ind w:left="425" w:firstLine="0" w:firstLineChars="0"/>
        <w:jc w:val="left"/>
        <w:rPr>
          <w:rFonts w:hint="eastAsia" w:ascii="宋体" w:hAnsi="宋体" w:eastAsia="宋体" w:cs="宋体"/>
          <w:sz w:val="24"/>
          <w:szCs w:val="24"/>
          <w:highlight w:val="none"/>
        </w:rPr>
      </w:pPr>
    </w:p>
    <w:p>
      <w:pPr>
        <w:pStyle w:val="131"/>
        <w:spacing w:line="360" w:lineRule="auto"/>
        <w:ind w:left="425" w:firstLine="0" w:firstLineChars="0"/>
        <w:jc w:val="left"/>
        <w:rPr>
          <w:rFonts w:hint="eastAsia" w:ascii="宋体" w:hAnsi="宋体" w:eastAsia="宋体" w:cs="宋体"/>
          <w:sz w:val="24"/>
          <w:szCs w:val="24"/>
          <w:highlight w:val="none"/>
        </w:rPr>
      </w:pPr>
    </w:p>
    <w:p>
      <w:pPr>
        <w:spacing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机械类</w:t>
      </w:r>
    </w:p>
    <w:tbl>
      <w:tblPr>
        <w:tblStyle w:val="41"/>
        <w:tblW w:w="4996" w:type="pct"/>
        <w:jc w:val="center"/>
        <w:tblLayout w:type="autofit"/>
        <w:tblCellMar>
          <w:top w:w="0" w:type="dxa"/>
          <w:left w:w="108" w:type="dxa"/>
          <w:bottom w:w="0" w:type="dxa"/>
          <w:right w:w="108" w:type="dxa"/>
        </w:tblCellMar>
      </w:tblPr>
      <w:tblGrid>
        <w:gridCol w:w="765"/>
        <w:gridCol w:w="2637"/>
        <w:gridCol w:w="3767"/>
        <w:gridCol w:w="2111"/>
      </w:tblGrid>
      <w:tr>
        <w:tblPrEx>
          <w:tblCellMar>
            <w:top w:w="0" w:type="dxa"/>
            <w:left w:w="108" w:type="dxa"/>
            <w:bottom w:w="0" w:type="dxa"/>
            <w:right w:w="108" w:type="dxa"/>
          </w:tblCellMar>
        </w:tblPrEx>
        <w:trPr>
          <w:trHeight w:val="454"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42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202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13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tblPrEx>
          <w:tblCellMar>
            <w:top w:w="0" w:type="dxa"/>
            <w:left w:w="108" w:type="dxa"/>
            <w:bottom w:w="0" w:type="dxa"/>
            <w:right w:w="108" w:type="dxa"/>
          </w:tblCellMar>
        </w:tblPrEx>
        <w:trPr>
          <w:trHeight w:val="454" w:hRule="atLeast"/>
          <w:jc w:val="center"/>
        </w:trPr>
        <w:tc>
          <w:tcPr>
            <w:tcW w:w="412"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42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气缸</w:t>
            </w:r>
          </w:p>
        </w:tc>
        <w:tc>
          <w:tcPr>
            <w:tcW w:w="202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w:t>
            </w:r>
            <w:r>
              <w:rPr>
                <w:rFonts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DESTACO</w:t>
            </w:r>
            <w:r>
              <w:rPr>
                <w:rFonts w:hint="eastAsia" w:ascii="宋体" w:hAnsi="宋体" w:eastAsia="宋体" w:cs="宋体"/>
                <w:color w:val="000000"/>
                <w:kern w:val="0"/>
                <w:sz w:val="24"/>
                <w:szCs w:val="24"/>
                <w:highlight w:val="none"/>
              </w:rPr>
              <w:t>或同等品牌</w:t>
            </w:r>
          </w:p>
        </w:tc>
        <w:tc>
          <w:tcPr>
            <w:tcW w:w="1137" w:type="pct"/>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自动线保持与原工装品牌一致</w:t>
            </w:r>
          </w:p>
        </w:tc>
      </w:tr>
      <w:tr>
        <w:tblPrEx>
          <w:tblCellMar>
            <w:top w:w="0" w:type="dxa"/>
            <w:left w:w="108" w:type="dxa"/>
            <w:bottom w:w="0" w:type="dxa"/>
            <w:right w:w="108" w:type="dxa"/>
          </w:tblCellMar>
        </w:tblPrEx>
        <w:trPr>
          <w:trHeight w:val="454" w:hRule="atLeast"/>
          <w:jc w:val="center"/>
        </w:trPr>
        <w:tc>
          <w:tcPr>
            <w:tcW w:w="412"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420"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气管、接头、气源处理、气动控制元件</w:t>
            </w:r>
          </w:p>
        </w:tc>
        <w:tc>
          <w:tcPr>
            <w:tcW w:w="202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SMC或同等品牌</w:t>
            </w:r>
          </w:p>
        </w:tc>
        <w:tc>
          <w:tcPr>
            <w:tcW w:w="113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自动线保持与原工装品牌一致</w:t>
            </w:r>
          </w:p>
        </w:tc>
      </w:tr>
    </w:tbl>
    <w:p>
      <w:pPr>
        <w:spacing w:before="22" w:after="21"/>
        <w:rPr>
          <w:rFonts w:hint="eastAsia" w:ascii="宋体" w:hAnsi="宋体" w:eastAsia="宋体" w:cs="宋体"/>
          <w:b/>
          <w:sz w:val="24"/>
          <w:szCs w:val="24"/>
          <w:highlight w:val="none"/>
        </w:rPr>
      </w:pPr>
    </w:p>
    <w:p>
      <w:pPr>
        <w:spacing w:after="20"/>
        <w:ind w:left="253"/>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电气</w:t>
      </w:r>
      <w:r>
        <w:rPr>
          <w:rFonts w:hint="eastAsia" w:ascii="宋体" w:hAnsi="宋体" w:eastAsia="宋体" w:cs="宋体"/>
          <w:b/>
          <w:sz w:val="24"/>
          <w:szCs w:val="24"/>
          <w:highlight w:val="none"/>
          <w:lang w:val="en-US" w:eastAsia="zh-CN"/>
        </w:rPr>
        <w:t>类</w:t>
      </w:r>
    </w:p>
    <w:tbl>
      <w:tblPr>
        <w:tblStyle w:val="41"/>
        <w:tblW w:w="4996" w:type="pct"/>
        <w:jc w:val="center"/>
        <w:tblLayout w:type="autofit"/>
        <w:tblCellMar>
          <w:top w:w="0" w:type="dxa"/>
          <w:left w:w="108" w:type="dxa"/>
          <w:bottom w:w="0" w:type="dxa"/>
          <w:right w:w="108" w:type="dxa"/>
        </w:tblCellMar>
      </w:tblPr>
      <w:tblGrid>
        <w:gridCol w:w="856"/>
        <w:gridCol w:w="2237"/>
        <w:gridCol w:w="2861"/>
        <w:gridCol w:w="3326"/>
      </w:tblGrid>
      <w:tr>
        <w:tblPrEx>
          <w:tblCellMar>
            <w:top w:w="0" w:type="dxa"/>
            <w:left w:w="108" w:type="dxa"/>
            <w:bottom w:w="0" w:type="dxa"/>
            <w:right w:w="108"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0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541"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791"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PLC及相关元器件</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Profinet通讯协议</w:t>
            </w: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远程接口模块</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3</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接近开关</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带专用的接近开关保护套</w:t>
            </w: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行程开关</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OMRON或同等品牌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5</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光电开光</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6</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安全光栅、扫描仪</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7</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安全门锁</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8</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动力电缆</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远东或同等品牌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9</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柔性电缆</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和柔或同等品牌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10</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通信电缆</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11</w:t>
            </w:r>
          </w:p>
        </w:tc>
        <w:tc>
          <w:tcPr>
            <w:tcW w:w="1205"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信号线</w:t>
            </w:r>
          </w:p>
        </w:tc>
        <w:tc>
          <w:tcPr>
            <w:tcW w:w="154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lang w:eastAsia="zh-CN"/>
              </w:rPr>
            </w:pPr>
          </w:p>
        </w:tc>
      </w:tr>
      <w:tr>
        <w:tblPrEx>
          <w:tblCellMar>
            <w:top w:w="0" w:type="dxa"/>
            <w:left w:w="108" w:type="dxa"/>
            <w:bottom w:w="0" w:type="dxa"/>
            <w:right w:w="108"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12</w:t>
            </w:r>
          </w:p>
        </w:tc>
        <w:tc>
          <w:tcPr>
            <w:tcW w:w="120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真空发生器</w:t>
            </w:r>
          </w:p>
        </w:tc>
        <w:tc>
          <w:tcPr>
            <w:tcW w:w="1541"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FESTO或同等品牌</w:t>
            </w:r>
          </w:p>
        </w:tc>
        <w:tc>
          <w:tcPr>
            <w:tcW w:w="1791"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节流式</w:t>
            </w:r>
          </w:p>
        </w:tc>
      </w:tr>
    </w:tbl>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5）若涉及机器人相关设备，机器人所选择品牌、型号、数量及产地需在投标文件中明确。</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6）生产线的传感器、感应开关适用于焊装现场的抗强磁环境，具体选用品牌需在标书中明确。</w:t>
      </w:r>
    </w:p>
    <w:p>
      <w:pPr>
        <w:spacing w:line="360" w:lineRule="auto"/>
        <w:ind w:firstLine="560" w:firstLineChars="200"/>
        <w:rPr>
          <w:rFonts w:hint="eastAsia" w:ascii="宋体" w:hAnsi="宋体" w:eastAsia="等线" w:cs="宋体"/>
          <w:sz w:val="28"/>
          <w:szCs w:val="28"/>
          <w:highlight w:val="none"/>
        </w:rPr>
      </w:pPr>
      <w:r>
        <w:rPr>
          <w:rFonts w:ascii="宋体" w:hAnsi="宋体" w:eastAsia="等线" w:cs="宋体"/>
          <w:sz w:val="28"/>
          <w:szCs w:val="28"/>
          <w:highlight w:val="none"/>
        </w:rPr>
        <w:br w:type="page"/>
      </w:r>
    </w:p>
    <w:p>
      <w:pPr>
        <w:keepNext/>
        <w:keepLines/>
        <w:spacing w:before="120" w:after="120" w:line="360" w:lineRule="auto"/>
        <w:jc w:val="center"/>
        <w:outlineLvl w:val="0"/>
        <w:rPr>
          <w:rFonts w:hint="eastAsia" w:ascii="黑体" w:hAnsi="黑体" w:eastAsia="黑体" w:cs="黑体"/>
          <w:kern w:val="44"/>
          <w:sz w:val="28"/>
          <w:szCs w:val="28"/>
          <w:highlight w:val="none"/>
        </w:rPr>
      </w:pPr>
      <w:bookmarkStart w:id="105" w:name="_Toc20308"/>
      <w:r>
        <w:rPr>
          <w:rFonts w:hint="eastAsia" w:ascii="黑体" w:hAnsi="黑体" w:eastAsia="黑体" w:cs="黑体"/>
          <w:kern w:val="44"/>
          <w:sz w:val="28"/>
          <w:szCs w:val="28"/>
          <w:highlight w:val="none"/>
        </w:rPr>
        <w:t>第二章</w:t>
      </w:r>
      <w:r>
        <w:rPr>
          <w:rFonts w:ascii="黑体" w:hAnsi="黑体" w:eastAsia="黑体" w:cs="黑体"/>
          <w:kern w:val="44"/>
          <w:sz w:val="28"/>
          <w:szCs w:val="28"/>
          <w:highlight w:val="none"/>
        </w:rPr>
        <w:t xml:space="preserve">  </w:t>
      </w:r>
      <w:r>
        <w:rPr>
          <w:rFonts w:hint="eastAsia" w:ascii="黑体" w:hAnsi="黑体" w:eastAsia="黑体" w:cs="黑体"/>
          <w:kern w:val="44"/>
          <w:sz w:val="28"/>
          <w:szCs w:val="28"/>
          <w:highlight w:val="none"/>
        </w:rPr>
        <w:t>技术要求</w:t>
      </w:r>
      <w:bookmarkEnd w:id="104"/>
      <w:bookmarkEnd w:id="105"/>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一、特别提示</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、为避免投标方优势在招标评审时漏项，质保期超出本技术标书要求的，应当在投标文件“技术偏离”中特别注明。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、投标文件中，针对“特别提示”条款所做的回应，将作为投标方能否中标的重要依据之一。</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二、基本要求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、投标方应满足招标方提出的各项技术要求，必要时应当免费提供技术承诺或担保。</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、投标方应保证所供货物的完整性和成套性，能保证货物的正常运行、使用。</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8、程序图纸要求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9、接口协议要求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11、设备颜色符合《Q-ZZ30070设备设施颜色标识》规定，外观无明显缺陷，重新焊接完成后，对焊接位置进行重新刷漆。</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三、执行标准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、招标方此处所列标准仅为涉及的主要标准，而且不保证其为最新版执行标准；投标方应当在投标文件中认真予以填写、补充和修改完善。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、投标方需要执行的标准，应当采用所供货物通过招标方组织的最终验收之日已经开始执行的最新标准。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、采购货物没有国家或专业（部）标准的，按企业标准执行时，投标方应在合同签署之前，将所涉及的企业标准提供给招标方确认。</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、采购货物如果采用国际标准，其执行标准由投标方提供、招标方确认。</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、采购货物所涉及的标准不统一时，原则上按照最严格标准执行。</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、主要适用的标准如下：</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DB37/2376-2019</w:t>
      </w:r>
      <w:r>
        <w:rPr>
          <w:rFonts w:hint="eastAsia" w:ascii="宋体" w:hAnsi="宋体" w:eastAsia="宋体" w:cs="宋体"/>
          <w:sz w:val="24"/>
          <w:szCs w:val="24"/>
          <w:highlight w:val="none"/>
        </w:rPr>
        <w:t>《区域性大气污染物综合排放标准》表</w:t>
      </w:r>
      <w:r>
        <w:rPr>
          <w:rFonts w:ascii="宋体" w:hAnsi="宋体" w:eastAsia="宋体" w:cs="宋体"/>
          <w:sz w:val="24"/>
          <w:szCs w:val="24"/>
          <w:highlight w:val="none"/>
        </w:rPr>
        <w:t>1</w:t>
      </w:r>
      <w:r>
        <w:rPr>
          <w:rFonts w:hint="eastAsia" w:ascii="宋体" w:hAnsi="宋体" w:eastAsia="宋体" w:cs="宋体"/>
          <w:sz w:val="24"/>
          <w:szCs w:val="24"/>
          <w:highlight w:val="none"/>
        </w:rPr>
        <w:t>重点控制区限值要求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GB12348</w:t>
      </w:r>
      <w:r>
        <w:rPr>
          <w:rFonts w:hint="eastAsia" w:ascii="宋体" w:hAnsi="宋体" w:eastAsia="宋体" w:cs="宋体"/>
          <w:sz w:val="24"/>
          <w:szCs w:val="24"/>
          <w:highlight w:val="none"/>
        </w:rPr>
        <w:t>－</w:t>
      </w:r>
      <w:r>
        <w:rPr>
          <w:rFonts w:ascii="宋体" w:hAnsi="宋体" w:eastAsia="宋体" w:cs="宋体"/>
          <w:sz w:val="24"/>
          <w:szCs w:val="24"/>
          <w:highlight w:val="none"/>
        </w:rPr>
        <w:t xml:space="preserve">2008 </w:t>
      </w:r>
      <w:r>
        <w:rPr>
          <w:rFonts w:hint="eastAsia" w:ascii="宋体" w:hAnsi="宋体" w:eastAsia="宋体" w:cs="宋体"/>
          <w:sz w:val="24"/>
          <w:szCs w:val="24"/>
          <w:highlight w:val="none"/>
        </w:rPr>
        <w:t>《工业企业厂界环境噪声排放标准》中</w:t>
      </w:r>
      <w:r>
        <w:rPr>
          <w:rFonts w:ascii="宋体" w:hAnsi="宋体" w:eastAsia="宋体" w:cs="宋体"/>
          <w:sz w:val="24"/>
          <w:szCs w:val="24"/>
          <w:highlight w:val="none"/>
        </w:rPr>
        <w:t>2</w:t>
      </w:r>
      <w:r>
        <w:rPr>
          <w:rFonts w:hint="eastAsia" w:ascii="宋体" w:hAnsi="宋体" w:eastAsia="宋体" w:cs="宋体"/>
          <w:sz w:val="24"/>
          <w:szCs w:val="24"/>
          <w:highlight w:val="none"/>
        </w:rPr>
        <w:t>类标准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GB3095-2012 </w:t>
      </w:r>
      <w:r>
        <w:rPr>
          <w:rFonts w:hint="eastAsia" w:ascii="宋体" w:hAnsi="宋体" w:eastAsia="宋体" w:cs="宋体"/>
          <w:sz w:val="24"/>
          <w:szCs w:val="24"/>
          <w:highlight w:val="none"/>
        </w:rPr>
        <w:t>《环境空气质量标准》二级标准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GB/T 18883-2022 </w:t>
      </w:r>
      <w:r>
        <w:rPr>
          <w:rFonts w:hint="eastAsia" w:ascii="宋体" w:hAnsi="宋体" w:eastAsia="宋体" w:cs="宋体"/>
          <w:sz w:val="24"/>
          <w:szCs w:val="24"/>
          <w:highlight w:val="none"/>
        </w:rPr>
        <w:t>《室内空气质量标准》</w:t>
      </w:r>
    </w:p>
    <w:p>
      <w:pPr>
        <w:spacing w:line="360" w:lineRule="auto"/>
        <w:ind w:firstLine="480" w:firstLineChars="200"/>
        <w:rPr>
          <w:rFonts w:hint="eastAsia" w:ascii="宋体" w:hAnsi="宋体" w:eastAsia="宋体" w:cs="宋体"/>
          <w:color w:val="FF0000"/>
          <w:sz w:val="24"/>
          <w:szCs w:val="24"/>
          <w:highlight w:val="none"/>
        </w:rPr>
      </w:pPr>
      <w:r>
        <w:rPr>
          <w:rFonts w:ascii="宋体" w:hAnsi="宋体" w:eastAsia="宋体" w:cs="宋体"/>
          <w:sz w:val="24"/>
          <w:szCs w:val="24"/>
          <w:highlight w:val="none"/>
        </w:rPr>
        <w:t xml:space="preserve">JBJ16-2000 </w:t>
      </w:r>
      <w:r>
        <w:rPr>
          <w:rFonts w:hint="eastAsia" w:ascii="宋体" w:hAnsi="宋体" w:eastAsia="宋体" w:cs="宋体"/>
          <w:sz w:val="24"/>
          <w:szCs w:val="24"/>
          <w:highlight w:val="none"/>
        </w:rPr>
        <w:t>《机械工业环境保护设计规范》</w:t>
      </w:r>
    </w:p>
    <w:p>
      <w:pPr>
        <w:spacing w:line="360" w:lineRule="auto"/>
        <w:ind w:firstLine="361" w:firstLineChars="150"/>
        <w:rPr>
          <w:rFonts w:hint="eastAsia" w:ascii="宋体" w:hAnsi="宋体" w:eastAsia="宋体" w:cs="宋体"/>
          <w:b/>
          <w:sz w:val="24"/>
          <w:szCs w:val="24"/>
          <w:highlight w:val="none"/>
        </w:rPr>
      </w:pPr>
      <w:r>
        <w:rPr>
          <w:rFonts w:hint="eastAsia" w:ascii="宋体" w:hAnsi="宋体" w:eastAsia="宋体" w:cs="宋体"/>
          <w:b/>
          <w:sz w:val="24"/>
          <w:szCs w:val="24"/>
          <w:highlight w:val="none"/>
        </w:rPr>
        <w:t>四、货物需求一览表</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393"/>
        <w:gridCol w:w="960"/>
        <w:gridCol w:w="1520"/>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3393"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96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2866"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自动线中地板焊夹具改造</w:t>
            </w:r>
          </w:p>
        </w:tc>
        <w:tc>
          <w:tcPr>
            <w:tcW w:w="960"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焊装自动线A/B面夹具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后横梁总成手工夹具改造</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3393"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新增前围上横梁手工焊夹具</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新增前围总成手工焊夹具</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车门焊接岛焊夹具改造</w:t>
            </w:r>
          </w:p>
        </w:tc>
        <w:tc>
          <w:tcPr>
            <w:tcW w:w="960"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焊装车门外板焊接岛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393" w:type="dxa"/>
            <w:vAlign w:val="center"/>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设计、车型识别、安调及运输</w:t>
            </w:r>
          </w:p>
        </w:tc>
        <w:tc>
          <w:tcPr>
            <w:tcW w:w="960" w:type="dxa"/>
            <w:vAlign w:val="center"/>
          </w:tcPr>
          <w:p>
            <w:pPr>
              <w:spacing w:line="240" w:lineRule="auto"/>
              <w:jc w:val="center"/>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1宗</w:t>
            </w:r>
          </w:p>
        </w:tc>
        <w:tc>
          <w:tcPr>
            <w:tcW w:w="1520" w:type="dxa"/>
            <w:vAlign w:val="center"/>
          </w:tcPr>
          <w:p>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866"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bl>
    <w:p>
      <w:pPr>
        <w:pStyle w:val="131"/>
        <w:numPr>
          <w:ilvl w:val="0"/>
          <w:numId w:val="0"/>
        </w:numPr>
        <w:spacing w:line="360" w:lineRule="auto"/>
        <w:ind w:left="361" w:leftChars="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技术规范</w:t>
      </w:r>
      <w:bookmarkStart w:id="106" w:name="_Toc9310"/>
    </w:p>
    <w:bookmarkEnd w:id="106"/>
    <w:p>
      <w:pPr>
        <w:spacing w:line="360" w:lineRule="auto"/>
        <w:ind w:firstLine="424" w:firstLineChars="177"/>
        <w:rPr>
          <w:rFonts w:hint="eastAsia" w:ascii="黑体" w:hAnsi="黑体" w:eastAsia="黑体" w:cs="宋体"/>
          <w:sz w:val="24"/>
          <w:szCs w:val="24"/>
          <w:highlight w:val="none"/>
          <w:lang w:val="en-US" w:eastAsia="zh-CN"/>
        </w:rPr>
      </w:pPr>
      <w:r>
        <w:rPr>
          <w:rFonts w:hint="eastAsia" w:ascii="黑体" w:hAnsi="黑体" w:eastAsia="黑体" w:cs="宋体"/>
          <w:sz w:val="24"/>
          <w:szCs w:val="24"/>
          <w:highlight w:val="none"/>
          <w:lang w:val="en-US" w:eastAsia="zh-CN"/>
        </w:rPr>
        <w:t>方案描述</w:t>
      </w:r>
    </w:p>
    <w:p>
      <w:pPr>
        <w:spacing w:line="360" w:lineRule="auto"/>
        <w:ind w:firstLine="480" w:firstLineChars="200"/>
        <w:rPr>
          <w:rFonts w:hint="default" w:ascii="仿宋" w:hAnsi="仿宋" w:eastAsia="仿宋"/>
          <w:sz w:val="28"/>
          <w:szCs w:val="28"/>
          <w:lang w:val="en-US" w:eastAsia="zh-CN"/>
        </w:rPr>
      </w:pPr>
      <w:bookmarkStart w:id="107" w:name="_Toc24489"/>
      <w:r>
        <w:rPr>
          <w:rFonts w:hint="eastAsia" w:ascii="宋体" w:hAnsi="宋体" w:eastAsia="宋体" w:cs="宋体"/>
          <w:sz w:val="24"/>
          <w:szCs w:val="24"/>
          <w:highlight w:val="none"/>
          <w:lang w:val="en-US" w:eastAsia="zh-CN"/>
        </w:rPr>
        <w:t>改造焊装自动线轻卡中地板焊夹具，改造轻卡后横梁手工焊夹具，新增前围焊夹具，改造车门焊接岛焊夹具，夹具改造不影响原有车型生产。</w:t>
      </w:r>
    </w:p>
    <w:p>
      <w:pPr>
        <w:spacing w:line="360" w:lineRule="auto"/>
        <w:ind w:firstLine="480" w:firstLineChars="200"/>
        <w:rPr>
          <w:rFonts w:hint="default" w:ascii="仿宋" w:hAnsi="仿宋" w:eastAsia="仿宋"/>
          <w:sz w:val="28"/>
          <w:szCs w:val="28"/>
          <w:lang w:val="en-US" w:eastAsia="zh-CN"/>
        </w:rPr>
      </w:pPr>
      <w:r>
        <w:rPr>
          <w:rFonts w:hint="eastAsia" w:ascii="宋体" w:hAnsi="宋体" w:eastAsia="宋体" w:cs="宋体"/>
          <w:sz w:val="24"/>
          <w:szCs w:val="24"/>
          <w:highlight w:val="none"/>
          <w:lang w:val="en-US" w:eastAsia="zh-CN"/>
        </w:rPr>
        <w:t>①2080单排/排半及1880单排/排半4款车型中地板增焊副座椅安装支架及副座椅安装螺母板，新开手刹支架。对轻卡自动线轻卡中地板焊夹具A/B面2套进行适应性改造。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780155" cy="1979930"/>
            <wp:effectExtent l="0" t="0" r="4445" b="127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42"/>
                    <a:stretch>
                      <a:fillRect/>
                    </a:stretch>
                  </pic:blipFill>
                  <pic:spPr>
                    <a:xfrm>
                      <a:off x="0" y="0"/>
                      <a:ext cx="3780155"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轻卡中地板焊夹具</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②1880单排/排半2款车型增焊副座椅靠背安装螺母板，对轻卡后横梁焊夹具进行适应性改造。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239770" cy="972185"/>
            <wp:effectExtent l="0" t="0" r="11430" b="5715"/>
            <wp:docPr id="27" name="图片 2"/>
            <wp:cNvGraphicFramePr/>
            <a:graphic xmlns:a="http://schemas.openxmlformats.org/drawingml/2006/main">
              <a:graphicData uri="http://schemas.openxmlformats.org/drawingml/2006/picture">
                <pic:pic xmlns:pic="http://schemas.openxmlformats.org/drawingml/2006/picture">
                  <pic:nvPicPr>
                    <pic:cNvPr id="27" name="图片 2"/>
                    <pic:cNvPicPr/>
                  </pic:nvPicPr>
                  <pic:blipFill>
                    <a:blip r:embed="rId43"/>
                    <a:stretch>
                      <a:fillRect/>
                    </a:stretch>
                  </pic:blipFill>
                  <pic:spPr>
                    <a:xfrm>
                      <a:off x="0" y="0"/>
                      <a:ext cx="3239770" cy="972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轻卡后横梁焊夹具</w:t>
      </w:r>
    </w:p>
    <w:p>
      <w:pPr>
        <w:spacing w:line="360" w:lineRule="auto"/>
        <w:ind w:firstLine="480" w:firstLineChars="200"/>
        <w:rPr>
          <w:rFonts w:hint="eastAsia" w:ascii="仿宋" w:hAnsi="仿宋" w:eastAsia="仿宋"/>
          <w:sz w:val="28"/>
          <w:szCs w:val="28"/>
          <w:lang w:val="en-US" w:eastAsia="zh-CN"/>
        </w:rPr>
      </w:pPr>
      <w:r>
        <w:rPr>
          <w:rFonts w:hint="eastAsia" w:ascii="宋体" w:hAnsi="宋体" w:eastAsia="宋体" w:cs="宋体"/>
          <w:sz w:val="24"/>
          <w:szCs w:val="24"/>
          <w:highlight w:val="none"/>
          <w:lang w:val="en-US" w:eastAsia="zh-CN"/>
        </w:rPr>
        <w:t>③前围增焊面罩左/右铰链加强板总成、面罩支架及撑杆支架，新制2套前围手工焊夹具。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3383915" cy="1151890"/>
            <wp:effectExtent l="0" t="0" r="6985" b="381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44"/>
                    <a:stretch>
                      <a:fillRect/>
                    </a:stretch>
                  </pic:blipFill>
                  <pic:spPr>
                    <a:xfrm>
                      <a:off x="0" y="0"/>
                      <a:ext cx="3383915" cy="1151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统帅右置前围</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④左车门外板增焊补盲镜加强板，右车门外板对应取消，对车门焊接岛进行适应性改造。改造后满足原车型与新车型的状态切换，不影响原有车型生产。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sz w:val="28"/>
          <w:szCs w:val="28"/>
          <w:lang w:val="en-US" w:eastAsia="zh-CN"/>
        </w:rPr>
      </w:pPr>
      <w:r>
        <w:rPr>
          <w:rFonts w:hint="eastAsia" w:eastAsia="仿宋_GB2312"/>
          <w:color w:val="auto"/>
          <w:lang w:eastAsia="zh-CN"/>
        </w:rPr>
        <w:drawing>
          <wp:inline distT="0" distB="0" distL="114300" distR="114300">
            <wp:extent cx="2160270" cy="1440180"/>
            <wp:effectExtent l="0" t="0" r="11430" b="7620"/>
            <wp:docPr id="7" name="图片 5" descr="lQDPJxgHq4yXIMHNDYDNEgCwBFdM7fAMA-YIqFzhCmqEAA_4608_3456"/>
            <wp:cNvGraphicFramePr/>
            <a:graphic xmlns:a="http://schemas.openxmlformats.org/drawingml/2006/main">
              <a:graphicData uri="http://schemas.openxmlformats.org/drawingml/2006/picture">
                <pic:pic xmlns:pic="http://schemas.openxmlformats.org/drawingml/2006/picture">
                  <pic:nvPicPr>
                    <pic:cNvPr id="7" name="图片 5" descr="lQDPJxgHq4yXIMHNDYDNEgCwBFdM7fAMA-YIqFzhCmqEAA_4608_3456"/>
                    <pic:cNvPicPr/>
                  </pic:nvPicPr>
                  <pic:blipFill>
                    <a:blip r:embed="rId45"/>
                    <a:srcRect l="15971" r="11316" b="28072"/>
                    <a:stretch>
                      <a:fillRect/>
                    </a:stretch>
                  </pic:blipFill>
                  <pic:spPr>
                    <a:xfrm>
                      <a:off x="0" y="0"/>
                      <a:ext cx="2160270" cy="1440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车门焊接岛</w:t>
      </w:r>
    </w:p>
    <w:p>
      <w:pPr>
        <w:spacing w:line="360" w:lineRule="auto"/>
        <w:ind w:firstLine="480" w:firstLineChars="200"/>
        <w:jc w:val="left"/>
        <w:rPr>
          <w:rFonts w:hint="eastAsia" w:ascii="宋体" w:hAnsi="宋体" w:eastAsia="宋体" w:cs="宋体"/>
          <w:color w:val="000000"/>
          <w:sz w:val="24"/>
          <w:szCs w:val="24"/>
          <w:highlight w:val="none"/>
        </w:rPr>
      </w:pPr>
      <w:r>
        <w:rPr>
          <w:rFonts w:hint="eastAsia" w:ascii="黑体" w:hAnsi="黑体" w:eastAsia="黑体" w:cs="宋体"/>
          <w:sz w:val="24"/>
          <w:szCs w:val="24"/>
          <w:highlight w:val="none"/>
        </w:rPr>
        <w:t>总体技术要求</w:t>
      </w:r>
      <w:bookmarkEnd w:id="107"/>
    </w:p>
    <w:p>
      <w:pPr>
        <w:pStyle w:val="131"/>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改造自动化焊装线</w:t>
      </w:r>
      <w:r>
        <w:rPr>
          <w:rFonts w:hint="eastAsia" w:ascii="宋体" w:hAnsi="宋体" w:eastAsia="宋体" w:cs="宋体"/>
          <w:color w:val="000000"/>
          <w:sz w:val="24"/>
          <w:szCs w:val="24"/>
          <w:highlight w:val="none"/>
          <w:lang w:val="en-US" w:eastAsia="zh-CN"/>
        </w:rPr>
        <w:t>及手工焊夹具</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兼容统帅右置</w:t>
      </w:r>
      <w:r>
        <w:rPr>
          <w:rFonts w:hint="eastAsia" w:ascii="宋体" w:hAnsi="宋体" w:eastAsia="宋体" w:cs="宋体"/>
          <w:sz w:val="24"/>
          <w:szCs w:val="24"/>
          <w:highlight w:val="none"/>
          <w:lang w:val="en-US" w:eastAsia="zh-CN"/>
        </w:rPr>
        <w:t>车型</w:t>
      </w:r>
      <w:r>
        <w:rPr>
          <w:rFonts w:hint="eastAsia" w:ascii="宋体" w:hAnsi="宋体" w:eastAsia="宋体" w:cs="宋体"/>
          <w:color w:val="000000"/>
          <w:sz w:val="24"/>
          <w:szCs w:val="24"/>
          <w:highlight w:val="none"/>
        </w:rPr>
        <w:t>，车型生产节拍要求≤2.</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min。</w:t>
      </w:r>
      <w:r>
        <w:rPr>
          <w:rFonts w:hint="eastAsia" w:ascii="宋体" w:hAnsi="宋体" w:eastAsia="宋体" w:cs="宋体"/>
          <w:sz w:val="24"/>
          <w:szCs w:val="24"/>
          <w:highlight w:val="none"/>
        </w:rPr>
        <w:t>总成和零件的上线、焊接、生产过程中的运输、存储和机械设备的动作时间等都应当认</w:t>
      </w:r>
      <w:r>
        <w:rPr>
          <w:rFonts w:hint="eastAsia" w:ascii="宋体" w:hAnsi="宋体" w:eastAsia="宋体" w:cs="宋体"/>
          <w:color w:val="000000"/>
          <w:sz w:val="24"/>
          <w:szCs w:val="24"/>
          <w:highlight w:val="none"/>
        </w:rPr>
        <w:t>为是上述生产节拍的一个组成部分。投标方应认识到生产节拍是一项十分重要的技术指标，投标方应以三维仿真模拟来描述和表达生产节拍的实现（三维仿真模拟仅作为生产节拍的一个参考，不作为生产节拍判定的依据）。</w:t>
      </w:r>
    </w:p>
    <w:p>
      <w:pPr>
        <w:pStyle w:val="131"/>
        <w:tabs>
          <w:tab w:val="left" w:pos="420"/>
        </w:tabs>
        <w:spacing w:line="360" w:lineRule="auto"/>
        <w:ind w:left="0" w:leftChars="0"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一个完整的节拍包含：启动→工作→工作结束→传输→回位→等待再次启动</w:t>
      </w:r>
      <w:r>
        <w:rPr>
          <w:rFonts w:hint="eastAsia" w:ascii="宋体" w:hAnsi="宋体" w:eastAsia="宋体" w:cs="宋体"/>
          <w:color w:val="000000"/>
          <w:sz w:val="24"/>
          <w:szCs w:val="24"/>
          <w:highlight w:val="none"/>
          <w:lang w:eastAsia="zh-CN"/>
        </w:rPr>
        <w:t>。</w:t>
      </w:r>
    </w:p>
    <w:p>
      <w:pPr>
        <w:pStyle w:val="131"/>
        <w:numPr>
          <w:ilvl w:val="0"/>
          <w:numId w:val="0"/>
        </w:numPr>
        <w:spacing w:line="360" w:lineRule="auto"/>
        <w:ind w:firstLine="480" w:firstLineChars="200"/>
        <w:jc w:val="left"/>
        <w:rPr>
          <w:rFonts w:hint="eastAsia" w:ascii="宋体" w:hAnsi="宋体" w:eastAsia="宋体" w:cs="宋体"/>
          <w:color w:val="000000"/>
          <w:sz w:val="24"/>
          <w:szCs w:val="24"/>
          <w:highlight w:val="none"/>
          <w:lang w:eastAsia="zh-CN"/>
        </w:rPr>
      </w:pPr>
      <w:bookmarkStart w:id="108" w:name="_Toc340913564"/>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rPr>
        <w:t>驾驶室</w:t>
      </w:r>
      <w:r>
        <w:rPr>
          <w:rFonts w:hint="eastAsia" w:ascii="宋体" w:hAnsi="宋体" w:eastAsia="宋体" w:cs="宋体"/>
          <w:color w:val="000000"/>
          <w:sz w:val="24"/>
          <w:szCs w:val="24"/>
          <w:highlight w:val="none"/>
        </w:rPr>
        <w:t>尺寸标准：全尺寸合格率</w:t>
      </w:r>
      <w:r>
        <w:rPr>
          <w:rFonts w:hint="eastAsia" w:ascii="宋体" w:hAnsi="宋体" w:eastAsia="宋体" w:cs="宋体"/>
          <w:color w:val="000000"/>
          <w:sz w:val="24"/>
          <w:szCs w:val="24"/>
          <w:highlight w:val="none"/>
          <w:lang w:val="en-US" w:eastAsia="zh-CN"/>
        </w:rPr>
        <w:t>88</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1.5mm</w:t>
      </w:r>
      <w:r>
        <w:rPr>
          <w:rFonts w:hint="eastAsia" w:ascii="宋体" w:hAnsi="宋体" w:eastAsia="宋体" w:cs="宋体"/>
          <w:color w:val="000000"/>
          <w:sz w:val="24"/>
          <w:szCs w:val="24"/>
          <w:highlight w:val="none"/>
        </w:rPr>
        <w:t>）</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90" w:type="dxa"/>
            <w:gridSpan w:val="2"/>
            <w:vAlign w:val="top"/>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白车身全尺寸合格率（±1.5mm）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第一阶段</w:t>
            </w:r>
          </w:p>
        </w:tc>
        <w:tc>
          <w:tcPr>
            <w:tcW w:w="3095" w:type="dxa"/>
            <w:vAlign w:val="top"/>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量产阶段</w:t>
            </w:r>
          </w:p>
        </w:tc>
        <w:tc>
          <w:tcPr>
            <w:tcW w:w="3095" w:type="dxa"/>
            <w:vAlign w:val="top"/>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88%</w:t>
            </w:r>
          </w:p>
        </w:tc>
      </w:tr>
      <w:bookmarkEnd w:id="108"/>
    </w:tbl>
    <w:p>
      <w:pPr>
        <w:pStyle w:val="131"/>
        <w:widowControl/>
        <w:spacing w:line="360" w:lineRule="auto"/>
        <w:ind w:firstLine="480" w:firstLineChars="200"/>
        <w:contextualSpacing/>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②</w:t>
      </w:r>
      <w:r>
        <w:rPr>
          <w:rFonts w:hint="eastAsia" w:ascii="宋体" w:hAnsi="宋体" w:eastAsia="宋体" w:cs="宋体"/>
          <w:color w:val="000000"/>
          <w:sz w:val="24"/>
          <w:szCs w:val="24"/>
          <w:highlight w:val="none"/>
        </w:rPr>
        <w:t>焊接质量标准</w:t>
      </w:r>
    </w:p>
    <w:tbl>
      <w:tblPr>
        <w:tblStyle w:val="41"/>
        <w:tblW w:w="9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87"/>
        <w:gridCol w:w="6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99" w:type="dxa"/>
            <w:vAlign w:val="center"/>
          </w:tcPr>
          <w:p>
            <w:pPr>
              <w:pStyle w:val="131"/>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标准名称</w:t>
            </w:r>
          </w:p>
        </w:tc>
        <w:tc>
          <w:tcPr>
            <w:tcW w:w="1387" w:type="dxa"/>
            <w:vAlign w:val="center"/>
          </w:tcPr>
          <w:p>
            <w:pPr>
              <w:pStyle w:val="131"/>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w:t>
            </w:r>
          </w:p>
        </w:tc>
        <w:tc>
          <w:tcPr>
            <w:tcW w:w="6661" w:type="dxa"/>
            <w:vAlign w:val="center"/>
          </w:tcPr>
          <w:p>
            <w:pPr>
              <w:pStyle w:val="131"/>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99"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点焊质量</w:t>
            </w:r>
          </w:p>
        </w:tc>
        <w:tc>
          <w:tcPr>
            <w:tcW w:w="1387"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Q/ZZ</w:t>
            </w:r>
            <w:r>
              <w:rPr>
                <w:rFonts w:hint="eastAsia" w:ascii="宋体" w:hAnsi="宋体" w:eastAsia="宋体" w:cs="宋体"/>
                <w:color w:val="000000"/>
                <w:sz w:val="22"/>
                <w:szCs w:val="22"/>
                <w:highlight w:val="none"/>
                <w:lang w:val="en-US" w:eastAsia="zh-CN"/>
              </w:rPr>
              <w:t xml:space="preserve"> </w:t>
            </w:r>
            <w:r>
              <w:rPr>
                <w:rFonts w:hint="eastAsia" w:ascii="宋体" w:hAnsi="宋体" w:eastAsia="宋体" w:cs="宋体"/>
                <w:color w:val="000000"/>
                <w:sz w:val="22"/>
                <w:szCs w:val="22"/>
                <w:highlight w:val="none"/>
              </w:rPr>
              <w:t>30025点焊技术条件</w:t>
            </w:r>
          </w:p>
        </w:tc>
        <w:tc>
          <w:tcPr>
            <w:tcW w:w="6661" w:type="dxa"/>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标准中焊点数量及位置要求与数模文件冲突时，以数模文件为准；凡招标方数模中焊点未明确的，由投标方提出</w:t>
            </w:r>
            <w:r>
              <w:rPr>
                <w:rFonts w:hint="eastAsia" w:ascii="宋体" w:hAnsi="宋体" w:eastAsia="宋体" w:cs="宋体"/>
                <w:color w:val="000000"/>
                <w:sz w:val="22"/>
                <w:szCs w:val="22"/>
                <w:highlight w:val="none"/>
                <w:lang w:val="en-US" w:eastAsia="zh-CN"/>
              </w:rPr>
              <w:t>数量和间距等差异，</w:t>
            </w:r>
            <w:r>
              <w:rPr>
                <w:rFonts w:hint="eastAsia" w:ascii="宋体" w:hAnsi="宋体" w:eastAsia="宋体" w:cs="宋体"/>
                <w:color w:val="000000"/>
                <w:sz w:val="22"/>
                <w:szCs w:val="22"/>
                <w:highlight w:val="none"/>
              </w:rPr>
              <w:t>招标方确认，涉及到自动焊接的需在开标前提出，招标方给予明确。</w:t>
            </w:r>
          </w:p>
        </w:tc>
      </w:tr>
    </w:tbl>
    <w:p>
      <w:pPr>
        <w:pStyle w:val="131"/>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未作规定的与产品质量有关联的工装公差由投标方提出经招标方认可后执行。产品线改造后现有</w:t>
      </w:r>
      <w:r>
        <w:rPr>
          <w:rFonts w:hint="eastAsia" w:ascii="宋体" w:hAnsi="宋体" w:eastAsia="宋体" w:cs="宋体"/>
          <w:color w:val="000000"/>
          <w:sz w:val="24"/>
          <w:szCs w:val="24"/>
          <w:highlight w:val="none"/>
          <w:lang w:val="en-US" w:eastAsia="zh-CN"/>
        </w:rPr>
        <w:t>驾驶室</w:t>
      </w:r>
      <w:r>
        <w:rPr>
          <w:rFonts w:hint="eastAsia" w:ascii="宋体" w:hAnsi="宋体" w:eastAsia="宋体" w:cs="宋体"/>
          <w:color w:val="000000"/>
          <w:sz w:val="24"/>
          <w:szCs w:val="24"/>
          <w:highlight w:val="none"/>
        </w:rPr>
        <w:t>各项质量标准不得低于改造前的状态。</w:t>
      </w:r>
    </w:p>
    <w:p>
      <w:pPr>
        <w:pStyle w:val="131"/>
        <w:numPr>
          <w:ilvl w:val="0"/>
          <w:numId w:val="0"/>
        </w:numPr>
        <w:spacing w:line="360" w:lineRule="auto"/>
        <w:ind w:left="480" w:leftChars="0"/>
        <w:jc w:val="left"/>
        <w:rPr>
          <w:rFonts w:hint="eastAsia" w:ascii="宋体" w:hAnsi="宋体" w:eastAsia="宋体" w:cs="宋体"/>
          <w:b/>
          <w:bCs/>
          <w:color w:val="000000"/>
          <w:sz w:val="24"/>
          <w:szCs w:val="24"/>
          <w:highlight w:val="none"/>
        </w:rPr>
      </w:pPr>
      <w:bookmarkStart w:id="109" w:name="_Toc7543492"/>
      <w:r>
        <w:rPr>
          <w:rFonts w:hint="eastAsia" w:ascii="宋体" w:hAnsi="宋体" w:eastAsia="宋体" w:cs="宋体"/>
          <w:b/>
          <w:bCs/>
          <w:color w:val="000000"/>
          <w:sz w:val="24"/>
          <w:szCs w:val="24"/>
          <w:highlight w:val="none"/>
        </w:rPr>
        <w:t>夹具设计要求</w:t>
      </w:r>
      <w:bookmarkEnd w:id="109"/>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夹具应满足产品结构、工艺和生产纲领的要求，夹具应有合理的定位夹紧机构和支撑装置，保证组件定位可靠，焊接质量稳定。</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定位基准应以产品图GD＆T为基础，并保证前后工序夹具定位系统基准统一。为更有效地保证产品定位稳定，根据实际情况可以增加相应的定位机构，但必须经招标方认可。原则上不允许使用螺母孔及异性孔作为定位孔，定位孔选择应与模具定位孔统一，如存在问题，投标方应提前反馈，否则由投标方承担相应责任。</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设计应充分考虑操作方便和安全可靠、维护修理方便，应保证人工焊接、装卸工件方便，使焊接件处于最佳焊接位置，夹具设计在保证工艺要求和刚度的情况下结构应简单合理。所有需要进行人工上件的夹具应具备防错装、漏装产品件的功能。</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定位销采用可拆卸结构。焊装夹具所有定位销、支撑块、垫块、夹紧块、挡块，均为可调（调整量为5mm，现场调试完成后垫片厚度不得超过5mm）</w:t>
      </w:r>
      <w:r>
        <w:rPr>
          <w:rFonts w:hint="eastAsia" w:ascii="宋体" w:hAnsi="宋体" w:eastAsia="宋体" w:cs="宋体"/>
          <w:sz w:val="24"/>
          <w:szCs w:val="24"/>
          <w:highlight w:val="none"/>
          <w:lang w:eastAsia="zh-CN"/>
        </w:rPr>
        <w:t>。</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79744" behindDoc="0" locked="0" layoutInCell="1" allowOverlap="1">
            <wp:simplePos x="0" y="0"/>
            <wp:positionH relativeFrom="column">
              <wp:posOffset>394970</wp:posOffset>
            </wp:positionH>
            <wp:positionV relativeFrom="paragraph">
              <wp:posOffset>1548130</wp:posOffset>
            </wp:positionV>
            <wp:extent cx="4963160" cy="3281680"/>
            <wp:effectExtent l="0" t="0" r="2540" b="7620"/>
            <wp:wrapTopAndBottom/>
            <wp:docPr id="41" name="图片 23" descr="164239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1642398083(1)"/>
                    <pic:cNvPicPr>
                      <a:picLocks noChangeAspect="1"/>
                    </pic:cNvPicPr>
                  </pic:nvPicPr>
                  <pic:blipFill>
                    <a:blip r:embed="rId46"/>
                    <a:stretch>
                      <a:fillRect/>
                    </a:stretch>
                  </pic:blipFill>
                  <pic:spPr>
                    <a:xfrm>
                      <a:off x="0" y="0"/>
                      <a:ext cx="4963160" cy="3281680"/>
                    </a:xfrm>
                    <a:prstGeom prst="rect">
                      <a:avLst/>
                    </a:prstGeom>
                    <a:noFill/>
                    <a:ln>
                      <a:noFill/>
                    </a:ln>
                  </pic:spPr>
                </pic:pic>
              </a:graphicData>
            </a:graphic>
          </wp:anchor>
        </w:drawing>
      </w:r>
      <w:r>
        <w:rPr>
          <w:rFonts w:hint="eastAsia" w:ascii="宋体" w:hAnsi="宋体" w:eastAsia="宋体" w:cs="宋体"/>
          <w:sz w:val="24"/>
          <w:szCs w:val="24"/>
          <w:highlight w:val="none"/>
        </w:rPr>
        <w:t>定位销首推沉孔安装，其固定方法采用增加台阶平面，用台阶平面止转方式（如下图1）。原则上定位销尾端禁止使用外螺纹形式，如空间狭小必须使用时，从后面用螺母固定（如下图2），不允许定位销直接用螺母与连接块连接（如下图3）。当定位销与车身坐标系之间有一定角度（大于5º时）、定位销不垂直于底板、定位孔不可见或者为了方便上件/取件时，设计为伸缩销。</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线夹紧、传输等过程不允许对产品外观面造成磕碰划伤等外观问题。焊装夹具设计时应考虑汽车覆盖件的外表面有防止出现焊点压痕的保护措施，保护板的材料选用CuCrZr(铬锆铜),其有效板厚10～12mm，外覆盖件的支撑采用聚氨酯套覆盖（邵氏硬度60-80）。</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夹具的涂色要求：按照《Q/ZZ30070-2020设备设施颜色标识》标准执行。</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夹具底座板应涂防飞溅漆、防锈漆，底座板上平面应加工有基准线和基准孔。</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焊接夹具的气管应该配置在夹具平台的上面或侧面，禁止在平台的底面配管。气管要有铝制标识，外漏气管进行防护。</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图纸图面应符合招标方要求，夹具总图应有详细的夹具零件清单（或单独编制）、气动原理图、电控原理图、夹具安装图和三维图纸（电子版CatiaV5R20）等，夹具设计图必须完整、正确。二维图纸应有三个方向的坐标线（间距为100mm），夹具设计图应反映出各定位尺寸、升降装置位置、尺寸和支撑面型面尺寸。夹具设计图纸制图采用中国制图标准或ISO制图标准，文字采用中文简化字；规格和单位采用中国工业标准或ISO国际标准。</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焊装夹具上应安装标牌，在标牌上应标有总成件名称和编号、夹具尺寸和重量、夹具名称和编号、制造厂名和制造日期，语言为中文，编号规则由招标方提供。</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夹具材料选用标准</w:t>
      </w:r>
    </w:p>
    <w:tbl>
      <w:tblPr>
        <w:tblStyle w:val="41"/>
        <w:tblW w:w="9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2115"/>
        <w:gridCol w:w="1738"/>
        <w:gridCol w:w="1300"/>
        <w:gridCol w:w="3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部件</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硬度</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定位块、支撑块</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HRC45-50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局部淬火处理，发黑，位置度±0.2mm，并做倒角处理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外覆盖件的支撑需额外采用聚氨酯套（厚度2mm）覆盖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连接臂</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限位块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20Cr</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58-62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渗碳淬火深度：0.8-1.2mm，表面防锈处理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HRC55-60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表面防锈处理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螺柱焊定位导套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不锈钢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弧焊附近的定位销、压紧块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CuCr1Zr</w:t>
            </w:r>
          </w:p>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(铬锆铜)</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焊枪导向块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MC尼龙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bl>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夹具精度要求</w:t>
      </w:r>
    </w:p>
    <w:tbl>
      <w:tblPr>
        <w:tblStyle w:val="41"/>
        <w:tblW w:w="7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762"/>
        <w:gridCol w:w="2100"/>
        <w:gridCol w:w="1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精度要求</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BASE板平面度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≤0.1/1000mm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主基准面形状公差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BASE基准孔与基准面的加工精度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+0.00～-0.05mm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支撑面工作方向的位置公差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定位销的伸出有效长度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线体内应留出足够的空间，以保证工装能够使用关节臂三坐标测量机一次性测量完毕（现有的关节臂测量范围直径3600mm）。</w:t>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总拼工位和侧围BASE板厚度不得低于30mm，其他BASE板厚度不得低于25mm；BASE板下部H钢厚度≥14mm，H钢布置中心距≤600mm；焊接焊段长度≥50mm，焊段间距≤100mm。以上为基础标准原则，投标方应在充分保障产品质量和工装使用寿命的前提下以不低于基础标准的前提下进行设计。</w:t>
      </w:r>
    </w:p>
    <w:p>
      <w:pPr>
        <w:pStyle w:val="61"/>
        <w:widowControl/>
        <w:numPr>
          <w:ilvl w:val="0"/>
          <w:numId w:val="12"/>
        </w:numPr>
        <w:spacing w:line="360" w:lineRule="auto"/>
        <w:ind w:left="357" w:firstLine="480"/>
        <w:contextualSpacing/>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工装BASE板上应加工出合适的三坐标测量基准孔，该基准应同时适用或分别适用固定式和关节臂式三坐标测量设备。为了便于测量，夹具基准孔在平台上的位置不应与其它装置干涉，夹具基准孔的位置、数量3处以上，间距1200mm以内，具体位置、数量在图纸会签时确定。基准孔坐标要求打码在基准孔附近，并对基准孔使用防护盖进行防护。</w:t>
      </w:r>
      <w:r>
        <w:rPr>
          <w:rFonts w:hint="eastAsia" w:ascii="宋体" w:hAnsi="宋体" w:eastAsia="宋体" w:cs="宋体"/>
          <w:color w:val="000000"/>
          <w:sz w:val="24"/>
          <w:szCs w:val="24"/>
          <w:highlight w:val="none"/>
        </w:rPr>
        <w:t>夹具基准孔的直径以及公差为Ф10mmH7</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夹具基准孔间的相对位置公差±0.02mm</w:t>
      </w:r>
      <w:r>
        <w:rPr>
          <w:rFonts w:hint="eastAsia" w:ascii="宋体" w:hAnsi="宋体" w:eastAsia="宋体" w:cs="宋体"/>
          <w:color w:val="000000"/>
          <w:sz w:val="24"/>
          <w:szCs w:val="24"/>
          <w:highlight w:val="none"/>
          <w:lang w:eastAsia="zh-CN"/>
        </w:rPr>
        <w:t>。</w:t>
      </w:r>
    </w:p>
    <w:p>
      <w:pPr>
        <w:ind w:left="42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1720850" cy="123825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1720850" cy="1238250"/>
                    </a:xfrm>
                    <a:prstGeom prst="rect">
                      <a:avLst/>
                    </a:prstGeom>
                    <a:noFill/>
                    <a:ln>
                      <a:noFill/>
                    </a:ln>
                  </pic:spPr>
                </pic:pic>
              </a:graphicData>
            </a:graphic>
          </wp:inline>
        </w:drawing>
      </w:r>
    </w:p>
    <w:p>
      <w:pPr>
        <w:pStyle w:val="61"/>
        <w:widowControl/>
        <w:numPr>
          <w:ilvl w:val="0"/>
          <w:numId w:val="12"/>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在夹具基准孔的旁边打上夹具基准孔的位置标记</w:t>
      </w:r>
      <w:r>
        <w:rPr>
          <w:rFonts w:hint="eastAsia" w:ascii="宋体" w:hAnsi="宋体" w:eastAsia="宋体" w:cs="宋体"/>
          <w:sz w:val="24"/>
          <w:szCs w:val="24"/>
          <w:highlight w:val="none"/>
          <w:lang w:val="en-US" w:eastAsia="zh-CN"/>
        </w:rPr>
        <w:t>如下图所示。</w:t>
      </w:r>
    </w:p>
    <w:p>
      <w:pPr>
        <w:ind w:firstLine="3000" w:firstLineChars="12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2282825" cy="970915"/>
            <wp:effectExtent l="0" t="0" r="317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tretch>
                      <a:fillRect/>
                    </a:stretch>
                  </pic:blipFill>
                  <pic:spPr>
                    <a:xfrm>
                      <a:off x="0" y="0"/>
                      <a:ext cx="2282825" cy="970915"/>
                    </a:xfrm>
                    <a:prstGeom prst="rect">
                      <a:avLst/>
                    </a:prstGeom>
                    <a:noFill/>
                    <a:ln>
                      <a:noFill/>
                    </a:ln>
                  </pic:spPr>
                </pic:pic>
              </a:graphicData>
            </a:graphic>
          </wp:inline>
        </w:drawing>
      </w:r>
    </w:p>
    <w:p>
      <w:pPr>
        <w:ind w:firstLine="3000" w:firstLineChars="1250"/>
        <w:rPr>
          <w:rFonts w:hint="eastAsia" w:ascii="宋体" w:hAnsi="宋体" w:eastAsia="宋体" w:cs="宋体"/>
          <w:kern w:val="0"/>
          <w:sz w:val="24"/>
          <w:szCs w:val="24"/>
          <w:highlight w:val="none"/>
        </w:rPr>
      </w:pPr>
    </w:p>
    <w:p>
      <w:pPr>
        <w:pStyle w:val="61"/>
        <w:widowControl/>
        <w:numPr>
          <w:ilvl w:val="0"/>
          <w:numId w:val="12"/>
        </w:numPr>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夹具外漏的线缆（水电气）需要使用耐火材料进行包覆或者走线缆桥架，所有接近开关使用专用防护套进行保护，并提供防护套型号。</w:t>
      </w:r>
    </w:p>
    <w:p>
      <w:pPr>
        <w:pStyle w:val="131"/>
        <w:numPr>
          <w:ilvl w:val="0"/>
          <w:numId w:val="0"/>
        </w:numPr>
        <w:spacing w:line="360" w:lineRule="auto"/>
        <w:ind w:left="480" w:left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技术资料</w:t>
      </w:r>
    </w:p>
    <w:p>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投标方须在项目不同阶段向招标方提供项目资料，各阶段需提供资料如下表所示：</w:t>
      </w:r>
    </w:p>
    <w:tbl>
      <w:tblPr>
        <w:tblStyle w:val="41"/>
        <w:tblW w:w="930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3435"/>
        <w:gridCol w:w="1100"/>
        <w:gridCol w:w="1888"/>
        <w:gridCol w:w="2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资料名称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设计审查</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焊接生产线详细平面布局图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焊接生产线水电气布置图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设备安装基础图（地基图）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焊枪位置图（挂枪图）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焊接生产线人员分布图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水电气能耗表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工艺设备清单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生产线人员配置表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焊枪式样图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夹具方案书（含 3D 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工位焊点信息图（3D）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范例程序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焊接工艺卡片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工位节拍明细（时序图）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易损件及备件明细、图纸（含夹具）</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标准件手册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各专项设备操作使用手册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检查维修手册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电气原理图（含逻辑电路图）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气路原理图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传动系统图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电气接线图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标准程序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PC 机梯形图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外购件明细表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设备编程手册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系统软件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夹具检测报告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各设备检验合格证</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定位销及定位面硬度报告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最终版仿真数据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机器人离线程序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夹具CATIA可编辑格式和2D图DWG</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备品、备件清单、图纸（2D+3D）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所有定位销图纸资料(2D CAD和3D)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电气元件汇总表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元器件样本、图册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润滑油类型及材料属性资料</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工艺参数调试记录单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bl>
    <w:p>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投标方应在项目各阶段，按照招标方要求的格式和内容提供相应文件。</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根据验收要求，在设备有改动时，投标方要提供更新的技术文件。</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所有文件都要配备中文。</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为保证现场验收满足招标方的要求，投标方应提交所有其提供设备的有关文件，由另一家公司提供的文件必须提交原件，不允许提供复印件，投标方丢失的任何文件必须免费补上。</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图纸交付文件格式：CATIA V5R20（可编辑）、AUTOCAD2008、PDF格式。</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终验收时提交的电子文档应包含设计审查和预验收阶段提交的文件。</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项目各阶段所需的电子资料以U盘形式提交。</w:t>
      </w:r>
    </w:p>
    <w:p>
      <w:pPr>
        <w:pStyle w:val="61"/>
        <w:keepNext w:val="0"/>
        <w:keepLines w:val="0"/>
        <w:pageBreakBefore w:val="0"/>
        <w:widowControl/>
        <w:numPr>
          <w:ilvl w:val="0"/>
          <w:numId w:val="13"/>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投标方采购的设备，相关资料文件由投标方负责收集。</w:t>
      </w:r>
    </w:p>
    <w:p>
      <w:pPr>
        <w:widowControl/>
        <w:jc w:val="left"/>
        <w:rPr>
          <w:rFonts w:hint="eastAsia" w:ascii="宋体" w:hAnsi="宋体" w:eastAsia="等线" w:cs="Times New Roman"/>
          <w:b/>
          <w:sz w:val="28"/>
          <w:szCs w:val="24"/>
          <w:highlight w:val="none"/>
          <w:lang w:val="en-GB"/>
        </w:rPr>
      </w:pPr>
      <w:r>
        <w:rPr>
          <w:rFonts w:ascii="宋体" w:hAnsi="宋体" w:eastAsia="等线" w:cs="Times New Roman"/>
          <w:b/>
          <w:sz w:val="28"/>
          <w:szCs w:val="24"/>
          <w:highlight w:val="none"/>
          <w:lang w:val="en-GB"/>
        </w:rPr>
        <w:br w:type="page"/>
      </w:r>
    </w:p>
    <w:p>
      <w:pPr>
        <w:keepNext/>
        <w:keepLines/>
        <w:spacing w:before="120" w:after="120" w:line="360" w:lineRule="auto"/>
        <w:jc w:val="center"/>
        <w:outlineLvl w:val="0"/>
        <w:rPr>
          <w:rFonts w:hint="eastAsia" w:ascii="宋体" w:hAnsi="宋体" w:eastAsia="等线" w:cs="宋体"/>
          <w:kern w:val="44"/>
          <w:sz w:val="28"/>
          <w:szCs w:val="28"/>
          <w:highlight w:val="none"/>
          <w:lang w:val="en-GB"/>
        </w:rPr>
      </w:pPr>
      <w:bookmarkStart w:id="110" w:name="_Toc15157"/>
      <w:r>
        <w:rPr>
          <w:rFonts w:hint="eastAsia" w:ascii="宋体" w:hAnsi="宋体" w:eastAsia="等线" w:cs="宋体"/>
          <w:kern w:val="44"/>
          <w:sz w:val="28"/>
          <w:szCs w:val="28"/>
          <w:highlight w:val="none"/>
          <w:lang w:val="en-GB"/>
        </w:rPr>
        <w:t>第三章  供货范围及供货方式</w:t>
      </w:r>
      <w:bookmarkEnd w:id="110"/>
    </w:p>
    <w:p>
      <w:pPr>
        <w:keepNext/>
        <w:keepLines/>
        <w:spacing w:before="120" w:after="120" w:line="360" w:lineRule="auto"/>
        <w:jc w:val="center"/>
        <w:outlineLvl w:val="1"/>
        <w:rPr>
          <w:rFonts w:hint="eastAsia" w:ascii="宋体" w:hAnsi="宋体" w:eastAsia="宋体" w:cs="Times New Roman"/>
          <w:sz w:val="24"/>
          <w:szCs w:val="24"/>
          <w:highlight w:val="none"/>
        </w:rPr>
      </w:pPr>
      <w:bookmarkStart w:id="111" w:name="_Toc9658381"/>
      <w:r>
        <w:rPr>
          <w:rFonts w:hint="eastAsia" w:ascii="宋体" w:hAnsi="宋体" w:eastAsia="宋体" w:cs="Times New Roman"/>
          <w:sz w:val="24"/>
          <w:szCs w:val="24"/>
          <w:highlight w:val="none"/>
        </w:rPr>
        <w:t>第一节</w:t>
      </w:r>
      <w:r>
        <w:rPr>
          <w:rFonts w:ascii="宋体" w:hAnsi="宋体" w:eastAsia="宋体" w:cs="Times New Roman"/>
          <w:sz w:val="24"/>
          <w:szCs w:val="24"/>
          <w:highlight w:val="none"/>
        </w:rPr>
        <w:t xml:space="preserve">  </w:t>
      </w:r>
      <w:r>
        <w:rPr>
          <w:rFonts w:hint="eastAsia" w:ascii="宋体" w:hAnsi="宋体" w:eastAsia="宋体" w:cs="Times New Roman"/>
          <w:sz w:val="24"/>
          <w:szCs w:val="24"/>
          <w:highlight w:val="none"/>
        </w:rPr>
        <w:t>供货范围</w:t>
      </w:r>
      <w:bookmarkEnd w:id="111"/>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一、供货范围</w:t>
      </w:r>
    </w:p>
    <w:p>
      <w:pPr>
        <w:spacing w:line="360" w:lineRule="auto"/>
        <w:ind w:firstLine="241" w:firstLineChars="1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、包括本技术标书所列明的主要货物及货物正常运行所必需的全套连线设备、材料等，如货物端联接法兰外端面之内的、电气系统接口压线板（插座等）之内的设备、材料、联接螺栓、垫片等。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、包括货物维护维修所必需的专用工具。</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招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、以“交钥匙”方式采购的货物，在满足技术标书本节上述要求之外，同时包括货物正常运行、使用所需要的过桥、护栏、防护网、盖板等辅助设施。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二、备品备件、易损件和专用耗材供货范围</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、备品备件、易损件和专用耗材是招标方为保证货物质保期之后正常运行一年所自备自用的备品备件、易损件和专用耗材。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三、技术资料供货范围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、在合同签订后</w:t>
      </w:r>
      <w:r>
        <w:rPr>
          <w:rFonts w:ascii="宋体" w:hAnsi="宋体" w:eastAsia="宋体" w:cs="宋体"/>
          <w:sz w:val="24"/>
          <w:szCs w:val="24"/>
          <w:highlight w:val="none"/>
          <w:u w:val="single"/>
          <w:shd w:val="pct10" w:color="auto" w:fill="FFFFFF"/>
        </w:rPr>
        <w:t xml:space="preserve">30 </w:t>
      </w:r>
      <w:r>
        <w:rPr>
          <w:rFonts w:hint="eastAsia" w:ascii="宋体" w:hAnsi="宋体" w:eastAsia="宋体" w:cs="宋体"/>
          <w:sz w:val="24"/>
          <w:szCs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、在终验收后、终验收后的第一笔货款支付日之前，提供包括货物的备品备件、易损件和专用耗材的图纸及技术参数、技术要求等资料。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、本条款所列的技术资料、图片、影像等，投标方应各提供</w:t>
      </w:r>
      <w:r>
        <w:rPr>
          <w:rFonts w:ascii="宋体" w:hAnsi="宋体" w:eastAsia="宋体" w:cs="宋体"/>
          <w:sz w:val="24"/>
          <w:szCs w:val="24"/>
          <w:highlight w:val="none"/>
        </w:rPr>
        <w:t>5</w:t>
      </w:r>
      <w:r>
        <w:rPr>
          <w:rFonts w:hint="eastAsia" w:ascii="宋体" w:hAnsi="宋体" w:eastAsia="宋体" w:cs="宋体"/>
          <w:sz w:val="24"/>
          <w:szCs w:val="24"/>
          <w:highlight w:val="none"/>
        </w:rPr>
        <w:t>套，其中</w:t>
      </w:r>
      <w:r>
        <w:rPr>
          <w:rFonts w:ascii="宋体" w:hAnsi="宋体" w:eastAsia="宋体" w:cs="宋体"/>
          <w:sz w:val="24"/>
          <w:szCs w:val="24"/>
          <w:highlight w:val="none"/>
        </w:rPr>
        <w:t>2</w:t>
      </w:r>
      <w:r>
        <w:rPr>
          <w:rFonts w:hint="eastAsia" w:ascii="宋体" w:hAnsi="宋体" w:eastAsia="宋体" w:cs="宋体"/>
          <w:sz w:val="24"/>
          <w:szCs w:val="24"/>
          <w:highlight w:val="none"/>
        </w:rPr>
        <w:t>套为电子版光（软）盘；每份技术文件应装有目录清单。</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、本条款所列要求，如招标方认为投标方提供的资料不能满足要求时，有权要求投标方免费补充或增加。</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四、供货范围特别提示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如果投标方认为本节所列的供货范围难以满足，则仍需要按照本要求提供，但该部分货物应当在投标报价中单独列明货物名称及品质、货值。</w:t>
      </w:r>
    </w:p>
    <w:p>
      <w:pPr>
        <w:rPr>
          <w:rFonts w:hint="eastAsia" w:ascii="宋体" w:hAnsi="宋体" w:eastAsia="宋体" w:cs="宋体"/>
          <w:sz w:val="24"/>
          <w:szCs w:val="24"/>
          <w:highlight w:val="none"/>
        </w:rPr>
      </w:pPr>
      <w:r>
        <w:rPr>
          <w:rFonts w:ascii="宋体" w:hAnsi="宋体" w:eastAsia="宋体" w:cs="宋体"/>
          <w:sz w:val="24"/>
          <w:szCs w:val="24"/>
          <w:highlight w:val="none"/>
        </w:rPr>
        <w:br w:type="page"/>
      </w:r>
    </w:p>
    <w:p>
      <w:pPr>
        <w:adjustRightInd w:val="0"/>
        <w:spacing w:before="120" w:after="120" w:afterLines="50" w:line="280" w:lineRule="atLeast"/>
        <w:textAlignment w:val="baseline"/>
        <w:rPr>
          <w:rFonts w:ascii="Calibri" w:hAnsi="Calibri" w:eastAsia="新宋体" w:cs="Times New Roman"/>
          <w:szCs w:val="21"/>
          <w:highlight w:val="none"/>
        </w:rPr>
      </w:pPr>
    </w:p>
    <w:p>
      <w:pPr>
        <w:keepNext/>
        <w:keepLines/>
        <w:spacing w:before="120" w:after="120" w:line="360" w:lineRule="auto"/>
        <w:jc w:val="center"/>
        <w:outlineLvl w:val="1"/>
        <w:rPr>
          <w:rFonts w:ascii="Arial" w:hAnsi="Arial" w:eastAsia="宋体" w:cs="Times New Roman"/>
          <w:sz w:val="24"/>
          <w:szCs w:val="24"/>
          <w:highlight w:val="none"/>
        </w:rPr>
      </w:pPr>
      <w:bookmarkStart w:id="112" w:name="_Toc9658382"/>
      <w:r>
        <w:rPr>
          <w:rFonts w:hint="eastAsia" w:ascii="Arial" w:hAnsi="Arial" w:eastAsia="宋体" w:cs="Times New Roman"/>
          <w:sz w:val="24"/>
          <w:szCs w:val="24"/>
          <w:highlight w:val="none"/>
        </w:rPr>
        <w:t>第二节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供货方式</w:t>
      </w:r>
      <w:bookmarkEnd w:id="112"/>
    </w:p>
    <w:p>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二、供货地点：</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三、供货时间</w:t>
      </w:r>
    </w:p>
    <w:p>
      <w:pPr>
        <w:pStyle w:val="22"/>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pPr>
        <w:pStyle w:val="22"/>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2</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27</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pPr>
        <w:pStyle w:val="22"/>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3</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19</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pPr>
        <w:pStyle w:val="22"/>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3</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安装调试时间或终验收时间超过规定时间的，投标方应当随标书提供详细的工期计划。</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、包装箱应连续编号，不应出现重复编号。</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、在不受到外界破坏情况下，包装应保证自交货日起一年内货物（或设备）完好无损。</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五、运输</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、同批货物（或设备）应统一包装、编号运输。</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、货物（或设备）运抵交货地点后，应负责货物（或设备）的卸货、搬运、保管等事宜；或按照合同约定。</w:t>
      </w:r>
    </w:p>
    <w:p>
      <w:pPr>
        <w:rPr>
          <w:rFonts w:hint="eastAsia" w:ascii="黑体" w:hAnsi="等线" w:eastAsia="黑体" w:cs="Times New Roman"/>
          <w:sz w:val="24"/>
          <w:szCs w:val="24"/>
          <w:highlight w:val="none"/>
        </w:rPr>
      </w:pPr>
      <w:bookmarkStart w:id="113" w:name="_Toc9658383"/>
      <w:r>
        <w:rPr>
          <w:rFonts w:ascii="黑体" w:hAnsi="等线" w:eastAsia="黑体" w:cs="Times New Roman"/>
          <w:sz w:val="24"/>
          <w:szCs w:val="24"/>
          <w:highlight w:val="none"/>
        </w:rPr>
        <w:br w:type="page"/>
      </w:r>
    </w:p>
    <w:p>
      <w:pPr>
        <w:keepNext/>
        <w:keepLines/>
        <w:spacing w:before="120" w:after="120" w:line="360" w:lineRule="auto"/>
        <w:jc w:val="center"/>
        <w:outlineLvl w:val="0"/>
        <w:rPr>
          <w:rFonts w:hint="eastAsia" w:ascii="宋体" w:hAnsi="宋体" w:eastAsia="等线" w:cs="宋体"/>
          <w:kern w:val="44"/>
          <w:sz w:val="28"/>
          <w:szCs w:val="28"/>
          <w:highlight w:val="none"/>
        </w:rPr>
      </w:pPr>
      <w:bookmarkStart w:id="114" w:name="_Toc18023"/>
      <w:r>
        <w:rPr>
          <w:rFonts w:hint="eastAsia" w:ascii="宋体" w:hAnsi="宋体" w:eastAsia="等线" w:cs="宋体"/>
          <w:kern w:val="44"/>
          <w:sz w:val="28"/>
          <w:szCs w:val="28"/>
          <w:highlight w:val="none"/>
        </w:rPr>
        <w:t>第四章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质保期及售后服务</w:t>
      </w:r>
      <w:bookmarkEnd w:id="113"/>
      <w:bookmarkEnd w:id="114"/>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一、质保期及质保要求</w:t>
      </w:r>
    </w:p>
    <w:p>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 xml:space="preserve"> 壹 </w:t>
      </w:r>
      <w:r>
        <w:rPr>
          <w:rFonts w:hint="eastAsia" w:ascii="宋体" w:hAnsi="宋体" w:eastAsia="宋体" w:cs="宋体"/>
          <w:sz w:val="24"/>
          <w:szCs w:val="24"/>
          <w:highlight w:val="none"/>
        </w:rPr>
        <w:t>年。</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二、技术及培训服务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、应免费提供一定数量的培训资料。</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、若投标方提供货物涉及到外购外协货物、而且该货物的技术质量等较为关键时，投标方应能保证得到配套厂家的技术支持，并免费为招标方提供技术服务。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三、安装调试及验收服务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、若投标方提供的货物涉及到外购外协货物、而且该货物的技术质量等较为关键时，应保证能得到供应商的技术支持，并免费为招标方提供安装使用现场的指导与培训。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、服务缺陷视同货物缺陷和履约延期。</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四、售后服务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、投标方提供的货物涉及的所有售后服务均由投标方负责。如果发生问题并且收到通知，投标方应当在</w:t>
      </w:r>
      <w:r>
        <w:rPr>
          <w:rFonts w:ascii="宋体" w:hAnsi="宋体" w:eastAsia="宋体" w:cs="宋体"/>
          <w:sz w:val="24"/>
          <w:szCs w:val="24"/>
          <w:highlight w:val="none"/>
        </w:rPr>
        <w:t>2</w:t>
      </w:r>
      <w:r>
        <w:rPr>
          <w:rFonts w:hint="eastAsia" w:ascii="宋体" w:hAnsi="宋体" w:eastAsia="宋体" w:cs="宋体"/>
          <w:sz w:val="24"/>
          <w:szCs w:val="24"/>
          <w:highlight w:val="none"/>
        </w:rPr>
        <w:t>小时内予以答复。</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、如发现所提供的货物存在问题，需要投标方解决或配合解决时：在质保期之内，应在接到通知后</w:t>
      </w:r>
      <w:r>
        <w:rPr>
          <w:rFonts w:ascii="宋体" w:hAnsi="宋体" w:eastAsia="宋体" w:cs="宋体"/>
          <w:sz w:val="24"/>
          <w:szCs w:val="24"/>
          <w:highlight w:val="none"/>
          <w:u w:val="single"/>
          <w:shd w:val="pct10" w:color="auto" w:fill="FFFFFF"/>
        </w:rPr>
        <w:t xml:space="preserve"> 48 </w:t>
      </w:r>
      <w:r>
        <w:rPr>
          <w:rFonts w:hint="eastAsia" w:ascii="宋体" w:hAnsi="宋体" w:eastAsia="宋体" w:cs="宋体"/>
          <w:sz w:val="24"/>
          <w:szCs w:val="24"/>
          <w:highlight w:val="none"/>
        </w:rPr>
        <w:t>小时内派有关人员到达现场；在质保期之外，应在接到通知后</w:t>
      </w:r>
      <w:r>
        <w:rPr>
          <w:rFonts w:ascii="宋体" w:hAnsi="宋体" w:eastAsia="宋体" w:cs="宋体"/>
          <w:sz w:val="24"/>
          <w:szCs w:val="24"/>
          <w:highlight w:val="none"/>
          <w:u w:val="single"/>
          <w:shd w:val="pct10" w:color="auto" w:fill="FFFFFF"/>
        </w:rPr>
        <w:t xml:space="preserve"> 72 </w:t>
      </w:r>
      <w:r>
        <w:rPr>
          <w:rFonts w:hint="eastAsia" w:ascii="宋体" w:hAnsi="宋体" w:eastAsia="宋体" w:cs="宋体"/>
          <w:sz w:val="24"/>
          <w:szCs w:val="24"/>
          <w:highlight w:val="none"/>
        </w:rPr>
        <w:t>小时内派有关人员到达现场。</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五、其它服务</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、若投标方所提供货物有需要进口的，投标方一般应自行、自费办理；必要时，买卖双方共同办理。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、除招标文件、投标文件、答疑文件、技术协议、合同等约定之外，投标方应免费负责必要的或强制性的货物的检验、试验、化验等直接费用。</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、本章节条款所列“免费”，并非指定不可收费，而是指招标文件、投标文件、答疑文件、技术交流文件、技术协议书和合同等范围之外，投标方不可另行收取的费用。</w:t>
      </w:r>
    </w:p>
    <w:p>
      <w:pPr>
        <w:rPr>
          <w:rFonts w:hint="eastAsia" w:ascii="黑体" w:hAnsi="等线" w:eastAsia="黑体" w:cs="Times New Roman"/>
          <w:szCs w:val="24"/>
          <w:highlight w:val="none"/>
        </w:rPr>
      </w:pPr>
      <w:r>
        <w:rPr>
          <w:rFonts w:ascii="黑体" w:hAnsi="等线" w:eastAsia="黑体" w:cs="Times New Roman"/>
          <w:szCs w:val="24"/>
          <w:highlight w:val="none"/>
        </w:rPr>
        <w:br w:type="page"/>
      </w:r>
    </w:p>
    <w:p>
      <w:pPr>
        <w:keepNext/>
        <w:keepLines/>
        <w:spacing w:before="120" w:after="120" w:line="360" w:lineRule="auto"/>
        <w:jc w:val="center"/>
        <w:outlineLvl w:val="0"/>
        <w:rPr>
          <w:rFonts w:hint="eastAsia" w:ascii="宋体" w:hAnsi="宋体" w:eastAsia="等线" w:cs="宋体"/>
          <w:kern w:val="44"/>
          <w:sz w:val="28"/>
          <w:szCs w:val="28"/>
          <w:highlight w:val="none"/>
        </w:rPr>
      </w:pPr>
      <w:bookmarkStart w:id="115" w:name="_Toc4160"/>
      <w:r>
        <w:rPr>
          <w:rFonts w:hint="eastAsia" w:ascii="宋体" w:hAnsi="宋体" w:eastAsia="等线" w:cs="宋体"/>
          <w:kern w:val="44"/>
          <w:sz w:val="28"/>
          <w:szCs w:val="28"/>
          <w:highlight w:val="none"/>
        </w:rPr>
        <w:t>第五章  验收</w:t>
      </w:r>
      <w:bookmarkEnd w:id="115"/>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一、验收依据和验收标准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、如果验收过程中，发现招标文件、投标文件、答疑文件、技术交流文件等与技术协议书、合同存在差异，原则上以涉及条款中对招标方最有利条款为验收依据。</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二、检验</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进口货物发货前，应对货物的质量、型号、规格、性能和数量</w:t>
      </w:r>
      <w:r>
        <w:rPr>
          <w:rFonts w:ascii="宋体" w:hAnsi="宋体" w:eastAsia="宋体" w:cs="宋体"/>
          <w:sz w:val="24"/>
          <w:szCs w:val="24"/>
          <w:highlight w:val="none"/>
        </w:rPr>
        <w:t>/</w:t>
      </w:r>
      <w:r>
        <w:rPr>
          <w:rFonts w:hint="eastAsia" w:ascii="宋体" w:hAnsi="宋体" w:eastAsia="宋体" w:cs="宋体"/>
          <w:sz w:val="24"/>
          <w:szCs w:val="24"/>
          <w:highlight w:val="none"/>
        </w:rPr>
        <w:t>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2.3</w:t>
      </w:r>
      <w:r>
        <w:rPr>
          <w:rFonts w:hint="eastAsia" w:ascii="宋体" w:hAnsi="宋体" w:eastAsia="宋体" w:cs="宋体"/>
          <w:sz w:val="24"/>
          <w:szCs w:val="24"/>
          <w:highlight w:val="none"/>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highlight w:val="none"/>
        </w:rPr>
        <w:t>180</w:t>
      </w:r>
      <w:r>
        <w:rPr>
          <w:rFonts w:hint="eastAsia" w:ascii="宋体" w:hAnsi="宋体" w:eastAsia="宋体" w:cs="宋体"/>
          <w:sz w:val="24"/>
          <w:szCs w:val="24"/>
          <w:highlight w:val="none"/>
        </w:rPr>
        <w:t>个日历日内，根据中国商品检验检疫局出具的证明书向投标方提出索赔，因索赔所发生的一切费用</w:t>
      </w:r>
      <w:r>
        <w:rPr>
          <w:rFonts w:ascii="宋体" w:hAnsi="宋体" w:eastAsia="宋体" w:cs="宋体"/>
          <w:sz w:val="24"/>
          <w:szCs w:val="24"/>
          <w:highlight w:val="none"/>
        </w:rPr>
        <w:t>(</w:t>
      </w:r>
      <w:r>
        <w:rPr>
          <w:rFonts w:hint="eastAsia" w:ascii="宋体" w:hAnsi="宋体" w:eastAsia="宋体" w:cs="宋体"/>
          <w:sz w:val="24"/>
          <w:szCs w:val="24"/>
          <w:highlight w:val="none"/>
        </w:rPr>
        <w:t>包括检验检疫费等</w:t>
      </w:r>
      <w:r>
        <w:rPr>
          <w:rFonts w:ascii="宋体" w:hAnsi="宋体" w:eastAsia="宋体" w:cs="宋体"/>
          <w:sz w:val="24"/>
          <w:szCs w:val="24"/>
          <w:highlight w:val="none"/>
        </w:rPr>
        <w:t>)</w:t>
      </w:r>
      <w:r>
        <w:rPr>
          <w:rFonts w:hint="eastAsia" w:ascii="宋体" w:hAnsi="宋体" w:eastAsia="宋体" w:cs="宋体"/>
          <w:sz w:val="24"/>
          <w:szCs w:val="24"/>
          <w:highlight w:val="none"/>
        </w:rPr>
        <w:t>均由投标方承担。</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三、验收条件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验收一般分预验收和终验收两部分。预验收不赴乙方生产现场进行预验收，甲方审查质量/进度周报及设备厂家自检报告，对其中存在的质量问题甲方以联络函形式发送，并明确是否允许发货</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1.预验收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1.1预验收一般条件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1.1.2货物应完整，外观完整无损伤，货物标牌完整、清晰、明确。</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1.1.3货物的安全要求符合中国最新的相关法律、法规、标准和规范以及合同要求。 </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 预验收内容 </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1.2.1加工件外观无缺陷、无裂痕，材质无缺陷，坚固实用。</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1.2.2加工件表面无锋利边缘，焊缝无焊接缺陷。</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1.2.3卖方按标书及合同技术协议的货物清单对货物进行清点，按标书及技术协议中的技术指标如设备功能、测量参数、控制参数、精度等对设备及其附件进行检验，达到协议要求且双方签字确认后，预验收完成。</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1.2.4生产过程中及生产完成后到材料生产地点进行预验收，招投标双方按照合同约定执行了合同并经检验合格，则具备验收条件。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1.2.5双方参加，检查结构件、货架、托盘加工及处理情况。经招标方确认合格后方可包装、发运。</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1.2.6预验收过程中，由于投标方设计或制造等原因而出现的质量问题，招标方有权提出并请投标方返修，然后再次检查直至合格。</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1.2.7预验收合格后，发运前双方需签署预验收记录，但预验收合格的记录不能替代最终验收报告。</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2.终验收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2.1终验收一般条件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w:t>
      </w:r>
      <w:r>
        <w:rPr>
          <w:rFonts w:hint="eastAsia" w:ascii="宋体" w:hAnsi="宋体" w:eastAsia="宋体" w:cs="宋体"/>
          <w:sz w:val="24"/>
          <w:szCs w:val="24"/>
          <w:highlight w:val="none"/>
        </w:rPr>
        <w:t>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1.2</w:t>
      </w:r>
      <w:r>
        <w:rPr>
          <w:rFonts w:hint="eastAsia" w:ascii="宋体" w:hAnsi="宋体" w:eastAsia="宋体" w:cs="宋体"/>
          <w:sz w:val="24"/>
          <w:szCs w:val="24"/>
          <w:highlight w:val="none"/>
        </w:rPr>
        <w:t>货物安装调试完毕，并至少经过了验收要求的负荷试运行；投标方提出验收要求后，在连续1个月的生产周期内，设备故障率(因设备故障造成停线时间/总运行时间)在5%以下。</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1.3</w:t>
      </w:r>
      <w:r>
        <w:rPr>
          <w:rFonts w:hint="eastAsia" w:ascii="宋体" w:hAnsi="宋体" w:eastAsia="宋体" w:cs="宋体"/>
          <w:sz w:val="24"/>
          <w:szCs w:val="24"/>
          <w:highlight w:val="none"/>
        </w:rPr>
        <w:t>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1.5</w:t>
      </w:r>
      <w:r>
        <w:rPr>
          <w:rFonts w:hint="eastAsia" w:ascii="宋体" w:hAnsi="宋体" w:eastAsia="宋体" w:cs="宋体"/>
          <w:sz w:val="24"/>
          <w:szCs w:val="24"/>
          <w:highlight w:val="none"/>
        </w:rPr>
        <w:t>货物的润滑系统工作正常、可靠，润滑点易于到达。</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1.6</w:t>
      </w:r>
      <w:r>
        <w:rPr>
          <w:rFonts w:hint="eastAsia" w:ascii="宋体" w:hAnsi="宋体" w:eastAsia="宋体" w:cs="宋体"/>
          <w:sz w:val="24"/>
          <w:szCs w:val="24"/>
          <w:highlight w:val="none"/>
        </w:rPr>
        <w:t>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1.7</w:t>
      </w:r>
      <w:r>
        <w:rPr>
          <w:rFonts w:hint="eastAsia" w:ascii="宋体" w:hAnsi="宋体" w:eastAsia="宋体" w:cs="宋体"/>
          <w:sz w:val="24"/>
          <w:szCs w:val="24"/>
          <w:highlight w:val="none"/>
        </w:rPr>
        <w:t>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1.8</w:t>
      </w:r>
      <w:r>
        <w:rPr>
          <w:rFonts w:hint="eastAsia" w:ascii="宋体" w:hAnsi="宋体" w:eastAsia="宋体" w:cs="宋体"/>
          <w:sz w:val="24"/>
          <w:szCs w:val="24"/>
          <w:highlight w:val="none"/>
        </w:rPr>
        <w:t>货物标牌完整、清晰、明确。</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1.9</w:t>
      </w:r>
      <w:r>
        <w:rPr>
          <w:rFonts w:hint="eastAsia" w:ascii="宋体" w:hAnsi="宋体" w:eastAsia="宋体" w:cs="宋体"/>
          <w:sz w:val="24"/>
          <w:szCs w:val="24"/>
          <w:highlight w:val="none"/>
        </w:rPr>
        <w:t>地线联接和地极符合国际（</w:t>
      </w:r>
      <w:r>
        <w:rPr>
          <w:rFonts w:ascii="宋体" w:hAnsi="宋体" w:eastAsia="宋体" w:cs="宋体"/>
          <w:sz w:val="24"/>
          <w:szCs w:val="24"/>
          <w:highlight w:val="none"/>
        </w:rPr>
        <w:t>ISO/IEC</w:t>
      </w:r>
      <w:r>
        <w:rPr>
          <w:rFonts w:hint="eastAsia" w:ascii="宋体" w:hAnsi="宋体" w:eastAsia="宋体" w:cs="宋体"/>
          <w:sz w:val="24"/>
          <w:szCs w:val="24"/>
          <w:highlight w:val="none"/>
        </w:rPr>
        <w:t>）标准规范。</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1.10</w:t>
      </w:r>
      <w:r>
        <w:rPr>
          <w:rFonts w:hint="eastAsia" w:ascii="宋体" w:hAnsi="宋体" w:eastAsia="宋体" w:cs="宋体"/>
          <w:sz w:val="24"/>
          <w:szCs w:val="24"/>
          <w:highlight w:val="none"/>
        </w:rPr>
        <w:t>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2.1.11中标方提出终验收前1个月，需向招标方提供的技术文件资料：</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1）所有技术文件资料均为纸质文件3套和电子版文件（含3D和2D）3套（U盘），其中所有电子版文件必须使用国际通用软件以确保能在招标方的计算机中打开并进行编辑和修改。</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2）所有设备的数量、规格明细及可供制造或采购的图纸、标准；</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3）标的物的操作、维护和维修手册，以及液压、电气、润滑（气动）原理图；</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4）提供设施消耗电、气的详细资料；</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5）工装图纸（包括总成图、分总成图、部件图、零件图以及适用的标准等技术文件），投标方专利部分图纸，可提供简图；</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6）滑台的总图、装配安装图、部件图、零件图；</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7）外购件明细表及相应的供应商联系地址和使用维修说明书；</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8）易损件和备件明细表，当投标方认为必要时在提供货物的同时应提供必要数量的易损件和备件；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9）电动葫芦的使用说明书，维修手册；</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10）控制软件。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2.2终验收标准</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2.2.1投标方派专家到招标方现场进行安装调试和技术指导。所有设备由投标方负责安装、调试完成后，双方在生产地点进行最终验收。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2.2.2设备需连续空运转8小时没有任何故障，其中每间隔4小时允许有30分钟的暂停时间用以设备的检查。在空运转中，所有电器、液压系统需符合有关产品标准。超出以上规定时间，则重新开始计算。</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在连续的生产周期内，设备故障率(因设备故障造成停线时间/总运行时间)在</w:t>
      </w:r>
      <w:r>
        <w:rPr>
          <w:rFonts w:ascii="宋体" w:hAnsi="宋体" w:eastAsia="宋体" w:cs="宋体"/>
          <w:sz w:val="24"/>
          <w:szCs w:val="24"/>
          <w:highlight w:val="none"/>
        </w:rPr>
        <w:t>5</w:t>
      </w:r>
      <w:r>
        <w:rPr>
          <w:rFonts w:hint="eastAsia" w:ascii="宋体" w:hAnsi="宋体" w:eastAsia="宋体" w:cs="宋体"/>
          <w:sz w:val="24"/>
          <w:szCs w:val="24"/>
          <w:highlight w:val="none"/>
        </w:rPr>
        <w:t>%以下。在此期间保证现有线体生产的新车型至少有10辆份的测量数据且测量数据均满足尺寸精度要求。驾驶室总数量累计不得低于</w:t>
      </w:r>
      <w:r>
        <w:rPr>
          <w:rFonts w:ascii="宋体" w:hAnsi="宋体" w:eastAsia="宋体" w:cs="宋体"/>
          <w:sz w:val="24"/>
          <w:szCs w:val="24"/>
          <w:highlight w:val="none"/>
        </w:rPr>
        <w:t>20</w:t>
      </w:r>
      <w:r>
        <w:rPr>
          <w:rFonts w:hint="eastAsia" w:ascii="宋体" w:hAnsi="宋体" w:eastAsia="宋体" w:cs="宋体"/>
          <w:sz w:val="24"/>
          <w:szCs w:val="24"/>
          <w:highlight w:val="none"/>
        </w:rPr>
        <w:t>辆份并经过总装装配验证，装配无问题后视为达到申请验收标准。</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2.2.3最终验收期间若发现合同供货内容有质量问题或发现破损、缺陷和缺少零件，投标方应根据招标方要求免费更换零部件并解决问题，并且记录在终验收的报告中。</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2.2.4按合同要求验收，若投标方提供的标的内容、技术资料与合同中规定的内容有不符或缺少时，招标方有权要求更换及补偿。</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2.2.5投标方一旦中标，需向招标方提供的技术文件资料。</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2.2.6装配图、易损件2D零件图（若易损件需要加工型面，需增加提供3D图）、零件明细（内部标注易损件）。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2.2.7所有技术文件资料均为电子版文件（含3D和2D）3套（U盘）3套，纸质版文件3份，其中所有电子版文件必须使用国际通用软件以确保能在招标方的计算机中打开并进行编辑和修改。</w:t>
      </w:r>
    </w:p>
    <w:p>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8所配备的传感器等计量仪器、仪表配套合理，采用中国的法定计量单位，计量准确、灵敏可靠，能够实现预期的技术要求。</w:t>
      </w:r>
    </w:p>
    <w:p>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9控制系统运行稳定可靠，能够实现前述远程控制、状态监测、故障报警等功能。</w:t>
      </w:r>
    </w:p>
    <w:p>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10试运行期间或之后无维修、调整等行为（特殊情况除外）。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11验收原则上要求一次完成。若一次验收不成功，最多允许两次；如果出现第三次验收失败，重新作价或退货。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12验收通过后买卖双方共同签署验收报告，并移交、核对全部供货范围内物品。</w:t>
      </w:r>
    </w:p>
    <w:p>
      <w:pPr>
        <w:topLinePunct/>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3.技术培训</w:t>
      </w:r>
    </w:p>
    <w:p>
      <w:pPr>
        <w:topLinePunct/>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3.1在预验收和终验收期间，投标方应派有经验的专家对招标方相关人员进行理论和实际操作的培训，并提供成套培训资料，所有培训应是免费的。</w:t>
      </w:r>
    </w:p>
    <w:p>
      <w:pPr>
        <w:rPr>
          <w:rFonts w:hint="eastAsia" w:ascii="黑体" w:hAnsi="等线" w:eastAsia="黑体" w:cs="Times New Roman"/>
          <w:sz w:val="24"/>
          <w:szCs w:val="24"/>
          <w:highlight w:val="none"/>
        </w:rPr>
      </w:pPr>
      <w:bookmarkStart w:id="116" w:name="_Toc9658384"/>
      <w:r>
        <w:rPr>
          <w:rFonts w:ascii="黑体" w:hAnsi="等线" w:eastAsia="黑体" w:cs="Times New Roman"/>
          <w:sz w:val="24"/>
          <w:szCs w:val="24"/>
          <w:highlight w:val="none"/>
        </w:rPr>
        <w:br w:type="page"/>
      </w:r>
    </w:p>
    <w:p>
      <w:pPr>
        <w:keepNext/>
        <w:keepLines/>
        <w:spacing w:before="120" w:after="120" w:line="360" w:lineRule="auto"/>
        <w:jc w:val="center"/>
        <w:outlineLvl w:val="0"/>
        <w:rPr>
          <w:rFonts w:hint="eastAsia" w:ascii="宋体" w:hAnsi="宋体" w:eastAsia="等线" w:cs="宋体"/>
          <w:kern w:val="44"/>
          <w:sz w:val="28"/>
          <w:szCs w:val="28"/>
          <w:highlight w:val="none"/>
        </w:rPr>
      </w:pPr>
      <w:bookmarkStart w:id="117" w:name="_Toc10390"/>
      <w:r>
        <w:rPr>
          <w:rFonts w:hint="eastAsia" w:ascii="宋体" w:hAnsi="宋体" w:eastAsia="等线" w:cs="宋体"/>
          <w:kern w:val="44"/>
          <w:sz w:val="28"/>
          <w:szCs w:val="28"/>
          <w:highlight w:val="none"/>
        </w:rPr>
        <w:t>第六章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投标技术文件一般要求</w:t>
      </w:r>
      <w:bookmarkEnd w:id="116"/>
      <w:bookmarkEnd w:id="117"/>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一、技术文件一般内容要求</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6.1  </w:t>
      </w:r>
      <w:r>
        <w:rPr>
          <w:rFonts w:hint="eastAsia" w:ascii="宋体" w:hAnsi="宋体" w:eastAsia="宋体" w:cs="宋体"/>
          <w:sz w:val="24"/>
          <w:szCs w:val="24"/>
          <w:highlight w:val="none"/>
        </w:rPr>
        <w:t>投标货物配置一览表：</w:t>
      </w:r>
    </w:p>
    <w:p>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投标货物配置一览表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4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bl>
    <w:p>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6.2  </w:t>
      </w:r>
      <w:r>
        <w:rPr>
          <w:rFonts w:hint="eastAsia" w:ascii="宋体" w:hAnsi="宋体" w:eastAsia="宋体" w:cs="宋体"/>
          <w:sz w:val="24"/>
          <w:szCs w:val="24"/>
          <w:highlight w:val="none"/>
        </w:rPr>
        <w:t>备品备件、易损件和专用耗材明细表：</w:t>
      </w:r>
    </w:p>
    <w:p>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4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highlight w:val="none"/>
              </w:rPr>
            </w:pPr>
          </w:p>
        </w:tc>
        <w:tc>
          <w:tcPr>
            <w:tcW w:w="1924" w:type="dxa"/>
          </w:tcPr>
          <w:p>
            <w:pPr>
              <w:adjustRightInd w:val="0"/>
              <w:snapToGrid w:val="0"/>
              <w:spacing w:line="360" w:lineRule="auto"/>
              <w:rPr>
                <w:rFonts w:hint="eastAsia" w:ascii="宋体" w:hAnsi="宋体" w:eastAsia="宋体" w:cs="宋体"/>
                <w:sz w:val="24"/>
                <w:szCs w:val="24"/>
                <w:highlight w:val="none"/>
              </w:rPr>
            </w:pPr>
          </w:p>
        </w:tc>
        <w:tc>
          <w:tcPr>
            <w:tcW w:w="1236" w:type="dxa"/>
          </w:tcPr>
          <w:p>
            <w:pPr>
              <w:adjustRightInd w:val="0"/>
              <w:snapToGrid w:val="0"/>
              <w:spacing w:line="360" w:lineRule="auto"/>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720" w:type="dxa"/>
          </w:tcPr>
          <w:p>
            <w:pPr>
              <w:adjustRightInd w:val="0"/>
              <w:snapToGrid w:val="0"/>
              <w:spacing w:line="360" w:lineRule="auto"/>
              <w:jc w:val="center"/>
              <w:rPr>
                <w:rFonts w:hint="eastAsia" w:ascii="宋体" w:hAnsi="宋体" w:eastAsia="宋体" w:cs="宋体"/>
                <w:sz w:val="24"/>
                <w:szCs w:val="24"/>
                <w:highlight w:val="none"/>
              </w:rPr>
            </w:pPr>
          </w:p>
        </w:tc>
        <w:tc>
          <w:tcPr>
            <w:tcW w:w="2235" w:type="dxa"/>
          </w:tcPr>
          <w:p>
            <w:pPr>
              <w:adjustRightInd w:val="0"/>
              <w:snapToGrid w:val="0"/>
              <w:spacing w:line="360" w:lineRule="auto"/>
              <w:rPr>
                <w:rFonts w:hint="eastAsia" w:ascii="宋体" w:hAnsi="宋体" w:eastAsia="宋体" w:cs="宋体"/>
                <w:sz w:val="24"/>
                <w:szCs w:val="24"/>
                <w:highlight w:val="none"/>
              </w:rPr>
            </w:pPr>
          </w:p>
        </w:tc>
      </w:tr>
    </w:tbl>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6.3  </w:t>
      </w:r>
      <w:r>
        <w:rPr>
          <w:rFonts w:hint="eastAsia" w:ascii="宋体" w:hAnsi="宋体" w:eastAsia="宋体" w:cs="宋体"/>
          <w:sz w:val="24"/>
          <w:szCs w:val="24"/>
          <w:highlight w:val="none"/>
        </w:rPr>
        <w:t>“一览表”和“明细表”仅作为投标方编制投标技术文件的一般格式。其中序号编写应当便于招标方了解分类或分项货物之间的所属关系，如</w:t>
      </w:r>
      <w:r>
        <w:rPr>
          <w:rFonts w:ascii="宋体" w:hAnsi="宋体" w:eastAsia="宋体" w:cs="宋体"/>
          <w:sz w:val="24"/>
          <w:szCs w:val="24"/>
          <w:highlight w:val="none"/>
        </w:rPr>
        <w:t>1</w:t>
      </w:r>
      <w:r>
        <w:rPr>
          <w:rFonts w:hint="eastAsia" w:ascii="宋体" w:hAnsi="宋体" w:eastAsia="宋体" w:cs="宋体"/>
          <w:sz w:val="24"/>
          <w:szCs w:val="24"/>
          <w:highlight w:val="none"/>
        </w:rPr>
        <w:t>、</w:t>
      </w:r>
      <w:r>
        <w:rPr>
          <w:rFonts w:ascii="宋体" w:hAnsi="宋体" w:eastAsia="宋体" w:cs="宋体"/>
          <w:sz w:val="24"/>
          <w:szCs w:val="24"/>
          <w:highlight w:val="none"/>
        </w:rPr>
        <w:t>1.1</w:t>
      </w:r>
      <w:r>
        <w:rPr>
          <w:rFonts w:hint="eastAsia" w:ascii="宋体" w:hAnsi="宋体" w:eastAsia="宋体" w:cs="宋体"/>
          <w:sz w:val="24"/>
          <w:szCs w:val="24"/>
          <w:highlight w:val="none"/>
        </w:rPr>
        <w:t>、</w:t>
      </w:r>
      <w:r>
        <w:rPr>
          <w:rFonts w:ascii="宋体" w:hAnsi="宋体" w:eastAsia="宋体" w:cs="宋体"/>
          <w:sz w:val="24"/>
          <w:szCs w:val="24"/>
          <w:highlight w:val="none"/>
        </w:rPr>
        <w:t>1.2</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6.4  </w:t>
      </w:r>
      <w:r>
        <w:rPr>
          <w:rFonts w:hint="eastAsia" w:ascii="宋体" w:hAnsi="宋体" w:eastAsia="宋体" w:cs="宋体"/>
          <w:sz w:val="24"/>
          <w:szCs w:val="24"/>
          <w:highlight w:val="none"/>
        </w:rPr>
        <w:t>应当尽可能将货物的配置列全、列细，这将有助于投标方胜出。</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6.5  </w:t>
      </w:r>
      <w:r>
        <w:rPr>
          <w:rFonts w:hint="eastAsia" w:ascii="宋体" w:hAnsi="宋体" w:eastAsia="宋体" w:cs="宋体"/>
          <w:sz w:val="24"/>
          <w:szCs w:val="24"/>
          <w:highlight w:val="none"/>
        </w:rPr>
        <w:t>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6.6  </w:t>
      </w:r>
      <w:r>
        <w:rPr>
          <w:rFonts w:hint="eastAsia" w:ascii="宋体" w:hAnsi="宋体" w:eastAsia="宋体" w:cs="宋体"/>
          <w:sz w:val="24"/>
          <w:szCs w:val="24"/>
          <w:highlight w:val="none"/>
        </w:rPr>
        <w:t>本条款表格中的制造商，应当为全称或公认的简称。</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二、技术文件中货物报价格式要求</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、货物配置一览表合计价以及备品备件、易损件和专用耗材明细表合计价应当在投标总报价内对应重现而且应当数据准确。</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其中，质保期之内需要的备品备件、易损件和专用耗材，需要在配置一览表内单独分类列出并计入货物配置一览表合计价。</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、投标总报价为自合同签定生效至合同无异议执行完毕涉及的招标方需要支付的全部费用。如投标方认为本招标及投标货物涉及特需或专门的设计，应当单独列明设计费。</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pPr>
        <w:rPr>
          <w:rFonts w:hint="eastAsia" w:ascii="黑体" w:hAnsi="等线" w:eastAsia="黑体" w:cs="Times New Roman"/>
          <w:sz w:val="24"/>
          <w:szCs w:val="24"/>
          <w:highlight w:val="none"/>
        </w:rPr>
      </w:pPr>
      <w:bookmarkStart w:id="118" w:name="_Toc9658385"/>
      <w:r>
        <w:rPr>
          <w:rFonts w:ascii="黑体" w:hAnsi="等线" w:eastAsia="黑体" w:cs="Times New Roman"/>
          <w:sz w:val="24"/>
          <w:szCs w:val="24"/>
          <w:highlight w:val="none"/>
        </w:rPr>
        <w:br w:type="page"/>
      </w:r>
    </w:p>
    <w:p>
      <w:pPr>
        <w:keepNext/>
        <w:keepLines/>
        <w:spacing w:before="120" w:after="120" w:line="360" w:lineRule="auto"/>
        <w:jc w:val="center"/>
        <w:outlineLvl w:val="0"/>
        <w:rPr>
          <w:rFonts w:hint="eastAsia" w:ascii="宋体" w:hAnsi="宋体" w:eastAsia="等线" w:cs="宋体"/>
          <w:kern w:val="44"/>
          <w:sz w:val="28"/>
          <w:szCs w:val="28"/>
          <w:highlight w:val="none"/>
        </w:rPr>
      </w:pPr>
      <w:bookmarkStart w:id="119" w:name="_Toc5478"/>
      <w:r>
        <w:rPr>
          <w:rFonts w:hint="eastAsia" w:ascii="宋体" w:hAnsi="宋体" w:eastAsia="等线" w:cs="宋体"/>
          <w:kern w:val="44"/>
          <w:sz w:val="28"/>
          <w:szCs w:val="28"/>
          <w:highlight w:val="none"/>
        </w:rPr>
        <w:t>第七章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其它要求及说明</w:t>
      </w:r>
      <w:bookmarkEnd w:id="118"/>
      <w:bookmarkEnd w:id="119"/>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一、要求</w:t>
      </w:r>
    </w:p>
    <w:p>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highlight w:val="none"/>
        </w:rPr>
        <w:t>/</w:t>
      </w:r>
      <w:r>
        <w:rPr>
          <w:rFonts w:hint="eastAsia" w:ascii="宋体" w:hAnsi="宋体" w:eastAsia="宋体" w:cs="宋体"/>
          <w:sz w:val="24"/>
          <w:szCs w:val="24"/>
          <w:highlight w:val="none"/>
        </w:rPr>
        <w:t>柴油加热方式）、相关案例的验收检测报告，并保证其真实性和有效性。</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、投标方应当是通过有关资格认证的法人。应当在投标文件中提供有效期内的资格认证证书，如：</w:t>
      </w:r>
      <w:r>
        <w:rPr>
          <w:rFonts w:ascii="宋体" w:hAnsi="宋体" w:eastAsia="宋体" w:cs="宋体"/>
          <w:sz w:val="24"/>
          <w:szCs w:val="24"/>
          <w:highlight w:val="none"/>
        </w:rPr>
        <w:t>ISO9001</w:t>
      </w:r>
      <w:r>
        <w:rPr>
          <w:rFonts w:hint="eastAsia" w:ascii="宋体" w:hAnsi="宋体" w:eastAsia="宋体" w:cs="宋体"/>
          <w:sz w:val="24"/>
          <w:szCs w:val="24"/>
          <w:highlight w:val="none"/>
        </w:rPr>
        <w:t>、</w:t>
      </w:r>
      <w:r>
        <w:rPr>
          <w:rFonts w:ascii="宋体" w:hAnsi="宋体" w:eastAsia="宋体" w:cs="宋体"/>
          <w:sz w:val="24"/>
          <w:szCs w:val="24"/>
          <w:highlight w:val="none"/>
        </w:rPr>
        <w:t>VDA6.1</w:t>
      </w:r>
      <w:r>
        <w:rPr>
          <w:rFonts w:hint="eastAsia" w:ascii="宋体" w:hAnsi="宋体" w:eastAsia="宋体" w:cs="宋体"/>
          <w:sz w:val="24"/>
          <w:szCs w:val="24"/>
          <w:highlight w:val="none"/>
        </w:rPr>
        <w:t>、</w:t>
      </w:r>
      <w:r>
        <w:rPr>
          <w:rFonts w:ascii="宋体" w:hAnsi="宋体" w:eastAsia="宋体" w:cs="宋体"/>
          <w:sz w:val="24"/>
          <w:szCs w:val="24"/>
          <w:highlight w:val="none"/>
        </w:rPr>
        <w:t>QS9000</w:t>
      </w:r>
      <w:r>
        <w:rPr>
          <w:rFonts w:hint="eastAsia" w:ascii="宋体" w:hAnsi="宋体" w:eastAsia="宋体" w:cs="宋体"/>
          <w:sz w:val="24"/>
          <w:szCs w:val="24"/>
          <w:highlight w:val="none"/>
        </w:rPr>
        <w:t>等。</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、国产设备应附有采购货物（或设备）涉及的由“中国质量认证中心”颁发的《中国国家强制性产品认证证书》（</w:t>
      </w:r>
      <w:r>
        <w:rPr>
          <w:rFonts w:ascii="宋体" w:hAnsi="宋体" w:eastAsia="宋体" w:cs="宋体"/>
          <w:sz w:val="24"/>
          <w:szCs w:val="24"/>
          <w:highlight w:val="none"/>
        </w:rPr>
        <w:t>CCC</w:t>
      </w:r>
      <w:r>
        <w:rPr>
          <w:rFonts w:hint="eastAsia" w:ascii="宋体" w:hAnsi="宋体" w:eastAsia="宋体" w:cs="宋体"/>
          <w:sz w:val="24"/>
          <w:szCs w:val="24"/>
          <w:highlight w:val="none"/>
        </w:rPr>
        <w:t>证书）。</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、应附有其它与投标单位、采购货物有关的荣誉证书或资料。</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5.1</w:t>
      </w:r>
      <w:r>
        <w:rPr>
          <w:rFonts w:hint="eastAsia" w:ascii="宋体" w:hAnsi="宋体" w:eastAsia="宋体" w:cs="宋体"/>
          <w:sz w:val="24"/>
          <w:szCs w:val="24"/>
          <w:highlight w:val="none"/>
        </w:rPr>
        <w:t>国家相关机构颁发的有效期之内所必需的《生产许可证》。</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5.2</w:t>
      </w:r>
      <w:r>
        <w:rPr>
          <w:rFonts w:hint="eastAsia" w:ascii="宋体" w:hAnsi="宋体" w:eastAsia="宋体" w:cs="宋体"/>
          <w:sz w:val="24"/>
          <w:szCs w:val="24"/>
          <w:highlight w:val="none"/>
        </w:rPr>
        <w:t>产品（或技术）鉴定报告</w:t>
      </w:r>
      <w:r>
        <w:rPr>
          <w:rFonts w:ascii="宋体" w:hAnsi="宋体" w:eastAsia="宋体" w:cs="宋体"/>
          <w:sz w:val="24"/>
          <w:szCs w:val="24"/>
          <w:highlight w:val="none"/>
        </w:rPr>
        <w:t>/</w:t>
      </w:r>
      <w:r>
        <w:rPr>
          <w:rFonts w:hint="eastAsia" w:ascii="宋体" w:hAnsi="宋体" w:eastAsia="宋体" w:cs="宋体"/>
          <w:sz w:val="24"/>
          <w:szCs w:val="24"/>
          <w:highlight w:val="none"/>
        </w:rPr>
        <w:t>证书、专利证书或专利许可证书、新技术成果证书等。</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5.3</w:t>
      </w:r>
      <w:r>
        <w:rPr>
          <w:rFonts w:hint="eastAsia" w:ascii="宋体" w:hAnsi="宋体" w:eastAsia="宋体" w:cs="宋体"/>
          <w:sz w:val="24"/>
          <w:szCs w:val="24"/>
          <w:highlight w:val="none"/>
        </w:rPr>
        <w:t>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5.4</w:t>
      </w:r>
      <w:r>
        <w:rPr>
          <w:rFonts w:hint="eastAsia" w:ascii="宋体" w:hAnsi="宋体" w:eastAsia="宋体" w:cs="宋体"/>
          <w:sz w:val="24"/>
          <w:szCs w:val="24"/>
          <w:highlight w:val="none"/>
        </w:rPr>
        <w:t>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5.5</w:t>
      </w:r>
      <w:r>
        <w:rPr>
          <w:rFonts w:hint="eastAsia" w:ascii="宋体" w:hAnsi="宋体" w:eastAsia="宋体" w:cs="宋体"/>
          <w:sz w:val="24"/>
          <w:szCs w:val="24"/>
          <w:highlight w:val="none"/>
        </w:rPr>
        <w:t>该类报告或证明材料对于投标方胜出乃至中标极为重要！</w:t>
      </w:r>
    </w:p>
    <w:p>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二、说明</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、招标文件、投标文件、答疑文件、技术交流文件、技术协议书等，在采购过程全部为有效文件，如有差异，以对招标方最有利的条款为准。</w:t>
      </w:r>
    </w:p>
    <w:p>
      <w:pPr>
        <w:spacing w:line="360" w:lineRule="auto"/>
        <w:ind w:firstLine="480" w:firstLineChars="200"/>
        <w:rPr>
          <w:rFonts w:hint="eastAsia" w:hAnsi="宋体" w:eastAsia="宋体" w:cs="Times New Roman"/>
          <w:b/>
          <w:color w:val="000000"/>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、为避免歧异，本技术标书涉及招投标环节的条款，均将潜在的卖方称为投标方、将买方称为招标方；定标后合同签署环节以及后续的合同执行环节条款，招标方称为买方、投标方中的中标方称为卖方。</w:t>
      </w:r>
    </w:p>
    <w:bookmarkEnd w:id="101"/>
    <w:p>
      <w:pPr>
        <w:rPr>
          <w:rFonts w:hint="eastAsia" w:hAnsi="宋体" w:eastAsia="宋体" w:cs="Times New Roman"/>
          <w:b/>
          <w:color w:val="000000"/>
          <w:sz w:val="24"/>
          <w:szCs w:val="24"/>
          <w:highlight w:val="none"/>
        </w:rPr>
      </w:pPr>
    </w:p>
    <w:p>
      <w:pPr>
        <w:rPr>
          <w:rFonts w:hint="eastAsia" w:eastAsia="仿宋_GB2312"/>
          <w:lang w:val="en-US" w:eastAsia="zh-CN"/>
        </w:rPr>
      </w:pPr>
    </w:p>
    <w:p>
      <w:pPr>
        <w:rPr>
          <w:rFonts w:hint="eastAsia"/>
        </w:rPr>
      </w:pPr>
      <w:r>
        <w:rPr>
          <w:rFonts w:hint="eastAsia"/>
        </w:rPr>
        <w:br w:type="page"/>
      </w:r>
    </w:p>
    <w:p>
      <w:pPr>
        <w:pStyle w:val="22"/>
      </w:pPr>
    </w:p>
    <w:p>
      <w:pPr>
        <w:spacing w:line="360" w:lineRule="auto"/>
        <w:jc w:val="center"/>
        <w:outlineLvl w:val="0"/>
        <w:rPr>
          <w:rFonts w:ascii="宋体" w:hAnsi="Calibri" w:eastAsia="宋体" w:cs="Times New Roman"/>
          <w:b/>
          <w:sz w:val="36"/>
          <w:szCs w:val="36"/>
        </w:rPr>
      </w:pPr>
      <w:bookmarkStart w:id="120"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20"/>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21" w:name="_Toc8509"/>
      <w:bookmarkStart w:id="122" w:name="_Toc15851"/>
      <w:bookmarkStart w:id="123"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1"/>
      <w:bookmarkEnd w:id="122"/>
      <w:bookmarkEnd w:id="123"/>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0"/>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1"/>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2"/>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3"/>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4"/>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5"/>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1"/>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2"/>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3"/>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4"/>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5"/>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43C2A2C"/>
    <w:multiLevelType w:val="multilevel"/>
    <w:tmpl w:val="343C2A2C"/>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F170FA9"/>
    <w:multiLevelType w:val="singleLevel"/>
    <w:tmpl w:val="4F170FA9"/>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abstractNum w:abstractNumId="12">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9"/>
  </w:num>
  <w:num w:numId="2">
    <w:abstractNumId w:val="10"/>
  </w:num>
  <w:num w:numId="3">
    <w:abstractNumId w:val="11"/>
  </w:num>
  <w:num w:numId="4">
    <w:abstractNumId w:val="4"/>
  </w:num>
  <w:num w:numId="5">
    <w:abstractNumId w:val="3"/>
  </w:num>
  <w:num w:numId="6">
    <w:abstractNumId w:val="7"/>
  </w:num>
  <w:num w:numId="7">
    <w:abstractNumId w:val="1"/>
  </w:num>
  <w:num w:numId="8">
    <w:abstractNumId w:val="5"/>
  </w:num>
  <w:num w:numId="9">
    <w:abstractNumId w:val="0"/>
  </w:num>
  <w:num w:numId="10">
    <w:abstractNumId w:val="2"/>
  </w:num>
  <w:num w:numId="11">
    <w:abstractNumId w:val="8"/>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37562C"/>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AD3430"/>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7D2A2B"/>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90C0D"/>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14AE8"/>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3D5577"/>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200EFB"/>
    <w:rsid w:val="5D8D085B"/>
    <w:rsid w:val="5D9539D7"/>
    <w:rsid w:val="5DBF6C59"/>
    <w:rsid w:val="5DE578F6"/>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4CE5958"/>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71ED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5D6FCC"/>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1FE4DB4"/>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5E4DBC"/>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6.png"/><Relationship Id="rId64" Type="http://schemas.openxmlformats.org/officeDocument/2006/relationships/image" Target="media/image25.pn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jpeg"/><Relationship Id="rId47" Type="http://schemas.openxmlformats.org/officeDocument/2006/relationships/image" Target="media/image8.jpeg"/><Relationship Id="rId46" Type="http://schemas.openxmlformats.org/officeDocument/2006/relationships/image" Target="media/image7.png"/><Relationship Id="rId45" Type="http://schemas.openxmlformats.org/officeDocument/2006/relationships/image" Target="media/image6.jpe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jpe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89</Pages>
  <Words>9726</Words>
  <Characters>10320</Characters>
  <Lines>371</Lines>
  <Paragraphs>104</Paragraphs>
  <TotalTime>2</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2025-11-24T08:59:30Z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