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000000"/>
          <w:sz w:val="30"/>
          <w:szCs w:val="30"/>
        </w:rPr>
      </w:pPr>
    </w:p>
    <w:p>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统帅右置驾驶室车型模检具改制项目</w:t>
      </w:r>
    </w:p>
    <w:p>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pStyle w:val="22"/>
        <w:rPr>
          <w:rFonts w:hint="eastAsia" w:ascii="仿宋_GB2312" w:hAnsi="仿宋_GB2312" w:eastAsia="仿宋_GB2312" w:cs="仿宋_GB2312"/>
        </w:rPr>
      </w:pPr>
    </w:p>
    <w:p>
      <w:pPr>
        <w:jc w:val="right"/>
        <w:rPr>
          <w:rFonts w:hint="eastAsia" w:ascii="仿宋_GB2312" w:hAnsi="仿宋_GB2312" w:eastAsia="仿宋_GB2312" w:cs="仿宋_GB2312"/>
          <w:color w:val="000000"/>
          <w:sz w:val="28"/>
          <w:szCs w:val="28"/>
        </w:rPr>
      </w:pP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pPr>
        <w:jc w:val="center"/>
        <w:rPr>
          <w:rFonts w:hint="eastAsia" w:ascii="仿宋_GB2312" w:hAnsi="仿宋_GB2312" w:eastAsia="仿宋_GB2312" w:cs="仿宋_GB2312"/>
          <w:color w:val="000000"/>
          <w:sz w:val="72"/>
          <w:szCs w:val="72"/>
        </w:rPr>
      </w:pPr>
    </w:p>
    <w:p>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pPr>
        <w:spacing w:line="860" w:lineRule="exact"/>
        <w:rPr>
          <w:rFonts w:hint="eastAsia" w:ascii="仿宋_GB2312" w:hAnsi="仿宋_GB2312" w:eastAsia="仿宋_GB2312" w:cs="仿宋_GB2312"/>
          <w:b/>
          <w:bCs/>
          <w:sz w:val="32"/>
          <w:szCs w:val="28"/>
        </w:rPr>
      </w:pPr>
    </w:p>
    <w:p>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pPr>
        <w:pStyle w:val="22"/>
        <w:rPr>
          <w:rFonts w:hint="eastAsia" w:ascii="仿宋_GB2312" w:hAnsi="仿宋_GB2312" w:eastAsia="仿宋_GB2312" w:cs="仿宋_GB2312"/>
          <w:b/>
          <w:bCs/>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center"/>
        <w:rPr>
          <w:rFonts w:hint="eastAsia" w:ascii="仿宋_GB2312" w:hAnsi="仿宋_GB2312" w:eastAsia="仿宋_GB2312" w:cs="仿宋_GB2312"/>
          <w:color w:val="000000"/>
          <w:sz w:val="28"/>
          <w:szCs w:val="28"/>
        </w:rPr>
      </w:pPr>
    </w:p>
    <w:p>
      <w:pPr>
        <w:spacing w:line="360" w:lineRule="auto"/>
        <w:jc w:val="both"/>
        <w:rPr>
          <w:rFonts w:hint="eastAsia" w:ascii="仿宋_GB2312" w:hAnsi="仿宋_GB2312" w:eastAsia="仿宋_GB2312" w:cs="仿宋_GB2312"/>
          <w:color w:val="000000"/>
          <w:sz w:val="28"/>
          <w:szCs w:val="28"/>
        </w:rPr>
      </w:pPr>
    </w:p>
    <w:p>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：中国重汽集团济南商用车有限公司轻卡制造公司</w:t>
      </w:r>
    </w:p>
    <w:p>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pPr>
            <w:pStyle w:val="17"/>
            <w:rPr>
              <w:rFonts w:hint="eastAsia"/>
            </w:rPr>
          </w:pPr>
        </w:p>
        <w:p>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2"/>
        <w:rPr>
          <w:rFonts w:hint="eastAsia" w:ascii="仿宋_GB2312" w:hAnsi="仿宋_GB2312" w:eastAsia="仿宋_GB2312" w:cs="仿宋_GB2312"/>
          <w:b/>
          <w:bCs/>
          <w:kern w:val="44"/>
          <w:sz w:val="36"/>
          <w:szCs w:val="44"/>
        </w:rPr>
      </w:pPr>
    </w:p>
    <w:p>
      <w:pPr>
        <w:pStyle w:val="2"/>
        <w:jc w:val="both"/>
        <w:rPr>
          <w:rFonts w:hint="eastAsia" w:ascii="仿宋_GB2312" w:hAnsi="仿宋_GB2312" w:eastAsia="仿宋_GB2312" w:cs="仿宋_GB2312"/>
          <w:sz w:val="44"/>
        </w:rPr>
      </w:pPr>
      <w:bookmarkStart w:id="0" w:name="_Toc5202"/>
      <w:bookmarkStart w:id="1" w:name="_Toc22242"/>
      <w:bookmarkStart w:id="2" w:name="_Toc29994"/>
      <w:bookmarkStart w:id="3" w:name="_Toc23693"/>
      <w:bookmarkStart w:id="4" w:name="_Toc15480"/>
    </w:p>
    <w:p>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项目名称：统帅右置驾驶室车型模检具改制项目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项目编号：FSCZB2025110243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招标内容：开发统帅（1880/2080）右置车型。需改制模具4套，改制检具1套。</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招标人名称：中国重汽集团济南商用车有限公司轻卡制造公司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招标人地址：山东省济南市章丘区潘王路11号</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杨淑超</w:t>
            </w:r>
          </w:p>
          <w:p>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电话：1786060</w:t>
            </w:r>
            <w:r>
              <w:rPr>
                <w:rFonts w:hint="eastAsia" w:ascii="仿宋_GB2312" w:hAnsi="仿宋_GB2312" w:eastAsia="仿宋_GB2312" w:cs="仿宋_GB2312"/>
                <w:b/>
                <w:snapToGrid w:val="0"/>
                <w:kern w:val="0"/>
                <w:sz w:val="24"/>
                <w:szCs w:val="24"/>
                <w:highlight w:val="none"/>
                <w:lang w:val="en-US" w:eastAsia="zh-CN"/>
              </w:rPr>
              <w:t>5820</w:t>
            </w:r>
          </w:p>
          <w:p>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邮箱：yangshuchao@sinotruk.com</w:t>
            </w:r>
          </w:p>
          <w:p>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喻新</w:t>
            </w:r>
          </w:p>
          <w:p>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电话：17398245138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10.74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拟投标人必须是在中华人民共和国境内注册的独立法人机构，具有独立承担民事责任能力；注册资金不少于</w:t>
            </w:r>
            <w:r>
              <w:rPr>
                <w:rFonts w:hint="eastAsia" w:ascii="仿宋_GB2312" w:hAnsi="仿宋_GB2312" w:eastAsia="仿宋_GB2312" w:cs="仿宋_GB2312"/>
                <w:color w:val="000000"/>
                <w:sz w:val="24"/>
                <w:szCs w:val="24"/>
                <w:lang w:val="en-US" w:eastAsia="zh-CN"/>
              </w:rPr>
              <w:t>500</w:t>
            </w:r>
            <w:r>
              <w:rPr>
                <w:rFonts w:hint="eastAsia" w:ascii="仿宋_GB2312" w:hAnsi="仿宋_GB2312" w:eastAsia="仿宋_GB2312" w:cs="仿宋_GB2312"/>
                <w:color w:val="000000"/>
                <w:sz w:val="24"/>
                <w:szCs w:val="24"/>
              </w:rPr>
              <w:t>万人民币（或等值其他货币）；公司成立三年以上（以营业执照成立日期到开标当日满三年为准），且经营范围</w:t>
            </w:r>
            <w:r>
              <w:rPr>
                <w:rFonts w:hint="eastAsia" w:ascii="仿宋_GB2312" w:hAnsi="仿宋_GB2312" w:eastAsia="仿宋_GB2312" w:cs="仿宋_GB2312"/>
                <w:color w:val="000000"/>
                <w:sz w:val="24"/>
                <w:szCs w:val="24"/>
                <w:lang w:val="en-US" w:eastAsia="zh-CN"/>
              </w:rPr>
              <w:t>符合项目要求</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并在人员、设备、资金等方面具有承担本项目的能力</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且</w:t>
            </w:r>
            <w:r>
              <w:rPr>
                <w:rFonts w:hint="eastAsia" w:ascii="仿宋_GB2312" w:hAnsi="仿宋_GB2312" w:eastAsia="仿宋_GB2312" w:cs="仿宋_GB2312"/>
                <w:color w:val="000000"/>
                <w:sz w:val="24"/>
                <w:szCs w:val="24"/>
              </w:rPr>
              <w:t>满足技术、质量、资金等要求，财务状况良好、经营稳定，具有全面履约的能力，能提供相关信用等级和完税证明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拟</w:t>
            </w:r>
            <w:r>
              <w:rPr>
                <w:rFonts w:hint="eastAsia" w:ascii="仿宋_GB2312" w:hAnsi="仿宋_GB2312" w:eastAsia="仿宋_GB2312" w:cs="仿宋_GB2312"/>
                <w:color w:val="000000"/>
                <w:sz w:val="24"/>
                <w:szCs w:val="24"/>
                <w:lang w:eastAsia="zh-CN"/>
              </w:rPr>
              <w:t>投标人为该标的物的设计和制造商或其在中国境内有完善的技术以及售后服务体系，该项目不允许代理商参标。</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拟投标人应提供营业执照副本原件和扫描件（需盖章）；</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3.拟投标人应提供法定代表人资格证明文件；</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4.拟投标人在“国家企业信用信息公示系统”、“中国执行信息公开网”、“信用中国”、“天眼查”“裁判文书网”等信息平台中，无行政处罚及失信记录等信息；</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5.拟投标人不存在严重违规或被列入招标人“黑名单”的声明；</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6.拟投标人</w:t>
            </w:r>
            <w:r>
              <w:rPr>
                <w:rFonts w:hint="eastAsia" w:ascii="仿宋_GB2312" w:hAnsi="仿宋_GB2312" w:eastAsia="仿宋_GB2312" w:cs="仿宋_GB2312"/>
                <w:color w:val="000000"/>
                <w:sz w:val="24"/>
                <w:szCs w:val="24"/>
                <w:lang w:eastAsia="zh-CN"/>
              </w:rPr>
              <w:t>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w:t>
            </w:r>
            <w:r>
              <w:rPr>
                <w:rFonts w:hint="eastAsia" w:ascii="仿宋_GB2312" w:hAnsi="仿宋_GB2312" w:eastAsia="仿宋_GB2312" w:cs="仿宋_GB2312"/>
                <w:color w:val="000000"/>
                <w:sz w:val="24"/>
                <w:szCs w:val="24"/>
              </w:rPr>
              <w:t>至今经会计师事务所审计且出具无保留意见的财务审计报告，并加盖公章，包括但不限于报告页、经审计的资产负债表、利润表、现金流量表及报表附注（如投标人公司没有经审计的财务报告，可提供加盖公章的近</w:t>
            </w:r>
            <w:r>
              <w:rPr>
                <w:rFonts w:hint="eastAsia" w:ascii="仿宋_GB2312" w:hAnsi="仿宋_GB2312" w:eastAsia="仿宋_GB2312" w:cs="仿宋_GB2312"/>
                <w:color w:val="000000"/>
                <w:sz w:val="24"/>
                <w:szCs w:val="24"/>
                <w:lang w:val="en-US" w:eastAsia="zh-CN"/>
              </w:rPr>
              <w:t>三</w:t>
            </w:r>
            <w:r>
              <w:rPr>
                <w:rFonts w:hint="eastAsia" w:ascii="仿宋_GB2312" w:hAnsi="仿宋_GB2312" w:eastAsia="仿宋_GB2312" w:cs="仿宋_GB2312"/>
                <w:color w:val="000000"/>
                <w:sz w:val="24"/>
                <w:szCs w:val="24"/>
              </w:rPr>
              <w:t>年财务报表，包括但不限于资产负债表、利润表、现金流量表）；</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7.拟投标人202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年1月1日至今，有与本次招标内容相同或类似项目业绩，且近</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lang w:eastAsia="zh-CN"/>
              </w:rPr>
              <w:t>年内无因服务不当而造成重大事故；</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8.拟投标人近三年内在经营活动中无招标违规、谎报年度报告信息、提供虚假资质资料等行为或其他行政处罚记录；</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9.拟投标人须认可招标人的工作指令，包括节、假日能正常开展工作的要求；</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10.拟投标人最近半年纳税正常；</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11.拟投标人信用证明材料（征信报告）未显示异常；</w:t>
            </w:r>
          </w:p>
          <w:p>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12.拟投标人的直接或间接股东、法定代表人、董事、监事、高管非重汽员工及其亲属；</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13.本项目不接受联合体投标，拟投标人必须是最终投标单位和签订合同单位，不得以任何理由将已中标项目以任何形式分包或转包给其他单位；</w:t>
            </w:r>
          </w:p>
          <w:p>
            <w:pPr>
              <w:pStyle w:val="22"/>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.与招标人存在利害关系可能影响招标公正性的法人、其他组织或者个人，不得参加投标。</w:t>
            </w:r>
          </w:p>
          <w:p>
            <w:pPr>
              <w:pStyle w:val="22"/>
              <w:ind w:firstLine="480" w:firstLineChars="200"/>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15.本项目不允许代理商投标。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2025年11月24日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2025年11月30日前</w:t>
            </w:r>
            <w:r>
              <w:rPr>
                <w:rFonts w:hint="eastAsia" w:ascii="仿宋_GB2312" w:hAnsi="仿宋_GB2312" w:eastAsia="仿宋_GB2312" w:cs="仿宋_GB2312"/>
                <w:b/>
                <w:snapToGrid w:val="0"/>
                <w:kern w:val="0"/>
                <w:sz w:val="24"/>
                <w:szCs w:val="24"/>
                <w:highlight w:val="none"/>
              </w:rPr>
              <w:t>。</w:t>
            </w:r>
          </w:p>
          <w:p>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2025年11月30日前</w:t>
            </w:r>
          </w:p>
          <w:p>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31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1</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p>
            <w:pPr>
              <w:pStyle w:val="117"/>
              <w:spacing w:line="240" w:lineRule="auto"/>
              <w:ind w:firstLine="482"/>
              <w:rPr>
                <w:rFonts w:hint="eastAsia" w:ascii="仿宋_GB2312" w:hAnsi="仿宋_GB2312" w:eastAsia="仿宋_GB2312" w:cs="仿宋_GB2312"/>
              </w:rPr>
            </w:pPr>
            <w:r>
              <w:rPr>
                <w:rFonts w:hint="eastAsia" w:ascii="仿宋_GB2312" w:hAnsi="仿宋_GB2312" w:eastAsia="仿宋_GB2312" w:cs="仿宋_GB2312"/>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2025年11月29日17：00</w:t>
            </w:r>
          </w:p>
          <w:p>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2025年12月4日17：00</w:t>
            </w:r>
          </w:p>
          <w:p>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开户名称：</w:t>
            </w:r>
            <w:r>
              <w:rPr>
                <w:rFonts w:hint="eastAsia" w:ascii="仿宋_GB2312" w:hAnsi="仿宋_GB2312" w:eastAsia="仿宋_GB2312" w:cs="仿宋_GB2312"/>
                <w:sz w:val="24"/>
                <w:szCs w:val="24"/>
              </w:rPr>
              <w:t>中国重汽集团济南商用车有限公司</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开户银行：</w:t>
            </w:r>
            <w:r>
              <w:rPr>
                <w:rFonts w:hint="eastAsia" w:ascii="仿宋_GB2312" w:hAnsi="仿宋_GB2312" w:eastAsia="仿宋_GB2312" w:cs="仿宋_GB2312"/>
                <w:sz w:val="24"/>
                <w:szCs w:val="24"/>
              </w:rPr>
              <w:t>中国银行股份有限公司济南分行</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银行账号：</w:t>
            </w:r>
            <w:r>
              <w:rPr>
                <w:rFonts w:hint="eastAsia" w:ascii="仿宋_GB2312" w:hAnsi="仿宋_GB2312" w:eastAsia="仿宋_GB2312" w:cs="仿宋_GB2312"/>
                <w:sz w:val="24"/>
                <w:szCs w:val="24"/>
              </w:rPr>
              <w:t>237744219844</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联行号：</w:t>
            </w:r>
            <w:r>
              <w:rPr>
                <w:rFonts w:hint="eastAsia" w:ascii="仿宋_GB2312" w:hAnsi="仿宋_GB2312" w:eastAsia="仿宋_GB2312" w:cs="仿宋_GB2312"/>
                <w:sz w:val="24"/>
                <w:szCs w:val="24"/>
              </w:rPr>
              <w:t>104451039687</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2025年12月4日17：00</w:t>
            </w:r>
          </w:p>
          <w:p>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2025年12月8</w:t>
            </w:r>
            <w:bookmarkStart w:id="118" w:name="_GoBack"/>
            <w:bookmarkEnd w:id="118"/>
            <w:r>
              <w:rPr>
                <w:rFonts w:hint="eastAsia" w:ascii="仿宋_GB2312" w:hAnsi="仿宋_GB2312" w:eastAsia="仿宋_GB2312" w:cs="仿宋_GB2312"/>
                <w:color w:val="000000"/>
                <w:sz w:val="24"/>
                <w:szCs w:val="24"/>
                <w:highlight w:val="green"/>
                <w:lang w:val="en-US" w:eastAsia="zh-CN"/>
              </w:rPr>
              <w:t>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B050"/>
                <w:sz w:val="24"/>
                <w:szCs w:val="24"/>
                <w:highlight w:val="green"/>
                <w:lang w:val="en-US" w:eastAsia="zh-CN"/>
              </w:rPr>
              <w:t>40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B050"/>
                <w:sz w:val="24"/>
                <w:szCs w:val="24"/>
                <w:highlight w:val="green"/>
                <w:lang w:val="en-US" w:eastAsia="zh-CN"/>
              </w:rPr>
              <w:t>10</w:t>
            </w:r>
            <w:r>
              <w:rPr>
                <w:rFonts w:hint="eastAsia" w:ascii="仿宋_GB2312" w:hAnsi="仿宋_GB2312" w:eastAsia="仿宋_GB2312" w:cs="仿宋_GB2312"/>
                <w:b/>
                <w:bCs/>
                <w:color w:val="000000"/>
                <w:sz w:val="24"/>
                <w:szCs w:val="24"/>
              </w:rPr>
              <w:t>个日历日之内安装调试完毕。</w:t>
            </w:r>
          </w:p>
          <w:p>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交货地点：中国重汽集团济南商用车有限公司轻卡制造公司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1.半年期商业汇票（包括银行承兑汇票和商业承兑汇票），（5万元及</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rPr>
              <w:t>以上）</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2.付款节点:</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 xml:space="preserve">其他付款节点：3:6:1 </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A.设备全部到货后，中标人提交金额为合同价款30%的收据并提供合同价款30%的增值税专用发票（含复印件二份），经招标人依照财务制度审核通过后支付；</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B.设备验收合格后，中标人提交金额为合同价款60%的收据并提供合同价款70%的增值税专用发票（含复印件二份），经招标人依照财务制度审核通过后支付；</w:t>
            </w:r>
          </w:p>
          <w:p>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C.合同总价款的10%作为本合同约定设备的质量保证金，质量保证金在质量保证期内不计利息。质保期届满后支付。</w:t>
            </w:r>
          </w:p>
          <w:p>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7" w:name="_Toc11216"/>
      <w:bookmarkStart w:id="8" w:name="_Toc9448"/>
      <w:bookmarkStart w:id="9" w:name="_Toc427"/>
      <w:bookmarkStart w:id="10" w:name="_Toc6577"/>
      <w:bookmarkStart w:id="11" w:name="_Toc19183"/>
      <w:bookmarkStart w:id="12" w:name="_Toc27087"/>
      <w:r>
        <w:rPr>
          <w:rFonts w:hint="eastAsia" w:ascii="仿宋_GB2312" w:hAnsi="仿宋_GB2312" w:eastAsia="仿宋_GB2312" w:cs="仿宋_GB2312"/>
          <w:sz w:val="44"/>
        </w:rPr>
        <w:t>第二部分 投标须知</w:t>
      </w:r>
      <w:bookmarkEnd w:id="7"/>
      <w:bookmarkEnd w:id="8"/>
      <w:bookmarkEnd w:id="9"/>
      <w:bookmarkEnd w:id="10"/>
      <w:bookmarkEnd w:id="11"/>
      <w:bookmarkEnd w:id="12"/>
    </w:p>
    <w:p>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pPr>
        <w:pStyle w:val="3"/>
        <w:rPr>
          <w:rFonts w:hint="eastAsia" w:ascii="仿宋_GB2312" w:hAnsi="仿宋_GB2312" w:eastAsia="仿宋_GB2312" w:cs="仿宋_GB2312"/>
          <w:sz w:val="36"/>
          <w:szCs w:val="36"/>
        </w:rPr>
      </w:pPr>
      <w:bookmarkStart w:id="19" w:name="_Toc33266914"/>
      <w:bookmarkStart w:id="20" w:name="_Toc33266627"/>
      <w:bookmarkStart w:id="21" w:name="_Toc33265752"/>
      <w:bookmarkStart w:id="22" w:name="_Toc33266950"/>
      <w:bookmarkStart w:id="23" w:name="_Toc33265653"/>
      <w:bookmarkStart w:id="24" w:name="_Toc33267001"/>
      <w:bookmarkStart w:id="25" w:name="_Toc30534"/>
      <w:bookmarkStart w:id="26" w:name="_Toc33285487"/>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95116634"/>
      <w:bookmarkStart w:id="29" w:name="_Toc33265654"/>
      <w:bookmarkStart w:id="30" w:name="_Toc33267002"/>
      <w:bookmarkStart w:id="31" w:name="_Toc33265753"/>
      <w:bookmarkStart w:id="32" w:name="_Toc33285489"/>
      <w:bookmarkStart w:id="33" w:name="_Toc33266951"/>
      <w:bookmarkStart w:id="34" w:name="_Toc33266628"/>
      <w:bookmarkStart w:id="35" w:name="_Toc33266915"/>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8"/>
      <w:bookmarkStart w:id="40" w:name="OLE_LINK25"/>
      <w:bookmarkStart w:id="41" w:name="OLE_LINK26"/>
      <w:bookmarkStart w:id="42" w:name="OLE_LINK27"/>
      <w:r>
        <w:rPr>
          <w:rFonts w:hint="eastAsia" w:ascii="仿宋_GB2312" w:hAnsi="仿宋_GB2312" w:eastAsia="仿宋_GB2312" w:cs="仿宋_GB2312"/>
          <w:bCs/>
          <w:sz w:val="24"/>
          <w:szCs w:val="24"/>
        </w:rPr>
        <w:t>；</w:t>
      </w:r>
      <w:bookmarkEnd w:id="38"/>
      <w:bookmarkEnd w:id="39"/>
      <w:bookmarkEnd w:id="40"/>
      <w:bookmarkEnd w:id="41"/>
      <w:bookmarkEnd w:id="42"/>
    </w:p>
    <w:p>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pPr>
        <w:pStyle w:val="2"/>
        <w:rPr>
          <w:rFonts w:hint="eastAsia" w:ascii="仿宋_GB2312" w:hAnsi="仿宋_GB2312" w:eastAsia="仿宋_GB2312" w:cs="仿宋_GB2312"/>
          <w:sz w:val="44"/>
        </w:rPr>
      </w:pPr>
      <w:bookmarkStart w:id="44" w:name="_Toc21022"/>
      <w:bookmarkStart w:id="45" w:name="_Toc762"/>
      <w:bookmarkStart w:id="46" w:name="_Toc2363"/>
      <w:bookmarkStart w:id="47" w:name="_Toc13479"/>
      <w:bookmarkStart w:id="48" w:name="_Toc31869"/>
      <w:bookmarkStart w:id="49" w:name="_Toc1300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pPr>
        <w:spacing w:line="360" w:lineRule="auto"/>
        <w:ind w:firstLine="480" w:firstLineChars="200"/>
        <w:rPr>
          <w:rFonts w:hint="eastAsia" w:ascii="仿宋_GB2312" w:hAnsi="仿宋_GB2312" w:eastAsia="仿宋_GB2312" w:cs="仿宋_GB2312"/>
          <w:color w:val="000000"/>
          <w:sz w:val="24"/>
          <w:szCs w:val="2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pStyle w:val="22"/>
        <w:jc w:val="center"/>
        <w:rPr>
          <w:rFonts w:hint="eastAsia" w:ascii="仿宋_GB2312" w:hAnsi="仿宋_GB2312" w:eastAsia="仿宋_GB2312" w:cs="仿宋_GB2312"/>
          <w:b/>
          <w:bCs/>
          <w:kern w:val="44"/>
          <w:sz w:val="36"/>
          <w:szCs w:val="44"/>
        </w:rPr>
      </w:pPr>
    </w:p>
    <w:p>
      <w:pPr>
        <w:bidi w:val="0"/>
        <w:rPr>
          <w:rFonts w:hint="eastAsia"/>
        </w:rPr>
      </w:pPr>
      <w:bookmarkStart w:id="57" w:name="_Toc3372"/>
      <w:bookmarkStart w:id="58" w:name="_Toc14517"/>
      <w:bookmarkStart w:id="59" w:name="_Toc13988"/>
      <w:bookmarkStart w:id="60" w:name="_Toc23870"/>
      <w:bookmarkStart w:id="61" w:name="_Toc12714"/>
      <w:bookmarkStart w:id="62" w:name="_Toc7511"/>
      <w:bookmarkStart w:id="63" w:name="_Toc16358"/>
      <w:bookmarkStart w:id="64" w:name="_Toc20272"/>
      <w:bookmarkStart w:id="65" w:name="_Toc18606"/>
      <w:bookmarkStart w:id="66" w:name="_Toc30738"/>
      <w:bookmarkStart w:id="67" w:name="_Toc8032"/>
      <w:bookmarkStart w:id="68" w:name="_Toc6346"/>
      <w:bookmarkStart w:id="69" w:name="_Toc4029"/>
      <w:bookmarkStart w:id="70" w:name="_Toc24964"/>
      <w:bookmarkStart w:id="71" w:name="_Toc28236"/>
      <w:bookmarkStart w:id="72" w:name="_Toc12563"/>
      <w:bookmarkStart w:id="73" w:name="_Toc18805"/>
      <w:bookmarkStart w:id="74" w:name="_Toc13605"/>
      <w:bookmarkStart w:id="75" w:name="_Toc4194"/>
      <w:bookmarkStart w:id="76" w:name="_Toc18182"/>
      <w:bookmarkStart w:id="77" w:name="_Toc3565"/>
      <w:bookmarkStart w:id="78" w:name="_Toc6957"/>
      <w:bookmarkStart w:id="79" w:name="_Toc7110"/>
      <w:bookmarkStart w:id="80" w:name="_Toc32378"/>
      <w:bookmarkStart w:id="81" w:name="_Toc11355"/>
      <w:bookmarkStart w:id="82" w:name="_Toc12552"/>
      <w:bookmarkStart w:id="83" w:name="_Toc4532"/>
      <w:bookmarkStart w:id="84" w:name="_Toc4483"/>
      <w:bookmarkStart w:id="85" w:name="_Toc8202"/>
      <w:bookmarkStart w:id="86" w:name="_Toc24913"/>
      <w:bookmarkStart w:id="87" w:name="_Toc133783966"/>
      <w:bookmarkStart w:id="88" w:name="_Toc13555"/>
      <w:bookmarkStart w:id="89" w:name="_Toc13562"/>
      <w:bookmarkStart w:id="90" w:name="_Toc1884"/>
      <w:bookmarkStart w:id="91" w:name="_Toc22649"/>
      <w:bookmarkStart w:id="92" w:name="_Toc20467"/>
      <w:bookmarkStart w:id="93" w:name="_Toc19672"/>
      <w:bookmarkStart w:id="94" w:name="_Toc21497"/>
    </w:p>
    <w:p>
      <w:pPr>
        <w:bidi w:val="0"/>
        <w:rPr>
          <w:rFonts w:hint="eastAsia"/>
        </w:rPr>
      </w:pPr>
    </w:p>
    <w:p>
      <w:pPr>
        <w:bidi w:val="0"/>
        <w:rPr>
          <w:rFonts w:hint="eastAsia"/>
        </w:rPr>
      </w:pPr>
    </w:p>
    <w:p>
      <w:pPr>
        <w:bidi w:val="0"/>
        <w:rPr>
          <w:rFonts w:hint="eastAsia"/>
        </w:rPr>
      </w:pPr>
    </w:p>
    <w:p>
      <w:pPr>
        <w:bidi w:val="0"/>
        <w:rPr>
          <w:rFonts w:hint="eastAsia"/>
        </w:rPr>
      </w:pPr>
    </w:p>
    <w:p>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pPr>
        <w:rPr>
          <w:rFonts w:hint="eastAsia"/>
        </w:rPr>
      </w:pPr>
      <w:r>
        <w:rPr>
          <w:rFonts w:hint="eastAsia"/>
        </w:rPr>
        <w:br w:type="page"/>
      </w:r>
    </w:p>
    <w:p>
      <w:pPr>
        <w:keepNext/>
        <w:keepLines/>
        <w:jc w:val="center"/>
        <w:outlineLvl w:val="0"/>
        <w:rPr>
          <w:rFonts w:ascii="Calibri" w:hAnsi="Calibri" w:eastAsia="宋体" w:cs="Times New Roman"/>
          <w:b/>
          <w:bCs/>
          <w:kern w:val="44"/>
          <w:sz w:val="36"/>
          <w:szCs w:val="44"/>
        </w:rPr>
      </w:pPr>
      <w:bookmarkStart w:id="96" w:name="_Toc9849"/>
      <w:r>
        <w:rPr>
          <w:rFonts w:hint="eastAsia" w:ascii="Calibri" w:hAnsi="Calibri" w:eastAsia="宋体" w:cs="Times New Roman"/>
          <w:b/>
          <w:bCs/>
          <w:kern w:val="44"/>
          <w:sz w:val="36"/>
          <w:szCs w:val="44"/>
        </w:rPr>
        <w:t>第四部分 技术标书</w:t>
      </w:r>
      <w:bookmarkEnd w:id="96"/>
    </w:p>
    <w:p>
      <w:pPr>
        <w:pStyle w:val="22"/>
      </w:pPr>
    </w:p>
    <w:p>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中国重汽集团济南商用车有限公司</w:t>
      </w:r>
    </w:p>
    <w:p>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lang w:val="en-US" w:eastAsia="zh-CN"/>
        </w:rPr>
        <w:t>统帅右置驾驶室车型模检具改制</w:t>
      </w:r>
      <w:r>
        <w:rPr>
          <w:rFonts w:hint="eastAsia" w:ascii="文鼎大标宋简" w:hAnsi="华文中宋" w:eastAsia="文鼎大标宋简"/>
          <w:b/>
          <w:spacing w:val="4"/>
          <w:w w:val="90"/>
          <w:sz w:val="52"/>
          <w:szCs w:val="52"/>
        </w:rPr>
        <w:t>项目</w:t>
      </w:r>
    </w:p>
    <w:p>
      <w:pPr>
        <w:jc w:val="right"/>
        <w:rPr>
          <w:rFonts w:ascii="Calibri" w:hAnsi="Calibri" w:eastAsia="宋体" w:cs="Times New Roman"/>
          <w:color w:val="000000"/>
          <w:sz w:val="28"/>
          <w:szCs w:val="28"/>
        </w:rPr>
      </w:pPr>
    </w:p>
    <w:p>
      <w:pPr>
        <w:pStyle w:val="22"/>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2"/>
      </w:pPr>
    </w:p>
    <w:p>
      <w:pPr>
        <w:spacing w:line="860" w:lineRule="exact"/>
        <w:ind w:firstLine="2570" w:firstLineChars="800"/>
        <w:jc w:val="left"/>
        <w:rPr>
          <w:rFonts w:hint="eastAsia" w:ascii="华文仿宋" w:hAnsi="华文仿宋" w:eastAsia="华文仿宋"/>
          <w:b/>
          <w:bCs/>
          <w:sz w:val="32"/>
          <w:szCs w:val="28"/>
        </w:rPr>
      </w:pPr>
      <w:r>
        <w:rPr>
          <w:rFonts w:hint="eastAsia" w:ascii="华文仿宋" w:hAnsi="华文仿宋" w:eastAsia="华文仿宋"/>
          <w:b/>
          <w:bCs/>
          <w:sz w:val="32"/>
          <w:szCs w:val="28"/>
        </w:rPr>
        <w:t>编制：</w:t>
      </w:r>
    </w:p>
    <w:p>
      <w:pPr>
        <w:spacing w:line="860" w:lineRule="exact"/>
        <w:ind w:firstLine="2570" w:firstLineChars="800"/>
        <w:jc w:val="left"/>
        <w:rPr>
          <w:rFonts w:hint="eastAsia" w:ascii="华文仿宋" w:hAnsi="华文仿宋" w:eastAsia="华文仿宋"/>
          <w:b/>
          <w:bCs/>
          <w:sz w:val="32"/>
          <w:szCs w:val="28"/>
        </w:rPr>
      </w:pPr>
      <w:r>
        <w:rPr>
          <w:rFonts w:hint="eastAsia" w:ascii="华文仿宋" w:hAnsi="华文仿宋" w:eastAsia="华文仿宋"/>
          <w:b/>
          <w:bCs/>
          <w:sz w:val="32"/>
          <w:szCs w:val="28"/>
        </w:rPr>
        <w:t>审核：</w:t>
      </w:r>
    </w:p>
    <w:p>
      <w:pPr>
        <w:spacing w:line="860" w:lineRule="exact"/>
        <w:ind w:firstLine="2570" w:firstLineChars="800"/>
        <w:rPr>
          <w:rFonts w:hint="eastAsia" w:ascii="华文仿宋" w:hAnsi="华文仿宋" w:eastAsia="华文仿宋"/>
          <w:b/>
          <w:bCs/>
          <w:sz w:val="32"/>
          <w:szCs w:val="28"/>
        </w:rPr>
      </w:pPr>
      <w:r>
        <w:rPr>
          <w:rFonts w:hint="eastAsia" w:ascii="华文仿宋" w:hAnsi="华文仿宋" w:eastAsia="华文仿宋"/>
          <w:b/>
          <w:bCs/>
          <w:sz w:val="32"/>
          <w:szCs w:val="28"/>
        </w:rPr>
        <w:t xml:space="preserve">批准：  </w:t>
      </w:r>
    </w:p>
    <w:p>
      <w:pPr>
        <w:pStyle w:val="171"/>
      </w:pPr>
    </w:p>
    <w:p>
      <w:pPr>
        <w:pStyle w:val="171"/>
      </w:pPr>
    </w:p>
    <w:p>
      <w:pPr>
        <w:pStyle w:val="171"/>
      </w:pPr>
    </w:p>
    <w:p>
      <w:pPr>
        <w:pStyle w:val="171"/>
      </w:pPr>
    </w:p>
    <w:p>
      <w:pPr>
        <w:pStyle w:val="171"/>
      </w:pPr>
    </w:p>
    <w:p>
      <w:pPr>
        <w:pStyle w:val="171"/>
      </w:pPr>
    </w:p>
    <w:p>
      <w:pPr>
        <w:pStyle w:val="2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招标人：中国重汽集团济南商用车有限公司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11</w:t>
      </w:r>
      <w:r>
        <w:rPr>
          <w:rFonts w:hint="eastAsia" w:ascii="Calibri" w:hAnsi="Calibri" w:eastAsia="宋体" w:cs="Times New Roman"/>
          <w:color w:val="000000"/>
          <w:sz w:val="28"/>
          <w:szCs w:val="28"/>
        </w:rPr>
        <w:t>月</w:t>
      </w:r>
    </w:p>
    <w:p>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97" w:name="_Toc169605877"/>
      <w:r>
        <w:rPr>
          <w:rFonts w:hint="eastAsia" w:ascii="宋体" w:hAnsi="宋体" w:eastAsia="宋体" w:cs="Times New Roman"/>
          <w:b/>
          <w:bCs/>
          <w:kern w:val="44"/>
          <w:sz w:val="28"/>
          <w:szCs w:val="28"/>
        </w:rPr>
        <w:t>第一章采购货物概况</w:t>
      </w:r>
      <w:bookmarkEnd w:id="97"/>
    </w:p>
    <w:p>
      <w:pPr>
        <w:keepNext/>
        <w:keepLines/>
        <w:spacing w:before="120" w:after="120" w:line="480" w:lineRule="exact"/>
        <w:jc w:val="center"/>
        <w:outlineLvl w:val="2"/>
        <w:rPr>
          <w:rFonts w:ascii="Arial" w:hAnsi="Arial" w:eastAsia="宋体" w:cs="Times New Roman"/>
          <w:b/>
          <w:bCs/>
          <w:sz w:val="24"/>
          <w:szCs w:val="24"/>
        </w:rPr>
      </w:pPr>
      <w:bookmarkStart w:id="98" w:name="_Toc169605878"/>
      <w:r>
        <w:rPr>
          <w:rFonts w:hint="eastAsia" w:ascii="Arial" w:hAnsi="Arial" w:eastAsia="宋体" w:cs="Times New Roman"/>
          <w:b/>
          <w:bCs/>
          <w:sz w:val="24"/>
          <w:szCs w:val="24"/>
        </w:rPr>
        <w:t>第一节使用环境</w:t>
      </w:r>
      <w:bookmarkEnd w:id="98"/>
    </w:p>
    <w:p>
      <w:pPr>
        <w:keepNext w:val="0"/>
        <w:keepLines w:val="0"/>
        <w:widowControl/>
        <w:suppressLineNumbers w:val="0"/>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一、项目名称：</w:t>
      </w:r>
      <w:r>
        <w:rPr>
          <w:rFonts w:hint="eastAsia" w:ascii="宋体" w:hAnsi="宋体" w:eastAsia="宋体" w:cs="宋体"/>
          <w:color w:val="000000"/>
          <w:sz w:val="24"/>
          <w:szCs w:val="24"/>
          <w:u w:val="single"/>
        </w:rPr>
        <w:t>济南</w:t>
      </w:r>
      <w:r>
        <w:rPr>
          <w:rFonts w:hint="eastAsia" w:ascii="宋体" w:hAnsi="宋体" w:eastAsia="宋体" w:cs="宋体"/>
          <w:color w:val="000000"/>
          <w:sz w:val="24"/>
          <w:szCs w:val="24"/>
          <w:u w:val="single"/>
          <w:lang w:eastAsia="zh-CN"/>
        </w:rPr>
        <w:t>轻卡制造</w:t>
      </w:r>
      <w:r>
        <w:rPr>
          <w:rFonts w:hint="eastAsia" w:ascii="宋体" w:hAnsi="宋体" w:eastAsia="宋体" w:cs="宋体"/>
          <w:color w:val="000000"/>
          <w:sz w:val="24"/>
          <w:szCs w:val="24"/>
          <w:u w:val="single"/>
        </w:rPr>
        <w:t>公司</w:t>
      </w:r>
      <w:r>
        <w:rPr>
          <w:rFonts w:hint="eastAsia" w:ascii="宋体" w:hAnsi="宋体" w:eastAsia="宋体" w:cs="宋体"/>
          <w:color w:val="000000"/>
          <w:sz w:val="24"/>
          <w:szCs w:val="24"/>
          <w:u w:val="single"/>
          <w:lang w:val="en-US" w:eastAsia="zh-CN"/>
        </w:rPr>
        <w:t>统帅右置驾驶室车型模检具改制</w:t>
      </w:r>
      <w:r>
        <w:rPr>
          <w:rFonts w:hint="eastAsia" w:ascii="宋体" w:hAnsi="宋体" w:eastAsia="宋体" w:cs="宋体"/>
          <w:color w:val="000000"/>
          <w:sz w:val="24"/>
          <w:szCs w:val="24"/>
          <w:u w:val="single"/>
        </w:rPr>
        <w:t>项目</w:t>
      </w:r>
    </w:p>
    <w:p>
      <w:pPr>
        <w:spacing w:line="360" w:lineRule="exact"/>
        <w:rPr>
          <w:rFonts w:hint="eastAsia" w:ascii="宋体" w:hAnsi="宋体" w:eastAsia="宋体" w:cs="宋体"/>
          <w:color w:val="000000"/>
          <w:sz w:val="24"/>
          <w:szCs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中国重汽集团济南轻卡制造公司/配套商</w:t>
      </w:r>
    </w:p>
    <w:p>
      <w:pPr>
        <w:spacing w:line="420" w:lineRule="exact"/>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中国重汽集团济南轻卡制造公司/配套商</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330</w:t>
      </w:r>
      <w:r>
        <w:rPr>
          <w:rFonts w:hint="eastAsia" w:ascii="宋体" w:hAnsi="宋体" w:eastAsia="宋体" w:cs="宋体"/>
          <w:sz w:val="24"/>
          <w:szCs w:val="24"/>
        </w:rPr>
        <w:t>天</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5500</w:t>
      </w:r>
      <w:r>
        <w:rPr>
          <w:rFonts w:hint="eastAsia" w:ascii="宋体" w:hAnsi="宋体" w:eastAsia="宋体" w:cs="宋体"/>
          <w:bCs/>
          <w:sz w:val="24"/>
          <w:szCs w:val="24"/>
        </w:rPr>
        <w:t>m以下。</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2.环境温度：室内温度-10℃～40℃。</w:t>
      </w:r>
    </w:p>
    <w:p>
      <w:pPr>
        <w:spacing w:line="360" w:lineRule="auto"/>
        <w:ind w:firstLine="480" w:firstLineChars="200"/>
        <w:rPr>
          <w:rFonts w:hint="eastAsia" w:hAnsi="宋体" w:eastAsia="宋体" w:cs="宋体"/>
        </w:rPr>
      </w:pPr>
      <w:r>
        <w:rPr>
          <w:rFonts w:hint="eastAsia" w:ascii="宋体" w:hAnsi="宋体" w:eastAsia="宋体" w:cs="宋体"/>
          <w:bCs/>
          <w:sz w:val="24"/>
          <w:szCs w:val="24"/>
        </w:rPr>
        <w:t>3.相对湿度：</w:t>
      </w:r>
      <w:r>
        <w:rPr>
          <w:rFonts w:hint="eastAsia" w:ascii="宋体" w:hAnsi="宋体" w:eastAsia="宋体"/>
          <w:sz w:val="24"/>
        </w:rPr>
        <w:t>≤</w:t>
      </w:r>
      <w:r>
        <w:rPr>
          <w:rFonts w:ascii="宋体" w:hAnsi="宋体" w:eastAsia="宋体"/>
          <w:sz w:val="24"/>
        </w:rPr>
        <w:t>90%</w:t>
      </w:r>
      <w:r>
        <w:rPr>
          <w:rFonts w:hint="eastAsia" w:ascii="宋体" w:hAnsi="宋体" w:eastAsia="宋体" w:cs="宋体"/>
          <w:bCs/>
          <w:sz w:val="24"/>
          <w:szCs w:val="24"/>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第二节采购货物概况</w:t>
      </w:r>
    </w:p>
    <w:p>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lang w:val="en-US" w:eastAsia="zh-CN"/>
        </w:rPr>
        <w:t>统帅右置驾驶室车型模检具改制</w:t>
      </w:r>
      <w:r>
        <w:rPr>
          <w:rFonts w:hint="eastAsia" w:ascii="宋体" w:hAnsi="宋体" w:eastAsia="宋体" w:cs="宋体"/>
          <w:color w:val="000000"/>
          <w:sz w:val="24"/>
          <w:szCs w:val="24"/>
          <w:u w:val="single"/>
        </w:rPr>
        <w:t>项目</w:t>
      </w:r>
      <w:r>
        <w:rPr>
          <w:rFonts w:hint="eastAsia" w:ascii="宋体" w:hAnsi="宋体" w:eastAsia="宋体" w:cs="宋体"/>
          <w:sz w:val="24"/>
          <w:szCs w:val="24"/>
        </w:rPr>
        <w:t>（详见下表）</w:t>
      </w:r>
    </w:p>
    <w:p>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二、货物数量：1</w:t>
      </w:r>
      <w:r>
        <w:rPr>
          <w:rFonts w:hint="eastAsia" w:ascii="宋体" w:hAnsi="宋体" w:eastAsia="宋体" w:cs="宋体"/>
          <w:sz w:val="24"/>
          <w:szCs w:val="24"/>
          <w:u w:val="single"/>
          <w:shd w:val="pct10" w:color="auto" w:fill="FFFFFF"/>
        </w:rPr>
        <w:t>批</w:t>
      </w:r>
      <w:r>
        <w:rPr>
          <w:rFonts w:hint="eastAsia" w:ascii="宋体" w:hAnsi="宋体" w:eastAsia="宋体" w:cs="宋体"/>
          <w:sz w:val="24"/>
          <w:szCs w:val="24"/>
        </w:rPr>
        <w:t>（详见下表）</w:t>
      </w:r>
    </w:p>
    <w:p>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10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1"/>
        <w:gridCol w:w="1589"/>
        <w:gridCol w:w="1258"/>
        <w:gridCol w:w="1073"/>
        <w:gridCol w:w="4546"/>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 w:hRule="atLeast"/>
          <w:jc w:val="center"/>
        </w:trPr>
        <w:tc>
          <w:tcPr>
            <w:tcW w:w="571" w:type="dxa"/>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1589" w:type="dxa"/>
            <w:tcMar>
              <w:top w:w="20" w:type="dxa"/>
              <w:left w:w="20" w:type="dxa"/>
              <w:bottom w:w="0" w:type="dxa"/>
              <w:right w:w="20" w:type="dxa"/>
            </w:tcMar>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标的物名称</w:t>
            </w:r>
          </w:p>
        </w:tc>
        <w:tc>
          <w:tcPr>
            <w:tcW w:w="1258" w:type="dxa"/>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标的物数量</w:t>
            </w:r>
          </w:p>
        </w:tc>
        <w:tc>
          <w:tcPr>
            <w:tcW w:w="1073" w:type="dxa"/>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使用地点</w:t>
            </w:r>
          </w:p>
        </w:tc>
        <w:tc>
          <w:tcPr>
            <w:tcW w:w="4546" w:type="dxa"/>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货  期</w:t>
            </w:r>
          </w:p>
        </w:tc>
        <w:tc>
          <w:tcPr>
            <w:tcW w:w="1639" w:type="dxa"/>
            <w:vAlign w:val="center"/>
          </w:tcPr>
          <w:p>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571" w:type="dxa"/>
            <w:vAlign w:val="center"/>
          </w:tcPr>
          <w:p>
            <w:pPr>
              <w:pStyle w:val="36"/>
              <w:spacing w:line="240" w:lineRule="atLeast"/>
              <w:ind w:right="7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A</w:t>
            </w:r>
          </w:p>
        </w:tc>
        <w:tc>
          <w:tcPr>
            <w:tcW w:w="1589" w:type="dxa"/>
            <w:tcMar>
              <w:top w:w="20" w:type="dxa"/>
              <w:left w:w="20" w:type="dxa"/>
              <w:bottom w:w="0" w:type="dxa"/>
              <w:right w:w="20" w:type="dxa"/>
            </w:tcMar>
            <w:vAlign w:val="center"/>
          </w:tcPr>
          <w:p>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rPr>
              <w:t>改制模具</w:t>
            </w:r>
          </w:p>
        </w:tc>
        <w:tc>
          <w:tcPr>
            <w:tcW w:w="1258" w:type="dxa"/>
            <w:vAlign w:val="center"/>
          </w:tcPr>
          <w:p>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lang w:val="en-US" w:eastAsia="zh-CN"/>
              </w:rPr>
              <w:t>4</w:t>
            </w:r>
          </w:p>
        </w:tc>
        <w:tc>
          <w:tcPr>
            <w:tcW w:w="1073" w:type="dxa"/>
            <w:vAlign w:val="center"/>
          </w:tcPr>
          <w:p>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中国境内</w:t>
            </w:r>
          </w:p>
        </w:tc>
        <w:tc>
          <w:tcPr>
            <w:tcW w:w="4546" w:type="dxa"/>
            <w:vAlign w:val="center"/>
          </w:tcPr>
          <w:p>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val="en-US" w:eastAsia="zh-CN"/>
              </w:rPr>
              <w:t>接到中标通知40个日历日内</w:t>
            </w:r>
            <w:r>
              <w:rPr>
                <w:rFonts w:hint="eastAsia" w:ascii="仿宋_GB2312" w:hAnsi="仿宋_GB2312" w:eastAsia="仿宋_GB2312" w:cs="仿宋_GB2312"/>
                <w:highlight w:val="none"/>
              </w:rPr>
              <w:t>完成模具更改</w:t>
            </w:r>
          </w:p>
        </w:tc>
        <w:tc>
          <w:tcPr>
            <w:tcW w:w="1639" w:type="dxa"/>
            <w:vAlign w:val="center"/>
          </w:tcPr>
          <w:p>
            <w:pPr>
              <w:pStyle w:val="36"/>
              <w:spacing w:line="240" w:lineRule="atLeast"/>
              <w:jc w:val="center"/>
              <w:rPr>
                <w:rFonts w:hint="eastAsia" w:ascii="仿宋_GB2312" w:hAnsi="仿宋_GB2312" w:eastAsia="仿宋_GB2312" w:cs="仿宋_GB231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571" w:type="dxa"/>
            <w:vAlign w:val="center"/>
          </w:tcPr>
          <w:p>
            <w:pPr>
              <w:pStyle w:val="36"/>
              <w:spacing w:line="240" w:lineRule="atLeast"/>
              <w:ind w:right="7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B</w:t>
            </w:r>
          </w:p>
        </w:tc>
        <w:tc>
          <w:tcPr>
            <w:tcW w:w="1589" w:type="dxa"/>
            <w:tcMar>
              <w:top w:w="20" w:type="dxa"/>
              <w:left w:w="20" w:type="dxa"/>
              <w:bottom w:w="0" w:type="dxa"/>
              <w:right w:w="20" w:type="dxa"/>
            </w:tcMar>
            <w:vAlign w:val="center"/>
          </w:tcPr>
          <w:p>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rPr>
              <w:t>改制检具</w:t>
            </w:r>
          </w:p>
        </w:tc>
        <w:tc>
          <w:tcPr>
            <w:tcW w:w="1258" w:type="dxa"/>
            <w:vAlign w:val="center"/>
          </w:tcPr>
          <w:p>
            <w:pPr>
              <w:autoSpaceDE w:val="0"/>
              <w:autoSpaceDN w:val="0"/>
              <w:adjustRightInd w:val="0"/>
              <w:spacing w:line="240" w:lineRule="atLeast"/>
              <w:jc w:val="center"/>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val="en-US" w:eastAsia="zh-CN"/>
              </w:rPr>
              <w:t>1</w:t>
            </w:r>
          </w:p>
        </w:tc>
        <w:tc>
          <w:tcPr>
            <w:tcW w:w="1073" w:type="dxa"/>
            <w:vAlign w:val="center"/>
          </w:tcPr>
          <w:p>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中国境内</w:t>
            </w:r>
          </w:p>
        </w:tc>
        <w:tc>
          <w:tcPr>
            <w:tcW w:w="4546" w:type="dxa"/>
            <w:vAlign w:val="center"/>
          </w:tcPr>
          <w:p>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val="en-US" w:eastAsia="zh-CN"/>
              </w:rPr>
              <w:t>接到中标通知40个日历日内完成检具</w:t>
            </w:r>
            <w:r>
              <w:rPr>
                <w:rFonts w:hint="eastAsia" w:ascii="仿宋_GB2312" w:hAnsi="仿宋_GB2312" w:eastAsia="仿宋_GB2312" w:cs="仿宋_GB2312"/>
                <w:highlight w:val="none"/>
              </w:rPr>
              <w:t>更改</w:t>
            </w:r>
          </w:p>
        </w:tc>
        <w:tc>
          <w:tcPr>
            <w:tcW w:w="1639" w:type="dxa"/>
            <w:vAlign w:val="center"/>
          </w:tcPr>
          <w:p>
            <w:pPr>
              <w:pStyle w:val="36"/>
              <w:spacing w:line="240" w:lineRule="atLeast"/>
              <w:ind w:right="74"/>
              <w:jc w:val="center"/>
              <w:rPr>
                <w:rFonts w:hint="eastAsia" w:ascii="仿宋_GB2312" w:hAnsi="仿宋_GB2312" w:eastAsia="仿宋_GB2312" w:cs="仿宋_GB2312"/>
                <w:highlight w:val="none"/>
              </w:rPr>
            </w:pPr>
          </w:p>
        </w:tc>
      </w:tr>
    </w:tbl>
    <w:p>
      <w:pPr>
        <w:pStyle w:val="171"/>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pPr>
        <w:pStyle w:val="171"/>
        <w:rPr>
          <w:rFonts w:hint="eastAsia"/>
        </w:rPr>
      </w:pPr>
    </w:p>
    <w:p>
      <w:pPr>
        <w:pStyle w:val="171"/>
        <w:rPr>
          <w:rFonts w:hint="eastAsia"/>
        </w:rPr>
      </w:pPr>
    </w:p>
    <w:p>
      <w:pPr>
        <w:widowControl/>
        <w:jc w:val="left"/>
        <w:rPr>
          <w:rFonts w:hint="eastAsia"/>
        </w:rPr>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99" w:name="_Toc169605880"/>
      <w:r>
        <w:rPr>
          <w:rFonts w:hint="eastAsia" w:ascii="宋体" w:hAnsi="宋体" w:eastAsia="宋体" w:cs="Times New Roman"/>
          <w:b/>
          <w:bCs/>
          <w:kern w:val="44"/>
          <w:sz w:val="28"/>
          <w:szCs w:val="28"/>
        </w:rPr>
        <w:t>第二章技术要求</w:t>
      </w:r>
      <w:bookmarkEnd w:id="99"/>
    </w:p>
    <w:p>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特别提示</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技术要求</w:t>
      </w:r>
    </w:p>
    <w:p>
      <w:pPr>
        <w:spacing w:before="120" w:beforeLines="50" w:after="120" w:afterLines="50"/>
        <w:ind w:firstLine="479" w:firstLineChars="199"/>
        <w:rPr>
          <w:rFonts w:hint="eastAsia" w:ascii="宋体" w:hAnsi="宋体" w:eastAsia="宋体" w:cs="仿宋_GB2312"/>
          <w:b/>
          <w:sz w:val="24"/>
          <w:szCs w:val="24"/>
        </w:rPr>
      </w:pPr>
      <w:r>
        <w:rPr>
          <w:rFonts w:hint="eastAsia" w:ascii="宋体" w:hAnsi="宋体" w:eastAsia="宋体" w:cs="仿宋_GB2312"/>
          <w:b/>
          <w:sz w:val="24"/>
          <w:szCs w:val="24"/>
        </w:rPr>
        <w:t>1、供货内容</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1</w:t>
      </w:r>
      <w:r>
        <w:rPr>
          <w:rFonts w:hint="eastAsia" w:ascii="宋体" w:hAnsi="宋体" w:eastAsia="宋体"/>
          <w:sz w:val="24"/>
        </w:rPr>
        <w:t>招标方负责提供产品开发零件清单及零件数模，投标方按产品开发明细表要求开发相应模具。</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2</w:t>
      </w:r>
      <w:r>
        <w:rPr>
          <w:rFonts w:hint="eastAsia" w:ascii="宋体" w:hAnsi="宋体" w:eastAsia="宋体"/>
          <w:sz w:val="24"/>
        </w:rPr>
        <w:t>投标方进行工艺设计、模具设计、模具制作、模具调整、模具发运、现场调试及售后服务等。</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3</w:t>
      </w:r>
      <w:r>
        <w:rPr>
          <w:rFonts w:hint="eastAsia" w:ascii="宋体" w:hAnsi="宋体" w:eastAsia="宋体"/>
          <w:sz w:val="24"/>
        </w:rPr>
        <w:t>投标方向招标方提供合格的</w:t>
      </w:r>
      <w:r>
        <w:rPr>
          <w:rFonts w:ascii="宋体" w:hAnsi="宋体" w:eastAsia="宋体"/>
          <w:sz w:val="24"/>
        </w:rPr>
        <w:t xml:space="preserve">DL </w:t>
      </w:r>
      <w:r>
        <w:rPr>
          <w:rFonts w:hint="eastAsia" w:ascii="宋体" w:hAnsi="宋体" w:eastAsia="宋体"/>
          <w:sz w:val="24"/>
        </w:rPr>
        <w:t>图、</w:t>
      </w:r>
      <w:r>
        <w:rPr>
          <w:rFonts w:ascii="宋体" w:hAnsi="宋体" w:eastAsia="宋体"/>
          <w:sz w:val="24"/>
        </w:rPr>
        <w:t>2D</w:t>
      </w:r>
      <w:r>
        <w:rPr>
          <w:rFonts w:hint="eastAsia" w:ascii="宋体" w:hAnsi="宋体" w:eastAsia="宋体"/>
          <w:sz w:val="24"/>
        </w:rPr>
        <w:t>及</w:t>
      </w:r>
      <w:r>
        <w:rPr>
          <w:rFonts w:ascii="宋体" w:hAnsi="宋体" w:eastAsia="宋体"/>
          <w:sz w:val="24"/>
        </w:rPr>
        <w:t>3D</w:t>
      </w:r>
      <w:r>
        <w:rPr>
          <w:rFonts w:hint="eastAsia" w:ascii="宋体" w:hAnsi="宋体" w:eastAsia="宋体"/>
          <w:sz w:val="24"/>
        </w:rPr>
        <w:t>模具结构图、模具参数表、模具安装图明细及其他电子版等相关技术文件。</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4</w:t>
      </w:r>
      <w:r>
        <w:rPr>
          <w:rFonts w:hint="eastAsia" w:ascii="宋体" w:hAnsi="宋体" w:eastAsia="宋体"/>
          <w:sz w:val="24"/>
        </w:rPr>
        <w:t>投标方向招标方提供该项目所选用的标准件清单及备件清单 （电子文档书面文档各一份）。</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5</w:t>
      </w:r>
      <w:r>
        <w:rPr>
          <w:rFonts w:hint="eastAsia" w:ascii="宋体" w:hAnsi="宋体" w:eastAsia="宋体"/>
          <w:sz w:val="24"/>
        </w:rPr>
        <w:t>投标方向招标方提供该项目模具自检报告、调试记录、模具出厂合格证各一份。</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6</w:t>
      </w:r>
      <w:r>
        <w:rPr>
          <w:rFonts w:hint="eastAsia" w:ascii="宋体" w:hAnsi="宋体" w:eastAsia="宋体"/>
          <w:sz w:val="24"/>
        </w:rPr>
        <w:t>投标方提供合格的试制用冲压件、预验收样件，各批次的冲压件均附冲压件零件精度检测报告。</w:t>
      </w:r>
    </w:p>
    <w:p>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7</w:t>
      </w:r>
      <w:r>
        <w:rPr>
          <w:rFonts w:hint="eastAsia" w:ascii="宋体" w:hAnsi="宋体" w:eastAsia="宋体"/>
          <w:sz w:val="24"/>
        </w:rPr>
        <w:t>在模具发运前的各个阶段提交以下资料，提交时间按下表所示。格式由招标方指定，没有规定格式的由投标方准备并通过招标方确认。</w:t>
      </w:r>
    </w:p>
    <w:tbl>
      <w:tblPr>
        <w:tblStyle w:val="41"/>
        <w:tblW w:w="9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90"/>
        <w:gridCol w:w="810"/>
        <w:gridCol w:w="2193"/>
        <w:gridCol w:w="34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0" w:type="dxa"/>
            <w:vAlign w:val="center"/>
          </w:tcPr>
          <w:p>
            <w:pPr>
              <w:spacing w:line="360" w:lineRule="exact"/>
              <w:jc w:val="center"/>
              <w:rPr>
                <w:rFonts w:hint="eastAsia" w:ascii="宋体" w:hAnsi="宋体" w:eastAsia="宋体"/>
                <w:b/>
                <w:bCs/>
                <w:sz w:val="24"/>
                <w:szCs w:val="24"/>
              </w:rPr>
            </w:pPr>
            <w:r>
              <w:rPr>
                <w:rFonts w:hint="eastAsia" w:ascii="宋体" w:hAnsi="宋体" w:eastAsia="宋体"/>
                <w:b/>
                <w:bCs/>
                <w:sz w:val="24"/>
                <w:szCs w:val="24"/>
              </w:rPr>
              <w:t>序号</w:t>
            </w:r>
          </w:p>
        </w:tc>
        <w:tc>
          <w:tcPr>
            <w:tcW w:w="2490" w:type="dxa"/>
            <w:vAlign w:val="center"/>
          </w:tcPr>
          <w:p>
            <w:pPr>
              <w:spacing w:line="360" w:lineRule="exact"/>
              <w:jc w:val="center"/>
              <w:rPr>
                <w:rFonts w:hint="eastAsia" w:ascii="宋体" w:hAnsi="宋体" w:eastAsia="宋体"/>
                <w:b/>
                <w:bCs/>
                <w:sz w:val="24"/>
                <w:szCs w:val="24"/>
              </w:rPr>
            </w:pPr>
            <w:r>
              <w:rPr>
                <w:rFonts w:hint="eastAsia" w:ascii="宋体" w:hAnsi="宋体" w:eastAsia="宋体"/>
                <w:b/>
                <w:bCs/>
                <w:sz w:val="24"/>
                <w:szCs w:val="24"/>
              </w:rPr>
              <w:t>资料</w:t>
            </w:r>
          </w:p>
        </w:tc>
        <w:tc>
          <w:tcPr>
            <w:tcW w:w="810" w:type="dxa"/>
            <w:vAlign w:val="center"/>
          </w:tcPr>
          <w:p>
            <w:pPr>
              <w:spacing w:line="360" w:lineRule="exact"/>
              <w:jc w:val="center"/>
              <w:rPr>
                <w:rFonts w:hint="eastAsia" w:ascii="宋体" w:hAnsi="宋体" w:eastAsia="宋体"/>
                <w:b/>
                <w:bCs/>
                <w:sz w:val="24"/>
                <w:szCs w:val="24"/>
              </w:rPr>
            </w:pPr>
            <w:r>
              <w:rPr>
                <w:rFonts w:hint="eastAsia" w:ascii="宋体" w:hAnsi="宋体" w:eastAsia="宋体"/>
                <w:b/>
                <w:bCs/>
                <w:sz w:val="24"/>
                <w:szCs w:val="24"/>
              </w:rPr>
              <w:t>格式</w:t>
            </w:r>
          </w:p>
        </w:tc>
        <w:tc>
          <w:tcPr>
            <w:tcW w:w="2193" w:type="dxa"/>
            <w:vAlign w:val="center"/>
          </w:tcPr>
          <w:p>
            <w:pPr>
              <w:spacing w:line="360" w:lineRule="exact"/>
              <w:jc w:val="center"/>
              <w:rPr>
                <w:rFonts w:hint="eastAsia" w:ascii="宋体" w:hAnsi="宋体" w:eastAsia="宋体"/>
                <w:b/>
                <w:bCs/>
                <w:sz w:val="24"/>
                <w:szCs w:val="24"/>
              </w:rPr>
            </w:pPr>
            <w:r>
              <w:rPr>
                <w:rFonts w:hint="eastAsia" w:ascii="宋体" w:hAnsi="宋体" w:eastAsia="宋体"/>
                <w:b/>
                <w:bCs/>
                <w:sz w:val="24"/>
                <w:szCs w:val="24"/>
              </w:rPr>
              <w:t>提交时间</w:t>
            </w:r>
          </w:p>
        </w:tc>
        <w:tc>
          <w:tcPr>
            <w:tcW w:w="3408" w:type="dxa"/>
            <w:vAlign w:val="center"/>
          </w:tcPr>
          <w:p>
            <w:pPr>
              <w:spacing w:line="360" w:lineRule="exact"/>
              <w:jc w:val="center"/>
              <w:rPr>
                <w:rFonts w:hint="eastAsia" w:ascii="宋体" w:hAnsi="宋体" w:eastAsia="宋体"/>
                <w:b/>
                <w:bCs/>
                <w:sz w:val="24"/>
                <w:szCs w:val="24"/>
              </w:rPr>
            </w:pPr>
            <w:r>
              <w:rPr>
                <w:rFonts w:hint="eastAsia" w:ascii="宋体" w:hAnsi="宋体" w:eastAsia="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1</w:t>
            </w:r>
          </w:p>
        </w:tc>
        <w:tc>
          <w:tcPr>
            <w:tcW w:w="2490" w:type="dxa"/>
            <w:vAlign w:val="center"/>
          </w:tcPr>
          <w:p>
            <w:pPr>
              <w:spacing w:line="360" w:lineRule="exact"/>
              <w:jc w:val="center"/>
              <w:rPr>
                <w:rFonts w:hint="eastAsia" w:ascii="宋体" w:hAnsi="宋体" w:eastAsia="宋体"/>
                <w:sz w:val="24"/>
                <w:szCs w:val="24"/>
              </w:rPr>
            </w:pPr>
            <w:r>
              <w:rPr>
                <w:rFonts w:ascii="宋体" w:hAnsi="宋体" w:eastAsia="宋体"/>
                <w:sz w:val="24"/>
                <w:szCs w:val="24"/>
              </w:rPr>
              <w:t>DL</w:t>
            </w:r>
            <w:r>
              <w:rPr>
                <w:rFonts w:hint="eastAsia" w:ascii="宋体" w:hAnsi="宋体" w:eastAsia="宋体"/>
                <w:sz w:val="24"/>
                <w:szCs w:val="24"/>
              </w:rPr>
              <w:t>图</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模具设计前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静态检查表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3</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硬度测定表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4</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动态检查表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5</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冲压制件检查基准书</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6</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零件精度检查表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各阶段样品出货时</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7</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试模报告书</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8</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冲压工艺数模</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UG及CATIA V5R19格式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9</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冲压工艺文件</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cs="宋体"/>
                <w:sz w:val="24"/>
                <w:szCs w:val="24"/>
              </w:rPr>
            </w:pPr>
            <w:r>
              <w:rPr>
                <w:rFonts w:hint="eastAsia" w:ascii="宋体" w:hAnsi="宋体" w:eastAsia="宋体"/>
                <w:sz w:val="24"/>
                <w:szCs w:val="24"/>
              </w:rPr>
              <w:t>招标方格式，AutoCAD2007版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10</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零件设计变更记录表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招标方格式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11</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模具材料表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12</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标准件清单</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13</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备品备件清单</w:t>
            </w:r>
          </w:p>
        </w:tc>
        <w:tc>
          <w:tcPr>
            <w:tcW w:w="810" w:type="dxa"/>
            <w:vAlign w:val="center"/>
          </w:tcPr>
          <w:p>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14</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模具出厂合格证</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15</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模具图纸（</w:t>
            </w:r>
            <w:r>
              <w:rPr>
                <w:rFonts w:ascii="宋体" w:hAnsi="宋体" w:eastAsia="宋体"/>
                <w:sz w:val="24"/>
                <w:szCs w:val="24"/>
              </w:rPr>
              <w:t>2D</w:t>
            </w:r>
            <w:r>
              <w:rPr>
                <w:rFonts w:hint="eastAsia" w:ascii="宋体" w:hAnsi="宋体" w:eastAsia="宋体"/>
                <w:sz w:val="24"/>
                <w:szCs w:val="24"/>
              </w:rPr>
              <w:t>及</w:t>
            </w:r>
            <w:r>
              <w:rPr>
                <w:rFonts w:ascii="宋体" w:hAnsi="宋体" w:eastAsia="宋体"/>
                <w:sz w:val="24"/>
                <w:szCs w:val="24"/>
              </w:rPr>
              <w:t>3D</w:t>
            </w:r>
            <w:r>
              <w:rPr>
                <w:rFonts w:hint="eastAsia" w:ascii="宋体" w:hAnsi="宋体" w:eastAsia="宋体"/>
                <w:sz w:val="24"/>
                <w:szCs w:val="24"/>
              </w:rPr>
              <w:t>）</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格式按招标方格式。</w:t>
            </w:r>
          </w:p>
          <w:p>
            <w:pPr>
              <w:spacing w:line="360" w:lineRule="exact"/>
              <w:jc w:val="center"/>
              <w:rPr>
                <w:rFonts w:hint="eastAsia" w:ascii="宋体" w:hAnsi="宋体" w:eastAsia="宋体"/>
                <w:sz w:val="24"/>
                <w:szCs w:val="24"/>
              </w:rPr>
            </w:pPr>
            <w:r>
              <w:rPr>
                <w:rFonts w:hint="eastAsia" w:ascii="宋体" w:hAnsi="宋体" w:eastAsia="宋体"/>
                <w:sz w:val="24"/>
                <w:szCs w:val="24"/>
              </w:rPr>
              <w:t>2D、</w:t>
            </w:r>
            <w:r>
              <w:rPr>
                <w:rFonts w:ascii="宋体" w:hAnsi="宋体" w:eastAsia="宋体"/>
                <w:sz w:val="24"/>
                <w:szCs w:val="24"/>
              </w:rPr>
              <w:t>3D</w:t>
            </w:r>
            <w:r>
              <w:rPr>
                <w:rFonts w:hint="eastAsia" w:ascii="宋体" w:hAnsi="宋体" w:eastAsia="宋体"/>
                <w:sz w:val="24"/>
                <w:szCs w:val="24"/>
              </w:rPr>
              <w:t>均用UG</w:t>
            </w:r>
            <w:r>
              <w:rPr>
                <w:rFonts w:ascii="宋体" w:hAnsi="宋体" w:eastAsia="宋体"/>
                <w:sz w:val="24"/>
                <w:szCs w:val="24"/>
              </w:rPr>
              <w:t>10.0</w:t>
            </w:r>
            <w:r>
              <w:rPr>
                <w:rFonts w:hint="eastAsia" w:ascii="宋体" w:hAnsi="宋体" w:eastAsia="宋体"/>
                <w:sz w:val="24"/>
                <w:szCs w:val="24"/>
              </w:rPr>
              <w:t>格式，且2D、3D实现联动。除标准件外，其余单件均应出2D图纸。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16</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模具钳修记录表</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pPr>
              <w:spacing w:line="360" w:lineRule="exact"/>
              <w:jc w:val="center"/>
              <w:rPr>
                <w:rFonts w:hint="eastAsia" w:ascii="宋体" w:hAnsi="宋体" w:eastAsia="宋体" w:cs="宋体"/>
                <w:sz w:val="24"/>
                <w:szCs w:val="24"/>
              </w:rPr>
            </w:pPr>
            <w:r>
              <w:rPr>
                <w:rFonts w:hint="eastAsia" w:ascii="宋体" w:hAnsi="宋体" w:eastAsia="宋体"/>
                <w:sz w:val="24"/>
                <w:szCs w:val="24"/>
              </w:rPr>
              <w:t>双方会审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17</w:t>
            </w:r>
          </w:p>
        </w:tc>
        <w:tc>
          <w:tcPr>
            <w:tcW w:w="249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产品工序制件图</w:t>
            </w:r>
          </w:p>
        </w:tc>
        <w:tc>
          <w:tcPr>
            <w:tcW w:w="810"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pPr>
              <w:spacing w:line="360" w:lineRule="exact"/>
              <w:jc w:val="center"/>
              <w:rPr>
                <w:rFonts w:hint="eastAsia" w:ascii="宋体" w:hAnsi="宋体" w:eastAsia="宋体"/>
                <w:sz w:val="24"/>
                <w:szCs w:val="24"/>
              </w:rPr>
            </w:pPr>
            <w:r>
              <w:rPr>
                <w:rFonts w:hint="eastAsia" w:ascii="宋体" w:hAnsi="宋体" w:eastAsia="宋体"/>
                <w:sz w:val="24"/>
                <w:szCs w:val="24"/>
              </w:rPr>
              <w:t>AutoCAD2007版；公差标注齐全</w:t>
            </w:r>
          </w:p>
        </w:tc>
      </w:tr>
    </w:tbl>
    <w:p>
      <w:pPr>
        <w:spacing w:line="360" w:lineRule="exact"/>
        <w:rPr>
          <w:rFonts w:hint="eastAsia" w:ascii="宋体" w:hAnsi="宋体" w:eastAsia="宋体"/>
          <w:sz w:val="24"/>
          <w:szCs w:val="24"/>
        </w:rPr>
      </w:pPr>
      <w:r>
        <w:rPr>
          <w:rFonts w:hint="eastAsia" w:ascii="宋体" w:hAnsi="宋体" w:eastAsia="宋体"/>
          <w:sz w:val="24"/>
          <w:szCs w:val="24"/>
        </w:rPr>
        <w:t>注：以上资料均应提供纸质及电子版，若投标方认为无需提供纸质版，需经招标方同意。</w:t>
      </w:r>
    </w:p>
    <w:p>
      <w:pPr>
        <w:spacing w:before="120" w:beforeLines="50" w:after="120" w:afterLines="50" w:line="500" w:lineRule="exact"/>
        <w:ind w:firstLine="482"/>
        <w:rPr>
          <w:rFonts w:hint="eastAsia" w:ascii="宋体" w:hAnsi="宋体" w:eastAsia="宋体"/>
          <w:b/>
          <w:sz w:val="24"/>
          <w:szCs w:val="24"/>
        </w:rPr>
      </w:pPr>
      <w:r>
        <w:rPr>
          <w:rFonts w:hint="eastAsia" w:ascii="宋体" w:hAnsi="宋体" w:eastAsia="宋体"/>
          <w:b/>
          <w:sz w:val="24"/>
          <w:szCs w:val="24"/>
        </w:rPr>
        <w:t>2、模具设计输入</w:t>
      </w:r>
    </w:p>
    <w:p>
      <w:pPr>
        <w:spacing w:line="360" w:lineRule="exact"/>
        <w:ind w:firstLine="465"/>
        <w:rPr>
          <w:rFonts w:hint="eastAsia" w:ascii="宋体" w:hAnsi="宋体" w:eastAsia="宋体"/>
          <w:b/>
          <w:sz w:val="24"/>
        </w:rPr>
      </w:pPr>
      <w:r>
        <w:rPr>
          <w:rFonts w:ascii="宋体" w:hAnsi="宋体" w:eastAsia="宋体"/>
          <w:b/>
          <w:sz w:val="24"/>
        </w:rPr>
        <w:t>2.1</w:t>
      </w:r>
      <w:r>
        <w:rPr>
          <w:rFonts w:hint="eastAsia" w:ascii="宋体" w:hAnsi="宋体" w:eastAsia="宋体"/>
          <w:b/>
          <w:sz w:val="24"/>
        </w:rPr>
        <w:t>生产条件</w:t>
      </w:r>
    </w:p>
    <w:p>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1</w:t>
      </w:r>
      <w:r>
        <w:rPr>
          <w:rFonts w:hint="eastAsia" w:ascii="宋体" w:hAnsi="宋体" w:eastAsia="宋体"/>
          <w:sz w:val="24"/>
        </w:rPr>
        <w:t>工作环境：室内，温度：</w:t>
      </w:r>
      <w:r>
        <w:rPr>
          <w:rFonts w:ascii="宋体" w:hAnsi="宋体" w:eastAsia="宋体"/>
          <w:sz w:val="24"/>
        </w:rPr>
        <w:t>-10</w:t>
      </w:r>
      <w:r>
        <w:rPr>
          <w:rFonts w:hint="eastAsia" w:ascii="宋体" w:hAnsi="宋体" w:eastAsia="宋体"/>
          <w:sz w:val="24"/>
        </w:rPr>
        <w:t>℃～</w:t>
      </w:r>
      <w:r>
        <w:rPr>
          <w:rFonts w:ascii="宋体" w:hAnsi="宋体" w:eastAsia="宋体"/>
          <w:sz w:val="24"/>
        </w:rPr>
        <w:t>40</w:t>
      </w:r>
      <w:r>
        <w:rPr>
          <w:rFonts w:hint="eastAsia" w:ascii="宋体" w:hAnsi="宋体" w:eastAsia="宋体"/>
          <w:sz w:val="24"/>
        </w:rPr>
        <w:t>℃，相对湿度：≤</w:t>
      </w:r>
      <w:r>
        <w:rPr>
          <w:rFonts w:ascii="宋体" w:hAnsi="宋体" w:eastAsia="宋体"/>
          <w:sz w:val="24"/>
        </w:rPr>
        <w:t>90%</w:t>
      </w:r>
      <w:r>
        <w:rPr>
          <w:rFonts w:hint="eastAsia" w:ascii="宋体" w:hAnsi="宋体" w:eastAsia="宋体"/>
          <w:sz w:val="24"/>
        </w:rPr>
        <w:t>；</w:t>
      </w:r>
    </w:p>
    <w:p>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2</w:t>
      </w:r>
      <w:r>
        <w:rPr>
          <w:rFonts w:hint="eastAsia" w:ascii="宋体" w:hAnsi="宋体" w:eastAsia="宋体"/>
          <w:sz w:val="24"/>
        </w:rPr>
        <w:t>生产节拍：自动线</w:t>
      </w:r>
      <w:r>
        <w:rPr>
          <w:rFonts w:ascii="宋体" w:hAnsi="宋体" w:eastAsia="宋体"/>
          <w:sz w:val="24"/>
        </w:rPr>
        <w:t>10-14</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分钟，手动线：</w:t>
      </w:r>
      <w:r>
        <w:rPr>
          <w:rFonts w:ascii="宋体" w:hAnsi="宋体" w:eastAsia="宋体"/>
          <w:sz w:val="24"/>
        </w:rPr>
        <w:t>4-8</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w:t>
      </w:r>
    </w:p>
    <w:p>
      <w:pPr>
        <w:spacing w:line="360" w:lineRule="exact"/>
        <w:ind w:firstLine="465"/>
        <w:rPr>
          <w:rFonts w:hint="eastAsia" w:ascii="宋体" w:hAnsi="宋体" w:eastAsia="宋体"/>
          <w:i/>
          <w:sz w:val="24"/>
        </w:rPr>
      </w:pPr>
      <w:r>
        <w:rPr>
          <w:rFonts w:ascii="宋体" w:hAnsi="宋体" w:eastAsia="宋体"/>
          <w:sz w:val="24"/>
        </w:rPr>
        <w:t>2.</w:t>
      </w:r>
      <w:r>
        <w:rPr>
          <w:rFonts w:hint="eastAsia" w:ascii="宋体" w:hAnsi="宋体" w:eastAsia="宋体"/>
          <w:sz w:val="24"/>
        </w:rPr>
        <w:t>2.</w:t>
      </w:r>
      <w:r>
        <w:rPr>
          <w:rFonts w:ascii="宋体" w:hAnsi="宋体" w:eastAsia="宋体"/>
          <w:sz w:val="24"/>
        </w:rPr>
        <w:t>3</w:t>
      </w:r>
      <w:r>
        <w:rPr>
          <w:rFonts w:hint="eastAsia" w:ascii="宋体" w:hAnsi="宋体" w:eastAsia="宋体"/>
          <w:sz w:val="24"/>
        </w:rPr>
        <w:t>使用寿命：</w:t>
      </w:r>
      <w:r>
        <w:rPr>
          <w:rFonts w:ascii="宋体" w:hAnsi="宋体" w:eastAsia="宋体"/>
          <w:sz w:val="24"/>
        </w:rPr>
        <w:t>50</w:t>
      </w:r>
      <w:r>
        <w:rPr>
          <w:rFonts w:hint="eastAsia" w:ascii="宋体" w:hAnsi="宋体" w:eastAsia="宋体"/>
          <w:sz w:val="24"/>
        </w:rPr>
        <w:t>万次以上；</w:t>
      </w:r>
    </w:p>
    <w:p>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4</w:t>
      </w:r>
      <w:r>
        <w:rPr>
          <w:rFonts w:hint="eastAsia" w:ascii="宋体" w:hAnsi="宋体" w:eastAsia="宋体"/>
          <w:sz w:val="24"/>
        </w:rPr>
        <w:t>操作方式：自动线模具要适用于自动化系统自动上下料要求；其他模具要求适用于手工操作。</w:t>
      </w:r>
    </w:p>
    <w:p>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5</w:t>
      </w:r>
      <w:r>
        <w:rPr>
          <w:rFonts w:hint="eastAsia" w:ascii="宋体" w:hAnsi="宋体" w:eastAsia="宋体"/>
          <w:sz w:val="24"/>
        </w:rPr>
        <w:t>生产车间起吊方式：桥式起重机。</w:t>
      </w:r>
    </w:p>
    <w:p>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6</w:t>
      </w:r>
      <w:r>
        <w:rPr>
          <w:rFonts w:hint="eastAsia" w:ascii="宋体" w:hAnsi="宋体" w:eastAsia="宋体"/>
          <w:sz w:val="24"/>
        </w:rPr>
        <w:t>生产设备：招标方指定的冲压设备，</w:t>
      </w:r>
    </w:p>
    <w:p>
      <w:pPr>
        <w:spacing w:line="360" w:lineRule="exact"/>
        <w:ind w:firstLine="422" w:firstLineChars="175"/>
        <w:rPr>
          <w:rFonts w:hint="eastAsia" w:ascii="宋体" w:hAnsi="宋体" w:eastAsia="宋体"/>
          <w:b/>
          <w:sz w:val="24"/>
        </w:rPr>
      </w:pPr>
      <w:r>
        <w:rPr>
          <w:rFonts w:ascii="宋体" w:hAnsi="宋体" w:eastAsia="宋体"/>
          <w:b/>
          <w:sz w:val="24"/>
        </w:rPr>
        <w:t xml:space="preserve">2.2 </w:t>
      </w:r>
      <w:r>
        <w:rPr>
          <w:rFonts w:hint="eastAsia" w:ascii="宋体" w:hAnsi="宋体" w:eastAsia="宋体"/>
          <w:b/>
          <w:sz w:val="24"/>
        </w:rPr>
        <w:t>产品数据及要求</w:t>
      </w:r>
    </w:p>
    <w:p>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.2.1 </w:t>
      </w:r>
      <w:r>
        <w:rPr>
          <w:rFonts w:hint="eastAsia" w:ascii="宋体" w:hAnsi="宋体" w:eastAsia="宋体"/>
          <w:sz w:val="24"/>
        </w:rPr>
        <w:t>产品数模；</w:t>
      </w:r>
    </w:p>
    <w:p>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.2.2 </w:t>
      </w:r>
      <w:r>
        <w:rPr>
          <w:rFonts w:hint="eastAsia" w:ascii="宋体" w:hAnsi="宋体" w:eastAsia="宋体"/>
          <w:sz w:val="24"/>
        </w:rPr>
        <w:t>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p>
    <w:p>
      <w:pPr>
        <w:spacing w:before="120" w:beforeLines="50" w:after="120" w:afterLines="50" w:line="500" w:lineRule="exact"/>
        <w:ind w:firstLine="482"/>
        <w:rPr>
          <w:rFonts w:hint="eastAsia" w:ascii="宋体" w:hAnsi="宋体" w:eastAsia="宋体"/>
          <w:b/>
          <w:sz w:val="24"/>
          <w:szCs w:val="24"/>
        </w:rPr>
      </w:pPr>
      <w:r>
        <w:rPr>
          <w:rFonts w:ascii="宋体" w:hAnsi="宋体" w:eastAsia="宋体"/>
          <w:b/>
          <w:sz w:val="24"/>
          <w:szCs w:val="24"/>
        </w:rPr>
        <w:t>3</w:t>
      </w:r>
      <w:r>
        <w:rPr>
          <w:rFonts w:hint="eastAsia" w:ascii="宋体" w:hAnsi="宋体" w:eastAsia="宋体"/>
          <w:b/>
          <w:sz w:val="24"/>
          <w:szCs w:val="24"/>
        </w:rPr>
        <w:t>、模具设计、制造的技术要求</w:t>
      </w:r>
    </w:p>
    <w:p>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rPr>
        <w:t>投标方提供招标方适用于本标的的模具设计制造标准，经招标方同意，作为模具设计、制造、验收的依据。该标准应随投标技术文件一起提供（可提供一份）。</w:t>
      </w:r>
    </w:p>
    <w:p>
      <w:pPr>
        <w:spacing w:line="360" w:lineRule="exact"/>
        <w:ind w:firstLine="465"/>
        <w:rPr>
          <w:rFonts w:hint="eastAsia" w:ascii="宋体" w:hAnsi="宋体" w:eastAsia="宋体"/>
          <w:sz w:val="24"/>
        </w:rPr>
      </w:pPr>
      <w:r>
        <w:rPr>
          <w:rFonts w:hint="eastAsia" w:ascii="宋体" w:hAnsi="宋体" w:eastAsia="宋体"/>
          <w:sz w:val="24"/>
        </w:rPr>
        <w:t>投标方提供的冲压工艺和模具应能冲制出与产品技术文件一致的冲压件。</w:t>
      </w:r>
    </w:p>
    <w:p>
      <w:pPr>
        <w:spacing w:line="360" w:lineRule="exact"/>
        <w:ind w:firstLine="465"/>
        <w:rPr>
          <w:rFonts w:hint="eastAsia" w:ascii="宋体" w:hAnsi="宋体" w:eastAsia="宋体"/>
          <w:sz w:val="24"/>
        </w:rPr>
      </w:pPr>
      <w:r>
        <w:rPr>
          <w:rFonts w:hint="eastAsia" w:ascii="宋体" w:hAnsi="宋体" w:eastAsia="宋体"/>
          <w:sz w:val="24"/>
          <w:lang w:val="en-US" w:eastAsia="zh-CN"/>
        </w:rPr>
        <w:t>3.2由投标方负责现场调研确认模检具实物状态，确定合理的改制方案。</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自动线模具应满足自动化生产</w:t>
      </w:r>
      <w:r>
        <w:rPr>
          <w:rFonts w:ascii="宋体" w:hAnsi="宋体" w:eastAsia="宋体"/>
          <w:sz w:val="24"/>
        </w:rPr>
        <w:t>,</w:t>
      </w:r>
      <w:r>
        <w:rPr>
          <w:rFonts w:hint="eastAsia" w:ascii="宋体" w:hAnsi="宋体" w:eastAsia="宋体"/>
          <w:sz w:val="24"/>
        </w:rPr>
        <w:t>定位方式符合快速定位的结构方式，取、送件容易</w:t>
      </w:r>
      <w:r>
        <w:rPr>
          <w:rFonts w:ascii="宋体" w:hAnsi="宋体" w:eastAsia="宋体"/>
          <w:sz w:val="24"/>
        </w:rPr>
        <w:t>,</w:t>
      </w:r>
      <w:r>
        <w:rPr>
          <w:rFonts w:hint="eastAsia" w:ascii="宋体" w:hAnsi="宋体" w:eastAsia="宋体"/>
          <w:sz w:val="24"/>
        </w:rPr>
        <w:t>保证生产节拍，操作方便安全。</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4</w:t>
      </w:r>
      <w:r>
        <w:rPr>
          <w:rFonts w:hint="eastAsia" w:ascii="宋体" w:hAnsi="宋体" w:eastAsia="宋体"/>
          <w:sz w:val="24"/>
        </w:rPr>
        <w:t>自动化生产线各序模具，板料及零件进出必须方便，空间足够，不得有对板料与零件造成磕碰划伤之隐患。对于手动生产线模具，影响外观质量和生产操作性的送料和取料均要求设有托架，托架上有防划橡胶滚轮，防止擦（碰）伤制件表面；托架超出模具底板外的部分应设成折叠式。</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5</w:t>
      </w:r>
      <w:r>
        <w:rPr>
          <w:rFonts w:hint="eastAsia" w:ascii="宋体" w:hAnsi="宋体" w:eastAsia="宋体"/>
          <w:sz w:val="24"/>
        </w:rPr>
        <w:t>在冲裁过程中产生的废料屑应采取措施，避免被带到下工序从而影响产品表面质量，投标方应在标书中以书面形式明确解决措施。</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6</w:t>
      </w:r>
      <w:r>
        <w:rPr>
          <w:rFonts w:hint="eastAsia" w:ascii="宋体" w:hAnsi="宋体" w:eastAsia="宋体"/>
          <w:sz w:val="24"/>
        </w:rPr>
        <w:t>制件从模具中取出前，模具应具有将制件顶出的机构，该机构将制件从模具型腔中顶出，顶出高度应便于取件，不能有任何障碍及粘附现象，并不妨碍取放制件和废料的排出。自动线模具设计自动化气源退料，且注意气源接头方向等的合理性，手动线由于模具结构、尺寸等原因确无法使用自动化气源退料的，则必须采用其他可靠方式，确保制件从下模脱落。</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7</w:t>
      </w:r>
      <w:r>
        <w:rPr>
          <w:rFonts w:hint="eastAsia" w:ascii="宋体" w:hAnsi="宋体" w:eastAsia="宋体"/>
          <w:sz w:val="24"/>
        </w:rPr>
        <w:t>凸模</w:t>
      </w:r>
      <w:r>
        <w:rPr>
          <w:rFonts w:hint="eastAsia" w:ascii="宋体" w:hAnsi="宋体" w:eastAsia="宋体"/>
          <w:sz w:val="24"/>
          <w:lang w:eastAsia="zh-CN"/>
        </w:rPr>
        <w:t>应</w:t>
      </w:r>
      <w:r>
        <w:rPr>
          <w:rFonts w:hint="eastAsia" w:ascii="宋体" w:hAnsi="宋体" w:eastAsia="宋体"/>
          <w:sz w:val="24"/>
        </w:rPr>
        <w:t>采用快换冲头，冲孔凹模采用可换式的（工作边距、孔距较小者除外），标准的冲孔凹模采用镶套结构，非圆凸模及凹模采取防转措施。冲孔凹模套外形随型，仿形后有效刃口高度不少于</w:t>
      </w:r>
      <w:r>
        <w:rPr>
          <w:rFonts w:ascii="宋体" w:hAnsi="宋体" w:eastAsia="宋体"/>
          <w:sz w:val="24"/>
        </w:rPr>
        <w:t>6mm</w:t>
      </w:r>
      <w:r>
        <w:rPr>
          <w:rFonts w:hint="eastAsia" w:ascii="宋体" w:hAnsi="宋体" w:eastAsia="宋体"/>
          <w:sz w:val="24"/>
        </w:rPr>
        <w:t>。</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8</w:t>
      </w:r>
      <w:r>
        <w:rPr>
          <w:rFonts w:hint="eastAsia" w:ascii="宋体" w:hAnsi="宋体" w:eastAsia="宋体"/>
          <w:sz w:val="24"/>
        </w:rPr>
        <w:t>手动线模具小孔废料以废料盒暂存后送出（最小存放量需满足单班次生产要求），其余废料必须经废料滑槽滑出模具后进入废料箱或手动取下，废料滑槽超出模具底板部分的刚性良好并采用折叠式结构和带挂链。自动线模具小孔废料以废料盒暂存后送出（最小存放量需满足单班次2000件生产要求），其他废料经废料滑槽滑出并落入废料输送带，切边废料应采用废料刀将废料切碎，废料对角线长度应小于6</w:t>
      </w:r>
      <w:r>
        <w:rPr>
          <w:rFonts w:ascii="宋体" w:hAnsi="宋体" w:eastAsia="宋体"/>
          <w:sz w:val="24"/>
        </w:rPr>
        <w:t>00mm</w:t>
      </w:r>
      <w:r>
        <w:rPr>
          <w:rFonts w:hint="eastAsia" w:ascii="宋体" w:hAnsi="宋体" w:eastAsia="宋体"/>
          <w:sz w:val="24"/>
        </w:rPr>
        <w:t>，该废料应自动排出工作台以外。废料的排出应保证排出可靠，而且考虑设备、模具、操作者的安全。</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9</w:t>
      </w:r>
      <w:r>
        <w:rPr>
          <w:rFonts w:hint="eastAsia" w:ascii="宋体" w:hAnsi="宋体" w:eastAsia="宋体"/>
          <w:sz w:val="24"/>
        </w:rPr>
        <w:t>模具凸模、凹模、废料刀原则上不允许悬空，对不可避免的必须控制其悬空量不大于</w:t>
      </w:r>
      <w:r>
        <w:rPr>
          <w:rFonts w:ascii="宋体" w:hAnsi="宋体" w:eastAsia="宋体"/>
          <w:sz w:val="24"/>
        </w:rPr>
        <w:t>10mm</w:t>
      </w:r>
      <w:r>
        <w:rPr>
          <w:rFonts w:hint="eastAsia" w:ascii="宋体" w:hAnsi="宋体" w:eastAsia="宋体"/>
          <w:sz w:val="24"/>
        </w:rPr>
        <w:t>，但需告知招标方。</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10</w:t>
      </w:r>
      <w:r>
        <w:rPr>
          <w:rFonts w:hint="eastAsia" w:ascii="宋体" w:hAnsi="宋体" w:eastAsia="宋体"/>
          <w:sz w:val="24"/>
        </w:rPr>
        <w:t>上下模座定位要操作方便、可靠，上、下模座的前、后、左、右垂直面上的中心线要有</w:t>
      </w:r>
      <w:r>
        <w:rPr>
          <w:rFonts w:ascii="宋体" w:hAnsi="宋体" w:eastAsia="宋体"/>
          <w:sz w:val="24"/>
        </w:rPr>
        <w:t>V</w:t>
      </w:r>
      <w:r>
        <w:rPr>
          <w:rFonts w:hint="eastAsia" w:ascii="宋体" w:hAnsi="宋体" w:eastAsia="宋体"/>
          <w:sz w:val="24"/>
        </w:rPr>
        <w:t>型槽标记；下模座左右两侧加工快速定位基准面，利用压力机工作台快速定位孔定位，具体尺寸由压力机确定；模具上、下模前端垂直面上明显处铸出前方标记“</w:t>
      </w:r>
      <w:r>
        <w:rPr>
          <w:rFonts w:ascii="宋体" w:hAnsi="宋体" w:eastAsia="宋体"/>
          <w:sz w:val="24"/>
        </w:rPr>
        <w:t>F</w:t>
      </w:r>
      <w:r>
        <w:rPr>
          <w:rFonts w:hint="eastAsia" w:ascii="宋体" w:hAnsi="宋体" w:eastAsia="宋体"/>
          <w:sz w:val="24"/>
        </w:rPr>
        <w:t>”字。</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11</w:t>
      </w:r>
      <w:r>
        <w:rPr>
          <w:rFonts w:hint="eastAsia" w:ascii="宋体" w:hAnsi="宋体" w:eastAsia="宋体"/>
          <w:sz w:val="24"/>
        </w:rPr>
        <w:t>所有的翻边镶块、导板等均应设有挡块或背托，不能仅用销钉。</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12</w:t>
      </w:r>
      <w:r>
        <w:rPr>
          <w:rFonts w:hint="eastAsia" w:ascii="宋体" w:hAnsi="宋体" w:eastAsia="宋体"/>
          <w:sz w:val="24"/>
        </w:rPr>
        <w:t>修边、整形、翻边等模具主要镶块（修边刃口、翻边镶块）等在预验收前，不得补焊。预验收结束后，如确需补焊钳修的，必须如实填写《模具钳修记录表》，必须保证一次补焊成功，否则无条件更换。</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13</w:t>
      </w:r>
      <w:r>
        <w:rPr>
          <w:rFonts w:hint="eastAsia" w:ascii="宋体" w:hAnsi="宋体" w:eastAsia="宋体"/>
          <w:sz w:val="24"/>
        </w:rPr>
        <w:t>为便于上、下模合模时的安全性，应设计防反装置。上模的活动部件均应有安全措施。</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14</w:t>
      </w:r>
      <w:r>
        <w:rPr>
          <w:rFonts w:hint="eastAsia" w:ascii="宋体" w:hAnsi="宋体" w:eastAsia="宋体"/>
          <w:sz w:val="24"/>
        </w:rPr>
        <w:t>模具的导柱均安装在下模座上，冲模的起重和翻转应在设计时考虑。冲模上的活动部件应有安全措施，应有行程限位器、存放式限位器、安全块、防护板、防护罩等。冲模零部件应考虑防松、防崩、防脱落、防冲击等措施。冲模的布置应考虑到压床的安全、合理和便于操作及安装。冲模的气动接头采用快换插头，并分别分布在冲模的左前侧，管路内应设有调压阀；接插座的排列顺序为定位装置升起、定位装置下降、托料装置升起、托料装置下降。</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15</w:t>
      </w:r>
      <w:r>
        <w:rPr>
          <w:rFonts w:hint="eastAsia" w:ascii="宋体" w:hAnsi="宋体" w:eastAsia="宋体"/>
          <w:sz w:val="24"/>
        </w:rPr>
        <w:t>外覆盖件模具成形型面（含拉延模工艺补充部分）不允许堆焊和补焊；拉延筋及压料面等，在调试过程中，确需要进行堆焊的，必须告知招标方，并如实填写《模具钳修记录单》，保证焊接质量。外覆盖件模具钳工修正前研合率须超过80</w:t>
      </w:r>
      <w:r>
        <w:rPr>
          <w:rFonts w:ascii="宋体" w:hAnsi="宋体" w:eastAsia="宋体"/>
          <w:sz w:val="24"/>
        </w:rPr>
        <w:t>%</w:t>
      </w:r>
      <w:r>
        <w:rPr>
          <w:rFonts w:hint="eastAsia" w:ascii="宋体" w:hAnsi="宋体" w:eastAsia="宋体"/>
          <w:sz w:val="24"/>
        </w:rPr>
        <w:t>，进行钳修后研合率须超过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，且如实填写《模具钳修记录表》；对于钳修后的研合率招标方将在预验收前进行蓝丹着色检查，投标方应予以无条件配合。有拉延工序零件的模具须有研模基准孔（</w:t>
      </w:r>
      <w:r>
        <w:rPr>
          <w:rFonts w:ascii="宋体" w:hAnsi="宋体" w:eastAsia="宋体"/>
          <w:sz w:val="24"/>
        </w:rPr>
        <w:t>CH</w:t>
      </w:r>
      <w:r>
        <w:rPr>
          <w:rFonts w:hint="eastAsia" w:ascii="宋体" w:hAnsi="宋体" w:eastAsia="宋体"/>
          <w:sz w:val="24"/>
        </w:rPr>
        <w:t>孔）。</w:t>
      </w:r>
    </w:p>
    <w:p>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模具材料及热处理。</w:t>
      </w:r>
    </w:p>
    <w:p>
      <w:pPr>
        <w:spacing w:line="360" w:lineRule="exact"/>
        <w:ind w:firstLine="465"/>
        <w:rPr>
          <w:rFonts w:hint="eastAsia" w:ascii="宋体" w:hAnsi="宋体" w:eastAsia="宋体"/>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1大型覆盖件类拉延模：凸模、凹模、压边圈使用GGG70L铸铁，工作表面圆角部位需采取有效的热处理方式，不允许制件表面出现拉毛、划痕等影响外观质量的缺陷。圆角处的热处理方式应该由投标方提出并通过招标方同意；若进行TD处理，局部的分块结构与招标方人员进行确认。均匀淬火硬度HRC55±2°，工作部位表面粗糙度要求Ra0.8。硬度测试为每100mm随机取点，硬度平均值达到要求，且最小值≥50。地板的模具压边圈和凹模采用镶钢块（Cr12MoV）型面，并进行TD处理，硬度HRC58～62。</w:t>
      </w:r>
    </w:p>
    <w:p>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2一般拉延模：凹模、凸模及压边圈采用GM246铸铁，均匀淬火硬度HRC53±2°。工作部位表面粗糙度要求Ra0.8。硬度测试为每100mm随机取点，硬度平均值达到要求，且最小值≥50。制件料厚大于等于2.5MM或材质为高强钢或成形复杂的模具压边圈和凹模采用Cr12MoV镶钢块（Cr12MoV）型面，并进行TD处理，硬度HRC58～62。</w:t>
      </w:r>
    </w:p>
    <w:p>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.3修边冲孔模：模座采用HT300，料厚&lt;1.2mm时，修边镶块采用7CrSiMnMoV，硬度HRC55～58。料厚≥1.2mm时，修边镶块采用Cr12MoV，硬度HRC58～62。压料芯等其他部件，采用HT300。工作部位表面及刃口表面粗糙度要求Ra0.8。</w:t>
      </w:r>
    </w:p>
    <w:p>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4翻边整形模：模座采用HT300，料厚＜1.2mm时，镶块采用7CrSiMnMoV，硬度HRC55～58。料厚≥1.2mm时，镶块采用Cr12MoV，硬度HRC58～62。需进行整形过程的压料芯等其他部件，采用Mocr，硬度要求达到HRC50以上，其他采用HT300。工作部位表面粗糙度要求Ra0.8。</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17</w:t>
      </w:r>
      <w:r>
        <w:rPr>
          <w:rFonts w:hint="eastAsia" w:ascii="宋体" w:hAnsi="宋体" w:eastAsia="宋体"/>
          <w:sz w:val="24"/>
        </w:rPr>
        <w:t>铸件及钢镶块可拆卸件应进行打号标记，打号位置为可拆卸件及对应的模座（阿拉伯数字）。</w:t>
      </w:r>
    </w:p>
    <w:p>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18</w:t>
      </w:r>
      <w:r>
        <w:rPr>
          <w:rFonts w:hint="eastAsia" w:ascii="宋体" w:hAnsi="宋体" w:eastAsia="宋体"/>
          <w:sz w:val="24"/>
        </w:rPr>
        <w:t>在满足招标方技术要求并能生产出合格的冲压件的前提下，投标方自己确定模具主要部件所用材料及表面处理硬度，材料报价及表面处理费用应计算在投标总报价之内。</w:t>
      </w:r>
    </w:p>
    <w:p>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19</w:t>
      </w:r>
      <w:r>
        <w:rPr>
          <w:rFonts w:hint="eastAsia" w:ascii="宋体" w:hAnsi="宋体" w:eastAsia="宋体"/>
          <w:sz w:val="24"/>
        </w:rPr>
        <w:t>其他的设计标准见附件</w:t>
      </w:r>
      <w:r>
        <w:rPr>
          <w:rFonts w:hint="eastAsia" w:ascii="宋体" w:hAnsi="宋体" w:eastAsia="宋体"/>
          <w:sz w:val="24"/>
          <w:lang w:val="en-US" w:eastAsia="zh-CN"/>
        </w:rPr>
        <w:t>2</w:t>
      </w:r>
      <w:r>
        <w:rPr>
          <w:rFonts w:hint="eastAsia" w:ascii="宋体" w:hAnsi="宋体" w:eastAsia="宋体"/>
          <w:sz w:val="24"/>
        </w:rPr>
        <w:t>《车身冲压模具设计标准》</w:t>
      </w:r>
    </w:p>
    <w:p>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项目实施</w:t>
      </w:r>
    </w:p>
    <w:p>
      <w:pPr>
        <w:spacing w:line="360" w:lineRule="exact"/>
        <w:ind w:firstLine="480" w:firstLineChars="200"/>
        <w:rPr>
          <w:rFonts w:hint="eastAsia" w:ascii="宋体" w:hAnsi="宋体" w:eastAsia="宋体"/>
          <w:sz w:val="24"/>
        </w:rPr>
      </w:pPr>
      <w:r>
        <w:rPr>
          <w:rFonts w:hint="eastAsia" w:ascii="宋体" w:hAnsi="宋体" w:eastAsia="宋体"/>
          <w:sz w:val="24"/>
        </w:rPr>
        <w:t>中标方依照定标的模具设计方案进行设计，若需调整，需经招标方认可。原则上，</w:t>
      </w:r>
      <w:r>
        <w:rPr>
          <w:rFonts w:ascii="宋体" w:hAnsi="宋体" w:eastAsia="宋体"/>
          <w:sz w:val="24"/>
        </w:rPr>
        <w:t>DL</w:t>
      </w:r>
      <w:r>
        <w:rPr>
          <w:rFonts w:hint="eastAsia" w:ascii="宋体" w:hAnsi="宋体" w:eastAsia="宋体"/>
          <w:sz w:val="24"/>
        </w:rPr>
        <w:t>图在招标方会签，如招标方有特殊情况，到中标方会签；模具设计图纸在中标方进行会签后方可投入后续工作。</w:t>
      </w:r>
    </w:p>
    <w:p>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项目验收</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1、预验收</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.1</w:t>
      </w:r>
      <w:r>
        <w:rPr>
          <w:rFonts w:hint="eastAsia" w:ascii="宋体" w:hAnsi="宋体" w:eastAsia="宋体"/>
          <w:sz w:val="24"/>
        </w:rPr>
        <w:t>预验收依据：中标方提供并经招标方认可的模具设计制造标准、合同，工艺及模具图纸会签纪要，冲压件零件质量判定标准。</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.2</w:t>
      </w:r>
      <w:r>
        <w:rPr>
          <w:rFonts w:hint="eastAsia" w:ascii="宋体" w:hAnsi="宋体" w:eastAsia="宋体"/>
          <w:sz w:val="24"/>
        </w:rPr>
        <w:t>预验收启动条件：中标方完成模具制造，通过动、静态、硬度自检符合要求，冲压件自检质量达到冲压件零件质量判定标准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r>
        <w:rPr>
          <w:rFonts w:hint="eastAsia" w:ascii="宋体" w:hAnsi="宋体" w:eastAsia="宋体"/>
          <w:sz w:val="24"/>
        </w:rPr>
        <w:t>要求，并按要求完成2.</w:t>
      </w:r>
      <w:r>
        <w:rPr>
          <w:rFonts w:ascii="宋体" w:hAnsi="宋体" w:eastAsia="宋体"/>
          <w:sz w:val="24"/>
        </w:rPr>
        <w:t>7</w:t>
      </w:r>
      <w:r>
        <w:rPr>
          <w:rFonts w:hint="eastAsia" w:ascii="宋体" w:hAnsi="宋体" w:eastAsia="宋体"/>
          <w:sz w:val="24"/>
        </w:rPr>
        <w:t>条款所示的内容后，中标方向招标方提出预验收申请。</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.3</w:t>
      </w:r>
      <w:r>
        <w:rPr>
          <w:rFonts w:hint="eastAsia" w:ascii="宋体" w:hAnsi="宋体" w:eastAsia="宋体"/>
          <w:sz w:val="24"/>
        </w:rPr>
        <w:t>投标方负责向招标方提供冲压件及《冲压制件检查基准书》，并派技术人员参加零件匹配性验证。招标方按产品图纸及技术要求对制件的形状及尺寸进行必要的检测，并负责协调组织零件匹配性验证工作，验证完成后双方签署《验收纪要》。零件匹配性验证在招标方现场组织实施。</w:t>
      </w:r>
    </w:p>
    <w:p>
      <w:pPr>
        <w:spacing w:line="360" w:lineRule="exact"/>
        <w:ind w:left="101" w:leftChars="48" w:firstLine="316" w:firstLineChars="132"/>
        <w:rPr>
          <w:rFonts w:hint="eastAsia" w:ascii="宋体" w:hAnsi="宋体" w:eastAsia="宋体"/>
          <w:sz w:val="24"/>
          <w:szCs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在完成零件匹配性验证后，开展模具预验收工作，预验收场地在投标方处进行，并由投标方提供必要的设备、仪器、场地等预验收工作必须的条件</w:t>
      </w:r>
      <w:r>
        <w:rPr>
          <w:rFonts w:hint="eastAsia" w:ascii="宋体" w:hAnsi="宋体" w:eastAsia="宋体"/>
          <w:sz w:val="24"/>
          <w:szCs w:val="24"/>
        </w:rPr>
        <w:t>。</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.5</w:t>
      </w:r>
      <w:r>
        <w:rPr>
          <w:rFonts w:hint="eastAsia" w:ascii="宋体" w:hAnsi="宋体" w:eastAsia="宋体"/>
          <w:sz w:val="24"/>
        </w:rPr>
        <w:t>预验收工作由双方配合完成。除完成动静态检测、硬度检测等基础检查项目外，连续试冲不少于</w:t>
      </w:r>
      <w:r>
        <w:rPr>
          <w:rFonts w:ascii="宋体" w:hAnsi="宋体" w:eastAsia="宋体"/>
          <w:sz w:val="24"/>
        </w:rPr>
        <w:t>30</w:t>
      </w:r>
      <w:r>
        <w:rPr>
          <w:rFonts w:hint="eastAsia" w:ascii="宋体" w:hAnsi="宋体" w:eastAsia="宋体"/>
          <w:sz w:val="24"/>
        </w:rPr>
        <w:t>个合格冲压制件</w:t>
      </w:r>
      <w:r>
        <w:rPr>
          <w:rFonts w:ascii="宋体" w:hAnsi="宋体" w:eastAsia="宋体"/>
          <w:sz w:val="24"/>
        </w:rPr>
        <w:t>(</w:t>
      </w:r>
      <w:r>
        <w:rPr>
          <w:rFonts w:hint="eastAsia" w:ascii="宋体" w:hAnsi="宋体" w:eastAsia="宋体"/>
          <w:sz w:val="24"/>
        </w:rPr>
        <w:t>以冲压件零件质量判定标准判定是否合格</w:t>
      </w:r>
      <w:r>
        <w:rPr>
          <w:rFonts w:ascii="宋体" w:hAnsi="宋体" w:eastAsia="宋体"/>
          <w:sz w:val="24"/>
        </w:rPr>
        <w:t>)</w:t>
      </w:r>
      <w:r>
        <w:rPr>
          <w:rFonts w:hint="eastAsia" w:ascii="宋体" w:hAnsi="宋体" w:eastAsia="宋体"/>
          <w:sz w:val="24"/>
        </w:rPr>
        <w:t>，所有模具导向面着色率≥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，其余拉延模着色率≥</w:t>
      </w:r>
      <w:r>
        <w:rPr>
          <w:rFonts w:ascii="宋体" w:hAnsi="宋体" w:eastAsia="宋体"/>
          <w:sz w:val="24"/>
        </w:rPr>
        <w:t>9</w:t>
      </w:r>
      <w:r>
        <w:rPr>
          <w:rFonts w:hint="eastAsia" w:ascii="宋体" w:hAnsi="宋体" w:eastAsia="宋体"/>
          <w:sz w:val="24"/>
        </w:rPr>
        <w:t>2</w:t>
      </w:r>
      <w:r>
        <w:rPr>
          <w:rFonts w:ascii="宋体" w:hAnsi="宋体" w:eastAsia="宋体"/>
          <w:sz w:val="24"/>
        </w:rPr>
        <w:t>%</w:t>
      </w:r>
      <w:r>
        <w:rPr>
          <w:rFonts w:hint="eastAsia" w:ascii="宋体" w:hAnsi="宋体" w:eastAsia="宋体"/>
          <w:sz w:val="24"/>
        </w:rPr>
        <w:t>，视为预验收合格。预验收合格后，双方签署《预验收纪要》</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2、模具终验收</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szCs w:val="24"/>
        </w:rPr>
        <w:t>2</w:t>
      </w:r>
      <w:r>
        <w:rPr>
          <w:rFonts w:ascii="宋体" w:hAnsi="宋体" w:eastAsia="宋体"/>
          <w:sz w:val="24"/>
          <w:szCs w:val="24"/>
        </w:rPr>
        <w:t>.1</w:t>
      </w:r>
      <w:r>
        <w:rPr>
          <w:rFonts w:hint="eastAsia" w:ascii="宋体" w:hAnsi="宋体" w:eastAsia="宋体"/>
          <w:sz w:val="24"/>
          <w:szCs w:val="24"/>
        </w:rPr>
        <w:t>在模具所有者现场，用工艺规定的材料、设备压出合格的制件（符合合同及技术协议中相关条款），并能够装出合格汽车车身为准。</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.2</w:t>
      </w:r>
      <w:r>
        <w:rPr>
          <w:rFonts w:hint="eastAsia" w:ascii="宋体" w:hAnsi="宋体" w:eastAsia="宋体"/>
          <w:sz w:val="24"/>
        </w:rPr>
        <w:t>终验收前，模具应在招标方生产加工30</w:t>
      </w:r>
      <w:r>
        <w:rPr>
          <w:rFonts w:ascii="宋体" w:hAnsi="宋体" w:eastAsia="宋体"/>
          <w:sz w:val="24"/>
        </w:rPr>
        <w:t>00</w:t>
      </w:r>
      <w:r>
        <w:rPr>
          <w:rFonts w:hint="eastAsia" w:ascii="宋体" w:hAnsi="宋体" w:eastAsia="宋体"/>
          <w:sz w:val="24"/>
        </w:rPr>
        <w:t>件，若因招标方原因，在模具招标方</w:t>
      </w:r>
      <w:r>
        <w:rPr>
          <w:rFonts w:ascii="宋体" w:hAnsi="宋体" w:eastAsia="宋体"/>
          <w:sz w:val="24"/>
        </w:rPr>
        <w:t>1</w:t>
      </w:r>
      <w:r>
        <w:rPr>
          <w:rFonts w:hint="eastAsia" w:ascii="宋体" w:hAnsi="宋体" w:eastAsia="宋体"/>
          <w:sz w:val="24"/>
        </w:rPr>
        <w:t>年内，仍未生产加工30</w:t>
      </w:r>
      <w:r>
        <w:rPr>
          <w:rFonts w:ascii="宋体" w:hAnsi="宋体" w:eastAsia="宋体"/>
          <w:sz w:val="24"/>
        </w:rPr>
        <w:t>00</w:t>
      </w:r>
      <w:r>
        <w:rPr>
          <w:rFonts w:hint="eastAsia" w:ascii="宋体" w:hAnsi="宋体" w:eastAsia="宋体"/>
          <w:sz w:val="24"/>
        </w:rPr>
        <w:t>件的，则满足模具在到达招标方一年后，由投标方提出书面申请，进行模具终验收工作。在此期间，投标方应安排至少一名模具钳工进行陪产。</w:t>
      </w:r>
    </w:p>
    <w:p>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.3 </w:t>
      </w:r>
      <w:r>
        <w:rPr>
          <w:rFonts w:hint="eastAsia" w:ascii="宋体" w:hAnsi="宋体" w:eastAsia="宋体"/>
          <w:sz w:val="24"/>
        </w:rPr>
        <w:t>招标方收到投标方终验收申请后，根据生产情况，安排模具终验收工作。</w:t>
      </w:r>
    </w:p>
    <w:p>
      <w:pPr>
        <w:spacing w:line="360" w:lineRule="exact"/>
        <w:ind w:left="101" w:leftChars="48" w:firstLine="316" w:firstLineChars="132"/>
        <w:rPr>
          <w:rFonts w:hint="eastAsia" w:ascii="宋体" w:hAnsi="宋体" w:eastAsia="宋体"/>
          <w:kern w:val="0"/>
          <w:sz w:val="24"/>
        </w:rPr>
      </w:pPr>
      <w:r>
        <w:rPr>
          <w:rFonts w:hint="eastAsia" w:ascii="宋体" w:hAnsi="宋体" w:eastAsia="宋体"/>
          <w:sz w:val="24"/>
        </w:rPr>
        <w:t>2</w:t>
      </w:r>
      <w:r>
        <w:rPr>
          <w:rFonts w:ascii="宋体" w:hAnsi="宋体" w:eastAsia="宋体"/>
          <w:sz w:val="24"/>
        </w:rPr>
        <w:t xml:space="preserve">.4 </w:t>
      </w:r>
      <w:r>
        <w:rPr>
          <w:rFonts w:hint="eastAsia" w:ascii="宋体" w:hAnsi="宋体" w:eastAsia="宋体"/>
          <w:kern w:val="0"/>
          <w:sz w:val="24"/>
        </w:rPr>
        <w:t>模具的最终验收在招标方生产现场实施。投标方对全部模具在招标方的安装调整负全责。模具最终验收前，为便于事前安排调整，投标方须提出压力机使用计划，以便尽快完成模具终验收。另外，由于投标方责任导致机械故障，须赔偿。模具在压力机上调试时，全工序必须要完全和生产状态同一条件下进行，不可添加生产状态以外的条件（涂油、贴薄膜等）。</w:t>
      </w:r>
    </w:p>
    <w:p>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.5 </w:t>
      </w:r>
      <w:r>
        <w:rPr>
          <w:rFonts w:hint="eastAsia" w:ascii="宋体" w:hAnsi="宋体" w:eastAsia="宋体"/>
          <w:kern w:val="0"/>
          <w:sz w:val="24"/>
        </w:rPr>
        <w:t>模具终验时，投标方派遣模具技术人员在招标方工厂对接。模具调试用的工具、焊接棒、其它易耗品、技术人员所需的工作服、安全保护用品等均由投标方准备。投标方派遣的模具技术人员（模具交付人员）必须取得国家相关部门承认的证书（如天车操作证、焊机操作证等），并且遵守招标方的各项规定，若有违法或违反招标方公司制度，招标方有权对其进行相应的处罚并要求更换交模人员。</w:t>
      </w:r>
    </w:p>
    <w:p>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.6 </w:t>
      </w:r>
      <w:r>
        <w:rPr>
          <w:rFonts w:hint="eastAsia" w:ascii="宋体" w:hAnsi="宋体" w:eastAsia="宋体"/>
          <w:kern w:val="0"/>
          <w:sz w:val="24"/>
        </w:rPr>
        <w:t>除进行必要的模具动态检测外，招标方有权重新安排不少于</w:t>
      </w:r>
      <w:r>
        <w:rPr>
          <w:rFonts w:ascii="宋体" w:hAnsi="宋体" w:eastAsia="宋体"/>
          <w:kern w:val="0"/>
          <w:sz w:val="24"/>
        </w:rPr>
        <w:t>20%</w:t>
      </w:r>
      <w:r>
        <w:rPr>
          <w:rFonts w:hint="eastAsia" w:ascii="宋体" w:hAnsi="宋体" w:eastAsia="宋体"/>
          <w:kern w:val="0"/>
          <w:sz w:val="24"/>
        </w:rPr>
        <w:t>的模具重新进行全面的静态及硬度检测，投标方应予以配合。</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hint="eastAsia" w:ascii="宋体" w:hAnsi="宋体" w:eastAsia="宋体"/>
          <w:kern w:val="0"/>
          <w:sz w:val="24"/>
        </w:rPr>
        <w:t>终验收时所生产零件需进行全尺寸检查。</w:t>
      </w:r>
    </w:p>
    <w:p>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ascii="宋体" w:hAnsi="宋体" w:eastAsia="宋体"/>
          <w:kern w:val="0"/>
          <w:sz w:val="24"/>
        </w:rPr>
        <w:t>.1</w:t>
      </w:r>
      <w:r>
        <w:rPr>
          <w:rFonts w:hint="eastAsia" w:ascii="宋体" w:hAnsi="宋体" w:eastAsia="宋体"/>
          <w:kern w:val="0"/>
          <w:sz w:val="24"/>
        </w:rPr>
        <w:t>零件在自由状态下放置于检具或检测支架上（不夹紧状态），零件的反弹在</w:t>
      </w:r>
      <w:r>
        <w:rPr>
          <w:rFonts w:ascii="宋体" w:hAnsi="宋体" w:eastAsia="宋体"/>
          <w:kern w:val="0"/>
          <w:sz w:val="24"/>
        </w:rPr>
        <w:t>2mm</w:t>
      </w:r>
      <w:r>
        <w:rPr>
          <w:rFonts w:hint="eastAsia" w:ascii="宋体" w:hAnsi="宋体" w:eastAsia="宋体"/>
          <w:kern w:val="0"/>
          <w:sz w:val="24"/>
        </w:rPr>
        <w:t>以下时进行全尺寸检查，否则不进行全尺寸检查。</w:t>
      </w:r>
    </w:p>
    <w:p>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ascii="宋体" w:hAnsi="宋体" w:eastAsia="宋体"/>
          <w:kern w:val="0"/>
          <w:sz w:val="24"/>
        </w:rPr>
        <w:t>.2</w:t>
      </w:r>
      <w:r>
        <w:rPr>
          <w:rFonts w:hint="eastAsia" w:ascii="宋体" w:hAnsi="宋体" w:eastAsia="宋体"/>
          <w:kern w:val="0"/>
          <w:sz w:val="24"/>
        </w:rPr>
        <w:t>全尺寸检测中，所有的尺寸公差，按照招标方提供的冲压件质量判定标准进行。</w:t>
      </w:r>
    </w:p>
    <w:p>
      <w:pPr>
        <w:spacing w:line="360" w:lineRule="exact"/>
        <w:ind w:firstLine="480" w:firstLineChars="200"/>
        <w:rPr>
          <w:rFonts w:hint="eastAsia" w:ascii="宋体" w:hAnsi="宋体" w:eastAsia="宋体"/>
          <w:sz w:val="24"/>
          <w:szCs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8</w:t>
      </w:r>
      <w:r>
        <w:rPr>
          <w:rFonts w:hint="eastAsia" w:ascii="宋体" w:hAnsi="宋体" w:eastAsia="宋体"/>
          <w:sz w:val="24"/>
          <w:szCs w:val="24"/>
        </w:rPr>
        <w:t>若在合同约定的时间内，投标方无法达到招标方的终验收要求，投标方应无条件按招标方的要求的时间，将模具发运至招标方指定的地点并派出合格的调试人员去调整交模。整改发生的费用由投标方承担，并从合同中扣除。</w:t>
      </w:r>
    </w:p>
    <w:p>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模具发运和包装</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5.1</w:t>
      </w:r>
      <w:r>
        <w:rPr>
          <w:rFonts w:hint="eastAsia" w:ascii="宋体" w:hAnsi="宋体" w:eastAsia="宋体"/>
          <w:kern w:val="0"/>
          <w:sz w:val="24"/>
        </w:rPr>
        <w:t>模具交付前，应进行清理、涂抹防锈油、固定模具连接板。根据使用单位要求涂装防锈漆，面漆颜色由招标方提供。</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5</w:t>
      </w:r>
      <w:r>
        <w:rPr>
          <w:rFonts w:ascii="宋体" w:hAnsi="宋体" w:eastAsia="宋体"/>
          <w:kern w:val="0"/>
          <w:sz w:val="24"/>
        </w:rPr>
        <w:t>.2</w:t>
      </w:r>
      <w:r>
        <w:rPr>
          <w:rFonts w:hint="eastAsia" w:ascii="宋体" w:hAnsi="宋体" w:eastAsia="宋体"/>
          <w:kern w:val="0"/>
          <w:sz w:val="24"/>
        </w:rPr>
        <w:t>中标方负责模具的包装，包装要适用长途运输，做到防潮、防锈、防震、防变形。</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5</w:t>
      </w:r>
      <w:r>
        <w:rPr>
          <w:rFonts w:ascii="宋体" w:hAnsi="宋体" w:eastAsia="宋体"/>
          <w:kern w:val="0"/>
          <w:sz w:val="24"/>
        </w:rPr>
        <w:t>.3</w:t>
      </w:r>
      <w:r>
        <w:rPr>
          <w:rFonts w:hint="eastAsia" w:ascii="宋体" w:hAnsi="宋体" w:eastAsia="宋体"/>
          <w:kern w:val="0"/>
          <w:sz w:val="24"/>
        </w:rPr>
        <w:t>模具由中标方负责运至模具所有者生产车间。</w:t>
      </w:r>
    </w:p>
    <w:p>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模具发运所附带的标准件等备品数量要求</w:t>
      </w:r>
    </w:p>
    <w:p>
      <w:pPr>
        <w:pStyle w:val="171"/>
        <w:jc w:val="both"/>
        <w:rPr>
          <w:lang w:val="en-US" w:eastAsia="zh-CN"/>
        </w:rPr>
      </w:pPr>
      <w:r>
        <w:rPr>
          <w:rFonts w:hint="eastAsia" w:ascii="宋体" w:hAnsi="宋体" w:eastAsia="宋体"/>
          <w:sz w:val="24"/>
          <w:szCs w:val="22"/>
          <w:lang w:val="en-US" w:eastAsia="zh-CN"/>
        </w:rPr>
        <w:t>满足现场调试的要求</w:t>
      </w:r>
    </w:p>
    <w:p>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项目管理要求</w:t>
      </w:r>
    </w:p>
    <w:p>
      <w:pPr>
        <w:widowControl/>
        <w:spacing w:line="360" w:lineRule="exact"/>
        <w:ind w:firstLine="422" w:firstLineChars="175"/>
        <w:jc w:val="left"/>
        <w:rPr>
          <w:rFonts w:hint="eastAsia" w:ascii="宋体" w:hAnsi="宋体" w:eastAsia="宋体"/>
          <w:b/>
          <w:kern w:val="0"/>
          <w:sz w:val="24"/>
        </w:rPr>
      </w:pPr>
      <w:bookmarkStart w:id="100" w:name="_Toc514853264"/>
      <w:r>
        <w:rPr>
          <w:rFonts w:ascii="宋体" w:hAnsi="宋体" w:eastAsia="宋体"/>
          <w:b/>
          <w:kern w:val="0"/>
          <w:sz w:val="24"/>
        </w:rPr>
        <w:t xml:space="preserve">1 </w:t>
      </w:r>
      <w:r>
        <w:rPr>
          <w:rFonts w:hint="eastAsia" w:ascii="宋体" w:hAnsi="宋体" w:eastAsia="宋体"/>
          <w:b/>
          <w:kern w:val="0"/>
          <w:sz w:val="24"/>
        </w:rPr>
        <w:t>项目管理组织</w:t>
      </w:r>
      <w:bookmarkEnd w:id="100"/>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1.1对投标方参与本项目的人员的要求，包括但不限于项目经理，项目管理团队，设计人员，加工管理人员，调试人员，质保人员。</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2 </w:t>
      </w:r>
      <w:r>
        <w:rPr>
          <w:rFonts w:hint="eastAsia" w:ascii="宋体" w:hAnsi="宋体" w:eastAsia="宋体"/>
          <w:kern w:val="0"/>
          <w:sz w:val="24"/>
        </w:rPr>
        <w:t>项目期间，未经招标方书面许可，投标方不得中途更换项目经理。</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3 </w:t>
      </w:r>
      <w:r>
        <w:rPr>
          <w:rFonts w:hint="eastAsia" w:ascii="宋体" w:hAnsi="宋体" w:eastAsia="宋体"/>
          <w:kern w:val="0"/>
          <w:sz w:val="24"/>
        </w:rPr>
        <w:t>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4 </w:t>
      </w:r>
      <w:r>
        <w:rPr>
          <w:rFonts w:hint="eastAsia" w:ascii="宋体" w:hAnsi="宋体" w:eastAsia="宋体"/>
          <w:kern w:val="0"/>
          <w:sz w:val="24"/>
        </w:rPr>
        <w:t>投标方必须提供管理组织结构图，要求包括参与人员的名字、年龄、学历、工作经历以及项目角色等信息。</w:t>
      </w:r>
    </w:p>
    <w:p>
      <w:pPr>
        <w:widowControl/>
        <w:spacing w:line="360" w:lineRule="exact"/>
        <w:ind w:firstLine="422" w:firstLineChars="175"/>
        <w:jc w:val="left"/>
        <w:rPr>
          <w:rFonts w:hint="eastAsia" w:ascii="宋体" w:hAnsi="宋体" w:eastAsia="宋体"/>
          <w:b/>
          <w:kern w:val="0"/>
          <w:sz w:val="24"/>
        </w:rPr>
      </w:pPr>
      <w:bookmarkStart w:id="101" w:name="_Toc514853265"/>
      <w:r>
        <w:rPr>
          <w:rFonts w:ascii="宋体" w:hAnsi="宋体" w:eastAsia="宋体"/>
          <w:b/>
          <w:kern w:val="0"/>
          <w:sz w:val="24"/>
        </w:rPr>
        <w:t xml:space="preserve">2 </w:t>
      </w:r>
      <w:r>
        <w:rPr>
          <w:rFonts w:hint="eastAsia" w:ascii="宋体" w:hAnsi="宋体" w:eastAsia="宋体"/>
          <w:b/>
          <w:kern w:val="0"/>
          <w:sz w:val="24"/>
        </w:rPr>
        <w:t>项目沟通的要求</w:t>
      </w:r>
      <w:bookmarkEnd w:id="101"/>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2.1</w:t>
      </w:r>
      <w:r>
        <w:rPr>
          <w:rFonts w:hint="eastAsia" w:ascii="宋体" w:hAnsi="宋体" w:eastAsia="宋体"/>
          <w:kern w:val="0"/>
          <w:sz w:val="24"/>
        </w:rPr>
        <w:t>投标方在投标文件中，根据招标方项目进度要求制订详细的设计、制造计划（以数模冻结为起点）。</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2.2</w:t>
      </w:r>
      <w:r>
        <w:rPr>
          <w:rFonts w:hint="eastAsia" w:ascii="宋体" w:hAnsi="宋体" w:eastAsia="宋体"/>
          <w:kern w:val="0"/>
          <w:sz w:val="24"/>
        </w:rPr>
        <w:t>甲乙双方每周固定约定一天，由投标方向招标方反馈项目的进度情况，包括项目总体汇报、项目进度汇报以及图片。如果发生项目拖期的情况，要求投标方同时反馈挽回计划以及挽回的情况。</w:t>
      </w:r>
    </w:p>
    <w:p>
      <w:pPr>
        <w:numPr>
          <w:ilvl w:val="0"/>
          <w:numId w:val="10"/>
        </w:numPr>
        <w:spacing w:before="120" w:beforeLines="50" w:after="120" w:afterLines="50"/>
        <w:rPr>
          <w:rFonts w:hint="eastAsia" w:ascii="宋体" w:hAnsi="宋体" w:eastAsia="宋体"/>
          <w:b/>
          <w:bCs/>
          <w:kern w:val="0"/>
          <w:sz w:val="24"/>
          <w:szCs w:val="24"/>
        </w:rPr>
      </w:pPr>
      <w:bookmarkStart w:id="102" w:name="_Toc514853267"/>
      <w:bookmarkStart w:id="103" w:name="_Toc3283"/>
      <w:r>
        <w:rPr>
          <w:rFonts w:hint="eastAsia" w:ascii="宋体" w:hAnsi="宋体" w:eastAsia="宋体"/>
          <w:b/>
          <w:bCs/>
          <w:kern w:val="0"/>
          <w:sz w:val="24"/>
          <w:szCs w:val="24"/>
        </w:rPr>
        <w:t>培训、保修和终验收后的技术服务</w:t>
      </w:r>
      <w:bookmarkEnd w:id="102"/>
      <w:bookmarkEnd w:id="103"/>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1.模、检具到招标方后</w:t>
      </w:r>
      <w:r>
        <w:rPr>
          <w:rFonts w:ascii="宋体" w:hAnsi="宋体" w:eastAsia="宋体"/>
          <w:kern w:val="0"/>
          <w:sz w:val="24"/>
        </w:rPr>
        <w:t>,</w:t>
      </w:r>
      <w:r>
        <w:rPr>
          <w:rFonts w:hint="eastAsia" w:ascii="宋体" w:hAnsi="宋体" w:eastAsia="宋体"/>
          <w:kern w:val="0"/>
          <w:sz w:val="24"/>
        </w:rPr>
        <w:t>投标方需派遣人员在招标方现场对招标方人员进行模、检具安装调试、操作、维修及冲压件、板件测量检验方法等技能培训。上述培训应持续至招标方操作及维修人员完全掌握模、检具的使用为止，且费用由投标方承担。</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.现场服务内容及范围包括：现场安装、调试的技术准备；指导并参与现场安装、调试和试运行工作；处理安装、调试和试运行工作中出现的各种问题；检验调试、生产产品的精度及与设计的符合性等。</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3</w:t>
      </w:r>
      <w:r>
        <w:rPr>
          <w:rFonts w:hint="eastAsia" w:ascii="宋体" w:hAnsi="宋体" w:eastAsia="宋体"/>
          <w:kern w:val="0"/>
          <w:sz w:val="24"/>
        </w:rPr>
        <w:t>.在正常使用条件下，投标方需保证模具设计寿命。除易损件外，出现导向面磨损影响精度、托料块凹陷等现象的首次维修应在5</w:t>
      </w:r>
      <w:r>
        <w:rPr>
          <w:rFonts w:ascii="宋体" w:hAnsi="宋体" w:eastAsia="宋体"/>
          <w:kern w:val="0"/>
          <w:sz w:val="24"/>
        </w:rPr>
        <w:t>0</w:t>
      </w:r>
      <w:r>
        <w:rPr>
          <w:rFonts w:hint="eastAsia" w:ascii="宋体" w:hAnsi="宋体" w:eastAsia="宋体"/>
          <w:kern w:val="0"/>
          <w:sz w:val="24"/>
        </w:rPr>
        <w:t>万冲次以后。如果发生5</w:t>
      </w:r>
      <w:r>
        <w:rPr>
          <w:rFonts w:ascii="宋体" w:hAnsi="宋体" w:eastAsia="宋体"/>
          <w:kern w:val="0"/>
          <w:sz w:val="24"/>
        </w:rPr>
        <w:t>0</w:t>
      </w:r>
      <w:r>
        <w:rPr>
          <w:rFonts w:hint="eastAsia" w:ascii="宋体" w:hAnsi="宋体" w:eastAsia="宋体"/>
          <w:kern w:val="0"/>
          <w:sz w:val="24"/>
        </w:rPr>
        <w:t>万次之内所发生的维修由投标方承担。</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4</w:t>
      </w:r>
      <w:r>
        <w:rPr>
          <w:rFonts w:hint="eastAsia" w:ascii="宋体" w:hAnsi="宋体" w:eastAsia="宋体"/>
          <w:kern w:val="0"/>
          <w:sz w:val="24"/>
        </w:rPr>
        <w:t>.本项目终验收起一年内为项目质保期，投标方需在质保期内保证模具运行良好，且投标方提供免费维修服务。</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5</w:t>
      </w:r>
      <w:r>
        <w:rPr>
          <w:rFonts w:hint="eastAsia" w:ascii="宋体" w:hAnsi="宋体" w:eastAsia="宋体"/>
          <w:kern w:val="0"/>
          <w:sz w:val="24"/>
        </w:rPr>
        <w:t>.在质保期内</w:t>
      </w:r>
      <w:r>
        <w:rPr>
          <w:rFonts w:ascii="宋体" w:hAnsi="宋体" w:eastAsia="宋体"/>
          <w:kern w:val="0"/>
          <w:sz w:val="24"/>
        </w:rPr>
        <w:t>,</w:t>
      </w:r>
      <w:r>
        <w:rPr>
          <w:rFonts w:hint="eastAsia" w:ascii="宋体" w:hAnsi="宋体" w:eastAsia="宋体"/>
          <w:kern w:val="0"/>
          <w:sz w:val="24"/>
        </w:rPr>
        <w:t>正常使用条件下</w:t>
      </w:r>
      <w:r>
        <w:rPr>
          <w:rFonts w:ascii="宋体" w:hAnsi="宋体" w:eastAsia="宋体"/>
          <w:kern w:val="0"/>
          <w:sz w:val="24"/>
        </w:rPr>
        <w:t>,</w:t>
      </w:r>
      <w:r>
        <w:rPr>
          <w:rFonts w:hint="eastAsia" w:ascii="宋体" w:hAnsi="宋体" w:eastAsia="宋体"/>
          <w:kern w:val="0"/>
          <w:sz w:val="24"/>
        </w:rPr>
        <w:t>投标方对模具出现的故障提供免费维修</w:t>
      </w:r>
      <w:r>
        <w:rPr>
          <w:rFonts w:ascii="宋体" w:hAnsi="宋体" w:eastAsia="宋体"/>
          <w:kern w:val="0"/>
          <w:sz w:val="24"/>
        </w:rPr>
        <w:t>,</w:t>
      </w:r>
      <w:r>
        <w:rPr>
          <w:rFonts w:hint="eastAsia" w:ascii="宋体" w:hAnsi="宋体" w:eastAsia="宋体"/>
          <w:kern w:val="0"/>
          <w:sz w:val="24"/>
        </w:rPr>
        <w:t>零部件损坏须及时免费更换，免费维修与更换缺陷部件的期限为投标方收到招标方通知后3天。投标方需自备安装调试及维修用工具。</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6</w:t>
      </w:r>
      <w:r>
        <w:rPr>
          <w:rFonts w:hint="eastAsia" w:ascii="宋体" w:hAnsi="宋体" w:eastAsia="宋体"/>
          <w:kern w:val="0"/>
          <w:sz w:val="24"/>
        </w:rPr>
        <w:t>.质保期内，投标方在收到招标方关于模、检具故障通知后，能以通讯方式解决的故障，</w:t>
      </w:r>
      <w:r>
        <w:rPr>
          <w:rFonts w:ascii="宋体" w:hAnsi="宋体" w:eastAsia="宋体"/>
          <w:kern w:val="0"/>
          <w:sz w:val="24"/>
        </w:rPr>
        <w:t>2</w:t>
      </w:r>
      <w:r>
        <w:rPr>
          <w:rFonts w:hint="eastAsia" w:ascii="宋体" w:hAnsi="宋体" w:eastAsia="宋体"/>
          <w:kern w:val="0"/>
          <w:sz w:val="24"/>
        </w:rPr>
        <w:t>小时之内给予答复；不能以通讯方式解决的故障，投标方维修人员应在</w:t>
      </w:r>
      <w:r>
        <w:rPr>
          <w:rFonts w:ascii="宋体" w:hAnsi="宋体" w:eastAsia="宋体"/>
          <w:kern w:val="0"/>
          <w:sz w:val="24"/>
        </w:rPr>
        <w:t>24</w:t>
      </w:r>
      <w:r>
        <w:rPr>
          <w:rFonts w:hint="eastAsia" w:ascii="宋体" w:hAnsi="宋体" w:eastAsia="宋体"/>
          <w:kern w:val="0"/>
          <w:sz w:val="24"/>
        </w:rPr>
        <w:t>小时内到达招标方现场，并确保对一般问题在此期限内排除故障。需维修与更换缺陷部件的故障，投标方维修人员应在到达货物使用方现场后</w:t>
      </w:r>
      <w:r>
        <w:rPr>
          <w:rFonts w:ascii="宋体" w:hAnsi="宋体" w:eastAsia="宋体"/>
          <w:kern w:val="0"/>
          <w:sz w:val="24"/>
        </w:rPr>
        <w:t>2</w:t>
      </w:r>
      <w:r>
        <w:rPr>
          <w:rFonts w:hint="eastAsia" w:ascii="宋体" w:hAnsi="宋体" w:eastAsia="宋体"/>
          <w:kern w:val="0"/>
          <w:sz w:val="24"/>
        </w:rPr>
        <w:t>个日历日内解决。倘若投标方未能履行上述服务的，招标方有权自行或委托有能力的第三方对货物进行维修，所需的费用由投标方承担。</w:t>
      </w:r>
    </w:p>
    <w:p>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7</w:t>
      </w:r>
      <w:r>
        <w:rPr>
          <w:rFonts w:hint="eastAsia" w:ascii="宋体" w:hAnsi="宋体" w:eastAsia="宋体"/>
          <w:kern w:val="0"/>
          <w:sz w:val="24"/>
        </w:rPr>
        <w:t>.质量保证期不含投标方对其交付物的排故时间，即在质量保证期内由投标方原因导致故障，质量保证期顺延，且更换的零件保质期自更换日起开始计算。</w:t>
      </w:r>
    </w:p>
    <w:p>
      <w:pPr>
        <w:numPr>
          <w:ilvl w:val="0"/>
          <w:numId w:val="10"/>
        </w:numPr>
        <w:spacing w:before="120" w:beforeLines="50" w:after="120" w:afterLines="50"/>
        <w:rPr>
          <w:rFonts w:hint="eastAsia" w:ascii="宋体" w:hAnsi="宋体" w:eastAsia="宋体"/>
          <w:b/>
          <w:bCs/>
          <w:kern w:val="0"/>
          <w:sz w:val="24"/>
          <w:szCs w:val="24"/>
        </w:rPr>
      </w:pPr>
      <w:bookmarkStart w:id="104" w:name="_Toc30996"/>
      <w:bookmarkStart w:id="105" w:name="_Toc514853268"/>
      <w:r>
        <w:rPr>
          <w:rFonts w:hint="eastAsia" w:ascii="宋体" w:hAnsi="宋体" w:eastAsia="宋体"/>
          <w:b/>
          <w:bCs/>
          <w:kern w:val="0"/>
          <w:sz w:val="24"/>
          <w:szCs w:val="24"/>
        </w:rPr>
        <w:t>其它条款</w:t>
      </w:r>
      <w:bookmarkEnd w:id="104"/>
      <w:bookmarkEnd w:id="105"/>
    </w:p>
    <w:p>
      <w:pPr>
        <w:widowControl/>
        <w:spacing w:line="360" w:lineRule="exact"/>
        <w:ind w:firstLine="420" w:firstLineChars="175"/>
        <w:jc w:val="left"/>
        <w:rPr>
          <w:rFonts w:hint="eastAsia" w:ascii="宋体" w:hAnsi="宋体" w:eastAsia="宋体" w:cs="仿宋_GB2312"/>
          <w:kern w:val="0"/>
          <w:sz w:val="24"/>
        </w:rPr>
      </w:pPr>
      <w:bookmarkStart w:id="106" w:name="_Toc514853269"/>
      <w:r>
        <w:rPr>
          <w:rFonts w:hint="eastAsia" w:ascii="宋体" w:hAnsi="宋体" w:eastAsia="宋体" w:cs="仿宋_GB2312"/>
          <w:kern w:val="0"/>
          <w:sz w:val="24"/>
        </w:rPr>
        <w:t>1.关于设变、板料运输、设变费用的说明</w:t>
      </w:r>
      <w:bookmarkEnd w:id="106"/>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1.1要求投标方报价详细到每一套模具的重量及价格。</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中标通知发出后，若发生模具套数的增加，由投标方提出设变申请，经招标方审核确认后执行，费用由投标方承担。在满足工艺使用要求下，招标方鼓励模具套数减少，若发生模具套数的减少，由投标方提出申请，经招标方审核确认后执行，由招标方直接扣除相应模具投标报价费用。</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1.3若因招标方零件产品数量减少，而发生的模具数量减少，由招标方直接扣除相应模具投标报价费用。</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1.4 招标方设变发生在模具投铸之前，发生的设计变更，不计设变费用。</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1.5 招标方设变发生在投标方模具投铸之后，若对后续制造工作（如加工）没有影响，不计设变费用。若影响后续制造工作而产生费用，或因招标方零件产品数量增加，发生模具数量增加而产生费用，全部费用不超过模具费用的3%(含)，费用由投标方承提，超过3%，双方协商解决；设变费用按加工成本核算，新增模具费用按模具实际出厂重量与中标单吨价格的乘积（中标单吨价格=最终中标总价格/投标报价中模具总重量）。</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1.6若因投标方提出产品设计变更要求，投标方需向招标方提出书面申请（含工艺分析报告），招标方确认后，方可实施，但不计设变费用。</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1.7以上设变，若投标方向招标方提出设变费用，必须将设变留底，以备查。</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2.关于模具重量</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模具预验收完成并运抵招标方工厂后，招标方对全部模具进行称重，如每组模具的重量少于模具理论重量的3%(含)，模具的合同价格需要重新核算，按模具实际出厂重量与中标单吨价格的乘积（中标单吨价格=最终中标总价格/投标报价中模具总重量）。</w:t>
      </w:r>
    </w:p>
    <w:p>
      <w:pPr>
        <w:widowControl/>
        <w:spacing w:line="360" w:lineRule="exact"/>
        <w:ind w:firstLine="420" w:firstLineChars="175"/>
        <w:jc w:val="left"/>
        <w:rPr>
          <w:rFonts w:hint="eastAsia" w:ascii="宋体" w:hAnsi="宋体" w:eastAsia="宋体" w:cs="仿宋_GB2312"/>
          <w:kern w:val="0"/>
          <w:sz w:val="24"/>
        </w:rPr>
      </w:pPr>
      <w:bookmarkStart w:id="107" w:name="_Toc514853247"/>
      <w:bookmarkStart w:id="108" w:name="_Toc503952493"/>
      <w:r>
        <w:rPr>
          <w:rFonts w:hint="eastAsia" w:ascii="宋体" w:hAnsi="宋体" w:eastAsia="宋体" w:cs="仿宋_GB2312"/>
          <w:kern w:val="0"/>
          <w:sz w:val="24"/>
        </w:rPr>
        <w:t>3.调试板料</w:t>
      </w:r>
      <w:bookmarkEnd w:id="107"/>
      <w:bookmarkEnd w:id="108"/>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3.1关于调试板料的约定：</w:t>
      </w:r>
      <w:r>
        <w:rPr>
          <w:rFonts w:hint="eastAsia" w:ascii="宋体" w:hAnsi="宋体" w:eastAsia="宋体" w:cs="仿宋_GB2312"/>
          <w:kern w:val="0"/>
          <w:sz w:val="24"/>
          <w:lang w:eastAsia="zh-CN"/>
        </w:rPr>
        <w:t>改制调试过程中需要的调试板材费用由投标方负责承担</w:t>
      </w:r>
      <w:r>
        <w:rPr>
          <w:rFonts w:hint="eastAsia" w:ascii="宋体" w:hAnsi="宋体" w:eastAsia="宋体" w:cs="仿宋_GB2312"/>
          <w:kern w:val="0"/>
          <w:sz w:val="24"/>
        </w:rPr>
        <w:t>。</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3.2板料及样件运输费用包含在总合同费用之内。</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4.材料利用率作为评标的重要依据，并在投标文件中予以说明。</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投标方需提供一个招标方指定产品详细CAE分析报告及ECR反馈。鼓励投标方对产品进行工艺性分析，提出改进方案，如有需要，可在招标方指定电脑，使用分析软件进行分析，分析结果可作为投标文件的附件，格式不做统一要求。</w:t>
      </w:r>
    </w:p>
    <w:p>
      <w:pPr>
        <w:widowControl/>
        <w:spacing w:line="360" w:lineRule="exact"/>
        <w:ind w:firstLine="420" w:firstLineChars="175"/>
        <w:jc w:val="left"/>
        <w:rPr>
          <w:rFonts w:hint="eastAsia" w:ascii="宋体" w:hAnsi="宋体" w:eastAsia="宋体" w:cs="仿宋_GB2312"/>
          <w:kern w:val="0"/>
          <w:sz w:val="24"/>
        </w:rPr>
      </w:pPr>
      <w:bookmarkStart w:id="109" w:name="_Toc514853270"/>
      <w:r>
        <w:rPr>
          <w:rFonts w:hint="eastAsia" w:ascii="宋体" w:hAnsi="宋体" w:eastAsia="宋体" w:cs="仿宋_GB2312"/>
          <w:kern w:val="0"/>
          <w:sz w:val="24"/>
        </w:rPr>
        <w:t>6.关于不能准时交付的说明</w:t>
      </w:r>
      <w:bookmarkEnd w:id="109"/>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如果因投标方原因模具不能在规定周期内交付,招标方装车所需单件由投标方负责免费生产及运输，且投标方承担相应的商务责任。</w:t>
      </w:r>
    </w:p>
    <w:p>
      <w:pPr>
        <w:widowControl/>
        <w:spacing w:line="360" w:lineRule="exact"/>
        <w:ind w:firstLine="420" w:firstLineChars="175"/>
        <w:jc w:val="left"/>
        <w:rPr>
          <w:rFonts w:hint="eastAsia" w:ascii="宋体" w:hAnsi="宋体" w:eastAsia="宋体" w:cs="仿宋_GB2312"/>
          <w:kern w:val="0"/>
          <w:sz w:val="24"/>
        </w:rPr>
      </w:pPr>
      <w:bookmarkStart w:id="110" w:name="_Toc514853271"/>
      <w:r>
        <w:rPr>
          <w:rFonts w:hint="eastAsia" w:ascii="宋体" w:hAnsi="宋体" w:eastAsia="宋体" w:cs="仿宋_GB2312"/>
          <w:kern w:val="0"/>
          <w:sz w:val="24"/>
        </w:rPr>
        <w:t>7.关于保密的说明</w:t>
      </w:r>
      <w:bookmarkEnd w:id="110"/>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投标方对招标方提供的汽车产品数模、数据及相关技术资料负有保密责任，投标方负有保密责任，违者将按保密协议有关条款执行。</w:t>
      </w:r>
    </w:p>
    <w:p>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8.带*条款为否决项。</w:t>
      </w:r>
    </w:p>
    <w:p>
      <w:pPr>
        <w:rPr>
          <w:rFonts w:hint="eastAsia" w:ascii="宋体" w:hAnsi="宋体" w:eastAsia="宋体"/>
        </w:rPr>
      </w:pPr>
    </w:p>
    <w:p>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附件：</w:t>
      </w:r>
    </w:p>
    <w:p>
      <w:pPr>
        <w:widowControl/>
        <w:spacing w:line="360" w:lineRule="exact"/>
        <w:ind w:left="420" w:leftChars="200" w:firstLine="420" w:firstLineChars="175"/>
        <w:jc w:val="left"/>
        <w:rPr>
          <w:rFonts w:hint="eastAsia" w:ascii="宋体" w:hAnsi="宋体" w:eastAsia="宋体"/>
          <w:kern w:val="0"/>
          <w:sz w:val="24"/>
        </w:rPr>
      </w:pPr>
      <w:r>
        <w:rPr>
          <w:rFonts w:hint="eastAsia" w:ascii="宋体" w:hAnsi="宋体" w:eastAsia="宋体"/>
          <w:kern w:val="0"/>
          <w:sz w:val="24"/>
        </w:rPr>
        <w:t>附件1： 冲压件质量检验判定标准</w:t>
      </w:r>
    </w:p>
    <w:p>
      <w:pPr>
        <w:widowControl/>
        <w:spacing w:line="360" w:lineRule="exact"/>
        <w:ind w:left="420" w:leftChars="200" w:firstLine="420" w:firstLineChars="175"/>
        <w:jc w:val="left"/>
        <w:rPr>
          <w:rFonts w:hint="eastAsia" w:ascii="宋体" w:hAnsi="宋体" w:eastAsia="宋体"/>
          <w:kern w:val="0"/>
          <w:sz w:val="24"/>
        </w:rPr>
      </w:pPr>
      <w:r>
        <w:rPr>
          <w:rFonts w:hint="eastAsia" w:ascii="宋体" w:hAnsi="宋体" w:eastAsia="宋体"/>
          <w:kern w:val="0"/>
          <w:sz w:val="24"/>
        </w:rPr>
        <w:t>附件2： 车身冲压模具设计标准</w:t>
      </w:r>
    </w:p>
    <w:p>
      <w:pPr>
        <w:spacing w:line="360" w:lineRule="auto"/>
        <w:ind w:firstLine="480" w:firstLineChars="200"/>
        <w:rPr>
          <w:rFonts w:hint="eastAsia" w:ascii="宋体" w:hAnsi="宋体" w:eastAsia="宋体" w:cs="Times New Roman"/>
          <w:sz w:val="24"/>
          <w:szCs w:val="24"/>
        </w:rPr>
      </w:pPr>
    </w:p>
    <w:p>
      <w:pPr>
        <w:spacing w:line="360" w:lineRule="auto"/>
        <w:ind w:firstLine="480" w:firstLineChars="200"/>
        <w:rPr>
          <w:rFonts w:hint="eastAsia" w:ascii="宋体" w:hAnsi="宋体" w:eastAsia="宋体" w:cs="Times New Roman"/>
          <w:sz w:val="24"/>
          <w:szCs w:val="24"/>
        </w:rPr>
      </w:pPr>
    </w:p>
    <w:p>
      <w:pPr>
        <w:rPr>
          <w:rFonts w:ascii="Calibri" w:hAnsi="Calibri" w:eastAsia="宋体" w:cs="Times New Roman"/>
          <w:b/>
          <w:bCs/>
          <w:kern w:val="44"/>
          <w:sz w:val="28"/>
          <w:szCs w:val="28"/>
        </w:rPr>
      </w:pPr>
      <w:bookmarkStart w:id="111" w:name="_Toc169605881"/>
      <w:r>
        <w:rPr>
          <w:rFonts w:hint="eastAsia" w:ascii="Calibri" w:hAnsi="Calibri" w:eastAsia="宋体" w:cs="Times New Roman"/>
          <w:b/>
          <w:bCs/>
          <w:kern w:val="44"/>
          <w:sz w:val="28"/>
          <w:szCs w:val="28"/>
        </w:rPr>
        <w:br w:type="page"/>
      </w:r>
    </w:p>
    <w:bookmarkEnd w:id="111"/>
    <w:p>
      <w:pPr>
        <w:pStyle w:val="22"/>
        <w:spacing w:line="360" w:lineRule="auto"/>
      </w:pPr>
    </w:p>
    <w:p>
      <w:pPr>
        <w:pStyle w:val="136"/>
        <w:spacing w:line="360" w:lineRule="auto"/>
        <w:outlineLvl w:val="1"/>
        <w:rPr>
          <w:rFonts w:hint="eastAsia" w:eastAsia="宋体"/>
          <w:b/>
          <w:bCs w:val="0"/>
          <w:iCs/>
          <w:color w:val="auto"/>
          <w:sz w:val="28"/>
        </w:rPr>
      </w:pPr>
      <w:bookmarkStart w:id="112" w:name="_Toc465187647"/>
      <w:r>
        <w:rPr>
          <w:rFonts w:eastAsia="宋体"/>
          <w:b/>
          <w:bCs w:val="0"/>
          <w:iCs/>
          <w:color w:val="auto"/>
          <w:sz w:val="28"/>
        </w:rPr>
        <w:t>第</w:t>
      </w:r>
      <w:r>
        <w:rPr>
          <w:rFonts w:hint="eastAsia" w:eastAsia="宋体"/>
          <w:b/>
          <w:bCs w:val="0"/>
          <w:iCs/>
          <w:color w:val="auto"/>
          <w:sz w:val="28"/>
        </w:rPr>
        <w:t>三</w:t>
      </w:r>
      <w:r>
        <w:rPr>
          <w:rFonts w:eastAsia="宋体"/>
          <w:b/>
          <w:bCs w:val="0"/>
          <w:iCs/>
          <w:color w:val="auto"/>
          <w:sz w:val="28"/>
        </w:rPr>
        <w:t>章  投标技术文件一般要求</w:t>
      </w:r>
      <w:bookmarkEnd w:id="112"/>
    </w:p>
    <w:p>
      <w:pPr>
        <w:pStyle w:val="123"/>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23"/>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2"/>
        <w:spacing w:before="120" w:after="120" w:line="360" w:lineRule="auto"/>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113" w:name="_Toc465187648"/>
    </w:p>
    <w:p>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第四章  其它要求及说明</w:t>
      </w:r>
      <w:bookmarkEnd w:id="113"/>
    </w:p>
    <w:p>
      <w:pPr>
        <w:pStyle w:val="123"/>
        <w:spacing w:line="360" w:lineRule="auto"/>
        <w:rPr>
          <w:rFonts w:hint="eastAsia" w:ascii="宋体" w:hAnsi="宋体" w:cs="宋体"/>
          <w:color w:val="auto"/>
        </w:rPr>
      </w:pPr>
      <w:r>
        <w:rPr>
          <w:rFonts w:hint="eastAsia" w:ascii="宋体" w:hAnsi="宋体" w:cs="宋体"/>
          <w:color w:val="auto"/>
        </w:rPr>
        <w:t>一、要求</w:t>
      </w:r>
    </w:p>
    <w:p>
      <w:pPr>
        <w:pStyle w:val="25"/>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23"/>
        <w:spacing w:line="360" w:lineRule="auto"/>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spacing w:line="360" w:lineRule="auto"/>
        <w:ind w:firstLine="480" w:firstLineChars="200"/>
        <w:rPr>
          <w:rFonts w:hint="eastAsia" w:hAnsi="宋体" w:eastAsia="宋体" w:cs="Times New Roman"/>
          <w:b/>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rPr>
          <w:rFonts w:hint="eastAsia"/>
        </w:rPr>
      </w:pPr>
    </w:p>
    <w:p>
      <w:pPr>
        <w:pStyle w:val="22"/>
      </w:pPr>
    </w:p>
    <w:p>
      <w:r>
        <w:br w:type="page"/>
      </w:r>
    </w:p>
    <w:p>
      <w:pPr>
        <w:pStyle w:val="22"/>
      </w:pPr>
    </w:p>
    <w:p>
      <w:pPr>
        <w:spacing w:line="360" w:lineRule="auto"/>
        <w:jc w:val="center"/>
        <w:outlineLvl w:val="0"/>
        <w:rPr>
          <w:rFonts w:ascii="宋体" w:hAnsi="Calibri" w:eastAsia="宋体" w:cs="Times New Roman"/>
          <w:b/>
          <w:sz w:val="36"/>
          <w:szCs w:val="36"/>
        </w:rPr>
      </w:pPr>
      <w:bookmarkStart w:id="11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4"/>
    </w:p>
    <w:p>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hint="eastAsia" w:ascii="宋体" w:hAnsi="宋体"/>
          <w:sz w:val="20"/>
          <w:szCs w:val="20"/>
        </w:rPr>
      </w:pPr>
    </w:p>
    <w:p>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jc w:val="left"/>
        <w:rPr>
          <w:rFonts w:hint="eastAsia" w:ascii="宋体" w:hAnsi="宋体" w:eastAsia="宋体" w:cs="Times New Roman"/>
          <w:b/>
          <w:sz w:val="36"/>
          <w:szCs w:val="36"/>
        </w:rPr>
      </w:pP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906" w:firstLineChars="678"/>
        <w:jc w:val="left"/>
        <w:rPr>
          <w:rFonts w:hint="eastAsia" w:ascii="宋体" w:hAnsi="宋体" w:eastAsia="宋体" w:cs="Times New Roman"/>
          <w:b/>
          <w:sz w:val="28"/>
          <w:szCs w:val="36"/>
        </w:rPr>
      </w:pPr>
    </w:p>
    <w:p>
      <w:pPr>
        <w:rPr>
          <w:rFonts w:ascii="Calibri" w:hAnsi="Calibri" w:eastAsia="宋体" w:cs="Times New Roman"/>
          <w:szCs w:val="21"/>
        </w:rPr>
      </w:pPr>
    </w:p>
    <w:p>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hint="eastAsia" w:ascii="仿宋_GB2312" w:hAnsi="宋体" w:eastAsia="仿宋_GB2312" w:cs="宋体"/>
          <w:b/>
          <w:bCs/>
          <w:sz w:val="24"/>
          <w:szCs w:val="24"/>
          <w:u w:val="single"/>
        </w:rPr>
      </w:pPr>
    </w:p>
    <w:p>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pPr>
        <w:rPr>
          <w:rFonts w:ascii="Calibri" w:hAnsi="Calibri" w:eastAsia="宋体" w:cs="Times New Roman"/>
          <w:sz w:val="24"/>
          <w:szCs w:val="24"/>
        </w:rPr>
      </w:pPr>
      <w:r>
        <w:rPr>
          <w:rFonts w:hint="eastAsia" w:ascii="Calibri" w:hAnsi="Calibri" w:eastAsia="宋体" w:cs="Times New Roman"/>
          <w:sz w:val="24"/>
          <w:szCs w:val="24"/>
        </w:rPr>
        <w:br w:type="page"/>
      </w: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c>
          <w:tcPr>
            <w:tcW w:w="708" w:type="dxa"/>
            <w:vAlign w:val="center"/>
          </w:tcPr>
          <w:p>
            <w:pPr>
              <w:spacing w:line="360" w:lineRule="auto"/>
              <w:jc w:val="center"/>
              <w:rPr>
                <w:rFonts w:hint="eastAsia" w:ascii="仿宋_GB2312" w:eastAsia="仿宋_GB2312" w:hAnsiTheme="minorEastAsia" w:cstheme="minorEastAsia"/>
                <w:sz w:val="24"/>
                <w:szCs w:val="24"/>
              </w:rPr>
            </w:pPr>
          </w:p>
        </w:tc>
      </w:tr>
    </w:tbl>
    <w:p>
      <w:pPr>
        <w:tabs>
          <w:tab w:val="right" w:leader="dot" w:pos="9061"/>
        </w:tabs>
        <w:rPr>
          <w:rFonts w:hint="eastAsia" w:asciiTheme="minorEastAsia" w:hAnsiTheme="minorEastAsia" w:cstheme="minorEastAsia"/>
          <w:sz w:val="20"/>
        </w:rPr>
      </w:pPr>
    </w:p>
    <w:p>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pPr>
        <w:rPr>
          <w:rFonts w:hint="eastAsia" w:asciiTheme="minorEastAsia" w:hAnsiTheme="minorEastAsia" w:cstheme="minorEastAsia"/>
          <w:sz w:val="20"/>
          <w:szCs w:val="20"/>
        </w:rPr>
      </w:pPr>
    </w:p>
    <w:p>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15" w:name="_Toc8509"/>
      <w:bookmarkStart w:id="116" w:name="_Toc15851"/>
      <w:bookmarkStart w:id="117"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5"/>
      <w:bookmarkEnd w:id="116"/>
      <w:bookmarkEnd w:id="117"/>
    </w:p>
    <w:p>
      <w:pPr>
        <w:keepNext/>
        <w:keepLines/>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pPr>
        <w:pStyle w:val="2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pStyle w:val="2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rPr>
                <w:rFonts w:hint="eastAsia"/>
              </w:rPr>
            </w:pPr>
            <w:r>
              <w:t xml:space="preserve">企业名称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1956" w:type="dxa"/>
          </w:tcPr>
          <w:p>
            <w:pPr>
              <w:pStyle w:val="135"/>
              <w:spacing w:before="114"/>
              <w:ind w:left="720"/>
              <w:rPr>
                <w:rFonts w:hint="eastAsia"/>
              </w:rPr>
            </w:pPr>
            <w:r>
              <w:t xml:space="preserve">企业地址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rPr>
                <w:rFonts w:hint="eastAsia"/>
              </w:rPr>
            </w:pPr>
            <w:r>
              <w:t xml:space="preserve">企业性质 </w:t>
            </w:r>
          </w:p>
        </w:tc>
        <w:tc>
          <w:tcPr>
            <w:tcW w:w="4680" w:type="dxa"/>
            <w:gridSpan w:val="4"/>
            <w:vAlign w:val="center"/>
          </w:tcPr>
          <w:p>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rPr>
                <w:rFonts w:hint="eastAsia"/>
                <w:highlight w:val="yellow"/>
              </w:rPr>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rPr>
                <w:rFonts w:hint="eastAsia"/>
              </w:rPr>
            </w:pPr>
            <w:r>
              <w:t xml:space="preserve">品牌区分 </w:t>
            </w:r>
          </w:p>
        </w:tc>
        <w:tc>
          <w:tcPr>
            <w:tcW w:w="7500" w:type="dxa"/>
            <w:gridSpan w:val="6"/>
          </w:tcPr>
          <w:p>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2" w:hRule="atLeast"/>
        </w:trPr>
        <w:tc>
          <w:tcPr>
            <w:tcW w:w="1956" w:type="dxa"/>
          </w:tcPr>
          <w:p>
            <w:pPr>
              <w:pStyle w:val="135"/>
              <w:spacing w:before="178"/>
              <w:ind w:left="720"/>
              <w:rPr>
                <w:rFonts w:hint="eastAsia"/>
              </w:rPr>
            </w:pPr>
            <w:r>
              <w:t xml:space="preserve">品牌名称 </w:t>
            </w:r>
          </w:p>
        </w:tc>
        <w:tc>
          <w:tcPr>
            <w:tcW w:w="3583" w:type="dxa"/>
            <w:gridSpan w:val="3"/>
            <w:vAlign w:val="center"/>
          </w:tcPr>
          <w:p>
            <w:pPr>
              <w:widowControl/>
              <w:rPr>
                <w:rFonts w:hint="eastAsia" w:ascii="宋体" w:hAnsi="宋体" w:eastAsia="仿宋_GB2312"/>
                <w:kern w:val="0"/>
                <w:szCs w:val="21"/>
                <w:lang w:bidi="ar"/>
              </w:rPr>
            </w:pPr>
          </w:p>
        </w:tc>
        <w:tc>
          <w:tcPr>
            <w:tcW w:w="1097" w:type="dxa"/>
          </w:tcPr>
          <w:p>
            <w:pPr>
              <w:pStyle w:val="135"/>
              <w:spacing w:before="15"/>
              <w:ind w:left="279"/>
              <w:rPr>
                <w:rFonts w:hint="eastAsia"/>
              </w:rPr>
            </w:pPr>
            <w:r>
              <w:rPr>
                <w:spacing w:val="-2"/>
              </w:rPr>
              <w:t>质量</w:t>
            </w:r>
            <w:r>
              <w:t xml:space="preserve"> </w:t>
            </w:r>
          </w:p>
          <w:p>
            <w:pPr>
              <w:pStyle w:val="135"/>
              <w:spacing w:before="30" w:line="277" w:lineRule="exact"/>
              <w:ind w:left="279"/>
              <w:rPr>
                <w:rFonts w:hint="eastAsia"/>
              </w:rPr>
            </w:pPr>
            <w:r>
              <w:rPr>
                <w:rFonts w:hint="eastAsia"/>
              </w:rPr>
              <w:t>体系</w:t>
            </w:r>
          </w:p>
        </w:tc>
        <w:tc>
          <w:tcPr>
            <w:tcW w:w="2820" w:type="dxa"/>
            <w:gridSpan w:val="2"/>
          </w:tcPr>
          <w:p>
            <w:pPr>
              <w:pStyle w:val="135"/>
              <w:spacing w:before="158"/>
              <w:jc w:val="center"/>
              <w:rPr>
                <w:rFonts w:hint="eastAsia"/>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rPr>
                <w:rFonts w:hint="eastAsia"/>
              </w:rP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hint="eastAsia" w:ascii="宋体" w:hAnsi="宋体" w:eastAsia="宋体" w:cs="宋体"/>
                <w:szCs w:val="21"/>
              </w:rPr>
            </w:pPr>
          </w:p>
        </w:tc>
        <w:tc>
          <w:tcPr>
            <w:tcW w:w="1530"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hint="eastAsia" w:ascii="宋体" w:hAnsi="宋体" w:eastAsia="宋体" w:cs="宋体"/>
                <w:szCs w:val="21"/>
              </w:rPr>
            </w:pPr>
          </w:p>
        </w:tc>
        <w:tc>
          <w:tcPr>
            <w:tcW w:w="1097" w:type="dxa"/>
            <w:vAlign w:val="center"/>
          </w:tcPr>
          <w:p>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hint="eastAsia"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hint="eastAsia" w:ascii="宋体" w:hAnsi="宋体" w:eastAsia="宋体" w:cs="宋体"/>
                <w:kern w:val="0"/>
                <w:szCs w:val="21"/>
                <w:lang w:bidi="ar"/>
              </w:rPr>
            </w:pPr>
          </w:p>
        </w:tc>
      </w:tr>
    </w:tbl>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rPr>
          <w:rFonts w:ascii="Times New Roman" w:hAnsi="Times New Roman" w:eastAsia="宋体" w:cs="Times New Roman"/>
          <w:b/>
          <w:bCs/>
          <w:color w:val="000000"/>
          <w:sz w:val="24"/>
          <w:szCs w:val="24"/>
        </w:rPr>
      </w:pPr>
    </w:p>
    <w:p>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c>
          <w:tcPr>
            <w:tcW w:w="1288" w:type="dxa"/>
          </w:tcPr>
          <w:p>
            <w:pPr>
              <w:spacing w:line="440" w:lineRule="exact"/>
              <w:jc w:val="center"/>
              <w:rPr>
                <w:rFonts w:hint="eastAsia"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c>
          <w:tcPr>
            <w:tcW w:w="1288" w:type="dxa"/>
          </w:tcPr>
          <w:p>
            <w:pPr>
              <w:spacing w:line="440" w:lineRule="exact"/>
              <w:jc w:val="center"/>
              <w:rPr>
                <w:rFonts w:hint="eastAsia"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hint="eastAsia" w:ascii="宋体" w:hAnsi="宋体" w:eastAsia="宋体" w:cs="Times New Roman"/>
          <w:color w:val="000000"/>
          <w:sz w:val="24"/>
          <w:szCs w:val="24"/>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pPr>
              <w:jc w:val="center"/>
              <w:rPr>
                <w:rFonts w:ascii="Times New Roman" w:hAnsi="Times New Roman" w:eastAsia="宋体" w:cs="Times New Roman"/>
                <w:b/>
                <w:sz w:val="24"/>
                <w:szCs w:val="20"/>
              </w:rPr>
            </w:pPr>
          </w:p>
        </w:tc>
        <w:tc>
          <w:tcPr>
            <w:tcW w:w="3190" w:type="dxa"/>
          </w:tcPr>
          <w:p>
            <w:pPr>
              <w:jc w:val="center"/>
              <w:rPr>
                <w:rFonts w:ascii="Times New Roman" w:hAnsi="Times New Roman" w:eastAsia="宋体" w:cs="Times New Roman"/>
                <w:b/>
                <w:sz w:val="24"/>
                <w:szCs w:val="20"/>
              </w:rPr>
            </w:pPr>
          </w:p>
        </w:tc>
        <w:tc>
          <w:tcPr>
            <w:tcW w:w="2540" w:type="dxa"/>
          </w:tcPr>
          <w:p>
            <w:pPr>
              <w:jc w:val="center"/>
              <w:rPr>
                <w:rFonts w:ascii="Times New Roman" w:hAnsi="Times New Roman" w:eastAsia="宋体" w:cs="Times New Roman"/>
                <w:b/>
                <w:sz w:val="24"/>
                <w:szCs w:val="20"/>
              </w:rPr>
            </w:pPr>
          </w:p>
        </w:tc>
        <w:tc>
          <w:tcPr>
            <w:tcW w:w="1292" w:type="dxa"/>
          </w:tcPr>
          <w:p>
            <w:pPr>
              <w:jc w:val="center"/>
              <w:rPr>
                <w:rFonts w:ascii="Times New Roman" w:hAnsi="Times New Roman" w:eastAsia="宋体" w:cs="Times New Roman"/>
                <w:b/>
                <w:sz w:val="24"/>
                <w:szCs w:val="20"/>
              </w:rPr>
            </w:pPr>
          </w:p>
        </w:tc>
      </w:tr>
    </w:tbl>
    <w:p>
      <w:pPr>
        <w:spacing w:line="660" w:lineRule="exact"/>
        <w:ind w:firstLine="480" w:firstLineChars="200"/>
        <w:rPr>
          <w:rFonts w:hint="eastAsia" w:ascii="宋体" w:hAnsi="宋体" w:eastAsia="宋体" w:cs="Times New Roman"/>
          <w:sz w:val="24"/>
          <w:szCs w:val="20"/>
        </w:rPr>
      </w:pPr>
    </w:p>
    <w:p>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rPr>
            </w:pPr>
          </w:p>
        </w:tc>
        <w:tc>
          <w:tcPr>
            <w:tcW w:w="3150" w:type="dxa"/>
            <w:vAlign w:val="center"/>
          </w:tcPr>
          <w:p>
            <w:pPr>
              <w:widowControl/>
              <w:jc w:val="center"/>
              <w:textAlignment w:val="center"/>
              <w:rPr>
                <w:rFonts w:hint="eastAsia" w:ascii="宋体" w:hAnsi="宋体" w:eastAsia="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p>
        </w:tc>
        <w:tc>
          <w:tcPr>
            <w:tcW w:w="1500" w:type="dxa"/>
            <w:vAlign w:val="center"/>
          </w:tcPr>
          <w:p>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pPr>
              <w:rPr>
                <w:rFonts w:hint="eastAsia" w:ascii="Arial"/>
              </w:rPr>
            </w:pPr>
          </w:p>
        </w:tc>
        <w:tc>
          <w:tcPr>
            <w:tcW w:w="630" w:type="dxa"/>
          </w:tcPr>
          <w:p>
            <w:pPr>
              <w:adjustRightInd w:val="0"/>
              <w:snapToGrid w:val="0"/>
              <w:spacing w:before="156" w:beforeLines="50" w:after="156" w:afterLines="50"/>
              <w:jc w:val="center"/>
              <w:rPr>
                <w:rFonts w:hint="eastAsia" w:ascii="宋体" w:hAnsi="宋体" w:cs="宋体"/>
                <w:szCs w:val="21"/>
              </w:rPr>
            </w:pPr>
          </w:p>
        </w:tc>
        <w:tc>
          <w:tcPr>
            <w:tcW w:w="645" w:type="dxa"/>
          </w:tcPr>
          <w:p>
            <w:pPr>
              <w:rPr>
                <w:rFonts w:hint="eastAsia" w:ascii="Arial"/>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spacing w:before="78" w:line="219" w:lineRule="auto"/>
        <w:ind w:left="431"/>
        <w:rPr>
          <w:rFonts w:hint="eastAsia" w:ascii="宋体" w:hAnsi="宋体" w:eastAsia="宋体" w:cs="宋体"/>
          <w:spacing w:val="-6"/>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hint="eastAsia"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pPr>
              <w:jc w:val="center"/>
              <w:rPr>
                <w:rFonts w:hint="eastAsia" w:ascii="等线" w:hAnsi="等线" w:eastAsia="等线" w:cs="Times New Roman"/>
                <w:b/>
                <w:szCs w:val="20"/>
              </w:rPr>
            </w:pPr>
            <w:r>
              <w:rPr>
                <w:rFonts w:hint="eastAsia" w:ascii="等线" w:hAnsi="等线" w:eastAsia="等线" w:cs="Times New Roman"/>
                <w:b/>
                <w:szCs w:val="20"/>
              </w:rPr>
              <w:t>不含税价：</w:t>
            </w:r>
          </w:p>
          <w:p>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pPr>
              <w:spacing w:before="99" w:line="183" w:lineRule="auto"/>
              <w:ind w:firstLine="420" w:firstLineChars="200"/>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cs="宋体"/>
                <w:sz w:val="24"/>
                <w:szCs w:val="24"/>
              </w:rPr>
            </w:pPr>
          </w:p>
        </w:tc>
        <w:tc>
          <w:tcPr>
            <w:tcW w:w="283" w:type="pct"/>
            <w:vAlign w:val="center"/>
          </w:tcPr>
          <w:p>
            <w:pPr>
              <w:widowControl/>
              <w:jc w:val="center"/>
              <w:textAlignment w:val="center"/>
              <w:rPr>
                <w:rFonts w:hint="eastAsia" w:ascii="宋体" w:hAnsi="宋体" w:eastAsia="宋体" w:cs="宋体"/>
                <w:sz w:val="24"/>
                <w:szCs w:val="24"/>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pPr>
              <w:widowControl/>
              <w:jc w:val="center"/>
              <w:textAlignment w:val="center"/>
              <w:rPr>
                <w:rFonts w:hint="eastAsia" w:ascii="宋体" w:hAnsi="宋体" w:eastAsia="宋体" w:cs="宋体"/>
                <w:sz w:val="18"/>
                <w:szCs w:val="18"/>
              </w:rPr>
            </w:pPr>
          </w:p>
        </w:tc>
        <w:tc>
          <w:tcPr>
            <w:tcW w:w="864" w:type="pct"/>
            <w:vAlign w:val="center"/>
          </w:tcPr>
          <w:p>
            <w:pPr>
              <w:widowControl/>
              <w:jc w:val="center"/>
              <w:textAlignment w:val="center"/>
              <w:rPr>
                <w:rFonts w:hint="eastAsia" w:ascii="宋体" w:hAnsi="宋体" w:eastAsia="宋体" w:cs="宋体"/>
                <w:sz w:val="18"/>
                <w:szCs w:val="18"/>
              </w:rPr>
            </w:pPr>
          </w:p>
        </w:tc>
        <w:tc>
          <w:tcPr>
            <w:tcW w:w="318" w:type="pct"/>
            <w:vAlign w:val="center"/>
          </w:tcPr>
          <w:p>
            <w:pPr>
              <w:widowControl/>
              <w:jc w:val="center"/>
              <w:textAlignment w:val="center"/>
              <w:rPr>
                <w:rFonts w:hint="eastAsia" w:ascii="宋体" w:hAnsi="宋体" w:eastAsia="宋体"/>
                <w:szCs w:val="21"/>
              </w:rPr>
            </w:pPr>
          </w:p>
        </w:tc>
        <w:tc>
          <w:tcPr>
            <w:tcW w:w="283" w:type="pct"/>
            <w:vAlign w:val="center"/>
          </w:tcPr>
          <w:p>
            <w:pPr>
              <w:widowControl/>
              <w:jc w:val="center"/>
              <w:textAlignment w:val="center"/>
              <w:rPr>
                <w:rFonts w:hint="eastAsia" w:ascii="宋体" w:hAnsi="宋体" w:eastAsia="宋体"/>
                <w:szCs w:val="21"/>
              </w:rPr>
            </w:pPr>
          </w:p>
        </w:tc>
        <w:tc>
          <w:tcPr>
            <w:tcW w:w="724" w:type="pct"/>
          </w:tcPr>
          <w:p>
            <w:pPr>
              <w:jc w:val="center"/>
              <w:rPr>
                <w:rFonts w:hint="eastAsia" w:ascii="Arial"/>
              </w:rPr>
            </w:pPr>
          </w:p>
        </w:tc>
        <w:tc>
          <w:tcPr>
            <w:tcW w:w="577" w:type="pct"/>
            <w:tcBorders>
              <w:right w:val="single" w:color="000000" w:sz="4" w:space="0"/>
            </w:tcBorders>
          </w:tcPr>
          <w:p>
            <w:pPr>
              <w:jc w:val="center"/>
              <w:rPr>
                <w:rFonts w:hint="eastAsia" w:ascii="Arial"/>
              </w:rPr>
            </w:pPr>
          </w:p>
        </w:tc>
        <w:tc>
          <w:tcPr>
            <w:tcW w:w="1060" w:type="pct"/>
            <w:tcBorders>
              <w:left w:val="single" w:color="000000" w:sz="4" w:space="0"/>
            </w:tcBorders>
          </w:tcPr>
          <w:p>
            <w:pPr>
              <w:rPr>
                <w:rFonts w:hint="eastAsia" w:ascii="Arial"/>
              </w:rPr>
            </w:pPr>
          </w:p>
        </w:tc>
        <w:tc>
          <w:tcPr>
            <w:tcW w:w="241" w:type="pct"/>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pPr>
              <w:rPr>
                <w:rFonts w:hint="eastAsia" w:ascii="Arial"/>
              </w:rPr>
            </w:pPr>
          </w:p>
        </w:tc>
      </w:tr>
    </w:tbl>
    <w:p>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hint="eastAsia" w:ascii="Arial"/>
              </w:rPr>
            </w:pPr>
          </w:p>
          <w:p>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hint="eastAsia" w:ascii="Arial"/>
              </w:rPr>
            </w:pPr>
          </w:p>
          <w:p>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hint="eastAsia" w:ascii="Arial"/>
              </w:rPr>
            </w:pPr>
          </w:p>
        </w:tc>
        <w:tc>
          <w:tcPr>
            <w:tcW w:w="3530" w:type="dxa"/>
            <w:vMerge w:val="continue"/>
            <w:tcBorders>
              <w:top w:val="nil"/>
            </w:tcBorders>
          </w:tcPr>
          <w:p>
            <w:pPr>
              <w:rPr>
                <w:rFonts w:hint="eastAsia" w:ascii="Arial"/>
              </w:rPr>
            </w:pPr>
          </w:p>
        </w:tc>
        <w:tc>
          <w:tcPr>
            <w:tcW w:w="2159" w:type="dxa"/>
          </w:tcPr>
          <w:p>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hint="eastAsia"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restart"/>
            <w:tcBorders>
              <w:bottom w:val="nil"/>
            </w:tcBorders>
          </w:tcPr>
          <w:p>
            <w:pPr>
              <w:spacing w:line="295" w:lineRule="auto"/>
              <w:rPr>
                <w:rFonts w:hint="eastAsia" w:ascii="Arial"/>
              </w:rPr>
            </w:pPr>
          </w:p>
          <w:p>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vMerge w:val="continue"/>
            <w:tcBorders>
              <w:top w:val="nil"/>
            </w:tcBorders>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pPr>
              <w:rPr>
                <w:rFonts w:hint="eastAsia" w:ascii="Arial"/>
              </w:rPr>
            </w:pPr>
          </w:p>
        </w:tc>
        <w:tc>
          <w:tcPr>
            <w:tcW w:w="2186" w:type="dxa"/>
          </w:tcPr>
          <w:p>
            <w:pPr>
              <w:rPr>
                <w:rFonts w:hint="eastAsia" w:ascii="Arial"/>
              </w:rPr>
            </w:pPr>
          </w:p>
        </w:tc>
        <w:tc>
          <w:tcPr>
            <w:tcW w:w="2596" w:type="dxa"/>
          </w:tcPr>
          <w:p>
            <w:pPr>
              <w:rPr>
                <w:rFonts w:hint="eastAsia" w:ascii="Arial"/>
              </w:rPr>
            </w:pPr>
          </w:p>
        </w:tc>
        <w:tc>
          <w:tcPr>
            <w:tcW w:w="2164" w:type="dxa"/>
          </w:tcPr>
          <w:p>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rFonts w:hint="eastAsia"/>
          <w:sz w:val="24"/>
          <w:szCs w:val="24"/>
        </w:rPr>
        <w:sectPr>
          <w:footerReference r:id="rId27" w:type="default"/>
          <w:pgSz w:w="16841" w:h="11907"/>
          <w:pgMar w:top="400" w:right="1699" w:bottom="1184" w:left="1481"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rPr>
          <w:rFonts w:hint="eastAsia"/>
        </w:rPr>
      </w:pPr>
    </w:p>
    <w:p>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pPr>
              <w:spacing w:before="266" w:line="221" w:lineRule="auto"/>
              <w:jc w:val="center"/>
              <w:rPr>
                <w:rFonts w:hint="eastAsia" w:ascii="宋体" w:hAnsi="宋体" w:eastAsia="宋体" w:cs="宋体"/>
                <w:spacing w:val="-2"/>
                <w:szCs w:val="21"/>
              </w:rPr>
            </w:pPr>
          </w:p>
        </w:tc>
        <w:tc>
          <w:tcPr>
            <w:tcW w:w="1138" w:type="dxa"/>
            <w:vAlign w:val="center"/>
          </w:tcPr>
          <w:p>
            <w:pPr>
              <w:spacing w:before="266" w:line="221" w:lineRule="auto"/>
              <w:jc w:val="center"/>
              <w:rPr>
                <w:rFonts w:hint="eastAsia" w:ascii="宋体" w:hAnsi="宋体" w:eastAsia="宋体" w:cs="宋体"/>
                <w:spacing w:val="-2"/>
                <w:szCs w:val="21"/>
              </w:rPr>
            </w:pPr>
          </w:p>
        </w:tc>
        <w:tc>
          <w:tcPr>
            <w:tcW w:w="1138" w:type="dxa"/>
          </w:tcPr>
          <w:p>
            <w:pPr>
              <w:spacing w:before="266" w:line="221" w:lineRule="auto"/>
              <w:jc w:val="center"/>
              <w:rPr>
                <w:rFonts w:hint="eastAsia" w:ascii="宋体" w:hAnsi="宋体" w:eastAsia="宋体" w:cs="宋体"/>
                <w:spacing w:val="-2"/>
                <w:szCs w:val="21"/>
              </w:rPr>
            </w:pPr>
          </w:p>
        </w:tc>
        <w:tc>
          <w:tcPr>
            <w:tcW w:w="2449" w:type="dxa"/>
          </w:tcPr>
          <w:p>
            <w:pPr>
              <w:rPr>
                <w:rFonts w:hint="eastAsia" w:ascii="Arial"/>
              </w:rPr>
            </w:pPr>
          </w:p>
        </w:tc>
        <w:tc>
          <w:tcPr>
            <w:tcW w:w="332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rPr>
          <w:rFonts w:hint="eastAsia"/>
        </w:rPr>
      </w:pPr>
    </w:p>
    <w:p>
      <w:pPr>
        <w:pStyle w:val="22"/>
      </w:pPr>
    </w:p>
    <w:p>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pPr>
              <w:spacing w:before="102" w:line="183" w:lineRule="auto"/>
              <w:ind w:left="515"/>
              <w:rPr>
                <w:rFonts w:hint="eastAsia"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pPr>
              <w:jc w:val="center"/>
              <w:rPr>
                <w:rFonts w:hint="eastAsia" w:ascii="宋体" w:hAnsi="宋体" w:eastAsia="宋体" w:cs="宋体"/>
                <w:spacing w:val="-1"/>
                <w:szCs w:val="21"/>
              </w:rPr>
            </w:pP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pPr>
              <w:rPr>
                <w:rFonts w:hint="eastAsia" w:ascii="Arial"/>
              </w:rPr>
            </w:pPr>
          </w:p>
        </w:tc>
        <w:tc>
          <w:tcPr>
            <w:tcW w:w="1500" w:type="dxa"/>
            <w:vAlign w:val="center"/>
          </w:tcPr>
          <w:p>
            <w:pPr>
              <w:rPr>
                <w:rFonts w:hint="eastAsia" w:ascii="Arial"/>
              </w:rPr>
            </w:pPr>
          </w:p>
        </w:tc>
        <w:tc>
          <w:tcPr>
            <w:tcW w:w="1500" w:type="dxa"/>
            <w:vAlign w:val="center"/>
          </w:tcPr>
          <w:p>
            <w:pPr>
              <w:jc w:val="center"/>
              <w:rPr>
                <w:rFonts w:hint="eastAsia" w:ascii="宋体" w:hAnsi="宋体" w:eastAsia="宋体" w:cs="宋体"/>
                <w:spacing w:val="-1"/>
                <w:szCs w:val="21"/>
              </w:rPr>
            </w:pPr>
          </w:p>
        </w:tc>
        <w:tc>
          <w:tcPr>
            <w:tcW w:w="1584" w:type="dxa"/>
          </w:tcPr>
          <w:p>
            <w:pPr>
              <w:rPr>
                <w:rFonts w:hint="eastAsia" w:ascii="Arial"/>
              </w:rPr>
            </w:pPr>
          </w:p>
        </w:tc>
        <w:tc>
          <w:tcPr>
            <w:tcW w:w="1483" w:type="dxa"/>
          </w:tcPr>
          <w:p>
            <w:pPr>
              <w:rPr>
                <w:rFonts w:hint="eastAsia" w:ascii="Arial"/>
              </w:rPr>
            </w:pPr>
          </w:p>
        </w:tc>
        <w:tc>
          <w:tcPr>
            <w:tcW w:w="2133" w:type="dxa"/>
          </w:tcPr>
          <w:p>
            <w:pPr>
              <w:rPr>
                <w:rFonts w:hint="eastAsia" w:ascii="Arial"/>
              </w:rPr>
            </w:pPr>
          </w:p>
        </w:tc>
        <w:tc>
          <w:tcPr>
            <w:tcW w:w="1117" w:type="dxa"/>
          </w:tcPr>
          <w:p>
            <w:pPr>
              <w:rPr>
                <w:rFonts w:hint="eastAsia" w:ascii="Arial"/>
              </w:rPr>
            </w:pPr>
          </w:p>
        </w:tc>
        <w:tc>
          <w:tcPr>
            <w:tcW w:w="1617"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pPr>
              <w:spacing w:before="207" w:line="219" w:lineRule="auto"/>
              <w:ind w:left="3416"/>
              <w:rPr>
                <w:rFonts w:hint="eastAsia" w:ascii="宋体" w:hAnsi="宋体" w:eastAsia="宋体" w:cs="宋体"/>
                <w:spacing w:val="-6"/>
                <w:szCs w:val="21"/>
              </w:rPr>
            </w:pPr>
          </w:p>
        </w:tc>
        <w:tc>
          <w:tcPr>
            <w:tcW w:w="4867" w:type="dxa"/>
            <w:gridSpan w:val="3"/>
          </w:tcPr>
          <w:p>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hint="eastAsia" w:ascii="Arial"/>
              </w:rPr>
            </w:pPr>
          </w:p>
          <w:p>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hint="eastAsia" w:ascii="Arial"/>
              </w:rPr>
            </w:pPr>
          </w:p>
        </w:tc>
        <w:tc>
          <w:tcPr>
            <w:tcW w:w="3362" w:type="dxa"/>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pPr>
        <w:spacing w:line="291" w:lineRule="auto"/>
        <w:rPr>
          <w:rFonts w:hint="eastAsia" w:ascii="Arial"/>
        </w:rPr>
      </w:pPr>
    </w:p>
    <w:p>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2"/>
      </w:pPr>
    </w:p>
    <w:p>
      <w:pPr>
        <w:pStyle w:val="22"/>
      </w:pPr>
    </w:p>
    <w:p>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hint="eastAsia" w:ascii="Arial"/>
        </w:rPr>
      </w:pPr>
    </w:p>
    <w:p>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rPr>
          <w:rFonts w:hint="eastAsia"/>
        </w:rPr>
      </w:pPr>
    </w:p>
    <w:p>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ascii="宋体" w:hAnsi="宋体" w:eastAsia="宋体" w:cs="宋体"/>
          <w:spacing w:val="-2"/>
          <w:sz w:val="24"/>
          <w:szCs w:val="24"/>
        </w:rPr>
      </w:pPr>
    </w:p>
    <w:p>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hint="eastAsia" w:ascii="宋体" w:hAnsi="宋体" w:eastAsia="宋体" w:cs="Times New Roman"/>
          <w:sz w:val="24"/>
          <w:szCs w:val="20"/>
          <w:u w:val="single"/>
        </w:rPr>
      </w:pP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2"/>
      </w:pPr>
    </w:p>
    <w:p>
      <w:pPr>
        <w:jc w:val="right"/>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asciiTheme="minorEastAsia" w:hAnsiTheme="minorEastAsia" w:cstheme="minorEastAsia"/>
          <w:sz w:val="20"/>
          <w:szCs w:val="20"/>
        </w:rPr>
      </w:pPr>
    </w:p>
    <w:p>
      <w:pPr>
        <w:pStyle w:val="29"/>
        <w:rPr>
          <w:rFonts w:hint="eastAsia" w:asciiTheme="minorEastAsia" w:hAnsiTheme="minorEastAsia" w:cstheme="minorEastAsia"/>
          <w:sz w:val="20"/>
          <w:szCs w:val="20"/>
        </w:rPr>
      </w:pPr>
    </w:p>
    <w:p>
      <w:pPr>
        <w:rPr>
          <w:rFonts w:hint="eastAsia"/>
        </w:rPr>
      </w:pPr>
      <w:r>
        <w:br w:type="page"/>
      </w:r>
    </w:p>
    <w:p>
      <w:pPr>
        <w:pStyle w:val="29"/>
        <w:rPr>
          <w:rFonts w:hint="eastAsia"/>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pPr>
        <w:jc w:val="right"/>
        <w:rPr>
          <w:rFonts w:hint="eastAsia" w:asciiTheme="minorEastAsia" w:hAnsiTheme="minorEastAsia" w:cstheme="minorEastAsia"/>
          <w:sz w:val="20"/>
          <w:szCs w:val="20"/>
        </w:rPr>
      </w:pPr>
    </w:p>
    <w:p>
      <w:pPr>
        <w:rPr>
          <w:rFonts w:hint="eastAsia"/>
        </w:rPr>
        <w:sectPr>
          <w:pgSz w:w="16838" w:h="11906" w:orient="landscape"/>
          <w:pgMar w:top="720" w:right="720" w:bottom="720" w:left="720" w:header="851" w:footer="992" w:gutter="0"/>
          <w:cols w:space="720" w:num="1"/>
          <w:titlePg/>
          <w:docGrid w:type="lines" w:linePitch="312" w:charSpace="0"/>
        </w:sectPr>
      </w:pPr>
    </w:p>
    <w:p>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pPr>
        <w:pStyle w:val="22"/>
        <w:rPr>
          <w:rFonts w:eastAsia="宋体"/>
        </w:rPr>
      </w:pP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1"/>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2"/>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3"/>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4"/>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pStyle w:val="22"/>
      </w:pPr>
    </w:p>
    <w:p>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5"/>
                    <a:stretch>
                      <a:fillRect/>
                    </a:stretch>
                  </pic:blipFill>
                  <pic:spPr>
                    <a:xfrm>
                      <a:off x="0" y="0"/>
                      <a:ext cx="5760085" cy="2810122"/>
                    </a:xfrm>
                    <a:prstGeom prst="rect">
                      <a:avLst/>
                    </a:prstGeom>
                  </pic:spPr>
                </pic:pic>
              </a:graphicData>
            </a:graphic>
          </wp:inline>
        </w:drawing>
      </w:r>
    </w:p>
    <w:p>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6"/>
                    <a:stretch>
                      <a:fillRect/>
                    </a:stretch>
                  </pic:blipFill>
                  <pic:spPr>
                    <a:xfrm>
                      <a:off x="0" y="0"/>
                      <a:ext cx="5760085" cy="2820042"/>
                    </a:xfrm>
                    <a:prstGeom prst="rect">
                      <a:avLst/>
                    </a:prstGeom>
                  </pic:spPr>
                </pic:pic>
              </a:graphicData>
            </a:graphic>
          </wp:inline>
        </w:drawing>
      </w:r>
    </w:p>
    <w:p>
      <w:pPr>
        <w:pStyle w:val="22"/>
      </w:pP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8"/>
                    <a:stretch>
                      <a:fillRect/>
                    </a:stretch>
                  </pic:blipFill>
                  <pic:spPr>
                    <a:xfrm>
                      <a:off x="0" y="0"/>
                      <a:ext cx="5760085" cy="2269864"/>
                    </a:xfrm>
                    <a:prstGeom prst="rect">
                      <a:avLst/>
                    </a:prstGeom>
                  </pic:spPr>
                </pic:pic>
              </a:graphicData>
            </a:graphic>
          </wp:inline>
        </w:drawing>
      </w:r>
    </w:p>
    <w:p>
      <w:pPr>
        <w:rPr>
          <w:rFonts w:hint="eastAsia"/>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9"/>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pPr>
        <w:pStyle w:val="22"/>
      </w:pPr>
    </w:p>
    <w:p>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0"/>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1"/>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2"/>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3"/>
                    <a:stretch>
                      <a:fillRect/>
                    </a:stretch>
                  </pic:blipFill>
                  <pic:spPr>
                    <a:xfrm>
                      <a:off x="0" y="0"/>
                      <a:ext cx="5760085" cy="1956600"/>
                    </a:xfrm>
                    <a:prstGeom prst="rect">
                      <a:avLst/>
                    </a:prstGeom>
                  </pic:spPr>
                </pic:pic>
              </a:graphicData>
            </a:graphic>
          </wp:inline>
        </w:drawing>
      </w:r>
    </w:p>
    <w:p>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4"/>
                    <a:stretch>
                      <a:fillRect/>
                    </a:stretch>
                  </pic:blipFill>
                  <pic:spPr>
                    <a:xfrm>
                      <a:off x="0" y="0"/>
                      <a:ext cx="5749290" cy="2501265"/>
                    </a:xfrm>
                    <a:prstGeom prst="rect">
                      <a:avLst/>
                    </a:prstGeom>
                    <a:noFill/>
                    <a:ln>
                      <a:noFill/>
                    </a:ln>
                  </pic:spPr>
                </pic:pic>
              </a:graphicData>
            </a:graphic>
          </wp:inline>
        </w:drawing>
      </w:r>
    </w:p>
    <w:p>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5"/>
                    <a:stretch>
                      <a:fillRect/>
                    </a:stretch>
                  </pic:blipFill>
                  <pic:spPr>
                    <a:xfrm>
                      <a:off x="0" y="0"/>
                      <a:ext cx="5746750" cy="3303270"/>
                    </a:xfrm>
                    <a:prstGeom prst="rect">
                      <a:avLst/>
                    </a:prstGeom>
                    <a:noFill/>
                    <a:ln>
                      <a:noFill/>
                    </a:ln>
                  </pic:spPr>
                </pic:pic>
              </a:graphicData>
            </a:graphic>
          </wp:inline>
        </w:drawing>
      </w:r>
    </w:p>
    <w:p>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7"/>
                    <a:stretch>
                      <a:fillRect/>
                    </a:stretch>
                  </pic:blipFill>
                  <pic:spPr>
                    <a:xfrm>
                      <a:off x="0" y="0"/>
                      <a:ext cx="5742940" cy="2925445"/>
                    </a:xfrm>
                    <a:prstGeom prst="rect">
                      <a:avLst/>
                    </a:prstGeom>
                    <a:noFill/>
                    <a:ln>
                      <a:noFill/>
                    </a:ln>
                  </pic:spPr>
                </pic:pic>
              </a:graphicData>
            </a:graphic>
          </wp:inline>
        </w:drawing>
      </w:r>
    </w:p>
    <w:p/>
    <w:p>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Pr>
        <w:rPr>
          <w:rFonts w:hint="eastAsia" w:ascii="仿宋_GB2312" w:hAnsi="仿宋_GB2312" w:eastAsia="仿宋_GB2312" w:cs="仿宋_GB2312"/>
        </w:rPr>
      </w:pPr>
    </w:p>
    <w:p>
      <w:pPr>
        <w:rPr>
          <w:rFonts w:hint="eastAsia" w:ascii="仿宋_GB2312" w:hAnsi="仿宋_GB2312" w:eastAsia="仿宋_GB2312" w:cs="仿宋_GB2312"/>
        </w:rPr>
      </w:pPr>
    </w:p>
    <w:p>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文鼎大标宋简">
    <w:altName w:val="宋体"/>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both"/>
      <w:rPr>
        <w:rFonts w:hint="eastAsia"/>
      </w:rPr>
    </w:pPr>
  </w:p>
  <w:p>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rPr>
                              <w:rFonts w:hint="eastAsia"/>
                            </w:rPr>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rPr>
        <w:rFonts w:hint="eastAsia"/>
      </w:rP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27"/>
                            <w:rPr>
                              <w:rFonts w:hint="eastAsia"/>
                            </w:rPr>
                          </w:pPr>
                          <w:r>
                            <w:fldChar w:fldCharType="begin"/>
                          </w:r>
                          <w:r>
                            <w:instrText xml:space="preserve"> PAGE  \* MERGEFORMAT </w:instrText>
                          </w:r>
                          <w:r>
                            <w:fldChar w:fldCharType="separate"/>
                          </w:r>
                          <w:r>
                            <w:t>- 18 -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p>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57ACA206"/>
    <w:multiLevelType w:val="singleLevel"/>
    <w:tmpl w:val="57ACA206"/>
    <w:lvl w:ilvl="0" w:tentative="0">
      <w:start w:val="1"/>
      <w:numFmt w:val="chineseCountingThousand"/>
      <w:lvlText w:val="%1、"/>
      <w:lvlJc w:val="left"/>
      <w:pPr>
        <w:ind w:left="420" w:hanging="420"/>
      </w:pPr>
      <w:rPr>
        <w:rFonts w:hint="eastAsia"/>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9"/>
  </w:num>
  <w:num w:numId="4">
    <w:abstractNumId w:val="3"/>
  </w:num>
  <w:num w:numId="5">
    <w:abstractNumId w:val="2"/>
  </w:num>
  <w:num w:numId="6">
    <w:abstractNumId w:val="5"/>
  </w:num>
  <w:num w:numId="7">
    <w:abstractNumId w:val="1"/>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37562C"/>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AD3430"/>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7D2A2B"/>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90C0D"/>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EF73440"/>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200EFB"/>
    <w:rsid w:val="5D8D085B"/>
    <w:rsid w:val="5D9539D7"/>
    <w:rsid w:val="5DBF6C59"/>
    <w:rsid w:val="5DE578F6"/>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71ED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8.png"/><Relationship Id="rId56" Type="http://schemas.openxmlformats.org/officeDocument/2006/relationships/image" Target="media/image17.png"/><Relationship Id="rId55" Type="http://schemas.openxmlformats.org/officeDocument/2006/relationships/image" Target="media/image16.png"/><Relationship Id="rId54" Type="http://schemas.openxmlformats.org/officeDocument/2006/relationships/image" Target="media/image15.png"/><Relationship Id="rId53" Type="http://schemas.openxmlformats.org/officeDocument/2006/relationships/image" Target="media/image14.png"/><Relationship Id="rId52" Type="http://schemas.openxmlformats.org/officeDocument/2006/relationships/image" Target="media/image13.png"/><Relationship Id="rId51" Type="http://schemas.openxmlformats.org/officeDocument/2006/relationships/image" Target="media/image12.png"/><Relationship Id="rId50" Type="http://schemas.openxmlformats.org/officeDocument/2006/relationships/image" Target="media/image11.png"/><Relationship Id="rId5" Type="http://schemas.openxmlformats.org/officeDocument/2006/relationships/footer" Target="footer2.xml"/><Relationship Id="rId49" Type="http://schemas.openxmlformats.org/officeDocument/2006/relationships/image" Target="media/image10.png"/><Relationship Id="rId48" Type="http://schemas.openxmlformats.org/officeDocument/2006/relationships/image" Target="media/image9.png"/><Relationship Id="rId47" Type="http://schemas.openxmlformats.org/officeDocument/2006/relationships/image" Target="media/image8.png"/><Relationship Id="rId46" Type="http://schemas.openxmlformats.org/officeDocument/2006/relationships/image" Target="media/image7.png"/><Relationship Id="rId45" Type="http://schemas.openxmlformats.org/officeDocument/2006/relationships/image" Target="media/image6.png"/><Relationship Id="rId44" Type="http://schemas.openxmlformats.org/officeDocument/2006/relationships/image" Target="media/image5.png"/><Relationship Id="rId43" Type="http://schemas.openxmlformats.org/officeDocument/2006/relationships/image" Target="media/image4.png"/><Relationship Id="rId42" Type="http://schemas.openxmlformats.org/officeDocument/2006/relationships/image" Target="media/image3.png"/><Relationship Id="rId41" Type="http://schemas.openxmlformats.org/officeDocument/2006/relationships/image" Target="media/image2.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74</Pages>
  <Words>9726</Words>
  <Characters>10320</Characters>
  <Lines>371</Lines>
  <Paragraphs>104</Paragraphs>
  <TotalTime>0</TotalTime>
  <ScaleCrop>false</ScaleCrop>
  <LinksUpToDate>false</LinksUpToDate>
  <CharactersWithSpaces>10509</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轻途</cp:lastModifiedBy>
  <cp:lastPrinted>2025-03-10T09:40:00Z</cp:lastPrinted>
  <dcterms:modified xsi:type="dcterms:W3CDTF">2025-11-24T09:00:54Z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ED02EB12B8294FE5807EAA5D2C3C24E0</vt:lpwstr>
  </property>
  <property fmtid="{D5CDD505-2E9C-101B-9397-08002B2CF9AE}" pid="4" name="KSOTemplateDocerSaveRecord">
    <vt:lpwstr>eyJoZGlkIjoiZTZkNDE3ZGE4Mjk4YmFlZDAwMWNlODJlYzdjMzk3YmQiLCJ1c2VySWQiOiI4MjIwMDM3MTEifQ==</vt:lpwstr>
  </property>
</Properties>
</file>