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rPr>
          <w:rFonts w:hint="eastAsia" w:ascii="仿宋_GB2312" w:hAnsi="仿宋_GB2312" w:eastAsia="仿宋_GB2312" w:cs="仿宋_GB2312"/>
          <w:color w:val="000000"/>
          <w:sz w:val="30"/>
          <w:szCs w:val="30"/>
        </w:rPr>
      </w:pPr>
    </w:p>
    <w:p>
      <w:pPr>
        <w:spacing w:line="276" w:lineRule="auto"/>
        <w:jc w:val="center"/>
        <w:rPr>
          <w:rFonts w:hint="eastAsia" w:ascii="仿宋_GB2312" w:hAnsi="仿宋_GB2312" w:eastAsia="仿宋_GB2312" w:cs="仿宋_GB2312"/>
          <w:b/>
          <w:bCs/>
          <w:color w:val="000000"/>
          <w:spacing w:val="-8"/>
          <w:sz w:val="48"/>
          <w:szCs w:val="48"/>
        </w:rPr>
      </w:pPr>
      <w:r>
        <w:rPr>
          <w:rFonts w:hint="eastAsia" w:ascii="仿宋_GB2312" w:hAnsi="仿宋_GB2312" w:eastAsia="仿宋_GB2312" w:cs="仿宋_GB2312"/>
          <w:b/>
          <w:bCs/>
          <w:color w:val="000000"/>
          <w:spacing w:val="-8"/>
          <w:sz w:val="48"/>
          <w:szCs w:val="48"/>
        </w:rPr>
        <w:t>统帅右置驾驶室车型模检具改制项目</w:t>
      </w:r>
    </w:p>
    <w:p>
      <w:pPr>
        <w:jc w:val="right"/>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 xml:space="preserve">                                    </w:t>
      </w: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pStyle w:val="22"/>
        <w:rPr>
          <w:rFonts w:hint="eastAsia" w:ascii="仿宋_GB2312" w:hAnsi="仿宋_GB2312" w:eastAsia="仿宋_GB2312" w:cs="仿宋_GB2312"/>
        </w:rPr>
      </w:pPr>
    </w:p>
    <w:p>
      <w:pPr>
        <w:jc w:val="right"/>
        <w:rPr>
          <w:rFonts w:hint="eastAsia" w:ascii="仿宋_GB2312" w:hAnsi="仿宋_GB2312" w:eastAsia="仿宋_GB2312" w:cs="仿宋_GB2312"/>
          <w:color w:val="000000"/>
          <w:sz w:val="28"/>
          <w:szCs w:val="28"/>
        </w:rPr>
      </w:pP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招</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 xml:space="preserve"> </w:t>
      </w:r>
    </w:p>
    <w:p>
      <w:pPr>
        <w:jc w:val="center"/>
        <w:rPr>
          <w:rFonts w:hint="eastAsia" w:ascii="仿宋_GB2312" w:hAnsi="仿宋_GB2312" w:eastAsia="仿宋_GB2312" w:cs="仿宋_GB2312"/>
          <w:color w:val="000000"/>
          <w:sz w:val="72"/>
          <w:szCs w:val="72"/>
        </w:rPr>
      </w:pPr>
      <w:r>
        <w:rPr>
          <w:rFonts w:hint="eastAsia" w:ascii="仿宋_GB2312" w:hAnsi="仿宋_GB2312" w:eastAsia="仿宋_GB2312" w:cs="仿宋_GB2312"/>
          <w:color w:val="000000"/>
          <w:sz w:val="72"/>
          <w:szCs w:val="72"/>
        </w:rPr>
        <w:t>标</w:t>
      </w:r>
    </w:p>
    <w:p>
      <w:pPr>
        <w:jc w:val="center"/>
        <w:rPr>
          <w:rFonts w:hint="eastAsia" w:ascii="仿宋_GB2312" w:hAnsi="仿宋_GB2312" w:eastAsia="仿宋_GB2312" w:cs="仿宋_GB2312"/>
          <w:color w:val="000000"/>
          <w:sz w:val="72"/>
          <w:szCs w:val="72"/>
        </w:rPr>
      </w:pPr>
    </w:p>
    <w:p>
      <w:pPr>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72"/>
          <w:szCs w:val="72"/>
        </w:rPr>
        <w:t>书</w:t>
      </w: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sz w:val="32"/>
          <w:szCs w:val="28"/>
        </w:rPr>
        <w:t xml:space="preserve">                </w:t>
      </w:r>
      <w:r>
        <w:rPr>
          <w:rFonts w:hint="eastAsia" w:ascii="仿宋_GB2312" w:hAnsi="仿宋_GB2312" w:eastAsia="仿宋_GB2312" w:cs="仿宋_GB2312"/>
          <w:b/>
          <w:bCs/>
          <w:sz w:val="32"/>
          <w:szCs w:val="28"/>
        </w:rPr>
        <w:t xml:space="preserve"> </w:t>
      </w:r>
    </w:p>
    <w:p>
      <w:pPr>
        <w:spacing w:line="860" w:lineRule="exact"/>
        <w:rPr>
          <w:rFonts w:hint="eastAsia" w:ascii="仿宋_GB2312" w:hAnsi="仿宋_GB2312" w:eastAsia="仿宋_GB2312" w:cs="仿宋_GB2312"/>
          <w:b/>
          <w:bCs/>
          <w:sz w:val="32"/>
          <w:szCs w:val="28"/>
        </w:rPr>
      </w:pPr>
    </w:p>
    <w:p>
      <w:pPr>
        <w:spacing w:line="860" w:lineRule="exact"/>
        <w:rPr>
          <w:rFonts w:hint="eastAsia" w:ascii="仿宋_GB2312" w:hAnsi="仿宋_GB2312" w:eastAsia="仿宋_GB2312" w:cs="仿宋_GB2312"/>
          <w:b/>
          <w:bCs/>
          <w:sz w:val="32"/>
          <w:szCs w:val="28"/>
        </w:rPr>
      </w:pPr>
      <w:r>
        <w:rPr>
          <w:rFonts w:hint="eastAsia" w:ascii="仿宋_GB2312" w:hAnsi="仿宋_GB2312" w:eastAsia="仿宋_GB2312" w:cs="仿宋_GB2312"/>
          <w:b/>
          <w:bCs/>
          <w:sz w:val="32"/>
          <w:szCs w:val="28"/>
        </w:rPr>
        <w:t xml:space="preserve">   </w:t>
      </w:r>
    </w:p>
    <w:p>
      <w:pPr>
        <w:pStyle w:val="22"/>
        <w:rPr>
          <w:rFonts w:hint="eastAsia" w:ascii="仿宋_GB2312" w:hAnsi="仿宋_GB2312" w:eastAsia="仿宋_GB2312" w:cs="仿宋_GB2312"/>
          <w:b/>
          <w:bCs/>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center"/>
        <w:rPr>
          <w:rFonts w:hint="eastAsia" w:ascii="仿宋_GB2312" w:hAnsi="仿宋_GB2312" w:eastAsia="仿宋_GB2312" w:cs="仿宋_GB2312"/>
          <w:color w:val="000000"/>
          <w:sz w:val="28"/>
          <w:szCs w:val="28"/>
        </w:rPr>
      </w:pPr>
    </w:p>
    <w:p>
      <w:pPr>
        <w:spacing w:line="360" w:lineRule="auto"/>
        <w:jc w:val="both"/>
        <w:rPr>
          <w:rFonts w:hint="eastAsia" w:ascii="仿宋_GB2312" w:hAnsi="仿宋_GB2312" w:eastAsia="仿宋_GB2312" w:cs="仿宋_GB2312"/>
          <w:color w:val="000000"/>
          <w:sz w:val="28"/>
          <w:szCs w:val="28"/>
        </w:rPr>
      </w:pPr>
    </w:p>
    <w:p>
      <w:pPr>
        <w:spacing w:line="360" w:lineRule="auto"/>
        <w:jc w:val="center"/>
        <w:rPr>
          <w:rFonts w:hint="default" w:ascii="仿宋_GB2312" w:hAnsi="仿宋_GB2312" w:eastAsia="仿宋_GB2312" w:cs="仿宋_GB2312"/>
          <w:color w:val="000000"/>
          <w:sz w:val="28"/>
          <w:szCs w:val="28"/>
          <w:lang w:val="en-US" w:eastAsia="zh-CN"/>
        </w:rPr>
      </w:pPr>
      <w:r>
        <w:rPr>
          <w:rFonts w:hint="eastAsia" w:ascii="仿宋_GB2312" w:hAnsi="仿宋_GB2312" w:eastAsia="仿宋_GB2312" w:cs="仿宋_GB2312"/>
          <w:color w:val="000000"/>
          <w:sz w:val="28"/>
          <w:szCs w:val="28"/>
        </w:rPr>
        <w:t>招 标 人</w:t>
      </w:r>
      <w:r>
        <w:rPr>
          <w:rFonts w:hint="eastAsia" w:ascii="仿宋_GB2312" w:hAnsi="仿宋_GB2312" w:eastAsia="仿宋_GB2312" w:cs="仿宋_GB2312"/>
          <w:color w:val="000000"/>
          <w:sz w:val="28"/>
          <w:szCs w:val="28"/>
          <w:lang w:eastAsia="zh-CN"/>
        </w:rPr>
        <w:t>：中国重汽集团济南商用车有限公司轻卡制造公司</w:t>
      </w:r>
    </w:p>
    <w:p>
      <w:pPr>
        <w:spacing w:line="360" w:lineRule="auto"/>
        <w:jc w:val="center"/>
        <w:rPr>
          <w:rFonts w:hint="eastAsia" w:ascii="仿宋_GB2312" w:hAnsi="仿宋_GB2312" w:eastAsia="仿宋_GB2312" w:cs="仿宋_GB2312"/>
          <w:color w:val="000000"/>
          <w:sz w:val="28"/>
          <w:szCs w:val="28"/>
        </w:rPr>
      </w:pPr>
      <w:r>
        <w:rPr>
          <w:rFonts w:hint="eastAsia" w:ascii="仿宋_GB2312" w:hAnsi="仿宋_GB2312" w:eastAsia="仿宋_GB2312" w:cs="仿宋_GB2312"/>
          <w:color w:val="000000"/>
          <w:sz w:val="28"/>
          <w:szCs w:val="28"/>
        </w:rPr>
        <w:t>2025年</w:t>
      </w:r>
      <w:r>
        <w:rPr>
          <w:rFonts w:hint="eastAsia" w:ascii="仿宋_GB2312" w:hAnsi="仿宋_GB2312" w:eastAsia="仿宋_GB2312" w:cs="仿宋_GB2312"/>
          <w:color w:val="000000"/>
          <w:sz w:val="28"/>
          <w:szCs w:val="28"/>
          <w:lang w:val="en-US" w:eastAsia="zh-CN"/>
        </w:rPr>
        <w:t>11</w:t>
      </w:r>
      <w:r>
        <w:rPr>
          <w:rFonts w:hint="eastAsia" w:ascii="仿宋_GB2312" w:hAnsi="仿宋_GB2312" w:eastAsia="仿宋_GB2312" w:cs="仿宋_GB2312"/>
          <w:color w:val="000000"/>
          <w:sz w:val="28"/>
          <w:szCs w:val="28"/>
        </w:rPr>
        <w:t>月</w:t>
      </w:r>
    </w:p>
    <w:sdt>
      <w:sdtPr>
        <w:rPr>
          <w:rFonts w:ascii="宋体" w:hAnsi="宋体" w:eastAsia="宋体"/>
        </w:rPr>
        <w:id w:val="147457997"/>
        <w15:color w:val="DBDBDB"/>
        <w:docPartObj>
          <w:docPartGallery w:val="Table of Contents"/>
          <w:docPartUnique/>
        </w:docPartObj>
      </w:sdtPr>
      <w:sdtEndPr>
        <w:rPr>
          <w:rFonts w:hint="eastAsia" w:ascii="仿宋_GB2312" w:hAnsi="仿宋_GB2312" w:eastAsia="仿宋_GB2312" w:cs="仿宋_GB2312"/>
          <w:bCs/>
          <w:kern w:val="44"/>
          <w:szCs w:val="44"/>
        </w:rPr>
      </w:sdtEndPr>
      <w:sdtContent>
        <w:p>
          <w:pPr>
            <w:jc w:val="center"/>
            <w:rPr>
              <w:rFonts w:hint="eastAsia" w:ascii="仿宋_GB2312" w:hAnsi="仿宋_GB2312" w:eastAsia="仿宋_GB2312" w:cs="仿宋_GB2312"/>
              <w:sz w:val="48"/>
              <w:szCs w:val="48"/>
            </w:rPr>
          </w:pPr>
          <w:r>
            <w:rPr>
              <w:rFonts w:hint="eastAsia" w:ascii="仿宋_GB2312" w:hAnsi="仿宋_GB2312" w:eastAsia="仿宋_GB2312" w:cs="仿宋_GB2312"/>
              <w:sz w:val="48"/>
              <w:szCs w:val="48"/>
            </w:rPr>
            <w:t>目录</w:t>
          </w:r>
        </w:p>
        <w:p>
          <w:pPr>
            <w:pStyle w:val="17"/>
            <w:rPr>
              <w:rFonts w:hint="eastAsia"/>
            </w:rPr>
          </w:pPr>
        </w:p>
        <w:p>
          <w:pPr>
            <w:pStyle w:val="29"/>
            <w:tabs>
              <w:tab w:val="right" w:leader="dot" w:pos="9071"/>
            </w:tabs>
            <w:rPr>
              <w:sz w:val="32"/>
              <w:szCs w:val="32"/>
            </w:rPr>
          </w:pP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color w:val="auto"/>
              <w:sz w:val="32"/>
              <w:szCs w:val="32"/>
            </w:rPr>
            <w:instrText xml:space="preserve">TOC \o "1-1" \h \u </w:instrText>
          </w:r>
          <w:r>
            <w:rPr>
              <w:rFonts w:hint="eastAsia" w:ascii="仿宋_GB2312" w:hAnsi="仿宋_GB2312" w:eastAsia="仿宋_GB2312" w:cs="仿宋_GB2312"/>
              <w:color w:val="auto"/>
              <w:sz w:val="32"/>
              <w:szCs w:val="32"/>
            </w:rPr>
            <w:fldChar w:fldCharType="separate"/>
          </w:r>
          <w:r>
            <w:rPr>
              <w:rFonts w:hint="eastAsia" w:ascii="仿宋_GB2312" w:hAnsi="仿宋_GB2312" w:eastAsia="仿宋_GB2312" w:cs="仿宋_GB2312"/>
              <w:color w:val="auto"/>
              <w:sz w:val="32"/>
              <w:szCs w:val="32"/>
            </w:rPr>
            <w:fldChar w:fldCharType="begin"/>
          </w:r>
          <w:r>
            <w:rPr>
              <w:rFonts w:hint="eastAsia" w:ascii="仿宋_GB2312" w:hAnsi="仿宋_GB2312" w:eastAsia="仿宋_GB2312" w:cs="仿宋_GB2312"/>
              <w:sz w:val="32"/>
              <w:szCs w:val="32"/>
            </w:rPr>
            <w:instrText xml:space="preserve"> HYPERLINK \l _Toc31726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第一部分 投标须知前附表</w:t>
          </w:r>
          <w:r>
            <w:rPr>
              <w:sz w:val="32"/>
              <w:szCs w:val="32"/>
            </w:rPr>
            <w:tab/>
          </w:r>
          <w:r>
            <w:rPr>
              <w:sz w:val="32"/>
              <w:szCs w:val="32"/>
            </w:rPr>
            <w:fldChar w:fldCharType="begin"/>
          </w:r>
          <w:r>
            <w:rPr>
              <w:sz w:val="32"/>
              <w:szCs w:val="32"/>
            </w:rPr>
            <w:instrText xml:space="preserve"> PAGEREF _Toc31726 \h </w:instrText>
          </w:r>
          <w:r>
            <w:rPr>
              <w:sz w:val="32"/>
              <w:szCs w:val="32"/>
            </w:rPr>
            <w:fldChar w:fldCharType="separate"/>
          </w:r>
          <w:r>
            <w:rPr>
              <w:sz w:val="32"/>
              <w:szCs w:val="32"/>
            </w:rPr>
            <w:t>2</w:t>
          </w:r>
          <w:r>
            <w:rPr>
              <w:sz w:val="32"/>
              <w:szCs w:val="32"/>
            </w:rPr>
            <w:fldChar w:fldCharType="end"/>
          </w:r>
          <w:r>
            <w:rPr>
              <w:rFonts w:hint="eastAsia" w:ascii="仿宋_GB2312" w:hAnsi="仿宋_GB2312" w:eastAsia="仿宋_GB2312" w:cs="仿宋_GB2312"/>
              <w:color w:val="auto"/>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_Toc11216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第二部分 投标须知</w:t>
          </w:r>
          <w:r>
            <w:rPr>
              <w:sz w:val="32"/>
              <w:szCs w:val="32"/>
            </w:rPr>
            <w:tab/>
          </w:r>
          <w:r>
            <w:rPr>
              <w:sz w:val="32"/>
              <w:szCs w:val="32"/>
            </w:rPr>
            <w:fldChar w:fldCharType="begin"/>
          </w:r>
          <w:r>
            <w:rPr>
              <w:sz w:val="32"/>
              <w:szCs w:val="32"/>
            </w:rPr>
            <w:instrText xml:space="preserve"> PAGEREF _Toc11216 \h </w:instrText>
          </w:r>
          <w:r>
            <w:rPr>
              <w:sz w:val="32"/>
              <w:szCs w:val="32"/>
            </w:rPr>
            <w:fldChar w:fldCharType="separate"/>
          </w:r>
          <w:r>
            <w:rPr>
              <w:sz w:val="32"/>
              <w:szCs w:val="32"/>
            </w:rPr>
            <w:t>8</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_Toc13002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第三部分 投标文件编制</w:t>
          </w:r>
          <w:r>
            <w:rPr>
              <w:sz w:val="32"/>
              <w:szCs w:val="32"/>
            </w:rPr>
            <w:tab/>
          </w:r>
          <w:r>
            <w:rPr>
              <w:sz w:val="32"/>
              <w:szCs w:val="32"/>
            </w:rPr>
            <w:fldChar w:fldCharType="begin"/>
          </w:r>
          <w:r>
            <w:rPr>
              <w:sz w:val="32"/>
              <w:szCs w:val="32"/>
            </w:rPr>
            <w:instrText xml:space="preserve"> PAGEREF _Toc13002 \h </w:instrText>
          </w:r>
          <w:r>
            <w:rPr>
              <w:sz w:val="32"/>
              <w:szCs w:val="32"/>
            </w:rPr>
            <w:fldChar w:fldCharType="separate"/>
          </w:r>
          <w:r>
            <w:rPr>
              <w:sz w:val="32"/>
              <w:szCs w:val="32"/>
            </w:rPr>
            <w:t>14</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_Toc10008 </w:instrText>
          </w:r>
          <w:r>
            <w:rPr>
              <w:rFonts w:hint="eastAsia" w:ascii="仿宋_GB2312" w:hAnsi="仿宋_GB2312" w:eastAsia="仿宋_GB2312" w:cs="仿宋_GB2312"/>
              <w:sz w:val="32"/>
              <w:szCs w:val="32"/>
            </w:rPr>
            <w:fldChar w:fldCharType="separate"/>
          </w:r>
          <w:r>
            <w:rPr>
              <w:rFonts w:hint="eastAsia" w:ascii="仿宋_GB2312" w:hAnsi="仿宋_GB2312" w:eastAsia="仿宋_GB2312" w:cs="仿宋_GB2312"/>
              <w:sz w:val="32"/>
              <w:szCs w:val="32"/>
            </w:rPr>
            <w:t>第四部分 技术标书</w:t>
          </w:r>
          <w:r>
            <w:rPr>
              <w:sz w:val="32"/>
              <w:szCs w:val="32"/>
            </w:rPr>
            <w:tab/>
          </w:r>
          <w:r>
            <w:rPr>
              <w:sz w:val="32"/>
              <w:szCs w:val="32"/>
            </w:rPr>
            <w:fldChar w:fldCharType="begin"/>
          </w:r>
          <w:r>
            <w:rPr>
              <w:sz w:val="32"/>
              <w:szCs w:val="32"/>
            </w:rPr>
            <w:instrText xml:space="preserve"> PAGEREF _Toc10008 \h </w:instrText>
          </w:r>
          <w:r>
            <w:rPr>
              <w:sz w:val="32"/>
              <w:szCs w:val="32"/>
            </w:rPr>
            <w:fldChar w:fldCharType="separate"/>
          </w:r>
          <w:r>
            <w:rPr>
              <w:sz w:val="32"/>
              <w:szCs w:val="32"/>
            </w:rPr>
            <w:t>17</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rPr>
              <w:sz w:val="32"/>
              <w:szCs w:val="32"/>
            </w:rPr>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_Toc3115 </w:instrText>
          </w:r>
          <w:r>
            <w:rPr>
              <w:rFonts w:hint="eastAsia" w:ascii="仿宋_GB2312" w:hAnsi="仿宋_GB2312" w:eastAsia="仿宋_GB2312" w:cs="仿宋_GB2312"/>
              <w:sz w:val="32"/>
              <w:szCs w:val="32"/>
            </w:rPr>
            <w:fldChar w:fldCharType="separate"/>
          </w:r>
          <w:r>
            <w:rPr>
              <w:rFonts w:hint="eastAsia" w:ascii="宋体" w:hAnsi="宋体" w:eastAsia="宋体" w:cs="Times New Roman"/>
              <w:sz w:val="32"/>
              <w:szCs w:val="32"/>
            </w:rPr>
            <w:t>第五部分</w:t>
          </w:r>
          <w:r>
            <w:rPr>
              <w:rFonts w:ascii="宋体" w:hAnsi="宋体" w:eastAsia="宋体" w:cs="Times New Roman"/>
              <w:sz w:val="32"/>
              <w:szCs w:val="32"/>
            </w:rPr>
            <w:t xml:space="preserve"> </w:t>
          </w:r>
          <w:r>
            <w:rPr>
              <w:rFonts w:hint="eastAsia" w:ascii="宋体" w:hAnsi="宋体" w:eastAsia="宋体" w:cs="Times New Roman"/>
              <w:sz w:val="32"/>
              <w:szCs w:val="32"/>
            </w:rPr>
            <w:t>设备采购合同</w:t>
          </w:r>
          <w:r>
            <w:rPr>
              <w:sz w:val="32"/>
              <w:szCs w:val="32"/>
            </w:rPr>
            <w:tab/>
          </w:r>
          <w:r>
            <w:rPr>
              <w:sz w:val="32"/>
              <w:szCs w:val="32"/>
            </w:rPr>
            <w:fldChar w:fldCharType="begin"/>
          </w:r>
          <w:r>
            <w:rPr>
              <w:sz w:val="32"/>
              <w:szCs w:val="32"/>
            </w:rPr>
            <w:instrText xml:space="preserve"> PAGEREF _Toc3115 \h </w:instrText>
          </w:r>
          <w:r>
            <w:rPr>
              <w:sz w:val="32"/>
              <w:szCs w:val="32"/>
            </w:rPr>
            <w:fldChar w:fldCharType="separate"/>
          </w:r>
          <w:r>
            <w:rPr>
              <w:sz w:val="32"/>
              <w:szCs w:val="32"/>
            </w:rPr>
            <w:t>46</w:t>
          </w:r>
          <w:r>
            <w:rPr>
              <w:sz w:val="32"/>
              <w:szCs w:val="32"/>
            </w:rPr>
            <w:fldChar w:fldCharType="end"/>
          </w:r>
          <w:r>
            <w:rPr>
              <w:rFonts w:hint="eastAsia" w:ascii="仿宋_GB2312" w:hAnsi="仿宋_GB2312" w:eastAsia="仿宋_GB2312" w:cs="仿宋_GB2312"/>
              <w:sz w:val="32"/>
              <w:szCs w:val="32"/>
            </w:rPr>
            <w:fldChar w:fldCharType="end"/>
          </w:r>
        </w:p>
        <w:p>
          <w:pPr>
            <w:pStyle w:val="29"/>
            <w:tabs>
              <w:tab w:val="right" w:leader="dot" w:pos="9071"/>
            </w:tabs>
          </w:pP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sz w:val="32"/>
              <w:szCs w:val="32"/>
            </w:rPr>
            <w:instrText xml:space="preserve"> HYPERLINK \l _Toc15851 </w:instrText>
          </w:r>
          <w:r>
            <w:rPr>
              <w:rFonts w:hint="eastAsia" w:ascii="仿宋_GB2312" w:hAnsi="仿宋_GB2312" w:eastAsia="仿宋_GB2312" w:cs="仿宋_GB2312"/>
              <w:sz w:val="32"/>
              <w:szCs w:val="32"/>
            </w:rPr>
            <w:fldChar w:fldCharType="separate"/>
          </w:r>
          <w:r>
            <w:rPr>
              <w:rFonts w:hint="eastAsia" w:ascii="Calibri" w:hAnsi="Calibri" w:eastAsia="宋体" w:cs="Times New Roman"/>
              <w:bCs/>
              <w:kern w:val="44"/>
              <w:sz w:val="32"/>
              <w:szCs w:val="32"/>
            </w:rPr>
            <w:t>第六部分</w:t>
          </w:r>
          <w:r>
            <w:rPr>
              <w:rFonts w:ascii="Calibri" w:hAnsi="Calibri" w:eastAsia="宋体" w:cs="Times New Roman"/>
              <w:bCs/>
              <w:kern w:val="44"/>
              <w:sz w:val="32"/>
              <w:szCs w:val="32"/>
            </w:rPr>
            <w:t xml:space="preserve"> </w:t>
          </w:r>
          <w:r>
            <w:rPr>
              <w:rFonts w:hint="eastAsia" w:ascii="Calibri" w:hAnsi="Calibri" w:eastAsia="宋体" w:cs="Times New Roman"/>
              <w:bCs/>
              <w:kern w:val="44"/>
              <w:sz w:val="32"/>
              <w:szCs w:val="32"/>
            </w:rPr>
            <w:t>投标文件附件</w:t>
          </w:r>
          <w:r>
            <w:rPr>
              <w:sz w:val="32"/>
              <w:szCs w:val="32"/>
            </w:rPr>
            <w:tab/>
          </w:r>
          <w:r>
            <w:rPr>
              <w:sz w:val="32"/>
              <w:szCs w:val="32"/>
            </w:rPr>
            <w:fldChar w:fldCharType="begin"/>
          </w:r>
          <w:r>
            <w:rPr>
              <w:sz w:val="32"/>
              <w:szCs w:val="32"/>
            </w:rPr>
            <w:instrText xml:space="preserve"> PAGEREF _Toc15851 \h </w:instrText>
          </w:r>
          <w:r>
            <w:rPr>
              <w:sz w:val="32"/>
              <w:szCs w:val="32"/>
            </w:rPr>
            <w:fldChar w:fldCharType="separate"/>
          </w:r>
          <w:r>
            <w:rPr>
              <w:sz w:val="32"/>
              <w:szCs w:val="32"/>
            </w:rPr>
            <w:t>59</w:t>
          </w:r>
          <w:r>
            <w:rPr>
              <w:sz w:val="32"/>
              <w:szCs w:val="32"/>
            </w:rPr>
            <w:fldChar w:fldCharType="end"/>
          </w:r>
          <w:r>
            <w:rPr>
              <w:rFonts w:hint="eastAsia" w:ascii="仿宋_GB2312" w:hAnsi="仿宋_GB2312" w:eastAsia="仿宋_GB2312" w:cs="仿宋_GB2312"/>
              <w:sz w:val="32"/>
              <w:szCs w:val="32"/>
            </w:rPr>
            <w:fldChar w:fldCharType="end"/>
          </w:r>
        </w:p>
        <w:p>
          <w:pPr>
            <w:pStyle w:val="22"/>
            <w:rPr>
              <w:rFonts w:hint="eastAsia" w:ascii="仿宋_GB2312" w:hAnsi="仿宋_GB2312" w:eastAsia="仿宋_GB2312" w:cs="仿宋_GB2312"/>
              <w:b/>
              <w:bCs/>
              <w:kern w:val="44"/>
              <w:sz w:val="36"/>
              <w:szCs w:val="44"/>
            </w:rPr>
          </w:pPr>
          <w:r>
            <w:rPr>
              <w:rFonts w:hint="eastAsia" w:ascii="仿宋_GB2312" w:hAnsi="仿宋_GB2312" w:eastAsia="仿宋_GB2312" w:cs="仿宋_GB2312"/>
              <w:szCs w:val="32"/>
            </w:rPr>
            <w:fldChar w:fldCharType="end"/>
          </w:r>
        </w:p>
      </w:sdtContent>
    </w:sdt>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2"/>
        <w:rPr>
          <w:rFonts w:hint="eastAsia" w:ascii="仿宋_GB2312" w:hAnsi="仿宋_GB2312" w:eastAsia="仿宋_GB2312" w:cs="仿宋_GB2312"/>
          <w:b/>
          <w:bCs/>
          <w:kern w:val="44"/>
          <w:sz w:val="36"/>
          <w:szCs w:val="44"/>
        </w:rPr>
      </w:pPr>
    </w:p>
    <w:p>
      <w:pPr>
        <w:pStyle w:val="2"/>
        <w:jc w:val="both"/>
        <w:rPr>
          <w:rFonts w:hint="eastAsia" w:ascii="仿宋_GB2312" w:hAnsi="仿宋_GB2312" w:eastAsia="仿宋_GB2312" w:cs="仿宋_GB2312"/>
          <w:sz w:val="44"/>
        </w:rPr>
      </w:pPr>
      <w:bookmarkStart w:id="0" w:name="_Toc5202"/>
      <w:bookmarkStart w:id="1" w:name="_Toc22242"/>
      <w:bookmarkStart w:id="2" w:name="_Toc29994"/>
      <w:bookmarkStart w:id="3" w:name="_Toc23693"/>
      <w:bookmarkStart w:id="4" w:name="_Toc15480"/>
    </w:p>
    <w:p>
      <w:pPr>
        <w:pStyle w:val="2"/>
        <w:rPr>
          <w:rFonts w:hint="eastAsia" w:ascii="仿宋_GB2312" w:hAnsi="仿宋_GB2312" w:eastAsia="仿宋_GB2312" w:cs="仿宋_GB2312"/>
        </w:rPr>
      </w:pPr>
      <w:bookmarkStart w:id="5" w:name="_Toc31726"/>
      <w:r>
        <w:rPr>
          <w:rFonts w:hint="eastAsia" w:ascii="仿宋_GB2312" w:hAnsi="仿宋_GB2312" w:eastAsia="仿宋_GB2312" w:cs="仿宋_GB2312"/>
          <w:sz w:val="44"/>
        </w:rPr>
        <w:t>第一部分 投标须知前附表</w:t>
      </w:r>
      <w:bookmarkEnd w:id="0"/>
      <w:bookmarkEnd w:id="1"/>
      <w:bookmarkEnd w:id="2"/>
      <w:bookmarkEnd w:id="3"/>
      <w:bookmarkEnd w:id="4"/>
      <w:bookmarkEnd w:id="5"/>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本部分是对“投标须知”正文的具体补充和修改，如有不一致，以“前附表”为准。</w:t>
      </w:r>
    </w:p>
    <w:tbl>
      <w:tblPr>
        <w:tblStyle w:val="41"/>
        <w:tblpPr w:leftFromText="180" w:rightFromText="180" w:vertAnchor="text" w:tblpXSpec="center" w:tblpY="1"/>
        <w:tblOverlap w:val="never"/>
        <w:tblW w:w="0" w:type="auto"/>
        <w:tblInd w:w="0" w:type="dxa"/>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Layout w:type="fixed"/>
        <w:tblCellMar>
          <w:top w:w="0" w:type="dxa"/>
          <w:left w:w="28" w:type="dxa"/>
          <w:bottom w:w="0" w:type="dxa"/>
          <w:right w:w="28" w:type="dxa"/>
        </w:tblCellMar>
      </w:tblPr>
      <w:tblGrid>
        <w:gridCol w:w="595"/>
        <w:gridCol w:w="8363"/>
      </w:tblGrid>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7" w:hRule="atLeast"/>
          <w:tblHeader/>
        </w:trPr>
        <w:tc>
          <w:tcPr>
            <w:tcW w:w="595" w:type="dxa"/>
            <w:tcBorders>
              <w:top w:val="single" w:color="auto" w:sz="2" w:space="0"/>
              <w:left w:val="single" w:color="auto" w:sz="2" w:space="0"/>
              <w:bottom w:val="single" w:color="auto" w:sz="2" w:space="0"/>
              <w:right w:val="single" w:color="auto" w:sz="2" w:space="0"/>
            </w:tcBorders>
            <w:shd w:val="clear" w:color="auto" w:fill="E2EFD9"/>
            <w:vAlign w:val="center"/>
          </w:tcPr>
          <w:p>
            <w:pPr>
              <w:jc w:val="center"/>
              <w:rPr>
                <w:rStyle w:val="134"/>
                <w:rFonts w:hint="eastAsia" w:ascii="仿宋_GB2312" w:hAnsi="仿宋_GB2312" w:eastAsia="仿宋_GB2312" w:cs="仿宋_GB2312"/>
                <w:b/>
                <w:sz w:val="24"/>
                <w:szCs w:val="24"/>
              </w:rPr>
            </w:pPr>
            <w:bookmarkStart w:id="6" w:name="_Toc346372875"/>
            <w:r>
              <w:rPr>
                <w:rStyle w:val="134"/>
                <w:rFonts w:hint="eastAsia" w:ascii="仿宋_GB2312" w:hAnsi="仿宋_GB2312" w:eastAsia="仿宋_GB2312" w:cs="仿宋_GB2312"/>
                <w:b/>
                <w:sz w:val="24"/>
                <w:szCs w:val="24"/>
              </w:rPr>
              <w:t>序号</w:t>
            </w:r>
          </w:p>
        </w:tc>
        <w:tc>
          <w:tcPr>
            <w:tcW w:w="8363" w:type="dxa"/>
            <w:tcBorders>
              <w:top w:val="single" w:color="auto" w:sz="2" w:space="0"/>
              <w:left w:val="single" w:color="auto" w:sz="2" w:space="0"/>
              <w:bottom w:val="single" w:color="auto" w:sz="2" w:space="0"/>
              <w:right w:val="single" w:color="auto" w:sz="2" w:space="0"/>
            </w:tcBorders>
            <w:shd w:val="clear" w:color="auto" w:fill="E2EFD9"/>
            <w:vAlign w:val="center"/>
          </w:tcPr>
          <w:p>
            <w:pPr>
              <w:ind w:firstLine="482" w:firstLineChars="200"/>
              <w:jc w:val="center"/>
              <w:rPr>
                <w:rFonts w:hint="eastAsia" w:ascii="仿宋_GB2312" w:hAnsi="仿宋_GB2312" w:eastAsia="仿宋_GB2312" w:cs="仿宋_GB2312"/>
                <w:b/>
                <w:bCs/>
                <w:sz w:val="24"/>
                <w:szCs w:val="24"/>
              </w:rPr>
            </w:pPr>
            <w:r>
              <w:rPr>
                <w:rStyle w:val="134"/>
                <w:rFonts w:hint="eastAsia" w:ascii="仿宋_GB2312" w:hAnsi="仿宋_GB2312" w:eastAsia="仿宋_GB2312" w:cs="仿宋_GB2312"/>
                <w:b/>
                <w:sz w:val="24"/>
                <w:szCs w:val="24"/>
              </w:rPr>
              <w:t>编  列  内  容</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4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1.项目说明</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项目名称：统帅右置驾驶室车型模检具改制项目</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项目编号：FSCZB2025110243</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b/>
                <w:bCs/>
                <w:sz w:val="24"/>
                <w:szCs w:val="24"/>
              </w:rPr>
              <w:t>招标内容：开发统帅（1880/2080）右置车型。需改制模具4套，改制检具1套。</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08" w:hRule="atLeast"/>
        </w:trPr>
        <w:tc>
          <w:tcPr>
            <w:tcW w:w="595" w:type="dxa"/>
            <w:vMerge w:val="continue"/>
            <w:tcBorders>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b/>
                <w:bCs/>
                <w:sz w:val="24"/>
                <w:szCs w:val="24"/>
                <w:lang w:val="en-US" w:eastAsia="zh-CN"/>
              </w:rPr>
            </w:pPr>
            <w:r>
              <w:rPr>
                <w:rFonts w:hint="eastAsia" w:ascii="仿宋_GB2312" w:hAnsi="仿宋_GB2312" w:eastAsia="仿宋_GB2312" w:cs="仿宋_GB2312"/>
                <w:b/>
                <w:bCs/>
                <w:sz w:val="24"/>
                <w:szCs w:val="24"/>
              </w:rPr>
              <w:t>招标形式：</w:t>
            </w:r>
            <w:r>
              <w:rPr>
                <w:rFonts w:hint="eastAsia" w:ascii="仿宋_GB2312" w:hAnsi="仿宋_GB2312" w:eastAsia="仿宋_GB2312" w:cs="仿宋_GB2312"/>
                <w:sz w:val="24"/>
                <w:szCs w:val="24"/>
                <w:highlight w:val="yellow"/>
                <w:lang w:val="en-US" w:eastAsia="zh-CN"/>
              </w:rPr>
              <w:t>公开招标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50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1.3</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Cs/>
                <w:snapToGrid w:val="0"/>
                <w:kern w:val="0"/>
                <w:sz w:val="24"/>
                <w:szCs w:val="24"/>
              </w:rPr>
            </w:pPr>
            <w:r>
              <w:rPr>
                <w:rFonts w:hint="eastAsia" w:ascii="仿宋_GB2312" w:hAnsi="仿宋_GB2312" w:eastAsia="仿宋_GB2312" w:cs="仿宋_GB2312"/>
                <w:b/>
                <w:snapToGrid w:val="0"/>
                <w:kern w:val="0"/>
                <w:sz w:val="24"/>
                <w:szCs w:val="24"/>
              </w:rPr>
              <w:t>招标人名称：中国重汽集团济南商用车有限公司轻卡制造公司</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napToGrid w:val="0"/>
                <w:kern w:val="0"/>
                <w:sz w:val="24"/>
                <w:szCs w:val="24"/>
              </w:rPr>
              <w:t>招标人地址：山东省济南市章丘区潘王路11号</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商务联系人：</w:t>
            </w:r>
            <w:r>
              <w:rPr>
                <w:rFonts w:hint="eastAsia" w:ascii="仿宋_GB2312" w:hAnsi="仿宋_GB2312" w:eastAsia="仿宋_GB2312" w:cs="仿宋_GB2312"/>
                <w:b/>
                <w:snapToGrid w:val="0"/>
                <w:kern w:val="0"/>
                <w:sz w:val="24"/>
                <w:szCs w:val="24"/>
                <w:highlight w:val="none"/>
                <w:lang w:val="en-US" w:eastAsia="zh-CN"/>
              </w:rPr>
              <w:t>杨淑超</w:t>
            </w:r>
          </w:p>
          <w:p>
            <w:pPr>
              <w:ind w:firstLine="482" w:firstLineChars="200"/>
              <w:rPr>
                <w:rFonts w:hint="default" w:ascii="仿宋_GB2312" w:hAnsi="仿宋_GB2312" w:eastAsia="仿宋_GB2312" w:cs="仿宋_GB2312"/>
                <w:bCs/>
                <w:snapToGrid w:val="0"/>
                <w:kern w:val="0"/>
                <w:sz w:val="24"/>
                <w:szCs w:val="24"/>
                <w:highlight w:val="none"/>
                <w:lang w:val="en-US" w:eastAsia="zh-CN"/>
              </w:rPr>
            </w:pPr>
            <w:r>
              <w:rPr>
                <w:rFonts w:hint="eastAsia" w:ascii="仿宋_GB2312" w:hAnsi="仿宋_GB2312" w:eastAsia="仿宋_GB2312" w:cs="仿宋_GB2312"/>
                <w:b/>
                <w:snapToGrid w:val="0"/>
                <w:kern w:val="0"/>
                <w:sz w:val="24"/>
                <w:szCs w:val="24"/>
                <w:highlight w:val="none"/>
              </w:rPr>
              <w:t>电话：1786060</w:t>
            </w:r>
            <w:r>
              <w:rPr>
                <w:rFonts w:hint="eastAsia" w:ascii="仿宋_GB2312" w:hAnsi="仿宋_GB2312" w:eastAsia="仿宋_GB2312" w:cs="仿宋_GB2312"/>
                <w:b/>
                <w:snapToGrid w:val="0"/>
                <w:kern w:val="0"/>
                <w:sz w:val="24"/>
                <w:szCs w:val="24"/>
                <w:highlight w:val="none"/>
                <w:lang w:val="en-US" w:eastAsia="zh-CN"/>
              </w:rPr>
              <w:t>5820</w:t>
            </w:r>
          </w:p>
          <w:p>
            <w:pPr>
              <w:ind w:firstLine="482" w:firstLineChars="200"/>
              <w:rPr>
                <w:rFonts w:hint="eastAsia" w:ascii="仿宋_GB2312" w:hAnsi="仿宋_GB2312" w:eastAsia="仿宋_GB2312" w:cs="仿宋_GB2312"/>
                <w:b/>
                <w:snapToGrid w:val="0"/>
                <w:kern w:val="0"/>
                <w:sz w:val="24"/>
                <w:szCs w:val="24"/>
                <w:highlight w:val="none"/>
              </w:rPr>
            </w:pPr>
            <w:r>
              <w:rPr>
                <w:rFonts w:hint="eastAsia" w:ascii="仿宋_GB2312" w:hAnsi="仿宋_GB2312" w:eastAsia="仿宋_GB2312" w:cs="仿宋_GB2312"/>
                <w:b/>
                <w:snapToGrid w:val="0"/>
                <w:kern w:val="0"/>
                <w:sz w:val="24"/>
                <w:szCs w:val="24"/>
                <w:highlight w:val="none"/>
              </w:rPr>
              <w:t>邮箱：yangshuchao@sinotruk.com</w:t>
            </w:r>
          </w:p>
          <w:p>
            <w:pPr>
              <w:ind w:firstLine="482" w:firstLineChars="200"/>
              <w:rPr>
                <w:rFonts w:hint="eastAsia" w:ascii="宋体" w:hAnsi="宋体" w:eastAsia="宋体" w:cs="宋体"/>
                <w:bCs/>
                <w:snapToGrid w:val="0"/>
                <w:kern w:val="0"/>
                <w:sz w:val="24"/>
                <w:szCs w:val="24"/>
                <w:lang w:val="en-US" w:eastAsia="zh-CN"/>
              </w:rPr>
            </w:pPr>
            <w:r>
              <w:rPr>
                <w:rFonts w:hint="eastAsia" w:ascii="宋体" w:hAnsi="宋体" w:eastAsia="宋体" w:cs="宋体"/>
                <w:b/>
                <w:snapToGrid w:val="0"/>
                <w:kern w:val="0"/>
                <w:sz w:val="24"/>
                <w:szCs w:val="24"/>
              </w:rPr>
              <w:t>技术联系人：</w:t>
            </w:r>
            <w:r>
              <w:rPr>
                <w:rFonts w:hint="eastAsia" w:ascii="宋体" w:hAnsi="宋体" w:eastAsia="宋体" w:cs="宋体"/>
                <w:b/>
                <w:snapToGrid w:val="0"/>
                <w:kern w:val="0"/>
                <w:sz w:val="24"/>
                <w:szCs w:val="24"/>
                <w:lang w:val="en-US" w:eastAsia="zh-CN"/>
              </w:rPr>
              <w:t>喻新</w:t>
            </w:r>
          </w:p>
          <w:p>
            <w:pPr>
              <w:ind w:firstLine="482" w:firstLineChars="200"/>
              <w:rPr>
                <w:rFonts w:hint="eastAsia" w:ascii="仿宋_GB2312" w:hAnsi="仿宋_GB2312" w:eastAsia="仿宋_GB2312" w:cs="仿宋_GB2312"/>
                <w:b/>
                <w:snapToGrid w:val="0"/>
                <w:kern w:val="0"/>
                <w:sz w:val="24"/>
                <w:szCs w:val="24"/>
                <w:highlight w:val="red"/>
              </w:rPr>
            </w:pPr>
            <w:r>
              <w:rPr>
                <w:rFonts w:hint="eastAsia" w:ascii="宋体" w:hAnsi="宋体" w:eastAsia="宋体" w:cs="宋体"/>
                <w:b/>
                <w:snapToGrid w:val="0"/>
                <w:kern w:val="0"/>
                <w:sz w:val="24"/>
                <w:szCs w:val="24"/>
              </w:rPr>
              <w:t>电话：17398245138</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1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1.4</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资金来源：</w:t>
            </w:r>
            <w:r>
              <w:rPr>
                <w:rFonts w:hint="eastAsia" w:ascii="仿宋_GB2312" w:hAnsi="仿宋_GB2312" w:eastAsia="仿宋_GB2312" w:cs="仿宋_GB2312"/>
                <w:kern w:val="0"/>
                <w:sz w:val="24"/>
                <w:szCs w:val="24"/>
              </w:rPr>
              <w:t>企业自筹，已落实。</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7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1.5</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报价：</w:t>
            </w:r>
            <w:r>
              <w:rPr>
                <w:rFonts w:hint="eastAsia" w:ascii="仿宋_GB2312" w:hAnsi="仿宋_GB2312" w:eastAsia="仿宋_GB2312" w:cs="仿宋_GB2312"/>
                <w:color w:val="000000"/>
                <w:sz w:val="24"/>
                <w:szCs w:val="24"/>
              </w:rPr>
              <w:t>投标人进行合理报价。投标总报价应包括设备费、原厂服务费及相关配件、随机资料、保险、税费、运杂、安装调试、与其他专业配合（如收口收边等）、配合办理政府验收手续（不限质监验收、消防验收、环评及职业卫生评价、安全评价等）及可预见的风险以及其它不可预见等全部费用。</w:t>
            </w:r>
          </w:p>
          <w:p>
            <w:pPr>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报价货币：</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b/>
                <w:bCs/>
                <w:color w:val="000000"/>
                <w:sz w:val="24"/>
                <w:szCs w:val="24"/>
              </w:rPr>
              <w:t>应同时报含税价和不含税价，写明税率</w:t>
            </w:r>
            <w:r>
              <w:rPr>
                <w:rFonts w:hint="eastAsia" w:ascii="仿宋_GB2312" w:hAnsi="仿宋_GB2312" w:eastAsia="仿宋_GB2312" w:cs="仿宋_GB2312"/>
                <w:color w:val="000000"/>
                <w:sz w:val="24"/>
                <w:szCs w:val="24"/>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投标限价：</w:t>
            </w:r>
            <w:r>
              <w:rPr>
                <w:rFonts w:hint="eastAsia" w:ascii="仿宋_GB2312" w:hAnsi="仿宋_GB2312" w:eastAsia="仿宋_GB2312" w:cs="仿宋_GB2312"/>
                <w:color w:val="000000"/>
                <w:sz w:val="24"/>
                <w:szCs w:val="24"/>
              </w:rPr>
              <w:t>人民币</w:t>
            </w:r>
            <w:r>
              <w:rPr>
                <w:rFonts w:hint="eastAsia" w:ascii="仿宋_GB2312" w:hAnsi="仿宋_GB2312" w:eastAsia="仿宋_GB2312" w:cs="仿宋_GB2312"/>
                <w:color w:val="000000"/>
                <w:sz w:val="24"/>
                <w:szCs w:val="24"/>
                <w:highlight w:val="green"/>
                <w:lang w:val="en-US" w:eastAsia="zh-CN"/>
              </w:rPr>
              <w:t>10.74</w:t>
            </w:r>
            <w:r>
              <w:rPr>
                <w:rFonts w:hint="eastAsia" w:ascii="仿宋_GB2312" w:hAnsi="仿宋_GB2312" w:eastAsia="仿宋_GB2312" w:cs="仿宋_GB2312"/>
                <w:color w:val="000000"/>
                <w:sz w:val="24"/>
                <w:szCs w:val="24"/>
              </w:rPr>
              <w:t>万元（含税，税率</w:t>
            </w:r>
            <w:r>
              <w:rPr>
                <w:rFonts w:hint="eastAsia" w:ascii="仿宋_GB2312" w:hAnsi="仿宋_GB2312" w:eastAsia="仿宋_GB2312" w:cs="仿宋_GB2312"/>
                <w:color w:val="000000"/>
                <w:sz w:val="24"/>
                <w:szCs w:val="24"/>
                <w:highlight w:val="green"/>
                <w:lang w:val="en-US" w:eastAsia="zh-CN"/>
              </w:rPr>
              <w:t>13%</w:t>
            </w:r>
            <w:r>
              <w:rPr>
                <w:rFonts w:hint="eastAsia" w:ascii="仿宋_GB2312" w:hAnsi="仿宋_GB2312" w:eastAsia="仿宋_GB2312" w:cs="仿宋_GB2312"/>
                <w:color w:val="000000"/>
                <w:sz w:val="24"/>
                <w:szCs w:val="24"/>
              </w:rPr>
              <w:t>），超过投标限价无法投标。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32"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1.6</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FF0000"/>
                <w:sz w:val="24"/>
                <w:szCs w:val="24"/>
              </w:rPr>
            </w:pPr>
            <w:r>
              <w:rPr>
                <w:rFonts w:hint="eastAsia" w:ascii="仿宋_GB2312" w:hAnsi="仿宋_GB2312" w:eastAsia="仿宋_GB2312" w:cs="仿宋_GB2312"/>
                <w:b/>
                <w:bCs/>
                <w:color w:val="000000"/>
                <w:sz w:val="24"/>
                <w:szCs w:val="24"/>
              </w:rPr>
              <w:t>投标人条件：</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1.</w:t>
            </w:r>
            <w:r>
              <w:rPr>
                <w:rFonts w:hint="eastAsia" w:ascii="仿宋_GB2312" w:hAnsi="仿宋_GB2312" w:eastAsia="仿宋_GB2312" w:cs="仿宋_GB2312"/>
                <w:color w:val="000000"/>
                <w:sz w:val="24"/>
                <w:szCs w:val="24"/>
              </w:rPr>
              <w:t>拟投标人必须是在中华人民共和国境内注册的独立法人机构，具有独立承担民事责任能力；注册资金不少于</w:t>
            </w:r>
            <w:r>
              <w:rPr>
                <w:rFonts w:hint="eastAsia" w:ascii="仿宋_GB2312" w:hAnsi="仿宋_GB2312" w:eastAsia="仿宋_GB2312" w:cs="仿宋_GB2312"/>
                <w:color w:val="000000"/>
                <w:sz w:val="24"/>
                <w:szCs w:val="24"/>
                <w:lang w:val="en-US" w:eastAsia="zh-CN"/>
              </w:rPr>
              <w:t>500</w:t>
            </w:r>
            <w:r>
              <w:rPr>
                <w:rFonts w:hint="eastAsia" w:ascii="仿宋_GB2312" w:hAnsi="仿宋_GB2312" w:eastAsia="仿宋_GB2312" w:cs="仿宋_GB2312"/>
                <w:color w:val="000000"/>
                <w:sz w:val="24"/>
                <w:szCs w:val="24"/>
              </w:rPr>
              <w:t>万人民币（或等值其他货币）；公司成立三年以上（以营业执照成立日期到开标当日满三年为准），且经营范围</w:t>
            </w:r>
            <w:r>
              <w:rPr>
                <w:rFonts w:hint="eastAsia" w:ascii="仿宋_GB2312" w:hAnsi="仿宋_GB2312" w:eastAsia="仿宋_GB2312" w:cs="仿宋_GB2312"/>
                <w:color w:val="000000"/>
                <w:sz w:val="24"/>
                <w:szCs w:val="24"/>
                <w:lang w:val="en-US" w:eastAsia="zh-CN"/>
              </w:rPr>
              <w:t>符合项目要求</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并在人员、设备、资金等方面具有承担本项目的能力</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lang w:val="en-US" w:eastAsia="zh-CN"/>
              </w:rPr>
              <w:t>且</w:t>
            </w:r>
            <w:r>
              <w:rPr>
                <w:rFonts w:hint="eastAsia" w:ascii="仿宋_GB2312" w:hAnsi="仿宋_GB2312" w:eastAsia="仿宋_GB2312" w:cs="仿宋_GB2312"/>
                <w:color w:val="000000"/>
                <w:sz w:val="24"/>
                <w:szCs w:val="24"/>
              </w:rPr>
              <w:t>满足技术、质量、资金等要求，财务状况良好、经营稳定，具有全面履约的能力，能提供相关信用等级和完税证明</w:t>
            </w:r>
            <w:r>
              <w:rPr>
                <w:rFonts w:hint="eastAsia" w:ascii="仿宋_GB2312" w:hAnsi="仿宋_GB2312" w:eastAsia="仿宋_GB2312" w:cs="仿宋_GB2312"/>
                <w:color w:val="000000"/>
                <w:sz w:val="24"/>
                <w:szCs w:val="24"/>
                <w:lang w:eastAsia="zh-CN"/>
              </w:rPr>
              <w:t>。</w:t>
            </w:r>
            <w:r>
              <w:rPr>
                <w:rFonts w:hint="eastAsia" w:ascii="仿宋_GB2312" w:hAnsi="仿宋_GB2312" w:eastAsia="仿宋_GB2312" w:cs="仿宋_GB2312"/>
                <w:color w:val="000000"/>
                <w:sz w:val="24"/>
                <w:szCs w:val="24"/>
              </w:rPr>
              <w:t>拟</w:t>
            </w:r>
            <w:r>
              <w:rPr>
                <w:rFonts w:hint="eastAsia" w:ascii="仿宋_GB2312" w:hAnsi="仿宋_GB2312" w:eastAsia="仿宋_GB2312" w:cs="仿宋_GB2312"/>
                <w:color w:val="000000"/>
                <w:sz w:val="24"/>
                <w:szCs w:val="24"/>
                <w:lang w:eastAsia="zh-CN"/>
              </w:rPr>
              <w:t>投标人为该标的物的设计和制造商或其在中国境内有完善的技术以及售后服务体系，该项目不允许代理商参标。</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rPr>
              <w:t>拟投标人应提供营业执照副本原件和扫描件（需盖章）；</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3.拟投标人应提供法定代表人资格证明文件；</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4.拟投标人在“国家企业信用信息公示系统”、“中国执行信息公开网”、“信用中国”、“天眼查”“裁判文书网”等信息平台中，无行政处罚及失信记录等信息；</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5.拟投标人不存在严重违规或被列入招标人“黑名单”的声明；</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6.拟投标人</w:t>
            </w:r>
            <w:r>
              <w:rPr>
                <w:rFonts w:hint="eastAsia" w:ascii="仿宋_GB2312" w:hAnsi="仿宋_GB2312" w:eastAsia="仿宋_GB2312" w:cs="仿宋_GB2312"/>
                <w:color w:val="000000"/>
                <w:sz w:val="24"/>
                <w:szCs w:val="24"/>
                <w:lang w:eastAsia="zh-CN"/>
              </w:rPr>
              <w:t>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年1月1日</w:t>
            </w:r>
            <w:r>
              <w:rPr>
                <w:rFonts w:hint="eastAsia" w:ascii="仿宋_GB2312" w:hAnsi="仿宋_GB2312" w:eastAsia="仿宋_GB2312" w:cs="仿宋_GB2312"/>
                <w:color w:val="000000"/>
                <w:sz w:val="24"/>
                <w:szCs w:val="24"/>
              </w:rPr>
              <w:t>至今经会计师事务所审计且出具无保留意见的财务审计报告，并加盖公章，包括但不限于报告页、经审计的资产负债表、利润表、现金流量表及报表附注（如投标人公司没有经审计的财务报告，可提供加盖公章的近</w:t>
            </w:r>
            <w:r>
              <w:rPr>
                <w:rFonts w:hint="eastAsia" w:ascii="仿宋_GB2312" w:hAnsi="仿宋_GB2312" w:eastAsia="仿宋_GB2312" w:cs="仿宋_GB2312"/>
                <w:color w:val="000000"/>
                <w:sz w:val="24"/>
                <w:szCs w:val="24"/>
                <w:lang w:val="en-US" w:eastAsia="zh-CN"/>
              </w:rPr>
              <w:t>三</w:t>
            </w:r>
            <w:r>
              <w:rPr>
                <w:rFonts w:hint="eastAsia" w:ascii="仿宋_GB2312" w:hAnsi="仿宋_GB2312" w:eastAsia="仿宋_GB2312" w:cs="仿宋_GB2312"/>
                <w:color w:val="000000"/>
                <w:sz w:val="24"/>
                <w:szCs w:val="24"/>
              </w:rPr>
              <w:t>年财务报表，包括但不限于资产负债表、利润表、现金流量表）；</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7.拟投标人202</w:t>
            </w:r>
            <w:r>
              <w:rPr>
                <w:rFonts w:hint="eastAsia" w:ascii="仿宋_GB2312" w:hAnsi="仿宋_GB2312" w:eastAsia="仿宋_GB2312" w:cs="仿宋_GB2312"/>
                <w:color w:val="000000"/>
                <w:sz w:val="24"/>
                <w:szCs w:val="24"/>
                <w:lang w:val="en-US" w:eastAsia="zh-CN"/>
              </w:rPr>
              <w:t>2</w:t>
            </w:r>
            <w:r>
              <w:rPr>
                <w:rFonts w:hint="eastAsia" w:ascii="仿宋_GB2312" w:hAnsi="仿宋_GB2312" w:eastAsia="仿宋_GB2312" w:cs="仿宋_GB2312"/>
                <w:color w:val="000000"/>
                <w:sz w:val="24"/>
                <w:szCs w:val="24"/>
                <w:lang w:eastAsia="zh-CN"/>
              </w:rPr>
              <w:t>年1月1日至今，有与本次招标内容相同或类似项目业绩，且近</w:t>
            </w:r>
            <w:r>
              <w:rPr>
                <w:rFonts w:hint="eastAsia" w:ascii="仿宋_GB2312" w:hAnsi="仿宋_GB2312" w:eastAsia="仿宋_GB2312" w:cs="仿宋_GB2312"/>
                <w:color w:val="000000"/>
                <w:sz w:val="24"/>
                <w:szCs w:val="24"/>
                <w:lang w:val="en-US" w:eastAsia="zh-CN"/>
              </w:rPr>
              <w:t>3</w:t>
            </w:r>
            <w:r>
              <w:rPr>
                <w:rFonts w:hint="eastAsia" w:ascii="仿宋_GB2312" w:hAnsi="仿宋_GB2312" w:eastAsia="仿宋_GB2312" w:cs="仿宋_GB2312"/>
                <w:color w:val="000000"/>
                <w:sz w:val="24"/>
                <w:szCs w:val="24"/>
                <w:lang w:eastAsia="zh-CN"/>
              </w:rPr>
              <w:t>年内无因服务不当而造成重大事故；</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8.拟投标人近三年内在经营活动中无招标违规、谎报年度报告信息、提供虚假资质资料等行为或其他行政处罚记录；</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9.拟投标人须认可招标人的工作指令，包括节、假日能正常开展工作的要求；</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10.拟投标人最近半年纳税正常；</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11.拟投标人信用证明材料（征信报告）未显示异常；</w:t>
            </w:r>
          </w:p>
          <w:p>
            <w:pPr>
              <w:pStyle w:val="22"/>
              <w:ind w:firstLine="480" w:firstLineChars="200"/>
              <w:rPr>
                <w:rFonts w:hint="eastAsia" w:ascii="仿宋_GB2312" w:hAnsi="仿宋_GB2312" w:eastAsia="仿宋_GB2312" w:cs="仿宋_GB2312"/>
                <w:color w:val="000000"/>
                <w:sz w:val="24"/>
                <w:szCs w:val="24"/>
                <w:lang w:eastAsia="zh-CN"/>
              </w:rPr>
            </w:pPr>
            <w:r>
              <w:rPr>
                <w:rFonts w:hint="eastAsia" w:ascii="仿宋_GB2312" w:hAnsi="仿宋_GB2312" w:eastAsia="仿宋_GB2312" w:cs="仿宋_GB2312"/>
                <w:color w:val="000000"/>
                <w:sz w:val="24"/>
                <w:szCs w:val="24"/>
                <w:lang w:eastAsia="zh-CN"/>
              </w:rPr>
              <w:t>12.拟投标人的直接或间接股东、法定代表人、董事、监事、高管非重汽员工及其亲属；</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13.本项目不接受联合体投标，拟投标人必须是最终投标单位和签订合同单位，不得以任何理由将已中标项目以任何形式分包或转包给其他单位；</w:t>
            </w:r>
          </w:p>
          <w:p>
            <w:pPr>
              <w:pStyle w:val="22"/>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color w:val="000000"/>
                <w:sz w:val="24"/>
                <w:szCs w:val="24"/>
                <w:lang w:val="en-US" w:eastAsia="zh-CN"/>
              </w:rPr>
              <w:t>4</w:t>
            </w:r>
            <w:r>
              <w:rPr>
                <w:rFonts w:hint="eastAsia" w:ascii="仿宋_GB2312" w:hAnsi="仿宋_GB2312" w:eastAsia="仿宋_GB2312" w:cs="仿宋_GB2312"/>
                <w:color w:val="000000"/>
                <w:sz w:val="24"/>
                <w:szCs w:val="24"/>
              </w:rPr>
              <w:t>.与招标人存在利害关系可能影响招标公正性的法人、其他组织或者个人，不得参加投标。</w:t>
            </w:r>
          </w:p>
          <w:p>
            <w:pPr>
              <w:pStyle w:val="22"/>
              <w:ind w:firstLine="480" w:firstLineChars="200"/>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15.本项目不允许代理商投标。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2.招标文件的答疑、澄清、修改、应标及投标报名</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2"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仿宋_GB2312" w:cs="仿宋_GB2312"/>
                <w:sz w:val="24"/>
                <w:szCs w:val="24"/>
                <w:lang w:val="en-US"/>
              </w:rPr>
            </w:pPr>
            <w:r>
              <w:rPr>
                <w:rFonts w:hint="eastAsia" w:ascii="仿宋_GB2312" w:hAnsi="仿宋_GB2312" w:eastAsia="仿宋_GB2312" w:cs="仿宋_GB2312"/>
                <w:b/>
                <w:bCs/>
                <w:sz w:val="24"/>
                <w:szCs w:val="24"/>
              </w:rPr>
              <w:t>发标时间：</w:t>
            </w:r>
            <w:r>
              <w:rPr>
                <w:rFonts w:hint="eastAsia" w:ascii="仿宋_GB2312" w:hAnsi="仿宋_GB2312" w:eastAsia="仿宋_GB2312" w:cs="仿宋_GB2312"/>
                <w:color w:val="000000"/>
                <w:sz w:val="24"/>
                <w:szCs w:val="24"/>
                <w:highlight w:val="green"/>
                <w:lang w:val="en-US" w:eastAsia="zh-CN"/>
              </w:rPr>
              <w:t>2025年11月24日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93" w:hRule="atLeast"/>
        </w:trPr>
        <w:tc>
          <w:tcPr>
            <w:tcW w:w="595" w:type="dxa"/>
            <w:vMerge w:val="continue"/>
            <w:tcBorders>
              <w:left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发标方式：</w:t>
            </w:r>
            <w:r>
              <w:rPr>
                <w:rFonts w:hint="eastAsia" w:ascii="仿宋_GB2312" w:hAnsi="仿宋_GB2312" w:eastAsia="仿宋_GB2312" w:cs="仿宋_GB2312"/>
                <w:color w:val="000000" w:themeColor="text1"/>
                <w:sz w:val="24"/>
                <w:szCs w:val="24"/>
                <w:highlight w:val="green"/>
                <w14:textFill>
                  <w14:solidFill>
                    <w14:schemeClr w14:val="tx1"/>
                  </w14:solidFill>
                </w14:textFill>
              </w:rPr>
              <w:t>中国重汽官网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429" w:hRule="atLeast"/>
        </w:trPr>
        <w:tc>
          <w:tcPr>
            <w:tcW w:w="595" w:type="dxa"/>
            <w:vMerge w:val="continue"/>
            <w:tcBorders>
              <w:left w:val="single" w:color="auto" w:sz="2" w:space="0"/>
              <w:bottom w:val="single" w:color="auto" w:sz="2" w:space="0"/>
              <w:right w:val="single" w:color="auto" w:sz="2" w:space="0"/>
            </w:tcBorders>
            <w:vAlign w:val="center"/>
          </w:tcPr>
          <w:p>
            <w:pPr>
              <w:snapToGrid w:val="0"/>
              <w:ind w:firstLine="480" w:firstLineChars="200"/>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sz w:val="24"/>
                <w:szCs w:val="24"/>
              </w:rPr>
              <w:t>如果投标人对招标文件商务部分、技术部分有疑问，请各投标人在本答疑环节提出。</w:t>
            </w:r>
          </w:p>
          <w:p>
            <w:pPr>
              <w:ind w:firstLine="482" w:firstLineChars="200"/>
              <w:jc w:val="left"/>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提交疑问时间：</w:t>
            </w:r>
            <w:r>
              <w:rPr>
                <w:rFonts w:hint="eastAsia" w:ascii="仿宋_GB2312" w:hAnsi="仿宋_GB2312" w:eastAsia="仿宋_GB2312" w:cs="仿宋_GB2312"/>
                <w:color w:val="000000"/>
                <w:sz w:val="24"/>
                <w:szCs w:val="24"/>
                <w:highlight w:val="green"/>
                <w:lang w:val="en-US" w:eastAsia="zh-CN"/>
              </w:rPr>
              <w:t>2025年11月30日前</w:t>
            </w:r>
            <w:r>
              <w:rPr>
                <w:rFonts w:hint="eastAsia" w:ascii="仿宋_GB2312" w:hAnsi="仿宋_GB2312" w:eastAsia="仿宋_GB2312" w:cs="仿宋_GB2312"/>
                <w:b/>
                <w:snapToGrid w:val="0"/>
                <w:kern w:val="0"/>
                <w:sz w:val="24"/>
                <w:szCs w:val="24"/>
                <w:highlight w:val="none"/>
              </w:rPr>
              <w:t>。</w:t>
            </w:r>
          </w:p>
          <w:p>
            <w:pPr>
              <w:ind w:firstLine="482" w:firstLineChars="200"/>
              <w:jc w:val="left"/>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提交疑问方式</w:t>
            </w:r>
            <w:r>
              <w:rPr>
                <w:rFonts w:hint="eastAsia" w:ascii="仿宋_GB2312" w:hAnsi="仿宋_GB2312" w:eastAsia="仿宋_GB2312" w:cs="仿宋_GB2312"/>
                <w:sz w:val="24"/>
                <w:szCs w:val="24"/>
              </w:rPr>
              <w:t>：将答疑问题以word文件格式发送至联系人邮件内，并电话联系工作人员查收，</w:t>
            </w:r>
            <w:r>
              <w:rPr>
                <w:rFonts w:hint="eastAsia" w:ascii="仿宋_GB2312" w:hAnsi="仿宋_GB2312" w:eastAsia="仿宋_GB2312" w:cs="仿宋_GB2312"/>
                <w:b/>
                <w:bCs/>
                <w:sz w:val="24"/>
                <w:szCs w:val="24"/>
              </w:rPr>
              <w:t>邮件名格式为：XXX公司（五个字以内公司简称）XX项目答疑文件。</w:t>
            </w:r>
          </w:p>
          <w:p>
            <w:pPr>
              <w:ind w:firstLine="482"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同时必须在邮件中以文字方式提供投标人全称、投标授权人姓名、联系方式（固定电话、手机、电子邮箱），并提供附件2</w:t>
            </w:r>
            <w:r>
              <w:rPr>
                <w:rFonts w:hint="eastAsia" w:ascii="仿宋_GB2312" w:hAnsi="仿宋_GB2312" w:eastAsia="仿宋_GB2312" w:cs="仿宋_GB2312"/>
                <w:b/>
                <w:bCs/>
                <w:color w:val="000000"/>
                <w:sz w:val="24"/>
                <w:szCs w:val="24"/>
              </w:rPr>
              <w:t>法定代表人授权委托书</w:t>
            </w:r>
            <w:r>
              <w:rPr>
                <w:rFonts w:hint="eastAsia" w:ascii="仿宋_GB2312" w:hAnsi="仿宋_GB2312" w:eastAsia="仿宋_GB2312" w:cs="仿宋_GB2312"/>
                <w:b/>
                <w:bCs/>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1007" w:hRule="atLeast"/>
        </w:trPr>
        <w:tc>
          <w:tcPr>
            <w:tcW w:w="595"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2.2</w:t>
            </w:r>
          </w:p>
        </w:tc>
        <w:tc>
          <w:tcPr>
            <w:tcW w:w="8363" w:type="dxa"/>
            <w:tcBorders>
              <w:top w:val="single" w:color="auto" w:sz="2" w:space="0"/>
              <w:left w:val="single" w:color="auto" w:sz="2" w:space="0"/>
              <w:bottom w:val="single" w:color="auto" w:sz="2" w:space="0"/>
              <w:right w:val="single" w:color="auto" w:sz="2" w:space="0"/>
            </w:tcBorders>
            <w:shd w:val="clear" w:color="auto" w:fill="FFFFFF" w:themeFill="background1"/>
            <w:vAlign w:val="center"/>
          </w:tcPr>
          <w:p>
            <w:pPr>
              <w:shd w:val="clear" w:color="auto" w:fill="FFFFFF" w:themeFill="background1"/>
              <w:ind w:firstLine="480"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rPr>
              <w:t>领取答疑、澄清和修改文件时间：</w:t>
            </w:r>
            <w:r>
              <w:rPr>
                <w:rFonts w:hint="eastAsia" w:ascii="仿宋_GB2312" w:hAnsi="仿宋_GB2312" w:eastAsia="仿宋_GB2312" w:cs="仿宋_GB2312"/>
                <w:color w:val="000000"/>
                <w:sz w:val="24"/>
                <w:szCs w:val="24"/>
                <w:highlight w:val="green"/>
                <w:lang w:val="en-US" w:eastAsia="zh-CN"/>
              </w:rPr>
              <w:t>2025年11月30日前</w:t>
            </w:r>
          </w:p>
          <w:p>
            <w:pPr>
              <w:shd w:val="clear" w:color="auto" w:fill="FFFFFF" w:themeFill="background1"/>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答疑、澄清和修改文件方式：招标人将以电子邮件的方式将招标文件的答疑澄清文件发送至答疑文件提交时登记的电子邮箱。</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318" w:hRule="atLeast"/>
        </w:trPr>
        <w:tc>
          <w:tcPr>
            <w:tcW w:w="595" w:type="dxa"/>
            <w:vMerge w:val="restart"/>
            <w:tcBorders>
              <w:top w:val="single" w:color="auto" w:sz="2" w:space="0"/>
              <w:left w:val="single" w:color="auto" w:sz="2" w:space="0"/>
              <w:right w:val="single" w:color="auto" w:sz="2" w:space="0"/>
            </w:tcBorders>
            <w:vAlign w:val="center"/>
          </w:tcPr>
          <w:p>
            <w:pPr>
              <w:jc w:val="center"/>
              <w:rPr>
                <w:rFonts w:hint="eastAsia" w:ascii="仿宋_GB2312" w:hAnsi="仿宋_GB2312" w:eastAsia="仿宋_GB2312" w:cs="仿宋_GB2312"/>
                <w:b/>
                <w:bCs/>
                <w:sz w:val="24"/>
                <w:szCs w:val="24"/>
                <w:highlight w:val="green"/>
              </w:rPr>
            </w:pPr>
            <w:r>
              <w:rPr>
                <w:rFonts w:hint="eastAsia" w:ascii="仿宋_GB2312" w:hAnsi="仿宋_GB2312" w:eastAsia="仿宋_GB2312" w:cs="仿宋_GB2312"/>
                <w:sz w:val="24"/>
                <w:szCs w:val="24"/>
              </w:rPr>
              <w:t>2.3</w:t>
            </w: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b/>
                <w:bCs/>
              </w:rPr>
              <w:t>报名方式：</w:t>
            </w:r>
            <w:r>
              <w:rPr>
                <w:rFonts w:hint="eastAsia" w:ascii="仿宋_GB2312" w:hAnsi="仿宋_GB2312" w:eastAsia="仿宋_GB2312" w:cs="仿宋_GB2312"/>
              </w:rPr>
              <w:t>拟投标人根据招标人在中国重汽官网等公开媒体上发布的招标信息，在“中国重汽e采通”平台报名。</w:t>
            </w:r>
            <w:r>
              <w:rPr>
                <w:rFonts w:hint="eastAsia" w:ascii="仿宋_GB2312" w:hAnsi="仿宋_GB2312" w:eastAsia="仿宋_GB2312" w:cs="仿宋_GB2312"/>
                <w:b/>
                <w:bCs/>
              </w:rPr>
              <w:t>按照中国重汽e采通“SRM非生产供应商注册手册”（附件15）进行注册</w:t>
            </w:r>
            <w:r>
              <w:rPr>
                <w:rFonts w:hint="eastAsia" w:ascii="仿宋_GB2312" w:hAnsi="仿宋_GB2312" w:eastAsia="仿宋_GB2312" w:cs="仿宋_GB2312"/>
              </w:rPr>
              <w:t>，注册完毕后按照</w:t>
            </w:r>
            <w:r>
              <w:rPr>
                <w:rFonts w:hint="eastAsia" w:ascii="仿宋_GB2312" w:hAnsi="仿宋_GB2312" w:eastAsia="仿宋_GB2312" w:cs="仿宋_GB2312"/>
                <w:b/>
              </w:rPr>
              <w:t>“SRM系统供应商用户手册（附件16）”，</w:t>
            </w:r>
            <w:r>
              <w:rPr>
                <w:rFonts w:hint="eastAsia" w:ascii="仿宋_GB2312" w:hAnsi="仿宋_GB2312" w:eastAsia="仿宋_GB2312" w:cs="仿宋_GB2312"/>
              </w:rPr>
              <w:t>登录</w:t>
            </w:r>
            <w:r>
              <w:rPr>
                <w:rFonts w:hint="eastAsia" w:ascii="仿宋_GB2312" w:hAnsi="仿宋_GB2312" w:eastAsia="仿宋_GB2312" w:cs="仿宋_GB2312"/>
                <w:b/>
              </w:rPr>
              <w:t>重汽e采通平台</w:t>
            </w:r>
            <w:r>
              <w:rPr>
                <w:rFonts w:hint="eastAsia" w:ascii="仿宋_GB2312" w:hAnsi="仿宋_GB2312" w:eastAsia="仿宋_GB2312" w:cs="仿宋_GB2312"/>
              </w:rPr>
              <w:t>后进入“供应商应标”，选择对应的项目，</w:t>
            </w:r>
            <w:r>
              <w:rPr>
                <w:rFonts w:hint="eastAsia" w:ascii="仿宋_GB2312" w:hAnsi="仿宋_GB2312" w:eastAsia="仿宋_GB2312" w:cs="仿宋_GB2312"/>
                <w:highlight w:val="green"/>
              </w:rPr>
              <w:t>点击“</w:t>
            </w:r>
            <w:r>
              <w:rPr>
                <w:rFonts w:hint="eastAsia" w:ascii="仿宋_GB2312" w:hAnsi="仿宋_GB2312" w:eastAsia="仿宋_GB2312" w:cs="仿宋_GB2312"/>
                <w:b/>
                <w:bCs/>
                <w:highlight w:val="green"/>
              </w:rPr>
              <w:t>应标</w:t>
            </w:r>
            <w:r>
              <w:rPr>
                <w:rFonts w:hint="eastAsia" w:ascii="仿宋_GB2312" w:hAnsi="仿宋_GB2312" w:eastAsia="仿宋_GB2312" w:cs="仿宋_GB2312"/>
                <w:highlight w:val="green"/>
              </w:rPr>
              <w:t>”</w:t>
            </w:r>
            <w:r>
              <w:rPr>
                <w:rFonts w:hint="eastAsia" w:ascii="仿宋_GB2312" w:hAnsi="仿宋_GB2312" w:eastAsia="仿宋_GB2312" w:cs="仿宋_GB2312"/>
                <w:b/>
                <w:bCs/>
                <w:highlight w:val="green"/>
              </w:rPr>
              <w:t>后按照招标文件第三部分投标文件组成资格证明文件中的1.1-1.1</w:t>
            </w:r>
            <w:r>
              <w:rPr>
                <w:rFonts w:hint="eastAsia" w:ascii="仿宋_GB2312" w:hAnsi="仿宋_GB2312" w:eastAsia="仿宋_GB2312" w:cs="仿宋_GB2312"/>
                <w:b/>
                <w:bCs/>
                <w:highlight w:val="green"/>
                <w:lang w:val="en-US" w:eastAsia="zh-CN"/>
              </w:rPr>
              <w:t>1</w:t>
            </w:r>
            <w:r>
              <w:rPr>
                <w:rFonts w:hint="eastAsia" w:ascii="仿宋_GB2312" w:hAnsi="仿宋_GB2312" w:eastAsia="仿宋_GB2312" w:cs="仿宋_GB2312"/>
                <w:b/>
                <w:bCs/>
                <w:highlight w:val="green"/>
              </w:rPr>
              <w:t>准备资料并</w:t>
            </w:r>
            <w:r>
              <w:rPr>
                <w:rFonts w:hint="eastAsia" w:ascii="仿宋_GB2312" w:hAnsi="仿宋_GB2312" w:eastAsia="仿宋_GB2312" w:cs="仿宋_GB2312"/>
                <w:highlight w:val="green"/>
              </w:rPr>
              <w:t>上传(资质标，要求做好目录）</w:t>
            </w:r>
            <w:r>
              <w:rPr>
                <w:rFonts w:hint="eastAsia" w:ascii="仿宋_GB2312" w:hAnsi="仿宋_GB2312" w:eastAsia="仿宋_GB2312" w:cs="仿宋_GB2312"/>
              </w:rPr>
              <w:t>，资质审查通过即为报名成功；公示期间请尽快报名。</w:t>
            </w:r>
          </w:p>
          <w:p>
            <w:pPr>
              <w:pStyle w:val="117"/>
              <w:spacing w:line="240" w:lineRule="auto"/>
              <w:ind w:firstLine="482"/>
              <w:rPr>
                <w:rFonts w:hint="eastAsia" w:ascii="仿宋_GB2312" w:hAnsi="仿宋_GB2312" w:eastAsia="仿宋_GB2312" w:cs="仿宋_GB2312"/>
              </w:rPr>
            </w:pPr>
            <w:r>
              <w:rPr>
                <w:rFonts w:hint="eastAsia" w:ascii="仿宋_GB2312" w:hAnsi="仿宋_GB2312" w:eastAsia="仿宋_GB2312" w:cs="仿宋_GB2312"/>
                <w:highlight w:val="yellow"/>
                <w:lang w:val="en-US" w:eastAsia="zh-CN"/>
              </w:rPr>
              <w:t>已注册的投标人注意去重汽e采通平台检查更新近三年的经营概况，财务信息更新到近三年，且不许有空余，若因此造成应标不成功，后果由投标人自行承担。（更新路径：重汽e采通-供应商中心-供应商变更-供应商财务数据变更管理-右上角：发起变更；详见SRM系统供应商用户近三年财务数据更新附件17）</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33" w:hRule="atLeast"/>
        </w:trPr>
        <w:tc>
          <w:tcPr>
            <w:tcW w:w="595" w:type="dxa"/>
            <w:vMerge w:val="continue"/>
            <w:tcBorders>
              <w:left w:val="single" w:color="auto" w:sz="2" w:space="0"/>
              <w:right w:val="single" w:color="auto" w:sz="2" w:space="0"/>
            </w:tcBorders>
            <w:vAlign w:val="center"/>
          </w:tcPr>
          <w:p>
            <w:pPr>
              <w:jc w:val="left"/>
              <w:rPr>
                <w:rFonts w:hint="eastAsia" w:ascii="仿宋_GB2312" w:hAnsi="仿宋_GB2312" w:eastAsia="仿宋_GB2312" w:cs="仿宋_GB2312"/>
                <w:sz w:val="24"/>
                <w:szCs w:val="24"/>
              </w:rPr>
            </w:pPr>
          </w:p>
        </w:tc>
        <w:tc>
          <w:tcPr>
            <w:tcW w:w="8363" w:type="dxa"/>
            <w:tcBorders>
              <w:top w:val="single" w:color="auto" w:sz="2" w:space="0"/>
              <w:left w:val="single" w:color="auto" w:sz="2" w:space="0"/>
              <w:bottom w:val="single" w:color="auto" w:sz="2" w:space="0"/>
              <w:right w:val="single" w:color="auto" w:sz="2" w:space="0"/>
            </w:tcBorders>
            <w:vAlign w:val="center"/>
          </w:tcPr>
          <w:p>
            <w:pPr>
              <w:pStyle w:val="117"/>
              <w:spacing w:line="240" w:lineRule="auto"/>
              <w:ind w:firstLine="482"/>
              <w:rPr>
                <w:rFonts w:hint="default" w:ascii="仿宋_GB2312" w:hAnsi="仿宋_GB2312" w:eastAsia="仿宋_GB2312" w:cs="仿宋_GB2312"/>
                <w:color w:val="000000"/>
                <w:sz w:val="24"/>
                <w:szCs w:val="24"/>
                <w:highlight w:val="green"/>
                <w:lang w:val="en-US" w:eastAsia="zh-CN"/>
              </w:rPr>
            </w:pPr>
            <w:r>
              <w:rPr>
                <w:rFonts w:hint="eastAsia" w:ascii="仿宋_GB2312" w:hAnsi="仿宋_GB2312" w:eastAsia="仿宋_GB2312" w:cs="仿宋_GB2312"/>
                <w:b/>
                <w:bCs/>
              </w:rPr>
              <w:t>应标截止时间：</w:t>
            </w:r>
            <w:r>
              <w:rPr>
                <w:rFonts w:hint="eastAsia" w:ascii="仿宋_GB2312" w:hAnsi="仿宋_GB2312" w:eastAsia="仿宋_GB2312" w:cs="仿宋_GB2312"/>
                <w:color w:val="000000"/>
                <w:sz w:val="24"/>
                <w:szCs w:val="24"/>
                <w:highlight w:val="green"/>
                <w:lang w:val="en-US" w:eastAsia="zh-CN"/>
              </w:rPr>
              <w:t>2025年11月29日17：00</w:t>
            </w:r>
          </w:p>
          <w:p>
            <w:pPr>
              <w:pStyle w:val="117"/>
              <w:spacing w:line="240" w:lineRule="auto"/>
              <w:ind w:firstLine="482"/>
              <w:rPr>
                <w:rFonts w:hint="eastAsia" w:ascii="仿宋_GB2312" w:hAnsi="仿宋_GB2312" w:eastAsia="仿宋_GB2312" w:cs="仿宋_GB2312"/>
                <w:highlight w:val="yellow"/>
              </w:rPr>
            </w:pPr>
            <w:r>
              <w:rPr>
                <w:rFonts w:hint="eastAsia" w:ascii="仿宋_GB2312" w:hAnsi="仿宋_GB2312" w:eastAsia="仿宋_GB2312" w:cs="仿宋_GB2312"/>
                <w:b/>
                <w:bCs/>
              </w:rPr>
              <w:t>注册审核需2-4日</w:t>
            </w:r>
            <w:r>
              <w:rPr>
                <w:rFonts w:hint="eastAsia" w:ascii="仿宋_GB2312" w:hAnsi="仿宋_GB2312" w:eastAsia="仿宋_GB2312" w:cs="仿宋_GB2312"/>
                <w:b/>
                <w:bCs/>
                <w:lang w:eastAsia="zh-CN"/>
              </w:rPr>
              <w:t>，</w:t>
            </w:r>
            <w:r>
              <w:rPr>
                <w:rFonts w:hint="eastAsia" w:ascii="仿宋_GB2312" w:hAnsi="仿宋_GB2312" w:eastAsia="仿宋_GB2312" w:cs="仿宋_GB2312"/>
                <w:b/>
                <w:bCs/>
                <w:lang w:val="en-US" w:eastAsia="zh-CN"/>
              </w:rPr>
              <w:t>请预留出驳回修改时间</w:t>
            </w:r>
            <w:r>
              <w:rPr>
                <w:rFonts w:hint="eastAsia" w:ascii="仿宋_GB2312" w:hAnsi="仿宋_GB2312" w:eastAsia="仿宋_GB2312" w:cs="仿宋_GB2312"/>
                <w:b/>
                <w:bCs/>
              </w:rPr>
              <w:t>，应标截止时间精确到秒，逾期将无法应标。请自行掌握时间，避免无法应标。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8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3.投标文件的组成、编制及投递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5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文件组成，共计3个文件。</w:t>
            </w:r>
          </w:p>
          <w:p>
            <w:pPr>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《投标文件（资质标）》</w:t>
            </w:r>
            <w:r>
              <w:rPr>
                <w:rFonts w:hint="eastAsia" w:ascii="仿宋_GB2312" w:hAnsi="仿宋_GB2312" w:eastAsia="仿宋_GB2312" w:cs="仿宋_GB2312"/>
                <w:bCs/>
                <w:sz w:val="24"/>
                <w:szCs w:val="24"/>
              </w:rPr>
              <w:t>一个文件（里面是全部资质投标书），</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Cs/>
                <w:sz w:val="24"/>
                <w:szCs w:val="24"/>
              </w:rPr>
              <w:t>一个文件（里面是全部技术投标书），</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Cs/>
                <w:sz w:val="24"/>
                <w:szCs w:val="24"/>
              </w:rPr>
              <w:t>一个文件（里面是全部商务投标书），</w:t>
            </w:r>
            <w:r>
              <w:rPr>
                <w:rFonts w:hint="eastAsia" w:ascii="仿宋_GB2312" w:hAnsi="仿宋_GB2312" w:eastAsia="仿宋_GB2312" w:cs="仿宋_GB2312"/>
                <w:b/>
                <w:sz w:val="24"/>
                <w:szCs w:val="24"/>
              </w:rPr>
              <w:t>具体组成等详细要求见招标文件第三部分投标文件编制第三条。</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bCs/>
                <w:color w:val="000000"/>
                <w:sz w:val="24"/>
                <w:szCs w:val="24"/>
              </w:rPr>
              <w:t>注意不按此要求提供投标文件的，投标文件做无效标处理。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default" w:ascii="仿宋_GB2312" w:hAnsi="仿宋_GB2312" w:eastAsia="宋体" w:cs="仿宋_GB2312"/>
                <w:color w:val="000000"/>
                <w:sz w:val="24"/>
                <w:szCs w:val="24"/>
                <w:lang w:val="en-US" w:eastAsia="zh-CN"/>
              </w:rPr>
            </w:pPr>
            <w:r>
              <w:rPr>
                <w:rFonts w:hint="eastAsia" w:ascii="仿宋_GB2312" w:hAnsi="仿宋_GB2312" w:eastAsia="仿宋_GB2312" w:cs="仿宋_GB2312"/>
                <w:b/>
                <w:sz w:val="24"/>
                <w:szCs w:val="24"/>
              </w:rPr>
              <w:t>投标方式：在中国重汽e采通平台应标成功后，进入“供应商投标”环节，投递盖章扫描版电子标书（包含资质标书、技术标书、商务标书），</w:t>
            </w:r>
            <w:r>
              <w:rPr>
                <w:rFonts w:hint="eastAsia" w:ascii="仿宋_GB2312" w:hAnsi="仿宋_GB2312" w:eastAsia="仿宋_GB2312" w:cs="仿宋_GB2312"/>
                <w:sz w:val="24"/>
                <w:szCs w:val="24"/>
              </w:rPr>
              <w:t>若逾期未在中国重汽e采通平台上传电子标书，即便递交了纸版投标文件，一律视为无效投标</w:t>
            </w:r>
            <w:r>
              <w:rPr>
                <w:rFonts w:hint="eastAsia" w:ascii="仿宋_GB2312" w:hAnsi="仿宋_GB2312" w:eastAsia="仿宋_GB2312" w:cs="仿宋_GB2312"/>
                <w:b/>
                <w:sz w:val="24"/>
                <w:szCs w:val="24"/>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44"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3.3</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lang w:val="en-US" w:eastAsia="zh-CN"/>
              </w:rPr>
              <w:t>本次投标只需要线上e采通投递电子版标书。</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88"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3.4</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rPr>
                <w:rFonts w:hint="eastAsia" w:ascii="仿宋_GB2312" w:hAnsi="仿宋_GB2312" w:eastAsia="仿宋_GB2312" w:cs="仿宋_GB2312"/>
                <w:b/>
                <w:sz w:val="24"/>
                <w:szCs w:val="24"/>
              </w:rPr>
            </w:pPr>
            <w:r>
              <w:rPr>
                <w:rFonts w:hint="eastAsia" w:ascii="宋体" w:hAnsi="宋体" w:eastAsia="宋体" w:cs="宋体"/>
                <w:b/>
                <w:bCs/>
                <w:sz w:val="24"/>
                <w:szCs w:val="24"/>
              </w:rPr>
              <w:t>投标文件的</w:t>
            </w:r>
            <w:r>
              <w:rPr>
                <w:rFonts w:hint="eastAsia" w:ascii="宋体" w:hAnsi="宋体" w:eastAsia="宋体" w:cs="宋体"/>
                <w:b/>
                <w:bCs/>
                <w:sz w:val="24"/>
                <w:szCs w:val="24"/>
                <w:lang w:val="en-US" w:eastAsia="zh-CN"/>
              </w:rPr>
              <w:t>提交</w:t>
            </w:r>
            <w:r>
              <w:rPr>
                <w:rFonts w:hint="eastAsia" w:ascii="宋体" w:hAnsi="宋体" w:eastAsia="宋体" w:cs="宋体"/>
                <w:b/>
                <w:bCs/>
                <w:sz w:val="24"/>
                <w:szCs w:val="24"/>
              </w:rPr>
              <w:t>：</w:t>
            </w:r>
            <w:r>
              <w:rPr>
                <w:rFonts w:hint="eastAsia" w:ascii="宋体" w:hAnsi="宋体" w:eastAsia="宋体" w:cs="宋体"/>
                <w:sz w:val="24"/>
                <w:szCs w:val="24"/>
              </w:rPr>
              <w:t>投标人必须将投标文件按照资质标文件1册、技术标文件1册、商务标文件1册</w:t>
            </w:r>
            <w:r>
              <w:rPr>
                <w:rFonts w:hint="eastAsia" w:ascii="宋体" w:hAnsi="宋体" w:eastAsia="宋体" w:cs="宋体"/>
                <w:b/>
                <w:bCs/>
                <w:sz w:val="24"/>
                <w:szCs w:val="24"/>
              </w:rPr>
              <w:t>分别进行</w:t>
            </w:r>
            <w:r>
              <w:rPr>
                <w:rFonts w:hint="eastAsia" w:ascii="宋体" w:hAnsi="宋体" w:eastAsia="宋体" w:cs="宋体"/>
                <w:bCs/>
                <w:sz w:val="24"/>
                <w:szCs w:val="24"/>
                <w:lang w:val="en-US" w:eastAsia="zh-CN"/>
              </w:rPr>
              <w:t>整理</w:t>
            </w:r>
            <w:r>
              <w:rPr>
                <w:rFonts w:hint="eastAsia" w:ascii="宋体" w:hAnsi="宋体" w:eastAsia="宋体" w:cs="宋体"/>
                <w:sz w:val="24"/>
                <w:szCs w:val="24"/>
              </w:rPr>
              <w:t>，</w:t>
            </w:r>
            <w:r>
              <w:rPr>
                <w:rFonts w:hint="eastAsia" w:hAnsi="宋体" w:eastAsia="宋体" w:cs="宋体"/>
                <w:b/>
                <w:bCs/>
                <w:sz w:val="24"/>
                <w:szCs w:val="24"/>
              </w:rPr>
              <w:t>不单独装订的，投标文件做无效标处理。</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3.5</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投标文件递交截止时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2025年12月4日17：00</w:t>
            </w:r>
          </w:p>
          <w:p>
            <w:pPr>
              <w:pStyle w:val="22"/>
              <w:ind w:firstLine="482" w:firstLineChars="200"/>
              <w:rPr>
                <w:rFonts w:hint="eastAsia" w:ascii="仿宋_GB2312" w:hAnsi="仿宋_GB2312" w:eastAsia="仿宋_GB2312" w:cs="仿宋_GB2312"/>
                <w:sz w:val="24"/>
                <w:szCs w:val="24"/>
                <w:highlight w:val="yellow"/>
              </w:rPr>
            </w:pPr>
            <w:r>
              <w:rPr>
                <w:rFonts w:hint="eastAsia" w:ascii="仿宋_GB2312" w:hAnsi="仿宋_GB2312" w:eastAsia="仿宋_GB2312" w:cs="仿宋_GB2312"/>
                <w:b/>
                <w:bCs/>
                <w:sz w:val="24"/>
                <w:szCs w:val="24"/>
                <w:highlight w:val="none"/>
              </w:rPr>
              <w:t>注：请务必在投标文件递交截止时间前完成投标操作，截</w:t>
            </w:r>
            <w:r>
              <w:rPr>
                <w:rFonts w:hint="eastAsia" w:ascii="仿宋_GB2312" w:hAnsi="仿宋_GB2312" w:eastAsia="仿宋_GB2312" w:cs="仿宋_GB2312"/>
                <w:b/>
                <w:bCs/>
                <w:sz w:val="24"/>
                <w:szCs w:val="24"/>
              </w:rPr>
              <w:t>止时间精确到秒，逾期将无法投标。请自行掌握时间，避免无法投标。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47"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3.6</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投标文件有效期：</w:t>
            </w:r>
            <w:r>
              <w:rPr>
                <w:rFonts w:hint="eastAsia" w:ascii="仿宋_GB2312" w:hAnsi="仿宋_GB2312" w:eastAsia="仿宋_GB2312" w:cs="仿宋_GB2312"/>
                <w:sz w:val="24"/>
                <w:szCs w:val="24"/>
              </w:rPr>
              <w:t>自开标之日起90个日历日。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01"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4.投标保证金及投标有效期</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389"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投标保证金的缴纳形式：</w:t>
            </w:r>
            <w:r>
              <w:rPr>
                <w:rFonts w:hint="eastAsia" w:ascii="宋体" w:hAnsi="宋体" w:eastAsia="宋体" w:cs="宋体"/>
                <w:sz w:val="24"/>
                <w:szCs w:val="24"/>
                <w:highlight w:val="none"/>
              </w:rPr>
              <w:t>电汇或网银</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250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4.2</w:t>
            </w:r>
          </w:p>
        </w:tc>
        <w:tc>
          <w:tcPr>
            <w:tcW w:w="8363" w:type="dxa"/>
            <w:tcBorders>
              <w:top w:val="single" w:color="auto" w:sz="2" w:space="0"/>
              <w:left w:val="single" w:color="auto" w:sz="2" w:space="0"/>
              <w:bottom w:val="single" w:color="auto" w:sz="2" w:space="0"/>
              <w:right w:val="single" w:color="auto" w:sz="2" w:space="0"/>
            </w:tcBorders>
            <w:vAlign w:val="center"/>
          </w:tcPr>
          <w:p>
            <w:pPr>
              <w:tabs>
                <w:tab w:val="left" w:pos="932"/>
              </w:tabs>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投标保证金的金额：</w:t>
            </w:r>
            <w:r>
              <w:rPr>
                <w:rFonts w:hint="eastAsia" w:ascii="仿宋_GB2312" w:hAnsi="仿宋_GB2312" w:eastAsia="仿宋_GB2312" w:cs="仿宋_GB2312"/>
                <w:sz w:val="24"/>
                <w:szCs w:val="24"/>
              </w:rPr>
              <w:t>人民币</w:t>
            </w:r>
            <w:r>
              <w:rPr>
                <w:rFonts w:hint="eastAsia" w:ascii="仿宋_GB2312" w:hAnsi="仿宋_GB2312" w:eastAsia="仿宋_GB2312" w:cs="仿宋_GB2312"/>
                <w:color w:val="000000"/>
                <w:sz w:val="24"/>
                <w:szCs w:val="24"/>
                <w:highlight w:val="green"/>
                <w:lang w:val="en-US" w:eastAsia="zh-CN"/>
              </w:rPr>
              <w:t>5000</w:t>
            </w:r>
            <w:r>
              <w:rPr>
                <w:rFonts w:hint="eastAsia" w:ascii="仿宋_GB2312" w:hAnsi="仿宋_GB2312" w:eastAsia="仿宋_GB2312" w:cs="仿宋_GB2312"/>
                <w:sz w:val="24"/>
                <w:szCs w:val="24"/>
              </w:rPr>
              <w:t>元</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开户名称：</w:t>
            </w:r>
            <w:r>
              <w:rPr>
                <w:rFonts w:hint="eastAsia" w:ascii="仿宋_GB2312" w:hAnsi="仿宋_GB2312" w:eastAsia="仿宋_GB2312" w:cs="仿宋_GB2312"/>
                <w:sz w:val="24"/>
                <w:szCs w:val="24"/>
              </w:rPr>
              <w:t>中国重汽集团济南商用车有限公司</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开户银行：</w:t>
            </w:r>
            <w:r>
              <w:rPr>
                <w:rFonts w:hint="eastAsia" w:ascii="仿宋_GB2312" w:hAnsi="仿宋_GB2312" w:eastAsia="仿宋_GB2312" w:cs="仿宋_GB2312"/>
                <w:sz w:val="24"/>
                <w:szCs w:val="24"/>
              </w:rPr>
              <w:t>中国银行股份有限公司济南分行</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银行账号：</w:t>
            </w:r>
            <w:r>
              <w:rPr>
                <w:rFonts w:hint="eastAsia" w:ascii="仿宋_GB2312" w:hAnsi="仿宋_GB2312" w:eastAsia="仿宋_GB2312" w:cs="仿宋_GB2312"/>
                <w:sz w:val="24"/>
                <w:szCs w:val="24"/>
              </w:rPr>
              <w:t>237744219844</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联行号：</w:t>
            </w:r>
            <w:r>
              <w:rPr>
                <w:rFonts w:hint="eastAsia" w:ascii="仿宋_GB2312" w:hAnsi="仿宋_GB2312" w:eastAsia="仿宋_GB2312" w:cs="仿宋_GB2312"/>
                <w:sz w:val="24"/>
                <w:szCs w:val="24"/>
              </w:rPr>
              <w:t>104451039687</w:t>
            </w:r>
          </w:p>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投标保证金应从投标人的基本账户转出至上述账户并到账，否则视为无效投标。</w:t>
            </w:r>
          </w:p>
          <w:p>
            <w:pPr>
              <w:ind w:firstLine="480" w:firstLineChars="200"/>
              <w:rPr>
                <w:rFonts w:hint="eastAsia" w:ascii="仿宋_GB2312" w:hAnsi="仿宋_GB2312" w:eastAsia="仿宋_GB2312" w:cs="仿宋_GB2312"/>
                <w:sz w:val="24"/>
                <w:szCs w:val="24"/>
                <w:highlight w:val="cyan"/>
              </w:rPr>
            </w:pPr>
            <w:r>
              <w:rPr>
                <w:rFonts w:hint="eastAsia" w:ascii="仿宋_GB2312" w:hAnsi="仿宋_GB2312" w:eastAsia="仿宋_GB2312" w:cs="仿宋_GB2312"/>
                <w:sz w:val="24"/>
                <w:szCs w:val="24"/>
              </w:rPr>
              <w:t>转账附言：公司名称+项目名称+投标保证金。</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61"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4.3</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2"/>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highlight w:val="none"/>
              </w:rPr>
              <w:t>保证金缴纳截止时间</w:t>
            </w:r>
            <w:r>
              <w:rPr>
                <w:rFonts w:hint="eastAsia" w:ascii="仿宋_GB2312" w:hAnsi="仿宋_GB2312" w:eastAsia="仿宋_GB2312" w:cs="仿宋_GB2312"/>
                <w:b/>
                <w:snapToGrid w:val="0"/>
                <w:kern w:val="0"/>
                <w:sz w:val="24"/>
                <w:szCs w:val="24"/>
                <w:highlight w:val="none"/>
              </w:rPr>
              <w:t>：</w:t>
            </w:r>
            <w:r>
              <w:rPr>
                <w:rFonts w:hint="eastAsia" w:ascii="仿宋_GB2312" w:hAnsi="仿宋_GB2312" w:eastAsia="仿宋_GB2312" w:cs="仿宋_GB2312"/>
                <w:color w:val="000000"/>
                <w:sz w:val="24"/>
                <w:szCs w:val="24"/>
                <w:highlight w:val="green"/>
                <w:lang w:val="en-US" w:eastAsia="zh-CN"/>
              </w:rPr>
              <w:t>2025年12月4日17：00</w:t>
            </w:r>
          </w:p>
          <w:p>
            <w:pPr>
              <w:pStyle w:val="40"/>
              <w:spacing w:after="0" w:line="240" w:lineRule="auto"/>
              <w:ind w:left="0" w:leftChars="0" w:firstLine="480"/>
              <w:rPr>
                <w:rFonts w:hint="eastAsia" w:ascii="仿宋_GB2312" w:hAnsi="仿宋_GB2312" w:eastAsia="仿宋_GB2312" w:cs="仿宋_GB2312"/>
                <w:sz w:val="24"/>
                <w:szCs w:val="24"/>
                <w:highlight w:val="none"/>
              </w:rPr>
            </w:pPr>
            <w:r>
              <w:rPr>
                <w:rFonts w:hint="eastAsia" w:ascii="仿宋_GB2312" w:hAnsi="仿宋_GB2312" w:eastAsia="仿宋_GB2312" w:cs="仿宋_GB2312"/>
                <w:sz w:val="24"/>
                <w:szCs w:val="24"/>
                <w:highlight w:val="none"/>
              </w:rPr>
              <w:t>供应商应充分考虑银行信息交换时间，由此带来的保证金不能按时到帐的责任由供应商自行承担。</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4.4</w:t>
            </w:r>
          </w:p>
        </w:tc>
        <w:tc>
          <w:tcPr>
            <w:tcW w:w="8363" w:type="dxa"/>
            <w:tcBorders>
              <w:top w:val="single" w:color="auto" w:sz="2" w:space="0"/>
              <w:left w:val="single" w:color="auto" w:sz="2" w:space="0"/>
              <w:bottom w:val="single" w:color="auto" w:sz="2" w:space="0"/>
              <w:right w:val="single" w:color="auto" w:sz="2" w:space="0"/>
            </w:tcBorders>
            <w:vAlign w:val="center"/>
          </w:tcPr>
          <w:p>
            <w:pPr>
              <w:pStyle w:val="40"/>
              <w:spacing w:after="0" w:line="240" w:lineRule="auto"/>
              <w:ind w:left="0" w:leftChars="0" w:firstLine="48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对于没有中标的投标人，投标保证金将于招标人内部完成中标人评审并确认最终中标人后在45工作日内予以原路返还（无息）；对于中标方，投标保证金将在签订合同后45个工作日内原路返还（无息）。</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9"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5.开评标</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sz w:val="24"/>
                <w:szCs w:val="24"/>
                <w:highlight w:val="none"/>
              </w:rPr>
            </w:pPr>
            <w:r>
              <w:rPr>
                <w:rFonts w:hint="eastAsia" w:ascii="仿宋_GB2312" w:hAnsi="仿宋_GB2312" w:eastAsia="仿宋_GB2312" w:cs="仿宋_GB2312"/>
                <w:b/>
                <w:bCs/>
                <w:sz w:val="24"/>
                <w:szCs w:val="24"/>
              </w:rPr>
              <w:t>开标时</w:t>
            </w:r>
            <w:r>
              <w:rPr>
                <w:rFonts w:hint="eastAsia" w:ascii="仿宋_GB2312" w:hAnsi="仿宋_GB2312" w:eastAsia="仿宋_GB2312" w:cs="仿宋_GB2312"/>
                <w:b/>
                <w:bCs/>
                <w:sz w:val="24"/>
                <w:szCs w:val="24"/>
                <w:highlight w:val="none"/>
              </w:rPr>
              <w:t>间：</w:t>
            </w:r>
            <w:r>
              <w:rPr>
                <w:rFonts w:hint="eastAsia" w:ascii="仿宋_GB2312" w:hAnsi="仿宋_GB2312" w:eastAsia="仿宋_GB2312" w:cs="仿宋_GB2312"/>
                <w:color w:val="000000"/>
                <w:sz w:val="24"/>
                <w:szCs w:val="24"/>
                <w:highlight w:val="green"/>
                <w:lang w:val="en-US" w:eastAsia="zh-CN"/>
              </w:rPr>
              <w:t>2025年12月8</w:t>
            </w:r>
            <w:bookmarkStart w:id="118" w:name="_GoBack"/>
            <w:bookmarkEnd w:id="118"/>
            <w:r>
              <w:rPr>
                <w:rFonts w:hint="eastAsia" w:ascii="仿宋_GB2312" w:hAnsi="仿宋_GB2312" w:eastAsia="仿宋_GB2312" w:cs="仿宋_GB2312"/>
                <w:color w:val="000000"/>
                <w:sz w:val="24"/>
                <w:szCs w:val="24"/>
                <w:highlight w:val="green"/>
                <w:lang w:val="en-US" w:eastAsia="zh-CN"/>
              </w:rPr>
              <w:t>日9：00</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p>
            <w:pPr>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highlight w:val="none"/>
              </w:rPr>
              <w:t>开标地点：</w:t>
            </w:r>
            <w:r>
              <w:rPr>
                <w:rFonts w:hint="eastAsia" w:ascii="仿宋_GB2312" w:hAnsi="仿宋_GB2312" w:eastAsia="仿宋_GB2312" w:cs="仿宋_GB2312"/>
                <w:color w:val="000000"/>
                <w:sz w:val="24"/>
                <w:szCs w:val="24"/>
                <w:highlight w:val="green"/>
                <w:lang w:val="en-US" w:eastAsia="zh-CN"/>
              </w:rPr>
              <w:t>线上会议室</w:t>
            </w:r>
            <w:r>
              <w:rPr>
                <w:rFonts w:hint="eastAsia" w:hAnsi="宋体" w:eastAsia="宋体" w:cs="宋体"/>
                <w:sz w:val="24"/>
                <w:szCs w:val="24"/>
                <w:highlight w:val="yellow"/>
              </w:rPr>
              <w:t>（</w:t>
            </w:r>
            <w:r>
              <w:rPr>
                <w:rFonts w:hint="eastAsia" w:hAnsi="宋体" w:eastAsia="宋体" w:cs="宋体"/>
                <w:sz w:val="24"/>
                <w:szCs w:val="24"/>
                <w:highlight w:val="yellow"/>
                <w:lang w:val="en-US" w:eastAsia="zh-CN"/>
              </w:rPr>
              <w:t>暂定，以实际通知为准</w:t>
            </w:r>
            <w:r>
              <w:rPr>
                <w:rFonts w:hint="eastAsia" w:hAnsi="宋体" w:eastAsia="宋体" w:cs="宋体"/>
                <w:sz w:val="24"/>
                <w:szCs w:val="24"/>
                <w:highlight w:val="yellow"/>
              </w:rPr>
              <w:t>）</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75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5.2</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color w:val="000000"/>
                <w:sz w:val="24"/>
                <w:szCs w:val="24"/>
                <w:highlight w:val="yellow"/>
              </w:rPr>
              <w:t>原则上来现场参与开标。如因特殊情况无法现场参与，需在开标前三日，通知招标人，由招标人创建视频链接，并在报名结束后统一通知。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680"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5.3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highlight w:val="green"/>
              </w:rPr>
            </w:pPr>
            <w:r>
              <w:rPr>
                <w:rFonts w:hint="eastAsia" w:ascii="仿宋_GB2312" w:hAnsi="仿宋_GB2312" w:eastAsia="仿宋_GB2312" w:cs="仿宋_GB2312"/>
                <w:b/>
                <w:bCs/>
                <w:color w:val="FF0000"/>
                <w:sz w:val="24"/>
                <w:szCs w:val="24"/>
                <w:highlight w:val="green"/>
              </w:rPr>
              <w:t>评标方法：</w:t>
            </w:r>
            <w:r>
              <w:rPr>
                <w:rFonts w:hint="eastAsia" w:ascii="宋体" w:hAnsi="宋体" w:eastAsia="宋体" w:cs="宋体"/>
                <w:b/>
                <w:bCs/>
                <w:color w:val="FF0000"/>
                <w:sz w:val="24"/>
                <w:szCs w:val="24"/>
                <w:highlight w:val="green"/>
              </w:rPr>
              <w:t>资质标审核→技术标评审→商务标评审。技术标入围后，原则上选取</w:t>
            </w:r>
            <w:r>
              <w:rPr>
                <w:rFonts w:hint="eastAsia" w:ascii="宋体" w:hAnsi="宋体" w:eastAsia="宋体" w:cs="Times New Roman"/>
                <w:b/>
                <w:bCs/>
                <w:color w:val="FF0000"/>
                <w:sz w:val="24"/>
                <w:szCs w:val="24"/>
                <w:highlight w:val="green"/>
              </w:rPr>
              <w:t>合理最低价中标</w:t>
            </w:r>
            <w:r>
              <w:rPr>
                <w:rFonts w:hint="eastAsia" w:ascii="宋体" w:hAnsi="宋体" w:eastAsia="宋体" w:cs="宋体"/>
                <w:color w:val="FF0000"/>
                <w:sz w:val="24"/>
                <w:szCs w:val="24"/>
                <w:highlight w:val="green"/>
              </w:rPr>
              <w:t>。</w:t>
            </w:r>
            <w:r>
              <w:rPr>
                <w:rFonts w:hint="eastAsia" w:ascii="仿宋_GB2312" w:hAnsi="仿宋_GB2312" w:eastAsia="仿宋_GB2312" w:cs="仿宋_GB2312"/>
                <w:color w:val="FF0000"/>
                <w:sz w:val="24"/>
                <w:szCs w:val="24"/>
                <w:highlight w:val="green"/>
              </w:rPr>
              <w:t>具体详见“第二部分投标须知第六条：评标原则”。</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6.合同签订</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6.1</w:t>
            </w:r>
          </w:p>
        </w:tc>
        <w:tc>
          <w:tcPr>
            <w:tcW w:w="8363" w:type="dxa"/>
            <w:tcBorders>
              <w:top w:val="single" w:color="auto" w:sz="2" w:space="0"/>
              <w:left w:val="single" w:color="auto" w:sz="2" w:space="0"/>
              <w:bottom w:val="single" w:color="auto" w:sz="2" w:space="0"/>
              <w:right w:val="single" w:color="auto" w:sz="2" w:space="0"/>
            </w:tcBorders>
            <w:vAlign w:val="center"/>
          </w:tcPr>
          <w:p>
            <w:pPr>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highlight w:val="cyan"/>
              </w:rPr>
              <w:t>见第二部分投标须知第七条。</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54"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7.交货期及付款方式</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7.1</w:t>
            </w:r>
          </w:p>
        </w:tc>
        <w:tc>
          <w:tcPr>
            <w:tcW w:w="8363" w:type="dxa"/>
            <w:tcBorders>
              <w:top w:val="single" w:color="auto" w:sz="2" w:space="0"/>
              <w:left w:val="single" w:color="auto" w:sz="2" w:space="0"/>
              <w:bottom w:val="single" w:color="auto" w:sz="2" w:space="0"/>
              <w:right w:val="single" w:color="auto" w:sz="2" w:space="0"/>
            </w:tcBorders>
            <w:vAlign w:val="center"/>
          </w:tcPr>
          <w:p>
            <w:pPr>
              <w:pStyle w:val="22"/>
              <w:ind w:firstLine="482"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交货期：</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1.自合同生效后</w:t>
            </w:r>
            <w:r>
              <w:rPr>
                <w:rFonts w:hint="eastAsia" w:ascii="仿宋_GB2312" w:hAnsi="仿宋_GB2312" w:eastAsia="仿宋_GB2312" w:cs="仿宋_GB2312"/>
                <w:b/>
                <w:bCs/>
                <w:color w:val="00B050"/>
                <w:sz w:val="24"/>
                <w:szCs w:val="24"/>
                <w:highlight w:val="green"/>
                <w:lang w:val="en-US" w:eastAsia="zh-CN"/>
              </w:rPr>
              <w:t>40</w:t>
            </w:r>
            <w:r>
              <w:rPr>
                <w:rFonts w:hint="eastAsia" w:ascii="仿宋_GB2312" w:hAnsi="仿宋_GB2312" w:eastAsia="仿宋_GB2312" w:cs="仿宋_GB2312"/>
                <w:b/>
                <w:bCs/>
                <w:color w:val="000000"/>
                <w:sz w:val="24"/>
                <w:szCs w:val="24"/>
              </w:rPr>
              <w:t>个日历日内，中标人须交付设备到招标人指定的安装和使用的现场，并保证整套测试系统正常进入试运行状态。</w:t>
            </w:r>
          </w:p>
          <w:p>
            <w:pPr>
              <w:spacing w:line="360" w:lineRule="auto"/>
              <w:ind w:firstLine="482" w:firstLineChars="200"/>
              <w:jc w:val="left"/>
              <w:outlineLvl w:val="3"/>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2.接续</w:t>
            </w:r>
            <w:r>
              <w:rPr>
                <w:rFonts w:hint="eastAsia" w:ascii="仿宋_GB2312" w:hAnsi="仿宋_GB2312" w:eastAsia="仿宋_GB2312" w:cs="仿宋_GB2312"/>
                <w:b/>
                <w:bCs/>
                <w:color w:val="00B050"/>
                <w:sz w:val="24"/>
                <w:szCs w:val="24"/>
                <w:highlight w:val="green"/>
                <w:lang w:val="en-US" w:eastAsia="zh-CN"/>
              </w:rPr>
              <w:t>10</w:t>
            </w:r>
            <w:r>
              <w:rPr>
                <w:rFonts w:hint="eastAsia" w:ascii="仿宋_GB2312" w:hAnsi="仿宋_GB2312" w:eastAsia="仿宋_GB2312" w:cs="仿宋_GB2312"/>
                <w:b/>
                <w:bCs/>
                <w:color w:val="000000"/>
                <w:sz w:val="24"/>
                <w:szCs w:val="24"/>
              </w:rPr>
              <w:t>个日历日之内安装调试完毕。</w:t>
            </w:r>
          </w:p>
          <w:p>
            <w:pPr>
              <w:spacing w:line="360" w:lineRule="auto"/>
              <w:ind w:firstLine="482" w:firstLineChars="200"/>
              <w:jc w:val="left"/>
              <w:outlineLvl w:val="3"/>
              <w:rPr>
                <w:rFonts w:hint="eastAsia" w:ascii="仿宋_GB2312" w:hAnsi="仿宋_GB2312" w:eastAsia="仿宋_GB2312" w:cs="仿宋_GB2312"/>
                <w:b/>
                <w:bCs/>
                <w:color w:val="000000"/>
                <w:sz w:val="24"/>
                <w:szCs w:val="24"/>
                <w:lang w:eastAsia="zh-CN"/>
              </w:rPr>
            </w:pPr>
            <w:r>
              <w:rPr>
                <w:rFonts w:hint="eastAsia" w:ascii="仿宋_GB2312" w:hAnsi="仿宋_GB2312" w:eastAsia="仿宋_GB2312" w:cs="仿宋_GB2312"/>
                <w:b/>
                <w:bCs/>
                <w:color w:val="000000"/>
                <w:sz w:val="24"/>
                <w:szCs w:val="24"/>
                <w:lang w:eastAsia="zh-CN"/>
              </w:rPr>
              <w:t>（</w:t>
            </w:r>
            <w:r>
              <w:rPr>
                <w:rFonts w:hint="eastAsia" w:ascii="仿宋_GB2312" w:hAnsi="仿宋_GB2312" w:eastAsia="仿宋_GB2312" w:cs="仿宋_GB2312"/>
                <w:b/>
                <w:bCs/>
                <w:color w:val="000000"/>
                <w:sz w:val="24"/>
                <w:szCs w:val="24"/>
                <w:lang w:val="en-US" w:eastAsia="zh-CN"/>
              </w:rPr>
              <w:t>以上时间若有调整以招标人实际要求为准</w:t>
            </w:r>
            <w:r>
              <w:rPr>
                <w:rFonts w:hint="eastAsia" w:ascii="仿宋_GB2312" w:hAnsi="仿宋_GB2312" w:eastAsia="仿宋_GB2312" w:cs="仿宋_GB2312"/>
                <w:b/>
                <w:bCs/>
                <w:color w:val="000000"/>
                <w:sz w:val="24"/>
                <w:szCs w:val="24"/>
                <w:lang w:eastAsia="zh-CN"/>
              </w:rPr>
              <w:t>）</w:t>
            </w:r>
          </w:p>
          <w:p>
            <w:pPr>
              <w:pStyle w:val="22"/>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安装调试工期超过</w:t>
            </w:r>
            <w:r>
              <w:rPr>
                <w:rFonts w:hint="eastAsia" w:ascii="仿宋_GB2312" w:hAnsi="仿宋_GB2312" w:eastAsia="仿宋_GB2312" w:cs="仿宋_GB2312"/>
                <w:color w:val="000000"/>
                <w:sz w:val="24"/>
                <w:szCs w:val="24"/>
                <w:highlight w:val="yellow"/>
              </w:rPr>
              <w:t>规定时间</w:t>
            </w:r>
            <w:r>
              <w:rPr>
                <w:rFonts w:hint="eastAsia" w:ascii="仿宋_GB2312" w:hAnsi="仿宋_GB2312" w:eastAsia="仿宋_GB2312" w:cs="仿宋_GB2312"/>
                <w:color w:val="000000"/>
                <w:sz w:val="24"/>
                <w:szCs w:val="24"/>
              </w:rPr>
              <w:t>的，投标人应当随标书提供详细的工期计划</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7.2</w:t>
            </w:r>
          </w:p>
        </w:tc>
        <w:tc>
          <w:tcPr>
            <w:tcW w:w="8363" w:type="dxa"/>
            <w:tcBorders>
              <w:top w:val="single" w:color="auto" w:sz="2" w:space="0"/>
              <w:left w:val="single" w:color="auto" w:sz="2" w:space="0"/>
              <w:bottom w:val="single" w:color="auto" w:sz="2" w:space="0"/>
              <w:right w:val="single" w:color="auto" w:sz="2" w:space="0"/>
            </w:tcBorders>
            <w:vAlign w:val="center"/>
          </w:tcPr>
          <w:p>
            <w:pPr>
              <w:spacing w:line="360" w:lineRule="auto"/>
              <w:ind w:firstLine="482" w:firstLineChars="200"/>
              <w:outlineLvl w:val="3"/>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交货方式：</w:t>
            </w:r>
            <w:r>
              <w:rPr>
                <w:rFonts w:hint="eastAsia" w:ascii="仿宋_GB2312" w:hAnsi="仿宋_GB2312" w:eastAsia="仿宋_GB2312" w:cs="仿宋_GB2312"/>
                <w:color w:val="000000"/>
                <w:sz w:val="24"/>
                <w:szCs w:val="24"/>
              </w:rPr>
              <w:t>交钥匙方式；</w:t>
            </w:r>
          </w:p>
          <w:p>
            <w:pPr>
              <w:spacing w:line="360" w:lineRule="auto"/>
              <w:ind w:firstLine="482" w:firstLineChars="200"/>
              <w:outlineLvl w:val="3"/>
              <w:rPr>
                <w:rFonts w:hint="default" w:ascii="仿宋_GB2312" w:hAnsi="仿宋_GB2312" w:eastAsia="仿宋_GB2312" w:cs="仿宋_GB2312"/>
                <w:color w:val="000000"/>
                <w:sz w:val="24"/>
                <w:szCs w:val="24"/>
                <w:lang w:val="en-US" w:eastAsia="zh-CN"/>
              </w:rPr>
            </w:pPr>
            <w:r>
              <w:rPr>
                <w:rFonts w:hint="eastAsia" w:ascii="仿宋_GB2312" w:hAnsi="仿宋_GB2312" w:eastAsia="仿宋_GB2312" w:cs="仿宋_GB2312"/>
                <w:b/>
                <w:bCs/>
                <w:color w:val="000000"/>
                <w:sz w:val="24"/>
                <w:szCs w:val="24"/>
              </w:rPr>
              <w:t>交货地点：中国重汽集团济南商用车有限公司轻卡制造公司</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543" w:hRule="atLeast"/>
        </w:trPr>
        <w:tc>
          <w:tcPr>
            <w:tcW w:w="595" w:type="dxa"/>
            <w:tcBorders>
              <w:top w:val="single" w:color="auto" w:sz="2" w:space="0"/>
              <w:left w:val="single" w:color="auto" w:sz="2" w:space="0"/>
              <w:bottom w:val="single" w:color="auto" w:sz="2" w:space="0"/>
              <w:right w:val="single" w:color="auto" w:sz="2"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7.3</w:t>
            </w:r>
          </w:p>
        </w:tc>
        <w:tc>
          <w:tcPr>
            <w:tcW w:w="8363" w:type="dxa"/>
            <w:tcBorders>
              <w:top w:val="single" w:color="auto" w:sz="2" w:space="0"/>
              <w:left w:val="single" w:color="auto" w:sz="2" w:space="0"/>
              <w:bottom w:val="single" w:color="auto" w:sz="2" w:space="0"/>
              <w:right w:val="single" w:color="auto" w:sz="2" w:space="0"/>
            </w:tcBorders>
            <w:vAlign w:val="center"/>
          </w:tcPr>
          <w:p>
            <w:pPr>
              <w:pStyle w:val="16"/>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sz w:val="24"/>
                <w:szCs w:val="24"/>
              </w:rPr>
              <w:t>质保期：全部供货范围内的设备、材料、零配件和工器具等，除合同特别约定外，其质保期均自终验收签字生效之日起12个月。</w:t>
            </w:r>
            <w:r>
              <w:rPr>
                <w:rFonts w:hint="eastAsia" w:ascii="仿宋_GB2312" w:hAnsi="仿宋_GB2312" w:eastAsia="仿宋_GB2312" w:cs="仿宋_GB2312"/>
                <w:sz w:val="24"/>
                <w:szCs w:val="24"/>
              </w:rPr>
              <w:t>（投标人可在满足上述最短质保期基础上竞报）</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7.4</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0" w:firstLineChars="200"/>
              <w:rPr>
                <w:rFonts w:hint="eastAsia" w:ascii="宋体" w:hAnsi="宋体" w:cs="宋体"/>
                <w:sz w:val="24"/>
                <w:szCs w:val="24"/>
                <w:highlight w:val="yellow"/>
              </w:rPr>
            </w:pPr>
            <w:r>
              <w:rPr>
                <w:rFonts w:hint="eastAsia" w:ascii="宋体" w:hAnsi="宋体" w:cs="宋体"/>
                <w:sz w:val="24"/>
                <w:szCs w:val="24"/>
                <w:highlight w:val="yellow"/>
              </w:rPr>
              <w:t>1.半年期商业汇票（包括银行承兑汇票和商业承兑汇票），（5万元及</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rPr>
              <w:t>以上）</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2.付款节点:</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 xml:space="preserve">其他付款节点：3:6:1 </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A.设备全部到货后，中标人提交金额为合同价款30%的收据并提供合同价款30%的增值税专用发票（含复印件二份），经招标人依照财务制度审核通过后支付；</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B.设备验收合格后，中标人提交金额为合同价款60%的收据并提供合同价款70%的增值税专用发票（含复印件二份），经招标人依照财务制度审核通过后支付；</w:t>
            </w:r>
          </w:p>
          <w:p>
            <w:pPr>
              <w:ind w:firstLine="480" w:firstLineChars="200"/>
              <w:rPr>
                <w:rFonts w:hint="eastAsia" w:ascii="宋体" w:hAnsi="宋体" w:cs="宋体"/>
                <w:sz w:val="24"/>
                <w:szCs w:val="24"/>
                <w:highlight w:val="yellow"/>
                <w:lang w:val="en-US" w:eastAsia="zh-CN"/>
              </w:rPr>
            </w:pPr>
            <w:r>
              <w:rPr>
                <w:rFonts w:hint="eastAsia" w:ascii="宋体" w:hAnsi="宋体" w:cs="宋体"/>
                <w:sz w:val="24"/>
                <w:szCs w:val="24"/>
                <w:highlight w:val="yellow"/>
                <w:lang w:val="en-US" w:eastAsia="zh-CN"/>
              </w:rPr>
              <w:t>C.合同总价款的10%作为本合同约定设备的质量保证金，质量保证金在质量保证期内不计利息。质保期届满后支付。</w:t>
            </w:r>
          </w:p>
          <w:p>
            <w:pPr>
              <w:ind w:firstLine="480" w:firstLineChars="200"/>
              <w:rPr>
                <w:rFonts w:hint="eastAsia" w:ascii="仿宋_GB2312" w:hAnsi="仿宋_GB2312" w:eastAsia="仿宋_GB2312" w:cs="仿宋_GB2312"/>
                <w:sz w:val="24"/>
                <w:szCs w:val="24"/>
              </w:rPr>
            </w:pPr>
            <w:r>
              <w:rPr>
                <w:rFonts w:hint="eastAsia" w:ascii="宋体" w:hAnsi="宋体" w:cs="宋体"/>
                <w:sz w:val="24"/>
                <w:szCs w:val="24"/>
                <w:highlight w:val="yellow"/>
              </w:rPr>
              <w:t>*注：付款方式及比例不允许偏离。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59"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kern w:val="0"/>
                <w:sz w:val="24"/>
                <w:szCs w:val="24"/>
              </w:rPr>
            </w:pPr>
            <w:r>
              <w:rPr>
                <w:rFonts w:hint="eastAsia" w:ascii="仿宋_GB2312" w:hAnsi="仿宋_GB2312" w:eastAsia="仿宋_GB2312" w:cs="仿宋_GB2312"/>
                <w:kern w:val="0"/>
                <w:sz w:val="24"/>
                <w:szCs w:val="24"/>
              </w:rPr>
              <w:t>7.5</w:t>
            </w:r>
          </w:p>
        </w:tc>
        <w:tc>
          <w:tcPr>
            <w:tcW w:w="8363" w:type="dxa"/>
            <w:tcBorders>
              <w:top w:val="single" w:color="auto" w:sz="2" w:space="0"/>
              <w:left w:val="single" w:color="auto" w:sz="4" w:space="0"/>
              <w:bottom w:val="single" w:color="auto" w:sz="2" w:space="0"/>
              <w:right w:val="single" w:color="auto" w:sz="2" w:space="0"/>
            </w:tcBorders>
            <w:vAlign w:val="center"/>
          </w:tcPr>
          <w:p>
            <w:pPr>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增值税专用发票开票信息：</w:t>
            </w:r>
          </w:p>
          <w:p>
            <w:pPr>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color w:val="000000"/>
                <w:sz w:val="24"/>
                <w:szCs w:val="24"/>
              </w:rPr>
              <w:t xml:space="preserve">本项目为集采项目，具体开票信息以签订的合同为准。             </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90"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jc w:val="center"/>
              <w:rPr>
                <w:rFonts w:hint="eastAsia" w:ascii="仿宋_GB2312" w:hAnsi="仿宋_GB2312" w:eastAsia="仿宋_GB2312" w:cs="仿宋_GB2312"/>
                <w:sz w:val="24"/>
                <w:szCs w:val="24"/>
              </w:rPr>
            </w:pPr>
            <w:r>
              <w:rPr>
                <w:rFonts w:hint="eastAsia" w:ascii="仿宋_GB2312" w:hAnsi="仿宋_GB2312" w:eastAsia="仿宋_GB2312" w:cs="仿宋_GB2312"/>
                <w:b/>
                <w:bCs/>
                <w:sz w:val="24"/>
                <w:szCs w:val="24"/>
              </w:rPr>
              <w:t>8.其它</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8.1</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sz w:val="24"/>
                <w:szCs w:val="24"/>
              </w:rPr>
              <w:t>设备的安装说明（图纸）、操作手册、使用说明、维修指南、服务手册等招标人所需要的、与执行本合同有关的各类资料，中标人提交时须做好备份（复印件或电子扫描件），招标人资料归档后若另需要上述资料，中标人应及时无偿提供。</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8.2</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中标人负责为招标人免费培训操作及维修人员，培训内容包括：基本原理、操作使用、安全操作注意事项以及维修保养等内容，直至达到买方使用需求。</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595" w:type="dxa"/>
            <w:tcBorders>
              <w:top w:val="single" w:color="auto" w:sz="2" w:space="0"/>
              <w:left w:val="single" w:color="auto" w:sz="2" w:space="0"/>
              <w:bottom w:val="single" w:color="auto" w:sz="2" w:space="0"/>
              <w:right w:val="single" w:color="auto" w:sz="4" w:space="0"/>
            </w:tcBorders>
            <w:vAlign w:val="center"/>
          </w:tcPr>
          <w:p>
            <w:pPr>
              <w:jc w:val="center"/>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8.3</w:t>
            </w:r>
          </w:p>
        </w:tc>
        <w:tc>
          <w:tcPr>
            <w:tcW w:w="8363" w:type="dxa"/>
            <w:tcBorders>
              <w:top w:val="single" w:color="auto" w:sz="2" w:space="0"/>
              <w:left w:val="single" w:color="auto" w:sz="4" w:space="0"/>
              <w:bottom w:val="single" w:color="auto" w:sz="2" w:space="0"/>
              <w:right w:val="single" w:color="auto" w:sz="2" w:space="0"/>
            </w:tcBorders>
            <w:vAlign w:val="center"/>
          </w:tcPr>
          <w:p>
            <w:pPr>
              <w:pStyle w:val="16"/>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中标方应在合同签订后15日内需根据设计</w:t>
            </w:r>
            <w:r>
              <w:rPr>
                <w:rStyle w:val="47"/>
                <w:rFonts w:hint="eastAsia" w:ascii="仿宋_GB2312" w:hAnsi="仿宋_GB2312" w:eastAsia="仿宋_GB2312" w:cs="仿宋_GB2312"/>
                <w:sz w:val="24"/>
                <w:szCs w:val="24"/>
              </w:rPr>
              <w:t>提资</w:t>
            </w:r>
            <w:r>
              <w:rPr>
                <w:rFonts w:hint="eastAsia" w:ascii="仿宋_GB2312" w:hAnsi="仿宋_GB2312" w:eastAsia="仿宋_GB2312" w:cs="仿宋_GB2312"/>
                <w:sz w:val="24"/>
                <w:szCs w:val="24"/>
              </w:rPr>
              <w:t>要求提供详细的</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图纸等资料,其中包含</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的外形尺寸,运维空间</w:t>
            </w:r>
            <w:r>
              <w:rPr>
                <w:rStyle w:val="47"/>
                <w:rFonts w:hint="eastAsia" w:ascii="仿宋_GB2312" w:hAnsi="仿宋_GB2312" w:eastAsia="仿宋_GB2312" w:cs="仿宋_GB2312"/>
                <w:sz w:val="24"/>
                <w:szCs w:val="24"/>
              </w:rPr>
              <w:t>,设备</w:t>
            </w:r>
            <w:r>
              <w:rPr>
                <w:rFonts w:hint="eastAsia" w:ascii="仿宋_GB2312" w:hAnsi="仿宋_GB2312" w:eastAsia="仿宋_GB2312" w:cs="仿宋_GB2312"/>
                <w:sz w:val="24"/>
                <w:szCs w:val="24"/>
              </w:rPr>
              <w:t>运行参数,材料材质,接口信息,规格,技术需求.等资料，提交给买方，项目设计单位以此补充设计施工图纸，中标人最终审核确认。对于提资不准确不全面、不符合招标文件技术要求、提资变更导致的损失由卖方承担，并承担违约责任。</w:t>
            </w:r>
          </w:p>
        </w:tc>
      </w:tr>
      <w:tr>
        <w:tblPrEx>
          <w:tblBorders>
            <w:top w:val="single" w:color="auto" w:sz="2" w:space="0"/>
            <w:left w:val="single" w:color="auto" w:sz="2" w:space="0"/>
            <w:bottom w:val="single" w:color="auto" w:sz="2" w:space="0"/>
            <w:right w:val="single" w:color="auto" w:sz="2" w:space="0"/>
            <w:insideH w:val="single" w:color="auto" w:sz="2" w:space="0"/>
            <w:insideV w:val="single" w:color="auto" w:sz="2" w:space="0"/>
          </w:tblBorders>
          <w:tblCellMar>
            <w:top w:w="0" w:type="dxa"/>
            <w:left w:w="28" w:type="dxa"/>
            <w:bottom w:w="0" w:type="dxa"/>
            <w:right w:w="28" w:type="dxa"/>
          </w:tblCellMar>
        </w:tblPrEx>
        <w:trPr>
          <w:trHeight w:val="402" w:hRule="atLeast"/>
        </w:trPr>
        <w:tc>
          <w:tcPr>
            <w:tcW w:w="8958" w:type="dxa"/>
            <w:gridSpan w:val="2"/>
            <w:tcBorders>
              <w:top w:val="single" w:color="auto" w:sz="2" w:space="0"/>
              <w:left w:val="single" w:color="auto" w:sz="2" w:space="0"/>
              <w:bottom w:val="single" w:color="auto" w:sz="2" w:space="0"/>
              <w:right w:val="single" w:color="auto" w:sz="2" w:space="0"/>
            </w:tcBorders>
            <w:vAlign w:val="center"/>
          </w:tcPr>
          <w:p>
            <w:pPr>
              <w:pStyle w:val="16"/>
              <w:ind w:firstLine="480" w:firstLineChars="200"/>
              <w:jc w:val="center"/>
              <w:rPr>
                <w:rFonts w:hint="default" w:ascii="仿宋_GB2312" w:hAnsi="仿宋_GB2312" w:eastAsia="仿宋_GB2312" w:cs="仿宋_GB2312"/>
                <w:sz w:val="24"/>
                <w:szCs w:val="24"/>
                <w:lang w:val="en-US" w:eastAsia="zh-CN"/>
              </w:rPr>
            </w:pPr>
            <w:r>
              <w:rPr>
                <w:rFonts w:hint="eastAsia" w:ascii="仿宋_GB2312" w:hAnsi="仿宋_GB2312" w:eastAsia="仿宋_GB2312" w:cs="仿宋_GB2312"/>
                <w:sz w:val="24"/>
                <w:szCs w:val="24"/>
                <w:highlight w:val="yellow"/>
                <w:lang w:val="en-US" w:eastAsia="zh-CN"/>
              </w:rPr>
              <w:t>后续冲突以此前附表为准。</w:t>
            </w:r>
          </w:p>
        </w:tc>
      </w:tr>
      <w:bookmarkEnd w:id="6"/>
    </w:tbl>
    <w:p>
      <w:pPr>
        <w:pStyle w:val="22"/>
        <w:numPr>
          <w:ilvl w:val="0"/>
          <w:numId w:val="2"/>
        </w:numPr>
        <w:jc w:val="center"/>
        <w:outlineLvl w:val="0"/>
        <w:rPr>
          <w:rFonts w:hint="eastAsia" w:ascii="仿宋_GB2312" w:hAnsi="仿宋_GB2312" w:eastAsia="仿宋_GB2312" w:cs="仿宋_GB2312"/>
          <w:b/>
          <w:bCs/>
          <w:kern w:val="44"/>
          <w:sz w:val="36"/>
          <w:szCs w:val="44"/>
        </w:rPr>
        <w:sectPr>
          <w:headerReference r:id="rId3" w:type="default"/>
          <w:footerReference r:id="rId4"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7" w:name="_Toc11216"/>
      <w:bookmarkStart w:id="8" w:name="_Toc9448"/>
      <w:bookmarkStart w:id="9" w:name="_Toc427"/>
      <w:bookmarkStart w:id="10" w:name="_Toc6577"/>
      <w:bookmarkStart w:id="11" w:name="_Toc19183"/>
      <w:bookmarkStart w:id="12" w:name="_Toc27087"/>
      <w:r>
        <w:rPr>
          <w:rFonts w:hint="eastAsia" w:ascii="仿宋_GB2312" w:hAnsi="仿宋_GB2312" w:eastAsia="仿宋_GB2312" w:cs="仿宋_GB2312"/>
          <w:sz w:val="44"/>
        </w:rPr>
        <w:t>第二部分 投标须知</w:t>
      </w:r>
      <w:bookmarkEnd w:id="7"/>
      <w:bookmarkEnd w:id="8"/>
      <w:bookmarkEnd w:id="9"/>
      <w:bookmarkEnd w:id="10"/>
      <w:bookmarkEnd w:id="11"/>
      <w:bookmarkEnd w:id="12"/>
    </w:p>
    <w:p>
      <w:pPr>
        <w:pStyle w:val="3"/>
        <w:rPr>
          <w:rFonts w:hint="eastAsia" w:ascii="仿宋_GB2312" w:hAnsi="仿宋_GB2312" w:eastAsia="仿宋_GB2312" w:cs="仿宋_GB2312"/>
          <w:sz w:val="36"/>
          <w:szCs w:val="36"/>
        </w:rPr>
      </w:pPr>
      <w:bookmarkStart w:id="13" w:name="_Toc18045"/>
      <w:r>
        <w:rPr>
          <w:rFonts w:hint="eastAsia" w:ascii="仿宋_GB2312" w:hAnsi="仿宋_GB2312" w:eastAsia="仿宋_GB2312" w:cs="仿宋_GB2312"/>
          <w:sz w:val="36"/>
          <w:szCs w:val="36"/>
        </w:rPr>
        <w:t>一、项目名称</w:t>
      </w:r>
      <w:bookmarkEnd w:id="13"/>
    </w:p>
    <w:p>
      <w:pPr>
        <w:spacing w:line="360" w:lineRule="auto"/>
        <w:ind w:left="1679" w:leftChars="228" w:hanging="1200" w:hangingChars="500"/>
        <w:rPr>
          <w:rFonts w:hint="eastAsia" w:ascii="仿宋_GB2312" w:hAnsi="仿宋_GB2312" w:eastAsia="仿宋_GB2312" w:cs="仿宋_GB2312"/>
          <w:color w:val="000000"/>
          <w:sz w:val="24"/>
          <w:szCs w:val="24"/>
          <w:u w:val="single"/>
        </w:rPr>
      </w:pPr>
      <w:r>
        <w:rPr>
          <w:rFonts w:hint="eastAsia" w:ascii="仿宋_GB2312" w:hAnsi="仿宋_GB2312" w:eastAsia="仿宋_GB2312" w:cs="仿宋_GB2312"/>
          <w:color w:val="000000"/>
          <w:sz w:val="24"/>
          <w:szCs w:val="24"/>
        </w:rPr>
        <w:t>项目名称：</w:t>
      </w:r>
      <w:bookmarkStart w:id="14" w:name="OLE_LINK1"/>
      <w:r>
        <w:rPr>
          <w:rFonts w:hint="eastAsia" w:ascii="仿宋_GB2312" w:hAnsi="仿宋_GB2312" w:eastAsia="仿宋_GB2312" w:cs="仿宋_GB2312"/>
          <w:color w:val="000000"/>
          <w:sz w:val="24"/>
          <w:szCs w:val="24"/>
        </w:rPr>
        <w:t>见《投标须知前附表》。</w:t>
      </w:r>
    </w:p>
    <w:bookmarkEnd w:id="14"/>
    <w:p>
      <w:pPr>
        <w:pStyle w:val="3"/>
        <w:rPr>
          <w:rFonts w:hint="eastAsia" w:ascii="仿宋_GB2312" w:hAnsi="仿宋_GB2312" w:eastAsia="仿宋_GB2312" w:cs="仿宋_GB2312"/>
          <w:sz w:val="36"/>
          <w:szCs w:val="36"/>
        </w:rPr>
      </w:pPr>
      <w:bookmarkStart w:id="15" w:name="_Toc30471"/>
      <w:r>
        <w:rPr>
          <w:rFonts w:hint="eastAsia" w:ascii="仿宋_GB2312" w:hAnsi="仿宋_GB2312" w:eastAsia="仿宋_GB2312" w:cs="仿宋_GB2312"/>
          <w:sz w:val="36"/>
          <w:szCs w:val="36"/>
        </w:rPr>
        <w:t>二、招标内容及形式</w:t>
      </w:r>
      <w:bookmarkEnd w:id="15"/>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见《投标须知前附表》。</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对于本项目需着重介绍的注意事项已经通过以下带颜色文档进行标记。</w:t>
      </w:r>
    </w:p>
    <w:p>
      <w:pPr>
        <w:spacing w:line="360" w:lineRule="auto"/>
        <w:ind w:firstLine="482"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具体要求详见《技术标书》。</w:t>
      </w:r>
    </w:p>
    <w:p>
      <w:pPr>
        <w:pStyle w:val="3"/>
        <w:rPr>
          <w:rFonts w:hint="eastAsia" w:ascii="仿宋_GB2312" w:hAnsi="仿宋_GB2312" w:eastAsia="仿宋_GB2312" w:cs="仿宋_GB2312"/>
          <w:sz w:val="36"/>
          <w:szCs w:val="36"/>
        </w:rPr>
      </w:pPr>
      <w:bookmarkStart w:id="16" w:name="_Toc24346"/>
      <w:r>
        <w:rPr>
          <w:rFonts w:hint="eastAsia" w:ascii="仿宋_GB2312" w:hAnsi="仿宋_GB2312" w:eastAsia="仿宋_GB2312" w:cs="仿宋_GB2312"/>
          <w:sz w:val="36"/>
          <w:szCs w:val="36"/>
        </w:rPr>
        <w:t>三、交货及付款</w:t>
      </w:r>
      <w:bookmarkEnd w:id="16"/>
      <w:r>
        <w:rPr>
          <w:rFonts w:hint="eastAsia" w:ascii="仿宋_GB2312" w:hAnsi="仿宋_GB2312" w:eastAsia="仿宋_GB2312" w:cs="仿宋_GB2312"/>
          <w:sz w:val="36"/>
          <w:szCs w:val="36"/>
        </w:rPr>
        <w:tab/>
      </w:r>
    </w:p>
    <w:p>
      <w:pPr>
        <w:pStyle w:val="22"/>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交货期、交货地点、交货方式、付款方式及比例见《投标须知前附表》第7条。</w:t>
      </w:r>
    </w:p>
    <w:p>
      <w:pPr>
        <w:pStyle w:val="3"/>
        <w:rPr>
          <w:rFonts w:hint="eastAsia" w:ascii="仿宋_GB2312" w:hAnsi="仿宋_GB2312" w:eastAsia="仿宋_GB2312" w:cs="仿宋_GB2312"/>
          <w:sz w:val="36"/>
          <w:szCs w:val="36"/>
        </w:rPr>
      </w:pPr>
      <w:bookmarkStart w:id="17" w:name="_Toc4476"/>
      <w:r>
        <w:rPr>
          <w:rFonts w:hint="eastAsia" w:ascii="仿宋_GB2312" w:hAnsi="仿宋_GB2312" w:eastAsia="仿宋_GB2312" w:cs="仿宋_GB2312"/>
          <w:sz w:val="36"/>
          <w:szCs w:val="36"/>
        </w:rPr>
        <w:t>四、投标说明</w:t>
      </w:r>
      <w:bookmarkEnd w:id="17"/>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1.报名方式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投标人根据招标人在中国重汽官网等公开媒体上发布的招标信息，在“中国重汽e采通”平台报名。按照中国重汽e采通“SRM非生产供应商注册手册</w:t>
      </w:r>
      <w:r>
        <w:rPr>
          <w:rFonts w:hint="eastAsia" w:ascii="仿宋_GB2312" w:hAnsi="仿宋_GB2312" w:eastAsia="仿宋_GB2312" w:cs="仿宋_GB2312"/>
          <w:color w:val="000000"/>
          <w:sz w:val="24"/>
          <w:szCs w:val="24"/>
          <w:highlight w:val="yellow"/>
        </w:rPr>
        <w:t>（附件15）</w:t>
      </w:r>
      <w:r>
        <w:rPr>
          <w:rFonts w:hint="eastAsia" w:ascii="仿宋_GB2312" w:hAnsi="仿宋_GB2312" w:eastAsia="仿宋_GB2312" w:cs="仿宋_GB2312"/>
          <w:color w:val="000000"/>
          <w:sz w:val="24"/>
          <w:szCs w:val="24"/>
        </w:rPr>
        <w:t>”进行注册，注册完毕后按照</w:t>
      </w:r>
      <w:r>
        <w:rPr>
          <w:rFonts w:hint="eastAsia" w:ascii="仿宋_GB2312" w:hAnsi="仿宋_GB2312" w:eastAsia="仿宋_GB2312" w:cs="仿宋_GB2312"/>
          <w:b/>
          <w:color w:val="000000"/>
          <w:sz w:val="24"/>
          <w:szCs w:val="24"/>
        </w:rPr>
        <w:t>“SRM系统供应商用户手册</w:t>
      </w:r>
      <w:r>
        <w:rPr>
          <w:rFonts w:hint="eastAsia" w:ascii="仿宋_GB2312" w:hAnsi="仿宋_GB2312" w:eastAsia="仿宋_GB2312" w:cs="仿宋_GB2312"/>
          <w:b/>
          <w:color w:val="000000"/>
          <w:sz w:val="24"/>
          <w:szCs w:val="24"/>
          <w:highlight w:val="yellow"/>
        </w:rPr>
        <w:t>（附件16）</w:t>
      </w:r>
      <w:r>
        <w:rPr>
          <w:rFonts w:hint="eastAsia" w:ascii="仿宋_GB2312" w:hAnsi="仿宋_GB2312" w:eastAsia="仿宋_GB2312" w:cs="仿宋_GB2312"/>
          <w:b/>
          <w:color w:val="000000"/>
          <w:sz w:val="24"/>
          <w:szCs w:val="24"/>
        </w:rPr>
        <w:t>”登录系统，</w:t>
      </w:r>
      <w:r>
        <w:rPr>
          <w:rFonts w:hint="eastAsia" w:ascii="仿宋_GB2312" w:hAnsi="仿宋_GB2312" w:eastAsia="仿宋_GB2312" w:cs="仿宋_GB2312"/>
          <w:color w:val="000000"/>
          <w:sz w:val="24"/>
          <w:szCs w:val="24"/>
        </w:rPr>
        <w:t>进入“供应商应标”，选择对应的项目，点击“应标”后按照招标文件第三部分投标文件组成资格证明文件中的</w:t>
      </w:r>
      <w:r>
        <w:rPr>
          <w:rFonts w:hint="eastAsia" w:ascii="仿宋_GB2312" w:hAnsi="仿宋_GB2312" w:eastAsia="仿宋_GB2312" w:cs="仿宋_GB2312"/>
          <w:color w:val="000000"/>
          <w:sz w:val="24"/>
          <w:szCs w:val="24"/>
          <w:highlight w:val="green"/>
        </w:rPr>
        <w:t>1.1-1.1</w:t>
      </w:r>
      <w:r>
        <w:rPr>
          <w:rFonts w:hint="eastAsia" w:ascii="仿宋_GB2312" w:hAnsi="仿宋_GB2312" w:eastAsia="仿宋_GB2312" w:cs="仿宋_GB2312"/>
          <w:color w:val="000000"/>
          <w:sz w:val="24"/>
          <w:szCs w:val="24"/>
          <w:highlight w:val="green"/>
          <w:lang w:val="en-US" w:eastAsia="zh-CN"/>
        </w:rPr>
        <w:t>1</w:t>
      </w:r>
      <w:r>
        <w:rPr>
          <w:rFonts w:hint="eastAsia" w:ascii="仿宋_GB2312" w:hAnsi="仿宋_GB2312" w:eastAsia="仿宋_GB2312" w:cs="仿宋_GB2312"/>
          <w:color w:val="000000"/>
          <w:sz w:val="24"/>
          <w:szCs w:val="24"/>
        </w:rPr>
        <w:t>准备资料并上传，资质审查通过即为报名成功，公示期间请尽快报名。</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投标保证金缴纳的时候，</w:t>
      </w:r>
      <w:r>
        <w:rPr>
          <w:rFonts w:hint="eastAsia" w:ascii="仿宋_GB2312" w:hAnsi="仿宋_GB2312" w:eastAsia="仿宋_GB2312" w:cs="仿宋_GB2312"/>
          <w:b/>
          <w:bCs/>
          <w:color w:val="000000"/>
          <w:sz w:val="24"/>
          <w:szCs w:val="24"/>
        </w:rPr>
        <w:t>务必备注所投标的项目名称</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不按要求报名的，或因未提供相关信息导致后期无法退回保证金的，需投标人承担责任。</w:t>
      </w:r>
    </w:p>
    <w:p>
      <w:pPr>
        <w:keepNext/>
        <w:keepLines/>
        <w:numPr>
          <w:ilvl w:val="0"/>
          <w:numId w:val="3"/>
        </w:numPr>
        <w:spacing w:line="360" w:lineRule="auto"/>
        <w:ind w:firstLine="482" w:firstLineChars="200"/>
        <w:outlineLvl w:val="2"/>
        <w:rPr>
          <w:rFonts w:hint="eastAsia" w:ascii="仿宋_GB2312" w:hAnsi="仿宋_GB2312" w:eastAsia="仿宋_GB2312" w:cs="仿宋_GB2312"/>
          <w:b/>
          <w:bCs/>
          <w:color w:val="000000"/>
          <w:sz w:val="24"/>
          <w:szCs w:val="24"/>
          <w:highlight w:val="cyan"/>
        </w:rPr>
      </w:pPr>
      <w:r>
        <w:rPr>
          <w:rFonts w:hint="eastAsia" w:ascii="仿宋_GB2312" w:hAnsi="仿宋_GB2312" w:eastAsia="仿宋_GB2312" w:cs="仿宋_GB2312"/>
          <w:b/>
          <w:bCs/>
          <w:color w:val="000000"/>
          <w:sz w:val="24"/>
          <w:szCs w:val="24"/>
          <w:highlight w:val="cyan"/>
        </w:rPr>
        <w:t>投标条件</w:t>
      </w:r>
    </w:p>
    <w:p>
      <w:pPr>
        <w:pStyle w:val="22"/>
        <w:spacing w:line="360" w:lineRule="auto"/>
        <w:ind w:firstLine="480"/>
        <w:rPr>
          <w:rFonts w:hint="eastAsia" w:ascii="仿宋_GB2312" w:hAnsi="仿宋_GB2312" w:eastAsia="仿宋_GB2312" w:cs="仿宋_GB2312"/>
          <w:b/>
          <w:color w:val="000000"/>
          <w:sz w:val="24"/>
          <w:szCs w:val="24"/>
        </w:rPr>
      </w:pPr>
      <w:r>
        <w:rPr>
          <w:rFonts w:hint="eastAsia" w:ascii="仿宋_GB2312" w:hAnsi="仿宋_GB2312" w:eastAsia="仿宋_GB2312" w:cs="仿宋_GB2312"/>
          <w:b/>
          <w:bCs/>
          <w:color w:val="000000"/>
          <w:sz w:val="24"/>
          <w:szCs w:val="24"/>
          <w:highlight w:val="cyan"/>
        </w:rPr>
        <w:t>对于中国境内投标人，投标条件详见招标文件“第一部分投标须知前附表1.6”。</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3.报价</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3.1评标流程以及规则详见本部分第六条评标原则。</w:t>
      </w:r>
    </w:p>
    <w:p>
      <w:pPr>
        <w:spacing w:line="360" w:lineRule="auto"/>
        <w:ind w:firstLine="235" w:firstLineChars="98"/>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投标人自行勘察现场，进行合理报价。投标总报价应包括设备费、原厂服务费及相关配件、随机资料、保险、税费、运杂、安装调试、与其他专业配合及可预见的风险以及其它不可预见等全部费用。</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w:t>
      </w:r>
      <w:r>
        <w:rPr>
          <w:rFonts w:hint="eastAsia" w:ascii="仿宋_GB2312" w:hAnsi="仿宋_GB2312" w:eastAsia="仿宋_GB2312" w:cs="仿宋_GB2312"/>
          <w:b/>
          <w:bCs/>
          <w:color w:val="000000"/>
          <w:sz w:val="24"/>
          <w:szCs w:val="24"/>
        </w:rPr>
        <w:t>所有设备的报价货币单位为：</w:t>
      </w:r>
      <w:r>
        <w:rPr>
          <w:rFonts w:hint="eastAsia" w:ascii="仿宋_GB2312" w:hAnsi="仿宋_GB2312" w:eastAsia="仿宋_GB2312" w:cs="仿宋_GB2312"/>
          <w:b/>
          <w:bCs/>
          <w:color w:val="000000"/>
          <w:sz w:val="24"/>
          <w:szCs w:val="24"/>
          <w:u w:val="single"/>
        </w:rPr>
        <w:t xml:space="preserve">         </w:t>
      </w:r>
      <w:r>
        <w:rPr>
          <w:rFonts w:hint="eastAsia" w:ascii="仿宋_GB2312" w:hAnsi="仿宋_GB2312" w:eastAsia="仿宋_GB2312" w:cs="仿宋_GB2312"/>
          <w:b/>
          <w:bCs/>
          <w:color w:val="000000"/>
          <w:sz w:val="24"/>
          <w:szCs w:val="24"/>
        </w:rPr>
        <w:t>元【人民币（应同时报含税价和不含税价并写明税率）】。</w:t>
      </w:r>
    </w:p>
    <w:p>
      <w:pPr>
        <w:keepNext/>
        <w:keepLines/>
        <w:spacing w:line="360" w:lineRule="auto"/>
        <w:ind w:firstLine="482" w:firstLineChars="200"/>
        <w:outlineLvl w:val="2"/>
        <w:rPr>
          <w:rFonts w:hint="eastAsia" w:ascii="仿宋_GB2312" w:hAnsi="仿宋_GB2312" w:eastAsia="仿宋_GB2312" w:cs="仿宋_GB2312"/>
          <w:sz w:val="24"/>
          <w:szCs w:val="24"/>
        </w:rPr>
      </w:pPr>
      <w:r>
        <w:rPr>
          <w:rFonts w:hint="eastAsia" w:ascii="仿宋_GB2312" w:hAnsi="仿宋_GB2312" w:eastAsia="仿宋_GB2312" w:cs="仿宋_GB2312"/>
          <w:b/>
          <w:bCs/>
          <w:color w:val="000000"/>
          <w:sz w:val="24"/>
          <w:szCs w:val="24"/>
        </w:rPr>
        <w:t>4.设备要求：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4.1投标设备技术参数和总体要求按《技术标书》执行；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4.2设备制造完毕经出厂检验合格后方能发货；</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4.3设备包装按国家或部颁标准执行；</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4.4设备交货要求直接发货至合同指定地点，否则买方有权拒绝接受货物；</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4.5投标企业按技术规范书提报设备详细技术资料；</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4.6设备所安装的操作系统及系统开发的软件均为正版，投标人是系统软件的所有权人或已获知识产权所有权人的正式授权，对该系统软件拥有合法的知识产权或具有合法的来源，在有关知识产权中不存在任何侵犯第三方的权益；</w:t>
      </w:r>
    </w:p>
    <w:p>
      <w:pPr>
        <w:pStyle w:val="22"/>
        <w:spacing w:line="360" w:lineRule="auto"/>
        <w:ind w:firstLine="480" w:firstLineChars="200"/>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4.7设备设施颜色严格执行我公司企业标准《设备设施颜色标识》（Q/ZZ30070</w:t>
      </w:r>
    </w:p>
    <w:p>
      <w:pPr>
        <w:pStyle w:val="22"/>
        <w:spacing w:line="360" w:lineRule="auto"/>
        <w:rPr>
          <w:rFonts w:hint="eastAsia" w:ascii="仿宋_GB2312" w:hAnsi="仿宋_GB2312" w:eastAsia="仿宋_GB2312" w:cs="仿宋_GB2312"/>
          <w:color w:val="000000"/>
          <w:sz w:val="24"/>
          <w:szCs w:val="24"/>
          <w:highlight w:val="yellow"/>
        </w:rPr>
      </w:pPr>
      <w:r>
        <w:rPr>
          <w:rFonts w:hint="eastAsia" w:ascii="仿宋_GB2312" w:hAnsi="仿宋_GB2312" w:eastAsia="仿宋_GB2312" w:cs="仿宋_GB2312"/>
          <w:color w:val="000000"/>
          <w:sz w:val="24"/>
          <w:szCs w:val="24"/>
          <w:highlight w:val="yellow"/>
        </w:rPr>
        <w:t>—2020）。</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5.其他要求</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包装、运输、检验、交付、安装、调试、培训、结算、质保及售后服务等，按《技术标书》要求，在标书中列示说明，最终以合同约定为准。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6.询标</w:t>
      </w:r>
    </w:p>
    <w:p>
      <w:pPr>
        <w:keepNext/>
        <w:keepLines/>
        <w:spacing w:line="360" w:lineRule="auto"/>
        <w:ind w:firstLine="480" w:firstLineChars="200"/>
        <w:rPr>
          <w:rFonts w:hint="eastAsia" w:ascii="仿宋_GB2312" w:hAnsi="仿宋_GB2312" w:eastAsia="仿宋_GB2312" w:cs="仿宋_GB2312"/>
          <w:b/>
          <w:bCs/>
          <w:color w:val="000000"/>
          <w:sz w:val="24"/>
          <w:szCs w:val="24"/>
        </w:rPr>
      </w:pPr>
      <w:r>
        <w:rPr>
          <w:rFonts w:hint="eastAsia" w:ascii="仿宋_GB2312" w:hAnsi="仿宋_GB2312" w:eastAsia="仿宋_GB2312" w:cs="仿宋_GB2312"/>
          <w:color w:val="000000"/>
          <w:sz w:val="24"/>
          <w:szCs w:val="24"/>
        </w:rPr>
        <w:t>凡对本次招标提出的询问，均以招标人的书面答复为准。</w:t>
      </w:r>
    </w:p>
    <w:p>
      <w:pPr>
        <w:pStyle w:val="3"/>
        <w:rPr>
          <w:rFonts w:hint="eastAsia" w:ascii="仿宋_GB2312" w:hAnsi="仿宋_GB2312" w:eastAsia="仿宋_GB2312" w:cs="仿宋_GB2312"/>
          <w:sz w:val="36"/>
          <w:szCs w:val="36"/>
        </w:rPr>
      </w:pPr>
      <w:bookmarkStart w:id="18" w:name="_Toc29561"/>
      <w:r>
        <w:rPr>
          <w:rFonts w:hint="eastAsia" w:ascii="仿宋_GB2312" w:hAnsi="仿宋_GB2312" w:eastAsia="仿宋_GB2312" w:cs="仿宋_GB2312"/>
          <w:sz w:val="36"/>
          <w:szCs w:val="36"/>
        </w:rPr>
        <w:t>五、议程安排</w:t>
      </w:r>
      <w:bookmarkEnd w:id="18"/>
    </w:p>
    <w:p>
      <w:pPr>
        <w:keepNext/>
        <w:keepLines/>
        <w:spacing w:line="360" w:lineRule="auto"/>
        <w:ind w:firstLine="482" w:firstLineChars="200"/>
        <w:outlineLvl w:val="2"/>
        <w:rPr>
          <w:rFonts w:hint="eastAsia" w:ascii="仿宋_GB2312" w:hAnsi="仿宋_GB2312" w:eastAsia="仿宋_GB2312" w:cs="仿宋_GB2312"/>
          <w:color w:val="000000"/>
          <w:sz w:val="24"/>
          <w:szCs w:val="24"/>
        </w:rPr>
      </w:pPr>
      <w:r>
        <w:rPr>
          <w:rFonts w:hint="eastAsia" w:ascii="仿宋_GB2312" w:hAnsi="仿宋_GB2312" w:eastAsia="仿宋_GB2312" w:cs="仿宋_GB2312"/>
          <w:b/>
          <w:bCs/>
          <w:color w:val="000000"/>
          <w:sz w:val="24"/>
          <w:szCs w:val="24"/>
        </w:rPr>
        <w:t>1.发标时间</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见《投标须知前附表》2.1。</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2.发标方式</w:t>
      </w:r>
    </w:p>
    <w:p>
      <w:pPr>
        <w:spacing w:line="360" w:lineRule="auto"/>
        <w:ind w:firstLine="480" w:firstLineChars="200"/>
        <w:rPr>
          <w:rFonts w:hint="eastAsia" w:ascii="仿宋_GB2312" w:hAnsi="仿宋_GB2312" w:eastAsia="仿宋_GB2312" w:cs="仿宋_GB2312"/>
          <w:color w:val="000000"/>
          <w:sz w:val="24"/>
          <w:szCs w:val="24"/>
          <w:highlight w:val="green"/>
        </w:rPr>
      </w:pPr>
      <w:r>
        <w:rPr>
          <w:rFonts w:hint="eastAsia" w:ascii="仿宋_GB2312" w:hAnsi="仿宋_GB2312" w:eastAsia="仿宋_GB2312" w:cs="仿宋_GB2312"/>
          <w:sz w:val="24"/>
          <w:szCs w:val="24"/>
          <w:highlight w:val="green"/>
        </w:rPr>
        <w:t>中国重汽官网</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3.答疑</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见《投标须知前附表》第二条，逾期不受理。</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4.投标报名</w:t>
      </w:r>
    </w:p>
    <w:p>
      <w:pPr>
        <w:keepNext/>
        <w:keepLines/>
        <w:spacing w:line="360" w:lineRule="auto"/>
        <w:ind w:firstLine="482"/>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4.1投标人在报名参与本项目的同时，应提供项目投标保证金。投标保证金应在规定的时间前将投标保证金从投标人单位基本帐户转出并到账，否则按否决投标处理；未按规定提交保证金的投标人，其投标文件按否决投标处理。（保证金具体金额及缴纳截止时间见《投标须知前附表》4.2和4.3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4.2招标人银行账户信息如下：见《投标须知前附表》4.2。</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转账附言：公司名称+项目名称+投标保证金；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对于没有中标的投标人，投标保证金将于招标人内部完成中标人评审并确认最终中标人后在45工作日内予以原路返还（无息）；对于中标方，投标保证金将在签订合同后45个工作日内原路返还（无息）；</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4.3说明</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4.3.1 投标人在向招标人出示《投标保证金缴纳凭证》后方可进行投标；</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 发生以下情况时，招标人有权没收保证金：</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4.3.2.1 截至开标前3天，投标人无正当理由且未以书面形式递交说明而在投标截止日不来投标的；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4.3.2.2 投标人递送投标文件后，无正当理由放弃投标的；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4.3.2.3若为视频开标，招标过程中澄清函等资料原件未按要求提交的；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4.3.2.4自中标通知书发出之日起30日内，中标人无正当理由不签订合同的；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4.3.2.5供应商在响应文件中提供虚假材料的；</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4.3.2.6投标人在投标过程中被查实有串标、围标、陪标等违规违纪行为的；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4.3.2.7投标人有违约违规行为或被投诉、举报的，在调查处理期间，保证金暂不退还，待调查处理结束后按有关规定处理。</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4.4投标报名截止时间</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报名方式：见《投标须知前附表》2.3。</w:t>
      </w:r>
    </w:p>
    <w:p>
      <w:pPr>
        <w:pStyle w:val="117"/>
        <w:ind w:firstLine="480"/>
        <w:rPr>
          <w:rFonts w:hint="eastAsia" w:ascii="仿宋_GB2312" w:hAnsi="仿宋_GB2312" w:eastAsia="仿宋_GB2312" w:cs="仿宋_GB2312"/>
        </w:rPr>
      </w:pPr>
      <w:r>
        <w:rPr>
          <w:rFonts w:hint="eastAsia" w:ascii="仿宋_GB2312" w:hAnsi="仿宋_GB2312" w:eastAsia="仿宋_GB2312" w:cs="仿宋_GB2312"/>
        </w:rPr>
        <w:t>报名提交资料：</w:t>
      </w:r>
      <w:r>
        <w:rPr>
          <w:rFonts w:hint="eastAsia" w:ascii="仿宋_GB2312" w:hAnsi="仿宋_GB2312" w:eastAsia="仿宋_GB2312" w:cs="仿宋_GB2312"/>
          <w:highlight w:val="yellow"/>
        </w:rPr>
        <w:t>均为盖章电子扫描版，用“公司名称+文件名称”命名</w:t>
      </w:r>
      <w:r>
        <w:rPr>
          <w:rFonts w:hint="eastAsia" w:ascii="仿宋_GB2312" w:hAnsi="仿宋_GB2312" w:eastAsia="仿宋_GB2312" w:cs="仿宋_GB2312"/>
        </w:rPr>
        <w:t>。</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如果是授权委托人投标，</w:t>
      </w:r>
      <w:r>
        <w:rPr>
          <w:rFonts w:hint="eastAsia" w:ascii="仿宋_GB2312" w:hAnsi="仿宋_GB2312" w:eastAsia="仿宋_GB2312" w:cs="仿宋_GB2312"/>
          <w:color w:val="000000"/>
          <w:sz w:val="24"/>
          <w:szCs w:val="24"/>
        </w:rPr>
        <w:t>要提交营业执照副本、法人授权委托书（含法人及授权人身份信息证明、授权代表联系方式）。</w:t>
      </w:r>
    </w:p>
    <w:p>
      <w:pPr>
        <w:numPr>
          <w:ilvl w:val="0"/>
          <w:numId w:val="4"/>
        </w:numPr>
        <w:spacing w:line="360" w:lineRule="auto"/>
        <w:rPr>
          <w:rFonts w:hint="eastAsia" w:ascii="仿宋_GB2312" w:hAnsi="仿宋_GB2312" w:eastAsia="仿宋_GB2312" w:cs="仿宋_GB2312"/>
          <w:color w:val="000000"/>
          <w:sz w:val="24"/>
          <w:szCs w:val="24"/>
        </w:rPr>
      </w:pPr>
      <w:r>
        <w:rPr>
          <w:rFonts w:hint="eastAsia" w:ascii="仿宋_GB2312" w:hAnsi="仿宋_GB2312" w:eastAsia="仿宋_GB2312" w:cs="仿宋_GB2312"/>
          <w:b/>
          <w:color w:val="000000"/>
          <w:sz w:val="24"/>
          <w:szCs w:val="24"/>
        </w:rPr>
        <w:t>如果是法人参加投标</w:t>
      </w:r>
      <w:r>
        <w:rPr>
          <w:rFonts w:hint="eastAsia" w:ascii="仿宋_GB2312" w:hAnsi="仿宋_GB2312" w:eastAsia="仿宋_GB2312" w:cs="仿宋_GB2312"/>
          <w:color w:val="000000"/>
          <w:sz w:val="24"/>
          <w:szCs w:val="24"/>
        </w:rPr>
        <w:t>，要提交营业执照副本、法人代表证明文件。</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5.开标时间</w:t>
      </w:r>
    </w:p>
    <w:p>
      <w:pPr>
        <w:keepNext/>
        <w:keepLines/>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见《投标须知前附表》5.1，若有变动另行通知。</w:t>
      </w:r>
    </w:p>
    <w:p>
      <w:pPr>
        <w:keepNext/>
        <w:keepLines/>
        <w:spacing w:line="360" w:lineRule="auto"/>
        <w:ind w:firstLine="482" w:firstLineChars="200"/>
        <w:outlineLvl w:val="2"/>
        <w:rPr>
          <w:rFonts w:hint="eastAsia" w:ascii="仿宋_GB2312" w:hAnsi="仿宋_GB2312" w:eastAsia="仿宋_GB2312" w:cs="仿宋_GB2312"/>
          <w:b/>
          <w:bCs/>
          <w:color w:val="000000"/>
          <w:sz w:val="24"/>
          <w:szCs w:val="24"/>
        </w:rPr>
      </w:pPr>
      <w:r>
        <w:rPr>
          <w:rFonts w:hint="eastAsia" w:ascii="仿宋_GB2312" w:hAnsi="仿宋_GB2312" w:eastAsia="仿宋_GB2312" w:cs="仿宋_GB2312"/>
          <w:b/>
          <w:bCs/>
          <w:color w:val="000000"/>
          <w:sz w:val="24"/>
          <w:szCs w:val="24"/>
        </w:rPr>
        <w:t>6.开标方式</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highlight w:val="yellow"/>
        </w:rPr>
        <w:t>原则上来现场参与开标。</w:t>
      </w:r>
      <w:r>
        <w:rPr>
          <w:rFonts w:hint="eastAsia" w:ascii="宋体" w:hAnsi="宋体" w:eastAsia="宋体" w:cs="宋体"/>
          <w:color w:val="000000"/>
          <w:sz w:val="24"/>
          <w:szCs w:val="24"/>
          <w:highlight w:val="yellow"/>
          <w:lang w:eastAsia="zh-CN"/>
        </w:rPr>
        <w:t>（</w:t>
      </w:r>
      <w:r>
        <w:rPr>
          <w:rFonts w:hint="eastAsia" w:ascii="宋体" w:hAnsi="宋体" w:eastAsia="宋体" w:cs="宋体"/>
          <w:color w:val="000000"/>
          <w:sz w:val="24"/>
          <w:szCs w:val="24"/>
          <w:highlight w:val="yellow"/>
          <w:lang w:val="en-US" w:eastAsia="zh-CN"/>
        </w:rPr>
        <w:t>具体以实际通知为准</w:t>
      </w:r>
      <w:r>
        <w:rPr>
          <w:rFonts w:hint="eastAsia" w:ascii="宋体" w:hAnsi="宋体" w:eastAsia="宋体" w:cs="宋体"/>
          <w:color w:val="000000"/>
          <w:sz w:val="24"/>
          <w:szCs w:val="24"/>
          <w:highlight w:val="yellow"/>
          <w:lang w:eastAsia="zh-CN"/>
        </w:rPr>
        <w:t>）</w:t>
      </w:r>
    </w:p>
    <w:p>
      <w:pPr>
        <w:pStyle w:val="3"/>
        <w:rPr>
          <w:rFonts w:hint="eastAsia" w:ascii="仿宋_GB2312" w:hAnsi="仿宋_GB2312" w:eastAsia="仿宋_GB2312" w:cs="仿宋_GB2312"/>
          <w:sz w:val="36"/>
          <w:szCs w:val="36"/>
        </w:rPr>
      </w:pPr>
      <w:bookmarkStart w:id="19" w:name="_Toc33266914"/>
      <w:bookmarkStart w:id="20" w:name="_Toc33266627"/>
      <w:bookmarkStart w:id="21" w:name="_Toc33265752"/>
      <w:bookmarkStart w:id="22" w:name="_Toc33266950"/>
      <w:bookmarkStart w:id="23" w:name="_Toc33265653"/>
      <w:bookmarkStart w:id="24" w:name="_Toc33267001"/>
      <w:bookmarkStart w:id="25" w:name="_Toc30534"/>
      <w:bookmarkStart w:id="26" w:name="_Toc33285487"/>
      <w:r>
        <w:rPr>
          <w:rFonts w:hint="eastAsia" w:ascii="仿宋_GB2312" w:hAnsi="仿宋_GB2312" w:eastAsia="仿宋_GB2312" w:cs="仿宋_GB2312"/>
          <w:sz w:val="36"/>
          <w:szCs w:val="36"/>
        </w:rPr>
        <w:t>六、评价原则</w:t>
      </w:r>
      <w:bookmarkEnd w:id="19"/>
      <w:bookmarkEnd w:id="20"/>
      <w:bookmarkEnd w:id="21"/>
      <w:bookmarkEnd w:id="22"/>
      <w:bookmarkEnd w:id="23"/>
      <w:bookmarkEnd w:id="24"/>
      <w:bookmarkEnd w:id="25"/>
      <w:bookmarkEnd w:id="26"/>
      <w:bookmarkStart w:id="27" w:name="_Toc395116633"/>
    </w:p>
    <w:bookmarkEnd w:id="27"/>
    <w:p>
      <w:pPr>
        <w:adjustRightInd w:val="0"/>
        <w:snapToGrid w:val="0"/>
        <w:spacing w:line="360" w:lineRule="auto"/>
        <w:ind w:firstLine="480" w:firstLineChars="200"/>
        <w:rPr>
          <w:rFonts w:hint="eastAsia" w:ascii="仿宋_GB2312" w:hAnsi="仿宋_GB2312" w:eastAsia="仿宋_GB2312" w:cs="仿宋_GB2312"/>
          <w:b/>
          <w:color w:val="000000"/>
          <w:sz w:val="24"/>
          <w:szCs w:val="24"/>
          <w:highlight w:val="green"/>
        </w:rPr>
      </w:pPr>
      <w:r>
        <w:rPr>
          <w:rFonts w:hint="eastAsia" w:ascii="仿宋_GB2312" w:hAnsi="仿宋_GB2312" w:eastAsia="仿宋_GB2312" w:cs="仿宋_GB2312"/>
          <w:sz w:val="24"/>
          <w:szCs w:val="24"/>
          <w:highlight w:val="green"/>
        </w:rPr>
        <w:t>本次招标采用</w:t>
      </w:r>
      <w:bookmarkStart w:id="28" w:name="_Toc395116634"/>
      <w:bookmarkStart w:id="29" w:name="_Toc33265654"/>
      <w:bookmarkStart w:id="30" w:name="_Toc33267002"/>
      <w:bookmarkStart w:id="31" w:name="_Toc33265753"/>
      <w:bookmarkStart w:id="32" w:name="_Toc33285489"/>
      <w:bookmarkStart w:id="33" w:name="_Toc33266951"/>
      <w:bookmarkStart w:id="34" w:name="_Toc33266628"/>
      <w:bookmarkStart w:id="35" w:name="_Toc33266915"/>
      <w:r>
        <w:rPr>
          <w:rFonts w:hint="eastAsia" w:ascii="仿宋_GB2312" w:hAnsi="仿宋_GB2312" w:eastAsia="仿宋_GB2312" w:cs="仿宋_GB2312"/>
          <w:b/>
          <w:sz w:val="24"/>
          <w:szCs w:val="24"/>
          <w:highlight w:val="green"/>
        </w:rPr>
        <w:t>技术标入围后，原则上</w:t>
      </w:r>
      <w:r>
        <w:rPr>
          <w:rFonts w:hint="eastAsia" w:ascii="仿宋_GB2312" w:hAnsi="仿宋_GB2312" w:eastAsia="仿宋_GB2312" w:cs="仿宋_GB2312"/>
          <w:b/>
          <w:bCs/>
          <w:sz w:val="24"/>
          <w:szCs w:val="24"/>
          <w:highlight w:val="green"/>
        </w:rPr>
        <w:t>合理最低价</w:t>
      </w:r>
      <w:r>
        <w:rPr>
          <w:rFonts w:hint="eastAsia" w:ascii="仿宋_GB2312" w:hAnsi="仿宋_GB2312" w:eastAsia="仿宋_GB2312" w:cs="仿宋_GB2312"/>
          <w:b/>
          <w:sz w:val="24"/>
          <w:szCs w:val="24"/>
          <w:highlight w:val="green"/>
        </w:rPr>
        <w:t>中标</w:t>
      </w:r>
      <w:r>
        <w:rPr>
          <w:rFonts w:hint="eastAsia" w:ascii="仿宋_GB2312" w:hAnsi="仿宋_GB2312" w:eastAsia="仿宋_GB2312" w:cs="仿宋_GB2312"/>
          <w:sz w:val="24"/>
          <w:szCs w:val="24"/>
          <w:highlight w:val="green"/>
        </w:rPr>
        <w:t>。</w:t>
      </w:r>
      <w:r>
        <w:rPr>
          <w:rFonts w:hint="eastAsia" w:ascii="仿宋_GB2312" w:hAnsi="仿宋_GB2312" w:eastAsia="仿宋_GB2312" w:cs="仿宋_GB2312"/>
          <w:color w:val="000000"/>
          <w:sz w:val="24"/>
          <w:szCs w:val="24"/>
          <w:highlight w:val="green"/>
        </w:rPr>
        <w:t>本着公平、公正、公开的原则，在满足技术要求的前提下，选择合理最低价确定中标人</w:t>
      </w:r>
      <w:r>
        <w:rPr>
          <w:rFonts w:hint="eastAsia" w:ascii="仿宋_GB2312" w:hAnsi="仿宋_GB2312" w:eastAsia="仿宋_GB2312" w:cs="仿宋_GB2312"/>
          <w:b/>
          <w:color w:val="000000"/>
          <w:sz w:val="24"/>
          <w:szCs w:val="24"/>
          <w:highlight w:val="green"/>
        </w:rPr>
        <w:t>，对未中标单位不做任何解释。</w:t>
      </w:r>
    </w:p>
    <w:bookmarkEnd w:id="28"/>
    <w:bookmarkEnd w:id="29"/>
    <w:bookmarkEnd w:id="30"/>
    <w:bookmarkEnd w:id="31"/>
    <w:bookmarkEnd w:id="32"/>
    <w:bookmarkEnd w:id="33"/>
    <w:bookmarkEnd w:id="34"/>
    <w:bookmarkEnd w:id="35"/>
    <w:p>
      <w:pPr>
        <w:spacing w:line="360" w:lineRule="auto"/>
        <w:ind w:firstLine="482" w:firstLineChars="200"/>
        <w:rPr>
          <w:rFonts w:hint="eastAsia" w:ascii="仿宋_GB2312" w:hAnsi="仿宋_GB2312" w:eastAsia="仿宋_GB2312" w:cs="仿宋_GB2312"/>
          <w:b/>
          <w:color w:val="000000"/>
          <w:sz w:val="24"/>
          <w:szCs w:val="24"/>
        </w:rPr>
      </w:pPr>
      <w:bookmarkStart w:id="36" w:name="_Toc28416"/>
      <w:r>
        <w:rPr>
          <w:rFonts w:hint="eastAsia" w:ascii="仿宋_GB2312" w:hAnsi="仿宋_GB2312" w:eastAsia="仿宋_GB2312" w:cs="仿宋_GB2312"/>
          <w:b/>
          <w:color w:val="000000"/>
          <w:sz w:val="24"/>
          <w:szCs w:val="24"/>
        </w:rPr>
        <w:t>评标流程：</w:t>
      </w:r>
    </w:p>
    <w:p>
      <w:pPr>
        <w:pStyle w:val="22"/>
        <w:spacing w:line="360" w:lineRule="auto"/>
        <w:ind w:firstLine="482" w:firstLineChars="200"/>
        <w:rPr>
          <w:rFonts w:hint="default" w:ascii="仿宋_GB2312" w:hAnsi="仿宋_GB2312" w:eastAsia="仿宋_GB2312" w:cs="仿宋_GB2312"/>
          <w:b/>
          <w:color w:val="000000"/>
          <w:sz w:val="24"/>
          <w:szCs w:val="24"/>
          <w:lang w:val="en-US" w:eastAsia="zh-CN"/>
        </w:rPr>
      </w:pPr>
      <w:r>
        <w:rPr>
          <w:rFonts w:hint="eastAsia" w:ascii="仿宋_GB2312" w:hAnsi="仿宋_GB2312" w:eastAsia="仿宋_GB2312" w:cs="仿宋_GB2312"/>
          <w:b/>
          <w:color w:val="000000"/>
          <w:sz w:val="24"/>
          <w:szCs w:val="24"/>
          <w:lang w:val="en-US" w:eastAsia="zh-CN"/>
        </w:rPr>
        <w:t>1.合理最低价评标：</w:t>
      </w:r>
    </w:p>
    <w:p>
      <w:pPr>
        <w:pStyle w:val="22"/>
        <w:spacing w:line="360" w:lineRule="auto"/>
        <w:ind w:firstLine="482" w:firstLineChars="200"/>
        <w:rPr>
          <w:rFonts w:hint="eastAsia" w:ascii="仿宋_GB2312" w:hAnsi="仿宋_GB2312" w:eastAsia="仿宋_GB2312" w:cs="仿宋_GB2312"/>
          <w:sz w:val="24"/>
          <w:szCs w:val="24"/>
        </w:rPr>
      </w:pPr>
      <w:r>
        <w:rPr>
          <w:rFonts w:hint="eastAsia" w:ascii="仿宋_GB2312" w:hAnsi="仿宋_GB2312" w:eastAsia="仿宋_GB2312" w:cs="仿宋_GB2312"/>
          <w:b/>
          <w:color w:val="000000"/>
          <w:sz w:val="24"/>
          <w:szCs w:val="24"/>
        </w:rPr>
        <w:t>投标文件包含《投标文件（资质标）》、《投标文件（技术标）》、《投标文件（商务标）》（开标一览表），共计三个文件。</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应标资格审查：在“中国重汽e采通”应标报名时，</w:t>
      </w:r>
      <w:r>
        <w:rPr>
          <w:rFonts w:hint="eastAsia" w:ascii="仿宋_GB2312" w:hAnsi="仿宋_GB2312" w:eastAsia="仿宋_GB2312" w:cs="仿宋_GB2312"/>
          <w:b/>
          <w:bCs/>
          <w:color w:val="000000"/>
          <w:sz w:val="24"/>
          <w:szCs w:val="24"/>
        </w:rPr>
        <w:t>按照第三部分第三条投标文件组成资格证明文件中的</w:t>
      </w:r>
      <w:r>
        <w:rPr>
          <w:rFonts w:hint="eastAsia" w:ascii="仿宋_GB2312" w:hAnsi="仿宋_GB2312" w:eastAsia="仿宋_GB2312" w:cs="仿宋_GB2312"/>
          <w:b/>
          <w:bCs/>
          <w:color w:val="000000"/>
          <w:sz w:val="24"/>
          <w:szCs w:val="24"/>
          <w:highlight w:val="green"/>
        </w:rPr>
        <w:t>1.1-1.1</w:t>
      </w:r>
      <w:r>
        <w:rPr>
          <w:rFonts w:hint="eastAsia" w:ascii="仿宋_GB2312" w:hAnsi="仿宋_GB2312" w:eastAsia="仿宋_GB2312" w:cs="仿宋_GB2312"/>
          <w:b/>
          <w:bCs/>
          <w:color w:val="000000"/>
          <w:sz w:val="24"/>
          <w:szCs w:val="24"/>
          <w:highlight w:val="green"/>
          <w:lang w:val="en-US" w:eastAsia="zh-CN"/>
        </w:rPr>
        <w:t>1</w:t>
      </w:r>
      <w:r>
        <w:rPr>
          <w:rFonts w:hint="eastAsia" w:ascii="仿宋_GB2312" w:hAnsi="仿宋_GB2312" w:eastAsia="仿宋_GB2312" w:cs="仿宋_GB2312"/>
          <w:b/>
          <w:bCs/>
          <w:color w:val="000000"/>
          <w:sz w:val="24"/>
          <w:szCs w:val="24"/>
        </w:rPr>
        <w:t>准备资料，上传完毕后，等待审核</w:t>
      </w:r>
      <w:r>
        <w:rPr>
          <w:rFonts w:hint="eastAsia" w:ascii="仿宋_GB2312" w:hAnsi="仿宋_GB2312" w:eastAsia="仿宋_GB2312" w:cs="仿宋_GB2312"/>
          <w:b/>
          <w:color w:val="000000"/>
          <w:sz w:val="24"/>
          <w:szCs w:val="24"/>
        </w:rPr>
        <w:t>；</w:t>
      </w:r>
    </w:p>
    <w:p>
      <w:pPr>
        <w:numPr>
          <w:ilvl w:val="0"/>
          <w:numId w:val="6"/>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通过应标资格审查的单位进入投标环节，按照“SRM系统供应商用户手册（附件15）”，在重汽e采通平台投递电子标书（包含资质标、技术标、商务标）；没有通过应标资质审查的单位不能进入投标环节；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sz w:val="24"/>
          <w:szCs w:val="24"/>
        </w:rPr>
        <w:t>资质标评审：资质标审核通过的单位，可以进入</w:t>
      </w:r>
      <w:r>
        <w:rPr>
          <w:rFonts w:hint="eastAsia" w:ascii="仿宋_GB2312" w:hAnsi="仿宋_GB2312" w:eastAsia="仿宋_GB2312" w:cs="仿宋_GB2312"/>
          <w:b/>
          <w:color w:val="000000"/>
          <w:sz w:val="24"/>
          <w:szCs w:val="24"/>
        </w:rPr>
        <w:t>公开唱标环节；</w:t>
      </w:r>
    </w:p>
    <w:p>
      <w:pPr>
        <w:numPr>
          <w:ilvl w:val="0"/>
          <w:numId w:val="5"/>
        </w:numPr>
        <w:spacing w:line="360" w:lineRule="auto"/>
        <w:rPr>
          <w:rFonts w:hint="eastAsia" w:ascii="仿宋_GB2312" w:hAnsi="仿宋_GB2312" w:eastAsia="仿宋_GB2312" w:cs="仿宋_GB2312"/>
          <w:b/>
          <w:color w:val="000000"/>
          <w:sz w:val="24"/>
          <w:szCs w:val="24"/>
        </w:rPr>
      </w:pPr>
      <w:r>
        <w:rPr>
          <w:rFonts w:hint="eastAsia" w:ascii="仿宋_GB2312" w:hAnsi="仿宋_GB2312" w:eastAsia="仿宋_GB2312" w:cs="仿宋_GB2312"/>
          <w:b/>
          <w:color w:val="000000"/>
          <w:sz w:val="24"/>
          <w:szCs w:val="24"/>
        </w:rPr>
        <w:t>公开唱标：公示资质标入围单位的开标价格及商务条款响应情况；</w:t>
      </w:r>
    </w:p>
    <w:p>
      <w:pPr>
        <w:numPr>
          <w:ilvl w:val="0"/>
          <w:numId w:val="7"/>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color w:val="000000"/>
          <w:sz w:val="24"/>
          <w:szCs w:val="24"/>
        </w:rPr>
        <w:t>技术标评审</w:t>
      </w:r>
      <w:r>
        <w:rPr>
          <w:rFonts w:hint="eastAsia" w:ascii="仿宋_GB2312" w:hAnsi="仿宋_GB2312" w:eastAsia="仿宋_GB2312" w:cs="仿宋_GB2312"/>
          <w:b/>
          <w:sz w:val="24"/>
          <w:szCs w:val="24"/>
        </w:rPr>
        <w:t>：技术标评标专家组，通过重汽e采通，对各投标人的《投标文件（技术标）》进行评审；评审期间产生的技术澄清均由投标人在重汽e采通平台内完成提交；评审合格的单位进入商务标评审环节，评审不合格的单位被淘汰；</w:t>
      </w:r>
    </w:p>
    <w:p>
      <w:pPr>
        <w:numPr>
          <w:ilvl w:val="0"/>
          <w:numId w:val="8"/>
        </w:numPr>
        <w:spacing w:line="360" w:lineRule="auto"/>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商务标评审：公开唱标→商务条款相应确认→价格澄清→商务标评审；评审期间产生的商务价格澄清均由投标人在重汽e采通平台限时内完成提交；</w:t>
      </w:r>
    </w:p>
    <w:p>
      <w:pPr>
        <w:numPr>
          <w:ilvl w:val="255"/>
          <w:numId w:val="0"/>
        </w:num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注意：投标人均需要自带笔记本电脑在重汽e采通进行自主投标和提交澄清函；投标和提交澄清函均有时间限制，超时未提交的按无效处理。</w:t>
      </w:r>
    </w:p>
    <w:p>
      <w:pPr>
        <w:adjustRightInd w:val="0"/>
        <w:snapToGrid w:val="0"/>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中标人确定：技术标入围后，</w:t>
      </w:r>
      <w:r>
        <w:rPr>
          <w:rFonts w:hint="eastAsia" w:ascii="仿宋_GB2312" w:hAnsi="仿宋_GB2312" w:eastAsia="仿宋_GB2312" w:cs="仿宋_GB2312"/>
          <w:b/>
          <w:sz w:val="24"/>
          <w:szCs w:val="24"/>
          <w:highlight w:val="green"/>
          <w:lang w:val="en-US" w:eastAsia="zh-CN"/>
        </w:rPr>
        <w:t>原则上合理最低价确定中标</w:t>
      </w:r>
      <w:r>
        <w:rPr>
          <w:rFonts w:hint="eastAsia" w:ascii="仿宋_GB2312" w:hAnsi="仿宋_GB2312" w:eastAsia="仿宋_GB2312" w:cs="仿宋_GB2312"/>
          <w:b/>
          <w:sz w:val="24"/>
          <w:szCs w:val="24"/>
        </w:rPr>
        <w:t>。</w:t>
      </w:r>
    </w:p>
    <w:p>
      <w:pPr>
        <w:pageBreakBefore w:val="0"/>
        <w:kinsoku/>
        <w:wordWrap/>
        <w:overflowPunct/>
        <w:topLinePunct w:val="0"/>
        <w:autoSpaceDE/>
        <w:autoSpaceDN/>
        <w:bidi w:val="0"/>
        <w:spacing w:line="360" w:lineRule="auto"/>
        <w:ind w:firstLine="480" w:firstLineChars="200"/>
        <w:rPr>
          <w:rFonts w:ascii="Calibri" w:hAnsi="Calibri" w:eastAsia="宋体" w:cs="Times New Roman"/>
          <w:color w:val="000000"/>
          <w:sz w:val="24"/>
          <w:szCs w:val="24"/>
        </w:rPr>
      </w:pPr>
      <w:r>
        <w:rPr>
          <w:rFonts w:hint="eastAsia" w:ascii="宋体" w:hAnsi="宋体" w:eastAsia="宋体" w:cs="宋体"/>
          <w:color w:val="000000"/>
          <w:sz w:val="24"/>
          <w:szCs w:val="24"/>
        </w:rPr>
        <w:t>本项目只产生一个中标人。中标人签订合同前须进行最终审查。最终审查的对象是投标项目的中标候选人。最终审查的内容是对中标候选人的经营状况、服务质量、资格、信誉以及招标人认为有必要了解的其它问题作进一步的考查及后审。最终审查的方式，根据需要采取问询或实地查证等方式。如审查结果不符合成交条件</w:t>
      </w:r>
      <w:r>
        <w:rPr>
          <w:rFonts w:hint="eastAsia" w:ascii="宋体" w:hAnsi="宋体" w:eastAsia="宋体" w:cs="宋体"/>
          <w:color w:val="000000"/>
          <w:sz w:val="24"/>
          <w:szCs w:val="24"/>
          <w:lang w:val="en-US" w:eastAsia="zh-CN"/>
        </w:rPr>
        <w:t>的</w:t>
      </w:r>
      <w:r>
        <w:rPr>
          <w:rFonts w:hint="eastAsia" w:ascii="宋体" w:hAnsi="宋体" w:eastAsia="宋体" w:cs="宋体"/>
          <w:color w:val="000000"/>
          <w:sz w:val="24"/>
          <w:szCs w:val="24"/>
        </w:rPr>
        <w:t>，则本次评标作废</w:t>
      </w:r>
      <w:r>
        <w:rPr>
          <w:rFonts w:hint="eastAsia" w:ascii="宋体" w:hAnsi="宋体" w:eastAsia="宋体" w:cs="宋体"/>
          <w:color w:val="000000"/>
          <w:sz w:val="24"/>
          <w:szCs w:val="24"/>
          <w:lang w:val="en-US" w:eastAsia="zh-CN"/>
        </w:rPr>
        <w:t>或</w:t>
      </w:r>
      <w:r>
        <w:rPr>
          <w:rFonts w:hint="eastAsia" w:ascii="宋体" w:hAnsi="宋体" w:eastAsia="宋体" w:cs="宋体"/>
          <w:color w:val="000000"/>
          <w:kern w:val="2"/>
          <w:sz w:val="24"/>
          <w:szCs w:val="24"/>
          <w:lang w:val="en-US" w:eastAsia="zh-CN"/>
        </w:rPr>
        <w:t>变更意向中标人</w:t>
      </w:r>
      <w:r>
        <w:rPr>
          <w:rFonts w:hint="eastAsia" w:ascii="宋体" w:hAnsi="宋体" w:eastAsia="宋体" w:cs="宋体"/>
          <w:color w:val="000000"/>
          <w:sz w:val="24"/>
          <w:szCs w:val="24"/>
          <w:lang w:eastAsia="zh-CN"/>
        </w:rPr>
        <w:t>。</w:t>
      </w:r>
    </w:p>
    <w:p>
      <w:pPr>
        <w:pStyle w:val="3"/>
        <w:rPr>
          <w:rFonts w:hint="eastAsia" w:ascii="仿宋_GB2312" w:hAnsi="仿宋_GB2312" w:eastAsia="仿宋_GB2312" w:cs="仿宋_GB2312"/>
          <w:sz w:val="36"/>
          <w:szCs w:val="36"/>
        </w:rPr>
      </w:pPr>
      <w:r>
        <w:rPr>
          <w:rFonts w:hint="eastAsia" w:ascii="仿宋_GB2312" w:hAnsi="仿宋_GB2312" w:eastAsia="仿宋_GB2312" w:cs="仿宋_GB2312"/>
          <w:sz w:val="36"/>
          <w:szCs w:val="36"/>
        </w:rPr>
        <w:t>七、合同签订</w:t>
      </w:r>
      <w:bookmarkEnd w:id="3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1.招标人根据评标工作小组的评标结果确定中标人，在重汽e采通平台公布中标结果，并发送中标通知。</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2.中标人应该在中标通知书规定的时间、地点与招标人签订采购合同，否则按照开标后撤回投标处理。</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3.中标人应当按照合同约定的履约责任，在保证质量的前提下完成中标项目，不得将中标项目转包或分包给他人，否则视为违约，招标人有权解除合同。</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4.中标人由于履行义务的能力或信用有严重缺陷，招标人有权取消其中标资格，招标人将从中标候选单位中依序重新确定中标人，或重新组织招标；</w:t>
      </w:r>
    </w:p>
    <w:p>
      <w:pPr>
        <w:spacing w:line="360" w:lineRule="auto"/>
        <w:ind w:firstLine="482" w:firstLineChars="200"/>
        <w:rPr>
          <w:rFonts w:hint="eastAsia" w:ascii="仿宋_GB2312" w:hAnsi="仿宋_GB2312" w:eastAsia="仿宋_GB2312" w:cs="仿宋_GB2312"/>
          <w:b/>
          <w:sz w:val="24"/>
          <w:szCs w:val="24"/>
        </w:rPr>
      </w:pPr>
      <w:r>
        <w:rPr>
          <w:rFonts w:hint="eastAsia" w:ascii="仿宋_GB2312" w:hAnsi="仿宋_GB2312" w:eastAsia="仿宋_GB2312" w:cs="仿宋_GB2312"/>
          <w:b/>
          <w:sz w:val="24"/>
          <w:szCs w:val="24"/>
        </w:rPr>
        <w:t>5.合同以双方最终签署的版本为准。</w:t>
      </w:r>
    </w:p>
    <w:p>
      <w:pPr>
        <w:pStyle w:val="3"/>
        <w:rPr>
          <w:rFonts w:hint="eastAsia" w:ascii="仿宋_GB2312" w:hAnsi="仿宋_GB2312" w:eastAsia="仿宋_GB2312" w:cs="仿宋_GB2312"/>
          <w:sz w:val="36"/>
          <w:szCs w:val="36"/>
        </w:rPr>
      </w:pPr>
      <w:bookmarkStart w:id="37" w:name="_Toc15650"/>
      <w:r>
        <w:rPr>
          <w:rFonts w:hint="eastAsia" w:ascii="仿宋_GB2312" w:hAnsi="仿宋_GB2312" w:eastAsia="仿宋_GB2312" w:cs="仿宋_GB2312"/>
          <w:sz w:val="36"/>
          <w:szCs w:val="36"/>
        </w:rPr>
        <w:t>八、废标及终止招标</w:t>
      </w:r>
      <w:bookmarkEnd w:id="37"/>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有下列情形之一，其投标将被视为废标，招标人将严格按照《中华人民共和国招标投标法》及相关法律、法规及规章制度的规定行使权利。投标人给招标人造成损失的，招标人有索赔的权利，投标人应予以赔偿。</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（1）投标人提供的有关资格、资质证明文件不合格、不真实或提供虚假投标材料；</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（2）投标人在报价有效期内撤回投标；</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（3）在整个评标过程中，投标人有企图影响评标结果公正性的任何活动；</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（4）投标人以任何方式诋毁其他投标人；</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（5）投标人串通投标；</w:t>
      </w:r>
    </w:p>
    <w:p>
      <w:pPr>
        <w:pStyle w:val="22"/>
        <w:spacing w:line="360" w:lineRule="auto"/>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 xml:space="preserve">    （6）投标人被举报、检举，并经招标人查实无误的；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（7）以他人名义投标或者以其他方式弄虚作假，骗取中标的；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（8）投标人负责人为同一人或者存在控股、管理关系的不同单位；</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（9）有效投标不足三家；</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（10）未按要求填报商务报价资料，对招标开展造成较大影响；</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w:t>
      </w:r>
      <w:r>
        <w:rPr>
          <w:rFonts w:hint="eastAsia" w:ascii="仿宋_GB2312" w:hAnsi="仿宋_GB2312" w:eastAsia="仿宋_GB2312" w:cs="仿宋_GB2312"/>
          <w:sz w:val="24"/>
          <w:szCs w:val="24"/>
        </w:rPr>
        <w:t>1）未按照招标人规定的时间内在中国重汽e采通完成投标的；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（12）不同投标人的投标文件异常一致；</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（13）投标报价呈规律性差异的；</w:t>
      </w:r>
    </w:p>
    <w:p>
      <w:pPr>
        <w:pStyle w:val="22"/>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（14）投标人报价均超过投标限价的；</w:t>
      </w:r>
    </w:p>
    <w:p>
      <w:pPr>
        <w:spacing w:line="360" w:lineRule="auto"/>
        <w:ind w:right="2"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（15）法律、法规规定的其他情况。</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2.出现下列情形之一，招标人有权否决所有投标人的投标，并终止招标。</w:t>
      </w:r>
    </w:p>
    <w:p>
      <w:pPr>
        <w:spacing w:line="360" w:lineRule="auto"/>
        <w:ind w:right="2" w:firstLine="480" w:firstLineChars="200"/>
        <w:rPr>
          <w:rFonts w:hint="eastAsia" w:ascii="仿宋_GB2312" w:hAnsi="仿宋_GB2312" w:eastAsia="仿宋_GB2312" w:cs="仿宋_GB2312"/>
          <w:b/>
          <w:sz w:val="24"/>
          <w:szCs w:val="24"/>
        </w:rPr>
      </w:pPr>
      <w:r>
        <w:rPr>
          <w:rFonts w:hint="eastAsia" w:ascii="仿宋_GB2312" w:hAnsi="仿宋_GB2312" w:eastAsia="仿宋_GB2312" w:cs="仿宋_GB2312"/>
          <w:sz w:val="24"/>
          <w:szCs w:val="24"/>
        </w:rPr>
        <w:t>（1）符合条件的投标人或者对招标文件做实质响应的投标人不足三家的；</w:t>
      </w:r>
    </w:p>
    <w:p>
      <w:pPr>
        <w:spacing w:line="360" w:lineRule="auto"/>
        <w:ind w:right="2"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sz w:val="24"/>
          <w:szCs w:val="24"/>
        </w:rPr>
        <w:t>（2）出现影响采购公正的违法、违规行为的；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（3）评标委员会经评审，认为所有投标都不符合招标文件要求的；</w:t>
      </w:r>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（4）因重大变故，采购任务取消的</w:t>
      </w:r>
      <w:bookmarkStart w:id="38" w:name="OLE_LINK29"/>
      <w:bookmarkStart w:id="39" w:name="OLE_LINK28"/>
      <w:bookmarkStart w:id="40" w:name="OLE_LINK25"/>
      <w:bookmarkStart w:id="41" w:name="OLE_LINK26"/>
      <w:bookmarkStart w:id="42" w:name="OLE_LINK27"/>
      <w:r>
        <w:rPr>
          <w:rFonts w:hint="eastAsia" w:ascii="仿宋_GB2312" w:hAnsi="仿宋_GB2312" w:eastAsia="仿宋_GB2312" w:cs="仿宋_GB2312"/>
          <w:bCs/>
          <w:sz w:val="24"/>
          <w:szCs w:val="24"/>
        </w:rPr>
        <w:t>；</w:t>
      </w:r>
      <w:bookmarkEnd w:id="38"/>
      <w:bookmarkEnd w:id="39"/>
      <w:bookmarkEnd w:id="40"/>
      <w:bookmarkEnd w:id="41"/>
      <w:bookmarkEnd w:id="42"/>
    </w:p>
    <w:p>
      <w:pPr>
        <w:spacing w:line="360" w:lineRule="auto"/>
        <w:ind w:right="2"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（5）投标人承诺同意由于招标人公司政策变化引起的随时终止项目的要求并承担由此带来的一切损失；</w:t>
      </w:r>
    </w:p>
    <w:p>
      <w:pPr>
        <w:pStyle w:val="22"/>
        <w:spacing w:line="360" w:lineRule="auto"/>
        <w:ind w:firstLine="480" w:firstLineChars="200"/>
        <w:rPr>
          <w:rFonts w:hint="eastAsia" w:ascii="仿宋_GB2312" w:hAnsi="仿宋_GB2312" w:eastAsia="仿宋_GB2312" w:cs="仿宋_GB2312"/>
          <w:bCs/>
          <w:sz w:val="24"/>
          <w:szCs w:val="24"/>
        </w:rPr>
      </w:pPr>
      <w:r>
        <w:rPr>
          <w:rFonts w:hint="eastAsia" w:ascii="仿宋_GB2312" w:hAnsi="仿宋_GB2312" w:eastAsia="仿宋_GB2312" w:cs="仿宋_GB2312"/>
          <w:bCs/>
          <w:sz w:val="24"/>
          <w:szCs w:val="24"/>
        </w:rPr>
        <w:t>（6）招标人认为其他应终止招标的情形。</w:t>
      </w:r>
    </w:p>
    <w:p>
      <w:pPr>
        <w:spacing w:line="360" w:lineRule="auto"/>
        <w:ind w:right="2"/>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    3.中标人瑕疵滞后发现的处理原则：无论基于何种原因，各项本应作为拒绝处理的情形，即便未被及时发现或中标人隐瞒真实情况，而使该中标人通过了资格审核、初评、现场复审、终评或其他所有相关程序，包括已发布中标通知或已签订合同的情形，招标人均有权拒绝或取消中标人资格，一旦中标人被拒绝或该中标人此前的评议结果被取消，相关的一切损失均由该中标人承担。</w:t>
      </w:r>
    </w:p>
    <w:p>
      <w:pPr>
        <w:pStyle w:val="3"/>
        <w:rPr>
          <w:rFonts w:hint="eastAsia" w:ascii="仿宋_GB2312" w:hAnsi="仿宋_GB2312" w:eastAsia="仿宋_GB2312" w:cs="仿宋_GB2312"/>
          <w:sz w:val="36"/>
          <w:szCs w:val="36"/>
        </w:rPr>
      </w:pPr>
      <w:bookmarkStart w:id="43" w:name="_Toc14012"/>
      <w:r>
        <w:rPr>
          <w:rFonts w:hint="eastAsia" w:ascii="仿宋_GB2312" w:hAnsi="仿宋_GB2312" w:eastAsia="仿宋_GB2312" w:cs="仿宋_GB2312"/>
          <w:sz w:val="36"/>
          <w:szCs w:val="36"/>
        </w:rPr>
        <w:t>九、本次招标最终解释权归中国重汽集团济南动力有限公司。</w:t>
      </w:r>
      <w:bookmarkEnd w:id="43"/>
    </w:p>
    <w:p>
      <w:pPr>
        <w:pStyle w:val="22"/>
        <w:spacing w:line="360" w:lineRule="auto"/>
        <w:jc w:val="center"/>
        <w:rPr>
          <w:rFonts w:hint="eastAsia" w:ascii="仿宋_GB2312" w:hAnsi="仿宋_GB2312" w:eastAsia="仿宋_GB2312" w:cs="仿宋_GB2312"/>
          <w:b/>
          <w:bCs/>
          <w:kern w:val="44"/>
          <w:sz w:val="24"/>
          <w:szCs w:val="24"/>
        </w:rPr>
        <w:sectPr>
          <w:footerReference r:id="rId5" w:type="default"/>
          <w:pgSz w:w="11907" w:h="16840"/>
          <w:pgMar w:top="1304" w:right="1418" w:bottom="1304" w:left="1418" w:header="724" w:footer="851" w:gutter="0"/>
          <w:cols w:space="720" w:num="1"/>
          <w:docGrid w:linePitch="290" w:charSpace="-3931"/>
        </w:sectPr>
      </w:pPr>
    </w:p>
    <w:p>
      <w:pPr>
        <w:pStyle w:val="2"/>
        <w:rPr>
          <w:rFonts w:hint="eastAsia" w:ascii="仿宋_GB2312" w:hAnsi="仿宋_GB2312" w:eastAsia="仿宋_GB2312" w:cs="仿宋_GB2312"/>
          <w:sz w:val="44"/>
        </w:rPr>
      </w:pPr>
      <w:bookmarkStart w:id="44" w:name="_Toc21022"/>
      <w:bookmarkStart w:id="45" w:name="_Toc762"/>
      <w:bookmarkStart w:id="46" w:name="_Toc2363"/>
      <w:bookmarkStart w:id="47" w:name="_Toc13479"/>
      <w:bookmarkStart w:id="48" w:name="_Toc31869"/>
      <w:bookmarkStart w:id="49" w:name="_Toc13002"/>
      <w:r>
        <w:rPr>
          <w:rFonts w:hint="eastAsia" w:ascii="仿宋_GB2312" w:hAnsi="仿宋_GB2312" w:eastAsia="仿宋_GB2312" w:cs="仿宋_GB2312"/>
          <w:sz w:val="44"/>
        </w:rPr>
        <w:t>第三部分 投标文件编制</w:t>
      </w:r>
      <w:bookmarkEnd w:id="44"/>
      <w:bookmarkEnd w:id="45"/>
      <w:bookmarkEnd w:id="46"/>
      <w:bookmarkEnd w:id="47"/>
      <w:bookmarkEnd w:id="48"/>
      <w:bookmarkEnd w:id="49"/>
    </w:p>
    <w:p>
      <w:pPr>
        <w:pStyle w:val="3"/>
        <w:rPr>
          <w:rFonts w:hint="eastAsia" w:ascii="仿宋_GB2312" w:hAnsi="仿宋_GB2312" w:eastAsia="仿宋_GB2312" w:cs="仿宋_GB2312"/>
          <w:sz w:val="36"/>
          <w:szCs w:val="36"/>
        </w:rPr>
      </w:pPr>
      <w:bookmarkStart w:id="50" w:name="_Toc2771"/>
      <w:r>
        <w:rPr>
          <w:rFonts w:hint="eastAsia" w:ascii="仿宋_GB2312" w:hAnsi="仿宋_GB2312" w:eastAsia="仿宋_GB2312" w:cs="仿宋_GB2312"/>
          <w:sz w:val="36"/>
          <w:szCs w:val="36"/>
        </w:rPr>
        <w:t>一、投标文件的编制</w:t>
      </w:r>
      <w:bookmarkEnd w:id="50"/>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1.投标人应认真阅读招标文件的所有内容，按招标文件的要求提供投标文件，并保证提供的全部资料的真实性，以使其投标对招标文件作出实质性响应，否则，其投标将被拒绝。</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2.投标文件和与投标有关的所有文件均应使用中文。</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3.除投标文件的技术规格中另有规定外，投标文件中所使用的计量单位应为中华人民共和国法定计量单位。</w:t>
      </w:r>
    </w:p>
    <w:p>
      <w:pPr>
        <w:pStyle w:val="3"/>
        <w:rPr>
          <w:rFonts w:hint="eastAsia" w:ascii="仿宋_GB2312" w:hAnsi="仿宋_GB2312" w:eastAsia="仿宋_GB2312" w:cs="仿宋_GB2312"/>
          <w:sz w:val="36"/>
          <w:szCs w:val="36"/>
        </w:rPr>
      </w:pPr>
      <w:bookmarkStart w:id="51" w:name="_Toc5592"/>
      <w:r>
        <w:rPr>
          <w:rFonts w:hint="eastAsia" w:ascii="仿宋_GB2312" w:hAnsi="仿宋_GB2312" w:eastAsia="仿宋_GB2312" w:cs="仿宋_GB2312"/>
          <w:sz w:val="36"/>
          <w:szCs w:val="36"/>
        </w:rPr>
        <w:t>二、投标文件资料</w:t>
      </w:r>
      <w:bookmarkEnd w:id="51"/>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1.投标人所投标设备详细技术资料清单，在标书中列示说明；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2.投标人完整的技术支持与售后服务实施方案，在标书中列示说明，包含但不限于以下内容：</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A、除享受由本品牌生产厂家提供的正规的全球或全国联保三包服务之外，还能获得由本品牌生产厂家或经销商提供的何种免费支持、免费服务或其他对招标人有利的服务项目。</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B、售后服务机构或网点（名称、地址、联系人、电话）。</w:t>
      </w: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C、针对本项目的技术服务团队情况（人员数量、姓名、电话、专业资质等）。</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D、日常维护保养及故障排除措施保证。</w:t>
      </w:r>
    </w:p>
    <w:p>
      <w:pPr>
        <w:spacing w:line="360" w:lineRule="auto"/>
        <w:ind w:firstLine="480" w:firstLineChars="200"/>
        <w:rPr>
          <w:rFonts w:hint="eastAsia" w:ascii="仿宋_GB2312" w:hAnsi="仿宋_GB2312" w:eastAsia="仿宋_GB2312" w:cs="仿宋_GB2312"/>
          <w:sz w:val="24"/>
          <w:szCs w:val="24"/>
        </w:rPr>
      </w:pPr>
      <w:r>
        <w:rPr>
          <w:rFonts w:hint="eastAsia" w:ascii="仿宋_GB2312" w:hAnsi="仿宋_GB2312" w:eastAsia="仿宋_GB2312" w:cs="仿宋_GB2312"/>
          <w:color w:val="000000"/>
          <w:sz w:val="24"/>
          <w:szCs w:val="24"/>
        </w:rPr>
        <w:t>3.投标人关于包装、运输、检验、交付、安装、调试、培训等方案，均需在投标文件中列示说明。</w:t>
      </w:r>
    </w:p>
    <w:p>
      <w:pPr>
        <w:pStyle w:val="3"/>
        <w:rPr>
          <w:rFonts w:hint="eastAsia" w:ascii="仿宋_GB2312" w:hAnsi="仿宋_GB2312" w:eastAsia="仿宋_GB2312" w:cs="仿宋_GB2312"/>
          <w:sz w:val="36"/>
          <w:szCs w:val="36"/>
        </w:rPr>
      </w:pPr>
      <w:bookmarkStart w:id="52" w:name="_Toc5199"/>
      <w:r>
        <w:rPr>
          <w:rFonts w:hint="eastAsia" w:ascii="仿宋_GB2312" w:hAnsi="仿宋_GB2312" w:eastAsia="仿宋_GB2312" w:cs="仿宋_GB2312"/>
          <w:sz w:val="36"/>
          <w:szCs w:val="36"/>
        </w:rPr>
        <w:t>三、投标文件的组成</w:t>
      </w:r>
      <w:bookmarkEnd w:id="52"/>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sz w:val="24"/>
          <w:szCs w:val="24"/>
        </w:rPr>
        <w:t>本项目投标文件为</w:t>
      </w:r>
      <w:r>
        <w:rPr>
          <w:rFonts w:hint="eastAsia" w:ascii="仿宋_GB2312" w:hAnsi="仿宋_GB2312" w:eastAsia="仿宋_GB2312" w:cs="仿宋_GB2312"/>
          <w:b/>
          <w:sz w:val="24"/>
          <w:szCs w:val="24"/>
        </w:rPr>
        <w:t>电子版</w:t>
      </w:r>
      <w:r>
        <w:rPr>
          <w:rFonts w:hint="eastAsia" w:ascii="仿宋_GB2312" w:hAnsi="仿宋_GB2312" w:eastAsia="仿宋_GB2312" w:cs="仿宋_GB2312"/>
          <w:bCs/>
          <w:sz w:val="24"/>
          <w:szCs w:val="24"/>
        </w:rPr>
        <w:t>投标文件（</w:t>
      </w:r>
      <w:r>
        <w:rPr>
          <w:rFonts w:hint="eastAsia" w:ascii="仿宋_GB2312" w:hAnsi="仿宋_GB2312" w:eastAsia="仿宋_GB2312" w:cs="仿宋_GB2312"/>
          <w:bCs/>
          <w:sz w:val="24"/>
          <w:szCs w:val="24"/>
          <w:highlight w:val="yellow"/>
        </w:rPr>
        <w:t>电子版投标文件为纸质盖章版的扫描件或加盖电子章，不盖章无效</w:t>
      </w:r>
      <w:r>
        <w:rPr>
          <w:rFonts w:hint="eastAsia" w:ascii="仿宋_GB2312" w:hAnsi="仿宋_GB2312" w:eastAsia="仿宋_GB2312" w:cs="仿宋_GB2312"/>
          <w:bCs/>
          <w:sz w:val="24"/>
          <w:szCs w:val="24"/>
        </w:rPr>
        <w:t>），均由</w:t>
      </w:r>
      <w:r>
        <w:rPr>
          <w:rFonts w:hint="eastAsia" w:ascii="仿宋_GB2312" w:hAnsi="仿宋_GB2312" w:eastAsia="仿宋_GB2312" w:cs="仿宋_GB2312"/>
          <w:b/>
          <w:sz w:val="24"/>
          <w:szCs w:val="24"/>
        </w:rPr>
        <w:t>《投标文件（资质标）》、《投标文件（技术标）》、《投标文件（商务标）》（开标一览表）</w:t>
      </w:r>
      <w:r>
        <w:rPr>
          <w:rFonts w:hint="eastAsia" w:ascii="仿宋_GB2312" w:hAnsi="仿宋_GB2312" w:eastAsia="仿宋_GB2312" w:cs="仿宋_GB2312"/>
          <w:bCs/>
          <w:sz w:val="24"/>
          <w:szCs w:val="24"/>
        </w:rPr>
        <w:t>文件组成，共计3</w:t>
      </w:r>
      <w:r>
        <w:rPr>
          <w:rFonts w:hint="eastAsia" w:ascii="仿宋_GB2312" w:hAnsi="仿宋_GB2312" w:eastAsia="仿宋_GB2312" w:cs="仿宋_GB2312"/>
          <w:bCs/>
          <w:color w:val="000000"/>
          <w:sz w:val="24"/>
          <w:szCs w:val="24"/>
        </w:rPr>
        <w:t>个文件。</w:t>
      </w:r>
    </w:p>
    <w:p>
      <w:pPr>
        <w:spacing w:line="360" w:lineRule="auto"/>
        <w:ind w:firstLine="482"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
          <w:color w:val="000000"/>
          <w:sz w:val="24"/>
          <w:szCs w:val="24"/>
        </w:rPr>
        <w:t>投标文件的份数要求及投递方式</w:t>
      </w:r>
      <w:r>
        <w:rPr>
          <w:rFonts w:hint="eastAsia" w:ascii="仿宋_GB2312" w:hAnsi="仿宋_GB2312" w:eastAsia="仿宋_GB2312" w:cs="仿宋_GB2312"/>
          <w:bCs/>
          <w:color w:val="000000"/>
          <w:sz w:val="24"/>
          <w:szCs w:val="24"/>
        </w:rPr>
        <w:t>，见《投标须知前附表》第3条。</w:t>
      </w:r>
    </w:p>
    <w:p>
      <w:pPr>
        <w:spacing w:line="360" w:lineRule="auto"/>
        <w:ind w:firstLine="480" w:firstLineChars="200"/>
        <w:rPr>
          <w:rFonts w:hint="eastAsia" w:ascii="仿宋_GB2312" w:hAnsi="仿宋_GB2312" w:eastAsia="仿宋_GB2312" w:cs="仿宋_GB2312"/>
          <w:bCs/>
          <w:color w:val="000000"/>
          <w:sz w:val="24"/>
          <w:szCs w:val="24"/>
        </w:rPr>
        <w:sectPr>
          <w:headerReference r:id="rId6" w:type="default"/>
          <w:footerReference r:id="rId7" w:type="default"/>
          <w:pgSz w:w="11906" w:h="16838"/>
          <w:pgMar w:top="1383" w:right="1797" w:bottom="1440" w:left="1797" w:header="1021" w:footer="680" w:gutter="0"/>
          <w:pgNumType w:start="14" w:chapStyle="1"/>
          <w:cols w:space="720" w:num="1"/>
          <w:docGrid w:type="lines" w:linePitch="326" w:charSpace="0"/>
        </w:sectPr>
      </w:pPr>
    </w:p>
    <w:p>
      <w:pPr>
        <w:spacing w:line="360" w:lineRule="auto"/>
        <w:ind w:firstLine="480" w:firstLineChars="200"/>
        <w:rPr>
          <w:rFonts w:hint="eastAsia" w:ascii="仿宋_GB2312" w:hAnsi="仿宋_GB2312" w:eastAsia="仿宋_GB2312" w:cs="仿宋_GB2312"/>
          <w:bCs/>
          <w:color w:val="000000"/>
          <w:sz w:val="24"/>
          <w:szCs w:val="24"/>
        </w:rPr>
      </w:pPr>
      <w:r>
        <w:rPr>
          <w:rFonts w:hint="eastAsia" w:ascii="仿宋_GB2312" w:hAnsi="仿宋_GB2312" w:eastAsia="仿宋_GB2312" w:cs="仿宋_GB2312"/>
          <w:bCs/>
          <w:color w:val="000000"/>
          <w:sz w:val="24"/>
          <w:szCs w:val="24"/>
        </w:rPr>
        <w:t>详见附件格式1—13，其余未尽事宜请按各单位习惯制定即可。</w:t>
      </w:r>
    </w:p>
    <w:p>
      <w:pPr>
        <w:spacing w:line="360" w:lineRule="auto"/>
        <w:ind w:firstLine="482"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b/>
          <w:bCs/>
          <w:sz w:val="24"/>
          <w:szCs w:val="24"/>
        </w:rPr>
        <w:t>1.《投标文件（资质标）》包括</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1.1营业执照副本复印件（需加盖公章）；</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1.2投标函（附件1）；</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1.3法定代表人授权书（附件2）；法定代表人参加投标的，提供法人身份证明文件即可；被授权人参加投标的，需提供法定代表人授权委托书</w:t>
      </w:r>
      <w:r>
        <w:rPr>
          <w:rFonts w:hint="eastAsia" w:ascii="仿宋_GB2312" w:hAnsi="仿宋_GB2312" w:eastAsia="仿宋_GB2312" w:cs="仿宋_GB2312"/>
          <w:b/>
          <w:color w:val="000000"/>
          <w:sz w:val="24"/>
          <w:szCs w:val="24"/>
        </w:rPr>
        <w:t>（含法人身份证和被授权人身份证正反面复印件）和</w:t>
      </w:r>
      <w:r>
        <w:rPr>
          <w:rFonts w:hint="eastAsia" w:ascii="仿宋_GB2312" w:hAnsi="仿宋_GB2312" w:eastAsia="仿宋_GB2312" w:cs="仿宋_GB2312"/>
          <w:sz w:val="24"/>
          <w:szCs w:val="24"/>
          <w:highlight w:val="yellow"/>
        </w:rPr>
        <w:t>被授权人</w:t>
      </w:r>
      <w:r>
        <w:rPr>
          <w:rFonts w:hint="eastAsia" w:ascii="仿宋_GB2312" w:hAnsi="仿宋_GB2312" w:eastAsia="仿宋_GB2312" w:cs="仿宋_GB2312"/>
          <w:kern w:val="0"/>
          <w:sz w:val="24"/>
          <w:szCs w:val="24"/>
          <w:highlight w:val="yellow"/>
          <w:lang w:bidi="en-US"/>
        </w:rPr>
        <w:t>近6个月及以上在授权单位的社保缴纳证明</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highlight w:val="yellow"/>
        </w:rPr>
      </w:pPr>
      <w:r>
        <w:rPr>
          <w:rFonts w:hint="eastAsia" w:ascii="仿宋_GB2312" w:hAnsi="仿宋_GB2312" w:eastAsia="仿宋_GB2312" w:cs="仿宋_GB2312"/>
          <w:color w:val="000000"/>
          <w:sz w:val="24"/>
          <w:szCs w:val="24"/>
        </w:rPr>
        <w:t>1.4拟投标人应提</w:t>
      </w:r>
      <w:r>
        <w:rPr>
          <w:rFonts w:hint="eastAsia" w:ascii="仿宋_GB2312" w:hAnsi="仿宋_GB2312" w:eastAsia="仿宋_GB2312" w:cs="仿宋_GB2312"/>
          <w:color w:val="000000"/>
          <w:sz w:val="24"/>
          <w:szCs w:val="24"/>
          <w:highlight w:val="none"/>
        </w:rPr>
        <w:t>供2022年1月</w:t>
      </w:r>
      <w:r>
        <w:rPr>
          <w:rFonts w:hint="eastAsia" w:ascii="仿宋_GB2312" w:hAnsi="仿宋_GB2312" w:eastAsia="仿宋_GB2312" w:cs="仿宋_GB2312"/>
          <w:color w:val="000000"/>
          <w:sz w:val="24"/>
          <w:szCs w:val="24"/>
        </w:rPr>
        <w:t>1日至今经会计师事务所审计且出具无保留意见的财务审计报告，并加盖公章，（如投标人公司没有经审计的财务报告，可提供加盖公章的近三年财务报表，包括但不限于资产负债表、利润表、现金流量表），且未显示异常，同时填写投标人基本情况表（附件3）</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1.5近三年内在经营活动中无与本项目有关的违法及重大违规行为的声明；</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1.6投标人在国家企业信用信息公示系统中无与本项目有关的行政处罚、经营异常和失信信息的声明；</w:t>
      </w:r>
      <w:r>
        <w:rPr>
          <w:rFonts w:hint="eastAsia" w:ascii="仿宋_GB2312" w:hAnsi="仿宋_GB2312" w:eastAsia="仿宋_GB2312" w:cs="仿宋_GB2312"/>
          <w:color w:val="000000"/>
          <w:sz w:val="24"/>
          <w:szCs w:val="24"/>
          <w:highlight w:val="yellow"/>
        </w:rPr>
        <w:t>（附投标当日系统内相关截图）</w:t>
      </w:r>
    </w:p>
    <w:p>
      <w:pPr>
        <w:spacing w:line="360" w:lineRule="auto"/>
        <w:ind w:firstLine="480" w:firstLineChars="200"/>
        <w:rPr>
          <w:rFonts w:hint="eastAsia" w:ascii="仿宋_GB2312" w:hAnsi="仿宋_GB2312" w:eastAsia="仿宋_GB2312" w:cs="仿宋_GB2312"/>
        </w:rPr>
      </w:pPr>
      <w:r>
        <w:rPr>
          <w:rFonts w:hint="eastAsia" w:ascii="仿宋_GB2312" w:hAnsi="仿宋_GB2312" w:eastAsia="仿宋_GB2312" w:cs="仿宋_GB2312"/>
          <w:color w:val="000000"/>
          <w:sz w:val="24"/>
          <w:szCs w:val="24"/>
        </w:rPr>
        <w:t>1.7</w:t>
      </w:r>
      <w:r>
        <w:rPr>
          <w:rFonts w:hint="eastAsia" w:ascii="仿宋_GB2312" w:hAnsi="仿宋_GB2312" w:eastAsia="仿宋_GB2312" w:cs="仿宋_GB2312"/>
          <w:sz w:val="24"/>
          <w:szCs w:val="24"/>
        </w:rPr>
        <w:t>企业对外担保说明</w:t>
      </w:r>
      <w:r>
        <w:rPr>
          <w:rFonts w:hint="eastAsia" w:ascii="仿宋_GB2312" w:hAnsi="仿宋_GB2312" w:eastAsia="仿宋_GB2312" w:cs="仿宋_GB2312"/>
          <w:sz w:val="24"/>
          <w:szCs w:val="24"/>
          <w:highlight w:val="yellow"/>
        </w:rPr>
        <w:t>（写明贵单位对外有无对外担保和质押业务，需加盖公章）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1.8企业信用证明材料</w:t>
      </w:r>
      <w:r>
        <w:rPr>
          <w:rFonts w:hint="eastAsia" w:ascii="仿宋_GB2312" w:hAnsi="仿宋_GB2312" w:eastAsia="仿宋_GB2312" w:cs="仿宋_GB2312"/>
          <w:color w:val="000000"/>
          <w:sz w:val="24"/>
          <w:szCs w:val="24"/>
          <w:highlight w:val="yellow"/>
        </w:rPr>
        <w:t>（征信报告）</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1.9企业最近半年的完税证明，并附</w:t>
      </w:r>
      <w:r>
        <w:rPr>
          <w:rFonts w:hint="eastAsia" w:ascii="仿宋_GB2312" w:hAnsi="仿宋_GB2312" w:eastAsia="仿宋_GB2312" w:cs="仿宋_GB2312"/>
          <w:sz w:val="24"/>
          <w:szCs w:val="24"/>
        </w:rPr>
        <w:t>年度纳税信用评价信息（可从电子税务局查询截图，需加盖公章）</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1.10保密承诺函（附件4）；</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 xml:space="preserve">1.11 </w:t>
      </w:r>
      <w:r>
        <w:rPr>
          <w:rFonts w:hint="eastAsia" w:ascii="仿宋_GB2312" w:hAnsi="仿宋_GB2312" w:eastAsia="仿宋_GB2312" w:cs="仿宋_GB2312"/>
          <w:color w:val="000000"/>
          <w:sz w:val="24"/>
          <w:szCs w:val="24"/>
          <w:highlight w:val="none"/>
        </w:rPr>
        <w:t>202</w:t>
      </w:r>
      <w:r>
        <w:rPr>
          <w:rFonts w:hint="eastAsia" w:ascii="仿宋_GB2312" w:hAnsi="仿宋_GB2312" w:eastAsia="仿宋_GB2312" w:cs="仿宋_GB2312"/>
          <w:color w:val="000000"/>
          <w:sz w:val="24"/>
          <w:szCs w:val="24"/>
          <w:highlight w:val="none"/>
          <w:lang w:val="en-US" w:eastAsia="zh-CN"/>
        </w:rPr>
        <w:t>2</w:t>
      </w:r>
      <w:r>
        <w:rPr>
          <w:rFonts w:hint="eastAsia" w:ascii="仿宋_GB2312" w:hAnsi="仿宋_GB2312" w:eastAsia="仿宋_GB2312" w:cs="仿宋_GB2312"/>
          <w:color w:val="000000"/>
          <w:sz w:val="24"/>
          <w:szCs w:val="24"/>
          <w:highlight w:val="none"/>
        </w:rPr>
        <w:t>年1月1日至</w:t>
      </w:r>
      <w:r>
        <w:rPr>
          <w:rFonts w:hint="eastAsia" w:ascii="仿宋_GB2312" w:hAnsi="仿宋_GB2312" w:eastAsia="仿宋_GB2312" w:cs="仿宋_GB2312"/>
          <w:color w:val="000000"/>
          <w:sz w:val="24"/>
          <w:szCs w:val="24"/>
        </w:rPr>
        <w:t>今，企业近三年同类项目业绩证明，</w:t>
      </w:r>
      <w:r>
        <w:rPr>
          <w:rFonts w:hint="eastAsia" w:ascii="仿宋_GB2312" w:hAnsi="仿宋_GB2312" w:eastAsia="仿宋_GB2312" w:cs="仿宋_GB2312"/>
          <w:sz w:val="24"/>
          <w:szCs w:val="24"/>
          <w:highlight w:val="yellow"/>
        </w:rPr>
        <w:t>须提供</w:t>
      </w:r>
      <w:r>
        <w:rPr>
          <w:rFonts w:hint="eastAsia" w:ascii="仿宋_GB2312" w:hAnsi="仿宋_GB2312" w:eastAsia="仿宋_GB2312" w:cs="仿宋_GB2312"/>
          <w:b/>
          <w:bCs/>
          <w:color w:val="000000"/>
          <w:kern w:val="0"/>
          <w:sz w:val="24"/>
          <w:szCs w:val="24"/>
          <w:highlight w:val="yellow"/>
        </w:rPr>
        <w:t>用户清单</w:t>
      </w:r>
      <w:r>
        <w:rPr>
          <w:rFonts w:hint="eastAsia" w:ascii="仿宋_GB2312" w:hAnsi="仿宋_GB2312" w:eastAsia="仿宋_GB2312" w:cs="仿宋_GB2312"/>
          <w:sz w:val="24"/>
          <w:szCs w:val="24"/>
          <w:highlight w:val="yellow"/>
        </w:rPr>
        <w:t>、采购合同复印件</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1.12投标保证金缴纳凭证，同时</w:t>
      </w:r>
      <w:r>
        <w:rPr>
          <w:rFonts w:hint="eastAsia" w:ascii="仿宋_GB2312" w:hAnsi="仿宋_GB2312" w:eastAsia="仿宋_GB2312" w:cs="仿宋_GB2312"/>
          <w:color w:val="000000"/>
          <w:sz w:val="24"/>
          <w:szCs w:val="24"/>
          <w:highlight w:val="yellow"/>
        </w:rPr>
        <w:t>正文描述付款账号、户名、开户行名称、开户行行号、保证金金额</w:t>
      </w:r>
      <w:r>
        <w:rPr>
          <w:rFonts w:hint="eastAsia" w:ascii="仿宋_GB2312" w:hAnsi="仿宋_GB2312" w:eastAsia="仿宋_GB2312" w:cs="仿宋_GB2312"/>
          <w:color w:val="000000"/>
          <w:sz w:val="24"/>
          <w:szCs w:val="24"/>
        </w:rPr>
        <w:t>。</w:t>
      </w:r>
    </w:p>
    <w:p>
      <w:pPr>
        <w:spacing w:line="360" w:lineRule="auto"/>
        <w:ind w:firstLine="482" w:firstLineChars="200"/>
        <w:rPr>
          <w:rFonts w:hint="eastAsia" w:ascii="仿宋_GB2312" w:hAnsi="仿宋_GB2312" w:eastAsia="仿宋_GB2312" w:cs="仿宋_GB2312"/>
          <w:b/>
          <w:bCs/>
          <w:sz w:val="24"/>
          <w:szCs w:val="24"/>
        </w:rPr>
      </w:pPr>
      <w:bookmarkStart w:id="53" w:name="_Toc212369515"/>
      <w:r>
        <w:rPr>
          <w:rFonts w:hint="eastAsia" w:ascii="仿宋_GB2312" w:hAnsi="仿宋_GB2312" w:eastAsia="仿宋_GB2312" w:cs="仿宋_GB2312"/>
          <w:b/>
          <w:bCs/>
          <w:sz w:val="24"/>
          <w:szCs w:val="24"/>
        </w:rPr>
        <w:t>2.</w:t>
      </w:r>
      <w:r>
        <w:rPr>
          <w:rFonts w:hint="eastAsia" w:ascii="仿宋_GB2312" w:hAnsi="仿宋_GB2312" w:eastAsia="仿宋_GB2312" w:cs="仿宋_GB2312"/>
          <w:b/>
          <w:sz w:val="24"/>
          <w:szCs w:val="24"/>
        </w:rPr>
        <w:t>《投标文件（技术标）》</w:t>
      </w:r>
      <w:r>
        <w:rPr>
          <w:rFonts w:hint="eastAsia" w:ascii="仿宋_GB2312" w:hAnsi="仿宋_GB2312" w:eastAsia="仿宋_GB2312" w:cs="仿宋_GB2312"/>
          <w:b/>
          <w:bCs/>
          <w:sz w:val="24"/>
          <w:szCs w:val="24"/>
        </w:rPr>
        <w:t>：</w:t>
      </w:r>
      <w:bookmarkEnd w:id="53"/>
    </w:p>
    <w:p>
      <w:pPr>
        <w:spacing w:line="360" w:lineRule="auto"/>
        <w:ind w:firstLine="480" w:firstLineChars="200"/>
        <w:rPr>
          <w:rFonts w:hint="eastAsia" w:ascii="仿宋_GB2312" w:hAnsi="仿宋_GB2312" w:eastAsia="仿宋_GB2312" w:cs="仿宋_GB2312"/>
          <w:color w:val="000000"/>
          <w:sz w:val="24"/>
          <w:szCs w:val="24"/>
          <w:lang w:val="en-US" w:eastAsia="zh-CN"/>
        </w:rPr>
      </w:pPr>
      <w:r>
        <w:rPr>
          <w:rFonts w:hint="eastAsia" w:ascii="仿宋_GB2312" w:hAnsi="仿宋_GB2312" w:eastAsia="仿宋_GB2312" w:cs="仿宋_GB2312"/>
          <w:color w:val="000000"/>
          <w:sz w:val="24"/>
          <w:szCs w:val="24"/>
          <w:lang w:val="en-US" w:eastAsia="zh-CN"/>
        </w:rPr>
        <w:t>无技术标</w:t>
      </w:r>
    </w:p>
    <w:p>
      <w:pPr>
        <w:spacing w:line="360" w:lineRule="auto"/>
        <w:ind w:firstLine="482" w:firstLineChars="200"/>
        <w:rPr>
          <w:rFonts w:hint="eastAsia" w:ascii="仿宋_GB2312" w:hAnsi="仿宋_GB2312" w:eastAsia="仿宋_GB2312" w:cs="仿宋_GB2312"/>
          <w:b/>
          <w:bCs/>
          <w:sz w:val="24"/>
          <w:szCs w:val="24"/>
        </w:rPr>
      </w:pPr>
      <w:r>
        <w:rPr>
          <w:rFonts w:hint="eastAsia" w:ascii="仿宋_GB2312" w:hAnsi="仿宋_GB2312" w:eastAsia="仿宋_GB2312" w:cs="仿宋_GB2312"/>
          <w:b/>
          <w:bCs/>
          <w:sz w:val="24"/>
          <w:szCs w:val="24"/>
        </w:rPr>
        <w:t>3.</w:t>
      </w:r>
      <w:r>
        <w:rPr>
          <w:rFonts w:hint="eastAsia" w:ascii="仿宋_GB2312" w:hAnsi="仿宋_GB2312" w:eastAsia="仿宋_GB2312" w:cs="仿宋_GB2312"/>
          <w:b/>
          <w:sz w:val="24"/>
          <w:szCs w:val="24"/>
        </w:rPr>
        <w:t>《投标文件（商务标）》（开标一览表）</w:t>
      </w:r>
      <w:r>
        <w:rPr>
          <w:rFonts w:hint="eastAsia" w:ascii="仿宋_GB2312" w:hAnsi="仿宋_GB2312" w:eastAsia="仿宋_GB2312" w:cs="仿宋_GB2312"/>
          <w:b/>
          <w:bCs/>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3.1开标一览表（附件8）；</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3.2投标报价明细表（附件9-1至9-5）</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3.3商务条款偏离表（附件10）</w:t>
      </w:r>
      <w:bookmarkStart w:id="54" w:name="OLE_LINK18"/>
      <w:bookmarkStart w:id="55" w:name="OLE_LINK19"/>
      <w:r>
        <w:rPr>
          <w:rFonts w:hint="eastAsia" w:ascii="仿宋_GB2312" w:hAnsi="仿宋_GB2312" w:eastAsia="仿宋_GB2312" w:cs="仿宋_GB2312"/>
          <w:b/>
          <w:color w:val="000000"/>
          <w:sz w:val="24"/>
          <w:szCs w:val="24"/>
        </w:rPr>
        <w:t>；</w:t>
      </w:r>
      <w:bookmarkEnd w:id="54"/>
      <w:bookmarkEnd w:id="55"/>
      <w:r>
        <w:rPr>
          <w:rFonts w:hint="eastAsia" w:ascii="仿宋_GB2312" w:hAnsi="仿宋_GB2312" w:eastAsia="仿宋_GB2312" w:cs="仿宋_GB2312"/>
          <w:color w:val="000000"/>
          <w:sz w:val="24"/>
          <w:szCs w:val="24"/>
        </w:rPr>
        <w:t xml:space="preserve"> </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3.4投标人承诺（附件11）</w:t>
      </w:r>
      <w:r>
        <w:rPr>
          <w:rFonts w:hint="eastAsia" w:ascii="仿宋_GB2312" w:hAnsi="仿宋_GB2312" w:eastAsia="仿宋_GB2312" w:cs="仿宋_GB2312"/>
          <w:b/>
          <w:color w:val="000000"/>
          <w:sz w:val="24"/>
          <w:szCs w:val="24"/>
        </w:rPr>
        <w:t>；</w:t>
      </w:r>
    </w:p>
    <w:p>
      <w:pPr>
        <w:spacing w:line="360" w:lineRule="auto"/>
        <w:ind w:firstLine="480" w:firstLineChars="200"/>
        <w:rPr>
          <w:rFonts w:hint="eastAsia" w:ascii="仿宋_GB2312" w:hAnsi="仿宋_GB2312" w:eastAsia="仿宋_GB2312" w:cs="仿宋_GB2312"/>
          <w:b/>
          <w:color w:val="000000"/>
          <w:sz w:val="24"/>
          <w:szCs w:val="24"/>
        </w:rPr>
      </w:pPr>
      <w:r>
        <w:rPr>
          <w:rFonts w:hint="eastAsia" w:ascii="仿宋_GB2312" w:hAnsi="仿宋_GB2312" w:eastAsia="仿宋_GB2312" w:cs="仿宋_GB2312"/>
          <w:color w:val="000000"/>
          <w:sz w:val="24"/>
          <w:szCs w:val="24"/>
        </w:rPr>
        <w:t>3.5服务承诺函（附件12），</w:t>
      </w:r>
      <w:r>
        <w:rPr>
          <w:rFonts w:hint="eastAsia" w:ascii="仿宋_GB2312" w:hAnsi="仿宋_GB2312" w:eastAsia="仿宋_GB2312" w:cs="仿宋_GB2312"/>
          <w:b/>
          <w:color w:val="000000"/>
          <w:sz w:val="24"/>
          <w:szCs w:val="24"/>
        </w:rPr>
        <w:t>需写明质保期以外服务费用情况</w:t>
      </w:r>
      <w:r>
        <w:rPr>
          <w:rFonts w:hint="eastAsia" w:ascii="仿宋_GB2312" w:hAnsi="仿宋_GB2312" w:eastAsia="仿宋_GB2312" w:cs="仿宋_GB2312"/>
          <w:color w:val="000000"/>
          <w:sz w:val="24"/>
          <w:szCs w:val="24"/>
        </w:rPr>
        <w:t>；</w:t>
      </w:r>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3.6按招标文件投标人须知和技术规格书中要求提供的有关文件。</w:t>
      </w:r>
    </w:p>
    <w:p>
      <w:pPr>
        <w:pStyle w:val="3"/>
        <w:rPr>
          <w:rFonts w:hint="eastAsia" w:ascii="仿宋_GB2312" w:hAnsi="仿宋_GB2312" w:eastAsia="仿宋_GB2312" w:cs="仿宋_GB2312"/>
          <w:sz w:val="36"/>
          <w:szCs w:val="36"/>
        </w:rPr>
      </w:pPr>
      <w:bookmarkStart w:id="56" w:name="_Toc15748"/>
      <w:r>
        <w:rPr>
          <w:rFonts w:hint="eastAsia" w:ascii="仿宋_GB2312" w:hAnsi="仿宋_GB2312" w:eastAsia="仿宋_GB2312" w:cs="仿宋_GB2312"/>
          <w:sz w:val="36"/>
          <w:szCs w:val="36"/>
        </w:rPr>
        <w:t>四、投标文件格式</w:t>
      </w:r>
      <w:bookmarkEnd w:id="56"/>
    </w:p>
    <w:p>
      <w:pPr>
        <w:spacing w:line="360" w:lineRule="auto"/>
        <w:ind w:firstLine="480" w:firstLineChars="200"/>
        <w:rPr>
          <w:rFonts w:hint="eastAsia" w:ascii="仿宋_GB2312" w:hAnsi="仿宋_GB2312" w:eastAsia="仿宋_GB2312" w:cs="仿宋_GB2312"/>
          <w:color w:val="000000"/>
          <w:sz w:val="24"/>
          <w:szCs w:val="24"/>
        </w:rPr>
      </w:pPr>
      <w:r>
        <w:rPr>
          <w:rFonts w:hint="eastAsia" w:ascii="仿宋_GB2312" w:hAnsi="仿宋_GB2312" w:eastAsia="仿宋_GB2312" w:cs="仿宋_GB2312"/>
          <w:color w:val="000000"/>
          <w:sz w:val="24"/>
          <w:szCs w:val="24"/>
        </w:rPr>
        <w:t>详见第六部分投标文件附件格式1—13，其余未尽事宜请按各单位习惯制定即可。</w:t>
      </w:r>
    </w:p>
    <w:p>
      <w:pPr>
        <w:spacing w:line="360" w:lineRule="auto"/>
        <w:ind w:firstLine="480" w:firstLineChars="200"/>
        <w:rPr>
          <w:rFonts w:hint="eastAsia" w:ascii="仿宋_GB2312" w:hAnsi="仿宋_GB2312" w:eastAsia="仿宋_GB2312" w:cs="仿宋_GB2312"/>
          <w:color w:val="000000"/>
          <w:sz w:val="24"/>
          <w:szCs w:val="2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pStyle w:val="22"/>
        <w:jc w:val="center"/>
        <w:rPr>
          <w:rFonts w:hint="eastAsia" w:ascii="仿宋_GB2312" w:hAnsi="仿宋_GB2312" w:eastAsia="仿宋_GB2312" w:cs="仿宋_GB2312"/>
          <w:b/>
          <w:bCs/>
          <w:kern w:val="44"/>
          <w:sz w:val="36"/>
          <w:szCs w:val="44"/>
        </w:rPr>
      </w:pPr>
    </w:p>
    <w:p>
      <w:pPr>
        <w:bidi w:val="0"/>
        <w:rPr>
          <w:rFonts w:hint="eastAsia"/>
        </w:rPr>
      </w:pPr>
      <w:bookmarkStart w:id="57" w:name="_Toc3372"/>
      <w:bookmarkStart w:id="58" w:name="_Toc14517"/>
      <w:bookmarkStart w:id="59" w:name="_Toc13988"/>
      <w:bookmarkStart w:id="60" w:name="_Toc23870"/>
      <w:bookmarkStart w:id="61" w:name="_Toc12714"/>
      <w:bookmarkStart w:id="62" w:name="_Toc7511"/>
      <w:bookmarkStart w:id="63" w:name="_Toc16358"/>
      <w:bookmarkStart w:id="64" w:name="_Toc20272"/>
      <w:bookmarkStart w:id="65" w:name="_Toc18606"/>
      <w:bookmarkStart w:id="66" w:name="_Toc30738"/>
      <w:bookmarkStart w:id="67" w:name="_Toc8032"/>
      <w:bookmarkStart w:id="68" w:name="_Toc6346"/>
      <w:bookmarkStart w:id="69" w:name="_Toc4029"/>
      <w:bookmarkStart w:id="70" w:name="_Toc24964"/>
      <w:bookmarkStart w:id="71" w:name="_Toc28236"/>
      <w:bookmarkStart w:id="72" w:name="_Toc12563"/>
      <w:bookmarkStart w:id="73" w:name="_Toc18805"/>
      <w:bookmarkStart w:id="74" w:name="_Toc13605"/>
      <w:bookmarkStart w:id="75" w:name="_Toc4194"/>
      <w:bookmarkStart w:id="76" w:name="_Toc18182"/>
      <w:bookmarkStart w:id="77" w:name="_Toc3565"/>
      <w:bookmarkStart w:id="78" w:name="_Toc6957"/>
      <w:bookmarkStart w:id="79" w:name="_Toc7110"/>
      <w:bookmarkStart w:id="80" w:name="_Toc32378"/>
      <w:bookmarkStart w:id="81" w:name="_Toc11355"/>
      <w:bookmarkStart w:id="82" w:name="_Toc12552"/>
      <w:bookmarkStart w:id="83" w:name="_Toc4532"/>
      <w:bookmarkStart w:id="84" w:name="_Toc4483"/>
      <w:bookmarkStart w:id="85" w:name="_Toc8202"/>
      <w:bookmarkStart w:id="86" w:name="_Toc24913"/>
      <w:bookmarkStart w:id="87" w:name="_Toc133783966"/>
      <w:bookmarkStart w:id="88" w:name="_Toc13555"/>
      <w:bookmarkStart w:id="89" w:name="_Toc13562"/>
      <w:bookmarkStart w:id="90" w:name="_Toc1884"/>
      <w:bookmarkStart w:id="91" w:name="_Toc22649"/>
      <w:bookmarkStart w:id="92" w:name="_Toc20467"/>
      <w:bookmarkStart w:id="93" w:name="_Toc19672"/>
      <w:bookmarkStart w:id="94" w:name="_Toc21497"/>
    </w:p>
    <w:p>
      <w:pPr>
        <w:bidi w:val="0"/>
        <w:rPr>
          <w:rFonts w:hint="eastAsia"/>
        </w:rPr>
      </w:pPr>
    </w:p>
    <w:p>
      <w:pPr>
        <w:bidi w:val="0"/>
        <w:rPr>
          <w:rFonts w:hint="eastAsia"/>
        </w:rPr>
      </w:pPr>
    </w:p>
    <w:p>
      <w:pPr>
        <w:bidi w:val="0"/>
        <w:rPr>
          <w:rFonts w:hint="eastAsia"/>
        </w:rPr>
      </w:pPr>
    </w:p>
    <w:p>
      <w:pPr>
        <w:bidi w:val="0"/>
        <w:rPr>
          <w:rFonts w:hint="eastAsia"/>
        </w:rPr>
      </w:pPr>
    </w:p>
    <w:p>
      <w:pPr>
        <w:pStyle w:val="2"/>
        <w:numPr>
          <w:ilvl w:val="0"/>
          <w:numId w:val="9"/>
        </w:numPr>
        <w:spacing w:line="360" w:lineRule="auto"/>
        <w:rPr>
          <w:rFonts w:hint="eastAsia" w:ascii="仿宋_GB2312" w:hAnsi="仿宋_GB2312" w:eastAsia="仿宋_GB2312" w:cs="仿宋_GB2312"/>
          <w:sz w:val="44"/>
          <w:highlight w:val="green"/>
        </w:rPr>
      </w:pPr>
      <w:bookmarkStart w:id="95" w:name="_Toc10008"/>
      <w:r>
        <w:rPr>
          <w:rFonts w:hint="eastAsia" w:ascii="仿宋_GB2312" w:hAnsi="仿宋_GB2312" w:eastAsia="仿宋_GB2312" w:cs="仿宋_GB2312"/>
          <w:sz w:val="44"/>
          <w:highlight w:val="green"/>
        </w:rPr>
        <w:t>技术标书</w:t>
      </w:r>
      <w:bookmarkEnd w:id="95"/>
    </w:p>
    <w:p>
      <w:pPr>
        <w:rPr>
          <w:rFonts w:hint="eastAsia"/>
        </w:rPr>
      </w:pPr>
      <w:r>
        <w:rPr>
          <w:rFonts w:hint="eastAsia"/>
        </w:rPr>
        <w:br w:type="page"/>
      </w:r>
    </w:p>
    <w:p>
      <w:pPr>
        <w:keepNext/>
        <w:keepLines/>
        <w:jc w:val="center"/>
        <w:outlineLvl w:val="0"/>
        <w:rPr>
          <w:rFonts w:ascii="Calibri" w:hAnsi="Calibri" w:eastAsia="宋体" w:cs="Times New Roman"/>
          <w:b/>
          <w:bCs/>
          <w:kern w:val="44"/>
          <w:sz w:val="36"/>
          <w:szCs w:val="44"/>
        </w:rPr>
      </w:pPr>
      <w:bookmarkStart w:id="96" w:name="_Toc9849"/>
      <w:r>
        <w:rPr>
          <w:rFonts w:hint="eastAsia" w:ascii="Calibri" w:hAnsi="Calibri" w:eastAsia="宋体" w:cs="Times New Roman"/>
          <w:b/>
          <w:bCs/>
          <w:kern w:val="44"/>
          <w:sz w:val="36"/>
          <w:szCs w:val="44"/>
        </w:rPr>
        <w:t>第四部分 技术标书</w:t>
      </w:r>
      <w:bookmarkEnd w:id="96"/>
    </w:p>
    <w:p>
      <w:pPr>
        <w:pStyle w:val="22"/>
      </w:pPr>
    </w:p>
    <w:p>
      <w:pPr>
        <w:spacing w:line="1000" w:lineRule="exact"/>
        <w:ind w:right="-48" w:rightChars="-23"/>
        <w:jc w:val="center"/>
        <w:rPr>
          <w:rFonts w:hint="eastAsia" w:ascii="文鼎大标宋简" w:hAnsi="华文中宋" w:eastAsia="文鼎大标宋简"/>
          <w:b/>
          <w:spacing w:val="4"/>
          <w:w w:val="90"/>
          <w:sz w:val="52"/>
          <w:szCs w:val="52"/>
        </w:rPr>
      </w:pPr>
      <w:r>
        <w:rPr>
          <w:rFonts w:hint="eastAsia" w:ascii="文鼎大标宋简" w:hAnsi="华文中宋" w:eastAsia="文鼎大标宋简"/>
          <w:b/>
          <w:spacing w:val="4"/>
          <w:w w:val="90"/>
          <w:sz w:val="52"/>
          <w:szCs w:val="52"/>
        </w:rPr>
        <w:t>中国重汽集团济南商用车有限公司</w:t>
      </w:r>
    </w:p>
    <w:p>
      <w:pPr>
        <w:spacing w:line="1000" w:lineRule="exact"/>
        <w:ind w:right="-48" w:rightChars="-23"/>
        <w:jc w:val="center"/>
        <w:rPr>
          <w:rFonts w:hint="eastAsia" w:ascii="文鼎大标宋简" w:hAnsi="华文中宋" w:eastAsia="文鼎大标宋简"/>
          <w:b/>
          <w:spacing w:val="4"/>
          <w:w w:val="90"/>
          <w:sz w:val="52"/>
          <w:szCs w:val="52"/>
        </w:rPr>
      </w:pPr>
      <w:r>
        <w:rPr>
          <w:rFonts w:hint="eastAsia" w:ascii="文鼎大标宋简" w:hAnsi="华文中宋" w:eastAsia="文鼎大标宋简"/>
          <w:b/>
          <w:spacing w:val="4"/>
          <w:w w:val="90"/>
          <w:sz w:val="52"/>
          <w:szCs w:val="52"/>
          <w:lang w:val="en-US" w:eastAsia="zh-CN"/>
        </w:rPr>
        <w:t>统帅右置驾驶室车型模检具改制</w:t>
      </w:r>
      <w:r>
        <w:rPr>
          <w:rFonts w:hint="eastAsia" w:ascii="文鼎大标宋简" w:hAnsi="华文中宋" w:eastAsia="文鼎大标宋简"/>
          <w:b/>
          <w:spacing w:val="4"/>
          <w:w w:val="90"/>
          <w:sz w:val="52"/>
          <w:szCs w:val="52"/>
        </w:rPr>
        <w:t>项目</w:t>
      </w:r>
    </w:p>
    <w:p>
      <w:pPr>
        <w:jc w:val="right"/>
        <w:rPr>
          <w:rFonts w:ascii="Calibri" w:hAnsi="Calibri" w:eastAsia="宋体" w:cs="Times New Roman"/>
          <w:color w:val="000000"/>
          <w:sz w:val="28"/>
          <w:szCs w:val="28"/>
        </w:rPr>
      </w:pPr>
    </w:p>
    <w:p>
      <w:pPr>
        <w:pStyle w:val="22"/>
      </w:pP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技</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术</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标</w:t>
      </w:r>
    </w:p>
    <w:p>
      <w:pPr>
        <w:jc w:val="center"/>
        <w:rPr>
          <w:rFonts w:hint="eastAsia" w:ascii="黑体" w:hAnsi="宋体" w:eastAsia="黑体" w:cs="Times New Roman"/>
          <w:color w:val="000000"/>
          <w:sz w:val="72"/>
          <w:szCs w:val="72"/>
        </w:rPr>
      </w:pPr>
      <w:r>
        <w:rPr>
          <w:rFonts w:hint="eastAsia" w:ascii="黑体" w:hAnsi="宋体" w:eastAsia="黑体" w:cs="Times New Roman"/>
          <w:color w:val="000000"/>
          <w:sz w:val="72"/>
          <w:szCs w:val="72"/>
        </w:rPr>
        <w:t>书</w:t>
      </w:r>
    </w:p>
    <w:p>
      <w:pPr>
        <w:pStyle w:val="22"/>
      </w:pPr>
    </w:p>
    <w:p>
      <w:pPr>
        <w:spacing w:line="860" w:lineRule="exact"/>
        <w:ind w:firstLine="2570" w:firstLineChars="800"/>
        <w:jc w:val="left"/>
        <w:rPr>
          <w:rFonts w:hint="eastAsia" w:ascii="华文仿宋" w:hAnsi="华文仿宋" w:eastAsia="华文仿宋"/>
          <w:b/>
          <w:bCs/>
          <w:sz w:val="32"/>
          <w:szCs w:val="28"/>
        </w:rPr>
      </w:pPr>
      <w:r>
        <w:rPr>
          <w:rFonts w:hint="eastAsia" w:ascii="华文仿宋" w:hAnsi="华文仿宋" w:eastAsia="华文仿宋"/>
          <w:b/>
          <w:bCs/>
          <w:sz w:val="32"/>
          <w:szCs w:val="28"/>
        </w:rPr>
        <w:t>编制：</w:t>
      </w:r>
    </w:p>
    <w:p>
      <w:pPr>
        <w:spacing w:line="860" w:lineRule="exact"/>
        <w:ind w:firstLine="2570" w:firstLineChars="800"/>
        <w:jc w:val="left"/>
        <w:rPr>
          <w:rFonts w:hint="eastAsia" w:ascii="华文仿宋" w:hAnsi="华文仿宋" w:eastAsia="华文仿宋"/>
          <w:b/>
          <w:bCs/>
          <w:sz w:val="32"/>
          <w:szCs w:val="28"/>
        </w:rPr>
      </w:pPr>
      <w:r>
        <w:rPr>
          <w:rFonts w:hint="eastAsia" w:ascii="华文仿宋" w:hAnsi="华文仿宋" w:eastAsia="华文仿宋"/>
          <w:b/>
          <w:bCs/>
          <w:sz w:val="32"/>
          <w:szCs w:val="28"/>
        </w:rPr>
        <w:t>审核：</w:t>
      </w:r>
    </w:p>
    <w:p>
      <w:pPr>
        <w:spacing w:line="860" w:lineRule="exact"/>
        <w:ind w:firstLine="2570" w:firstLineChars="800"/>
        <w:rPr>
          <w:rFonts w:hint="eastAsia" w:ascii="华文仿宋" w:hAnsi="华文仿宋" w:eastAsia="华文仿宋"/>
          <w:b/>
          <w:bCs/>
          <w:sz w:val="32"/>
          <w:szCs w:val="28"/>
        </w:rPr>
      </w:pPr>
      <w:r>
        <w:rPr>
          <w:rFonts w:hint="eastAsia" w:ascii="华文仿宋" w:hAnsi="华文仿宋" w:eastAsia="华文仿宋"/>
          <w:b/>
          <w:bCs/>
          <w:sz w:val="32"/>
          <w:szCs w:val="28"/>
        </w:rPr>
        <w:t xml:space="preserve">批准：  </w:t>
      </w:r>
    </w:p>
    <w:p>
      <w:pPr>
        <w:pStyle w:val="171"/>
      </w:pPr>
    </w:p>
    <w:p>
      <w:pPr>
        <w:pStyle w:val="171"/>
      </w:pPr>
    </w:p>
    <w:p>
      <w:pPr>
        <w:pStyle w:val="171"/>
      </w:pPr>
    </w:p>
    <w:p>
      <w:pPr>
        <w:pStyle w:val="171"/>
      </w:pPr>
    </w:p>
    <w:p>
      <w:pPr>
        <w:pStyle w:val="171"/>
      </w:pPr>
    </w:p>
    <w:p>
      <w:pPr>
        <w:pStyle w:val="171"/>
      </w:pPr>
    </w:p>
    <w:p>
      <w:pPr>
        <w:pStyle w:val="22"/>
        <w:rPr>
          <w:b/>
          <w:bCs/>
        </w:rPr>
      </w:pPr>
    </w:p>
    <w:p>
      <w:pPr>
        <w:jc w:val="center"/>
        <w:rPr>
          <w:rFonts w:ascii="宋体" w:hAnsi="Calibri" w:eastAsia="宋体" w:cs="Times New Roman"/>
          <w:color w:val="000000"/>
          <w:sz w:val="28"/>
          <w:szCs w:val="28"/>
        </w:rPr>
      </w:pPr>
      <w:r>
        <w:rPr>
          <w:rFonts w:hint="eastAsia" w:ascii="宋体" w:hAnsi="宋体" w:eastAsia="宋体" w:cs="Times New Roman"/>
          <w:color w:val="000000"/>
          <w:sz w:val="28"/>
          <w:szCs w:val="28"/>
        </w:rPr>
        <w:t>招标人：中国重汽集团济南商用车有限公司</w:t>
      </w:r>
    </w:p>
    <w:p>
      <w:pPr>
        <w:jc w:val="center"/>
        <w:rPr>
          <w:rFonts w:ascii="Calibri" w:hAnsi="Calibri" w:eastAsia="宋体" w:cs="Times New Roman"/>
          <w:b/>
          <w:bCs/>
          <w:kern w:val="44"/>
          <w:sz w:val="36"/>
          <w:szCs w:val="44"/>
        </w:rPr>
      </w:pPr>
      <w:r>
        <w:rPr>
          <w:rFonts w:ascii="Calibri" w:hAnsi="Calibri" w:eastAsia="宋体" w:cs="Times New Roman"/>
          <w:color w:val="000000"/>
          <w:sz w:val="28"/>
          <w:szCs w:val="28"/>
        </w:rPr>
        <w:t>202</w:t>
      </w:r>
      <w:r>
        <w:rPr>
          <w:rFonts w:hint="eastAsia" w:ascii="Calibri" w:hAnsi="Calibri" w:eastAsia="宋体" w:cs="Times New Roman"/>
          <w:color w:val="000000"/>
          <w:sz w:val="28"/>
          <w:szCs w:val="28"/>
        </w:rPr>
        <w:t>5</w:t>
      </w:r>
      <w:r>
        <w:rPr>
          <w:rFonts w:hint="eastAsia" w:ascii="宋体" w:hAnsi="宋体" w:eastAsia="宋体" w:cs="Times New Roman"/>
          <w:color w:val="000000"/>
          <w:sz w:val="28"/>
          <w:szCs w:val="28"/>
        </w:rPr>
        <w:t>年</w:t>
      </w:r>
      <w:r>
        <w:rPr>
          <w:rFonts w:hint="eastAsia" w:ascii="宋体" w:hAnsi="宋体" w:eastAsia="宋体" w:cs="Times New Roman"/>
          <w:color w:val="000000"/>
          <w:sz w:val="28"/>
          <w:szCs w:val="28"/>
          <w:lang w:val="en-US" w:eastAsia="zh-CN"/>
        </w:rPr>
        <w:t>11</w:t>
      </w:r>
      <w:r>
        <w:rPr>
          <w:rFonts w:hint="eastAsia" w:ascii="Calibri" w:hAnsi="Calibri" w:eastAsia="宋体" w:cs="Times New Roman"/>
          <w:color w:val="000000"/>
          <w:sz w:val="28"/>
          <w:szCs w:val="28"/>
        </w:rPr>
        <w:t>月</w:t>
      </w:r>
    </w:p>
    <w:p>
      <w:pPr>
        <w:spacing w:line="360" w:lineRule="auto"/>
        <w:rPr>
          <w:rFonts w:hint="eastAsia" w:ascii="宋体" w:hAnsi="宋体" w:eastAsia="宋体" w:cs="Times New Roman"/>
          <w:b/>
          <w:sz w:val="36"/>
          <w:szCs w:val="36"/>
        </w:rPr>
        <w:sectPr>
          <w:headerReference r:id="rId8" w:type="default"/>
          <w:footerReference r:id="rId9" w:type="default"/>
          <w:pgSz w:w="11907" w:h="16840"/>
          <w:pgMar w:top="1304" w:right="1418" w:bottom="1304" w:left="1418" w:header="724" w:footer="851" w:gutter="0"/>
          <w:cols w:space="720" w:num="1"/>
          <w:docGrid w:linePitch="290" w:charSpace="-3931"/>
        </w:sectPr>
      </w:pPr>
    </w:p>
    <w:p>
      <w:pPr>
        <w:keepNext/>
        <w:keepLines/>
        <w:spacing w:before="120" w:after="120" w:line="480" w:lineRule="exact"/>
        <w:jc w:val="center"/>
        <w:outlineLvl w:val="1"/>
        <w:rPr>
          <w:rFonts w:ascii="宋体" w:hAnsi="Calibri" w:eastAsia="宋体" w:cs="Times New Roman"/>
          <w:b/>
          <w:bCs/>
          <w:kern w:val="44"/>
          <w:sz w:val="28"/>
          <w:szCs w:val="28"/>
        </w:rPr>
      </w:pPr>
      <w:bookmarkStart w:id="97" w:name="_Toc169605877"/>
      <w:r>
        <w:rPr>
          <w:rFonts w:hint="eastAsia" w:ascii="宋体" w:hAnsi="宋体" w:eastAsia="宋体" w:cs="Times New Roman"/>
          <w:b/>
          <w:bCs/>
          <w:kern w:val="44"/>
          <w:sz w:val="28"/>
          <w:szCs w:val="28"/>
        </w:rPr>
        <w:t>第一章采购货物概况</w:t>
      </w:r>
      <w:bookmarkEnd w:id="97"/>
    </w:p>
    <w:p>
      <w:pPr>
        <w:keepNext/>
        <w:keepLines/>
        <w:spacing w:before="120" w:after="120" w:line="480" w:lineRule="exact"/>
        <w:jc w:val="center"/>
        <w:outlineLvl w:val="2"/>
        <w:rPr>
          <w:rFonts w:ascii="Arial" w:hAnsi="Arial" w:eastAsia="宋体" w:cs="Times New Roman"/>
          <w:b/>
          <w:bCs/>
          <w:sz w:val="24"/>
          <w:szCs w:val="24"/>
        </w:rPr>
      </w:pPr>
      <w:bookmarkStart w:id="98" w:name="_Toc169605878"/>
      <w:r>
        <w:rPr>
          <w:rFonts w:hint="eastAsia" w:ascii="Arial" w:hAnsi="Arial" w:eastAsia="宋体" w:cs="Times New Roman"/>
          <w:b/>
          <w:bCs/>
          <w:sz w:val="24"/>
          <w:szCs w:val="24"/>
        </w:rPr>
        <w:t>第一节使用环境</w:t>
      </w:r>
      <w:bookmarkEnd w:id="98"/>
    </w:p>
    <w:p>
      <w:pPr>
        <w:keepNext w:val="0"/>
        <w:keepLines w:val="0"/>
        <w:widowControl/>
        <w:suppressLineNumbers w:val="0"/>
        <w:jc w:val="left"/>
        <w:rPr>
          <w:rFonts w:hint="eastAsia" w:ascii="宋体" w:hAnsi="宋体" w:eastAsia="宋体" w:cs="宋体"/>
          <w:color w:val="000000"/>
          <w:sz w:val="24"/>
          <w:szCs w:val="24"/>
          <w:u w:val="single"/>
        </w:rPr>
      </w:pPr>
      <w:r>
        <w:rPr>
          <w:rFonts w:hint="eastAsia" w:ascii="宋体" w:hAnsi="宋体" w:eastAsia="宋体" w:cs="宋体"/>
          <w:color w:val="000000"/>
          <w:sz w:val="24"/>
          <w:szCs w:val="24"/>
        </w:rPr>
        <w:t>一、项目名称：</w:t>
      </w:r>
      <w:r>
        <w:rPr>
          <w:rFonts w:hint="eastAsia" w:ascii="宋体" w:hAnsi="宋体" w:eastAsia="宋体" w:cs="宋体"/>
          <w:color w:val="000000"/>
          <w:sz w:val="24"/>
          <w:szCs w:val="24"/>
          <w:u w:val="single"/>
        </w:rPr>
        <w:t>济南</w:t>
      </w:r>
      <w:r>
        <w:rPr>
          <w:rFonts w:hint="eastAsia" w:ascii="宋体" w:hAnsi="宋体" w:eastAsia="宋体" w:cs="宋体"/>
          <w:color w:val="000000"/>
          <w:sz w:val="24"/>
          <w:szCs w:val="24"/>
          <w:u w:val="single"/>
          <w:lang w:eastAsia="zh-CN"/>
        </w:rPr>
        <w:t>轻卡制造</w:t>
      </w:r>
      <w:r>
        <w:rPr>
          <w:rFonts w:hint="eastAsia" w:ascii="宋体" w:hAnsi="宋体" w:eastAsia="宋体" w:cs="宋体"/>
          <w:color w:val="000000"/>
          <w:sz w:val="24"/>
          <w:szCs w:val="24"/>
          <w:u w:val="single"/>
        </w:rPr>
        <w:t>公司</w:t>
      </w:r>
      <w:r>
        <w:rPr>
          <w:rFonts w:hint="eastAsia" w:ascii="宋体" w:hAnsi="宋体" w:eastAsia="宋体" w:cs="宋体"/>
          <w:color w:val="000000"/>
          <w:sz w:val="24"/>
          <w:szCs w:val="24"/>
          <w:u w:val="single"/>
          <w:lang w:val="en-US" w:eastAsia="zh-CN"/>
        </w:rPr>
        <w:t>统帅右置驾驶室车型模检具改制</w:t>
      </w:r>
      <w:r>
        <w:rPr>
          <w:rFonts w:hint="eastAsia" w:ascii="宋体" w:hAnsi="宋体" w:eastAsia="宋体" w:cs="宋体"/>
          <w:color w:val="000000"/>
          <w:sz w:val="24"/>
          <w:szCs w:val="24"/>
          <w:u w:val="single"/>
        </w:rPr>
        <w:t>项目</w:t>
      </w:r>
    </w:p>
    <w:p>
      <w:pPr>
        <w:spacing w:line="360" w:lineRule="exact"/>
        <w:rPr>
          <w:rFonts w:hint="eastAsia" w:ascii="宋体" w:hAnsi="宋体" w:eastAsia="宋体" w:cs="宋体"/>
          <w:color w:val="000000"/>
          <w:sz w:val="24"/>
          <w:szCs w:val="24"/>
          <w:u w:val="single"/>
        </w:rPr>
      </w:pPr>
      <w:r>
        <w:rPr>
          <w:rFonts w:hint="eastAsia" w:ascii="宋体" w:hAnsi="宋体" w:eastAsia="宋体" w:cs="宋体"/>
          <w:sz w:val="24"/>
          <w:szCs w:val="24"/>
        </w:rPr>
        <w:t>二、建设地点：</w:t>
      </w:r>
      <w:r>
        <w:rPr>
          <w:rFonts w:hint="eastAsia" w:ascii="宋体" w:hAnsi="宋体" w:eastAsia="宋体" w:cs="宋体"/>
          <w:color w:val="000000"/>
          <w:sz w:val="24"/>
          <w:szCs w:val="24"/>
          <w:u w:val="single"/>
        </w:rPr>
        <w:t>中国重汽集团济南轻卡制造公司/配套商</w:t>
      </w:r>
    </w:p>
    <w:p>
      <w:pPr>
        <w:spacing w:line="420" w:lineRule="exact"/>
        <w:rPr>
          <w:rFonts w:hint="eastAsia" w:ascii="宋体" w:hAnsi="宋体" w:eastAsia="宋体" w:cs="宋体"/>
          <w:color w:val="000000"/>
          <w:sz w:val="24"/>
          <w:szCs w:val="24"/>
          <w:u w:val="single"/>
        </w:rPr>
      </w:pPr>
      <w:r>
        <w:rPr>
          <w:rFonts w:hint="eastAsia" w:ascii="宋体" w:hAnsi="宋体" w:eastAsia="宋体" w:cs="宋体"/>
          <w:sz w:val="24"/>
          <w:szCs w:val="24"/>
        </w:rPr>
        <w:t>三、使用地点：</w:t>
      </w:r>
      <w:r>
        <w:rPr>
          <w:rFonts w:hint="eastAsia" w:ascii="宋体" w:hAnsi="宋体" w:eastAsia="宋体" w:cs="宋体"/>
          <w:color w:val="000000"/>
          <w:sz w:val="24"/>
          <w:szCs w:val="24"/>
          <w:u w:val="single"/>
        </w:rPr>
        <w:t>中国重汽集团济南轻卡制造公司/配套商</w:t>
      </w:r>
    </w:p>
    <w:p>
      <w:pPr>
        <w:spacing w:line="360" w:lineRule="auto"/>
        <w:outlineLvl w:val="3"/>
        <w:rPr>
          <w:rFonts w:hint="eastAsia" w:ascii="宋体" w:hAnsi="宋体" w:eastAsia="宋体" w:cs="宋体"/>
          <w:sz w:val="24"/>
          <w:szCs w:val="24"/>
        </w:rPr>
      </w:pPr>
      <w:r>
        <w:rPr>
          <w:rFonts w:hint="eastAsia" w:ascii="宋体" w:hAnsi="宋体" w:eastAsia="宋体" w:cs="宋体"/>
          <w:sz w:val="24"/>
          <w:szCs w:val="24"/>
        </w:rPr>
        <w:t>四、工作制度：全年工作</w:t>
      </w:r>
      <w:r>
        <w:rPr>
          <w:rFonts w:hint="eastAsia" w:ascii="宋体" w:hAnsi="宋体" w:eastAsia="宋体" w:cs="宋体"/>
          <w:sz w:val="24"/>
          <w:szCs w:val="24"/>
          <w:u w:val="single"/>
          <w:shd w:val="pct10" w:color="auto" w:fill="FFFFFF"/>
        </w:rPr>
        <w:t>330</w:t>
      </w:r>
      <w:r>
        <w:rPr>
          <w:rFonts w:hint="eastAsia" w:ascii="宋体" w:hAnsi="宋体" w:eastAsia="宋体" w:cs="宋体"/>
          <w:sz w:val="24"/>
          <w:szCs w:val="24"/>
        </w:rPr>
        <w:t>天</w:t>
      </w:r>
    </w:p>
    <w:p>
      <w:pPr>
        <w:spacing w:line="360" w:lineRule="auto"/>
        <w:outlineLvl w:val="3"/>
        <w:rPr>
          <w:rFonts w:hint="eastAsia" w:ascii="宋体" w:hAnsi="宋体" w:eastAsia="宋体" w:cs="宋体"/>
          <w:sz w:val="24"/>
          <w:szCs w:val="24"/>
        </w:rPr>
      </w:pPr>
      <w:r>
        <w:rPr>
          <w:rFonts w:hint="eastAsia" w:ascii="宋体" w:hAnsi="宋体" w:eastAsia="宋体" w:cs="宋体"/>
          <w:sz w:val="24"/>
          <w:szCs w:val="24"/>
        </w:rPr>
        <w:t>五、使用地点区域自然环境：</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1.海拔高度：</w:t>
      </w:r>
      <w:r>
        <w:rPr>
          <w:rFonts w:ascii="宋体" w:hAnsi="宋体" w:eastAsia="宋体" w:cs="宋体"/>
          <w:bCs/>
          <w:sz w:val="24"/>
          <w:szCs w:val="24"/>
        </w:rPr>
        <w:t>5500</w:t>
      </w:r>
      <w:r>
        <w:rPr>
          <w:rFonts w:hint="eastAsia" w:ascii="宋体" w:hAnsi="宋体" w:eastAsia="宋体" w:cs="宋体"/>
          <w:bCs/>
          <w:sz w:val="24"/>
          <w:szCs w:val="24"/>
        </w:rPr>
        <w:t>m以下。</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2.环境温度：室内温度-10℃～40℃。</w:t>
      </w:r>
    </w:p>
    <w:p>
      <w:pPr>
        <w:spacing w:line="360" w:lineRule="auto"/>
        <w:ind w:firstLine="480" w:firstLineChars="200"/>
        <w:rPr>
          <w:rFonts w:hint="eastAsia" w:hAnsi="宋体" w:eastAsia="宋体" w:cs="宋体"/>
        </w:rPr>
      </w:pPr>
      <w:r>
        <w:rPr>
          <w:rFonts w:hint="eastAsia" w:ascii="宋体" w:hAnsi="宋体" w:eastAsia="宋体" w:cs="宋体"/>
          <w:bCs/>
          <w:sz w:val="24"/>
          <w:szCs w:val="24"/>
        </w:rPr>
        <w:t>3.相对湿度：</w:t>
      </w:r>
      <w:r>
        <w:rPr>
          <w:rFonts w:hint="eastAsia" w:ascii="宋体" w:hAnsi="宋体" w:eastAsia="宋体"/>
          <w:sz w:val="24"/>
        </w:rPr>
        <w:t>≤</w:t>
      </w:r>
      <w:r>
        <w:rPr>
          <w:rFonts w:ascii="宋体" w:hAnsi="宋体" w:eastAsia="宋体"/>
          <w:sz w:val="24"/>
        </w:rPr>
        <w:t>90%</w:t>
      </w:r>
      <w:r>
        <w:rPr>
          <w:rFonts w:hint="eastAsia" w:ascii="宋体" w:hAnsi="宋体" w:eastAsia="宋体" w:cs="宋体"/>
          <w:bCs/>
          <w:sz w:val="24"/>
          <w:szCs w:val="24"/>
        </w:rPr>
        <w:t>。</w:t>
      </w:r>
    </w:p>
    <w:p>
      <w:pPr>
        <w:keepNext/>
        <w:keepLines/>
        <w:spacing w:before="120" w:after="120" w:line="480" w:lineRule="exact"/>
        <w:jc w:val="center"/>
        <w:outlineLvl w:val="2"/>
        <w:rPr>
          <w:rFonts w:ascii="宋体" w:hAnsi="Arial" w:eastAsia="宋体" w:cs="Times New Roman"/>
          <w:b/>
          <w:bCs/>
          <w:sz w:val="24"/>
          <w:szCs w:val="24"/>
        </w:rPr>
      </w:pPr>
      <w:r>
        <w:rPr>
          <w:rFonts w:hint="eastAsia" w:ascii="宋体" w:hAnsi="宋体" w:eastAsia="宋体" w:cs="Times New Roman"/>
          <w:b/>
          <w:bCs/>
          <w:sz w:val="24"/>
          <w:szCs w:val="24"/>
        </w:rPr>
        <w:t>第二节采购货物概况</w:t>
      </w:r>
    </w:p>
    <w:p>
      <w:pPr>
        <w:spacing w:line="420" w:lineRule="exact"/>
        <w:outlineLvl w:val="3"/>
        <w:rPr>
          <w:rFonts w:hint="eastAsia" w:ascii="宋体" w:hAnsi="宋体" w:eastAsia="宋体" w:cs="宋体"/>
          <w:sz w:val="24"/>
          <w:szCs w:val="24"/>
          <w:u w:val="single"/>
          <w:shd w:val="pct10" w:color="auto" w:fill="FFFFFF"/>
        </w:rPr>
      </w:pPr>
      <w:r>
        <w:rPr>
          <w:rFonts w:hint="eastAsia" w:ascii="宋体" w:hAnsi="宋体" w:eastAsia="宋体" w:cs="宋体"/>
          <w:b/>
          <w:sz w:val="24"/>
          <w:szCs w:val="24"/>
        </w:rPr>
        <w:t>一、货物名称：</w:t>
      </w:r>
      <w:r>
        <w:rPr>
          <w:rFonts w:hint="eastAsia" w:ascii="宋体" w:hAnsi="宋体" w:eastAsia="宋体" w:cs="宋体"/>
          <w:color w:val="000000"/>
          <w:sz w:val="24"/>
          <w:szCs w:val="24"/>
          <w:u w:val="single"/>
          <w:lang w:val="en-US" w:eastAsia="zh-CN"/>
        </w:rPr>
        <w:t>统帅右置驾驶室车型模检具改制</w:t>
      </w:r>
      <w:r>
        <w:rPr>
          <w:rFonts w:hint="eastAsia" w:ascii="宋体" w:hAnsi="宋体" w:eastAsia="宋体" w:cs="宋体"/>
          <w:color w:val="000000"/>
          <w:sz w:val="24"/>
          <w:szCs w:val="24"/>
          <w:u w:val="single"/>
        </w:rPr>
        <w:t>项目</w:t>
      </w:r>
      <w:r>
        <w:rPr>
          <w:rFonts w:hint="eastAsia" w:ascii="宋体" w:hAnsi="宋体" w:eastAsia="宋体" w:cs="宋体"/>
          <w:sz w:val="24"/>
          <w:szCs w:val="24"/>
        </w:rPr>
        <w:t>（详见下表）</w:t>
      </w:r>
    </w:p>
    <w:p>
      <w:pPr>
        <w:spacing w:line="420" w:lineRule="exact"/>
        <w:outlineLvl w:val="3"/>
        <w:rPr>
          <w:rFonts w:hint="eastAsia" w:ascii="宋体" w:hAnsi="宋体" w:eastAsia="宋体" w:cs="宋体"/>
          <w:sz w:val="24"/>
          <w:szCs w:val="24"/>
        </w:rPr>
      </w:pPr>
      <w:r>
        <w:rPr>
          <w:rFonts w:hint="eastAsia" w:ascii="宋体" w:hAnsi="宋体" w:eastAsia="宋体" w:cs="宋体"/>
          <w:b/>
          <w:sz w:val="24"/>
          <w:szCs w:val="24"/>
        </w:rPr>
        <w:t>二、货物数量：1</w:t>
      </w:r>
      <w:r>
        <w:rPr>
          <w:rFonts w:hint="eastAsia" w:ascii="宋体" w:hAnsi="宋体" w:eastAsia="宋体" w:cs="宋体"/>
          <w:sz w:val="24"/>
          <w:szCs w:val="24"/>
          <w:u w:val="single"/>
          <w:shd w:val="pct10" w:color="auto" w:fill="FFFFFF"/>
        </w:rPr>
        <w:t>批</w:t>
      </w:r>
      <w:r>
        <w:rPr>
          <w:rFonts w:hint="eastAsia" w:ascii="宋体" w:hAnsi="宋体" w:eastAsia="宋体" w:cs="宋体"/>
          <w:sz w:val="24"/>
          <w:szCs w:val="24"/>
        </w:rPr>
        <w:t>（详见下表）</w:t>
      </w:r>
    </w:p>
    <w:p>
      <w:pPr>
        <w:spacing w:line="420" w:lineRule="exact"/>
        <w:outlineLvl w:val="3"/>
        <w:rPr>
          <w:rFonts w:hint="eastAsia" w:ascii="宋体" w:hAnsi="宋体" w:eastAsia="宋体" w:cs="宋体"/>
          <w:b/>
          <w:sz w:val="24"/>
          <w:szCs w:val="24"/>
        </w:rPr>
      </w:pPr>
      <w:r>
        <w:rPr>
          <w:rFonts w:hint="eastAsia" w:ascii="宋体" w:hAnsi="宋体" w:eastAsia="宋体" w:cs="宋体"/>
          <w:b/>
          <w:sz w:val="24"/>
          <w:szCs w:val="24"/>
        </w:rPr>
        <w:t>三、分投分中：不允许</w:t>
      </w:r>
    </w:p>
    <w:p>
      <w:pPr>
        <w:jc w:val="center"/>
        <w:rPr>
          <w:rFonts w:hint="eastAsia" w:ascii="宋体" w:hAnsi="宋体" w:eastAsia="宋体" w:cs="宋体"/>
          <w:sz w:val="24"/>
          <w:szCs w:val="24"/>
        </w:rPr>
      </w:pPr>
      <w:r>
        <w:rPr>
          <w:rFonts w:hint="eastAsia" w:ascii="宋体" w:hAnsi="宋体" w:eastAsia="宋体" w:cs="宋体"/>
          <w:color w:val="000000"/>
          <w:sz w:val="24"/>
          <w:szCs w:val="24"/>
        </w:rPr>
        <w:t>*采购货物主要构成</w:t>
      </w:r>
      <w:r>
        <w:rPr>
          <w:rFonts w:hint="eastAsia" w:ascii="宋体" w:hAnsi="宋体" w:eastAsia="宋体" w:cs="宋体"/>
          <w:sz w:val="24"/>
          <w:szCs w:val="24"/>
        </w:rPr>
        <w:t>一览表：</w:t>
      </w:r>
    </w:p>
    <w:tbl>
      <w:tblPr>
        <w:tblStyle w:val="41"/>
        <w:tblW w:w="10676"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571"/>
        <w:gridCol w:w="1589"/>
        <w:gridCol w:w="1258"/>
        <w:gridCol w:w="1073"/>
        <w:gridCol w:w="4546"/>
        <w:gridCol w:w="163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trHeight w:val="157" w:hRule="atLeast"/>
          <w:jc w:val="center"/>
        </w:trPr>
        <w:tc>
          <w:tcPr>
            <w:tcW w:w="571" w:type="dxa"/>
            <w:vAlign w:val="center"/>
          </w:tcPr>
          <w:p>
            <w:pPr>
              <w:spacing w:line="240" w:lineRule="atLeast"/>
              <w:jc w:val="center"/>
              <w:rPr>
                <w:rFonts w:hint="eastAsia" w:ascii="仿宋_GB2312" w:hAnsi="仿宋_GB2312" w:eastAsia="仿宋_GB2312" w:cs="仿宋_GB2312"/>
                <w:b/>
                <w:sz w:val="24"/>
                <w:szCs w:val="24"/>
                <w:highlight w:val="none"/>
              </w:rPr>
            </w:pPr>
            <w:r>
              <w:rPr>
                <w:rFonts w:hint="eastAsia" w:ascii="仿宋_GB2312" w:hAnsi="仿宋_GB2312" w:eastAsia="仿宋_GB2312" w:cs="仿宋_GB2312"/>
                <w:b/>
                <w:sz w:val="24"/>
                <w:szCs w:val="24"/>
                <w:highlight w:val="none"/>
              </w:rPr>
              <w:t>序号</w:t>
            </w:r>
          </w:p>
        </w:tc>
        <w:tc>
          <w:tcPr>
            <w:tcW w:w="1589" w:type="dxa"/>
            <w:tcMar>
              <w:top w:w="20" w:type="dxa"/>
              <w:left w:w="20" w:type="dxa"/>
              <w:bottom w:w="0" w:type="dxa"/>
              <w:right w:w="20" w:type="dxa"/>
            </w:tcMar>
            <w:vAlign w:val="center"/>
          </w:tcPr>
          <w:p>
            <w:pPr>
              <w:spacing w:line="240" w:lineRule="atLeast"/>
              <w:jc w:val="center"/>
              <w:rPr>
                <w:rFonts w:hint="eastAsia" w:ascii="仿宋_GB2312" w:hAnsi="仿宋_GB2312" w:eastAsia="仿宋_GB2312" w:cs="仿宋_GB2312"/>
                <w:b/>
                <w:sz w:val="24"/>
                <w:szCs w:val="24"/>
                <w:highlight w:val="none"/>
              </w:rPr>
            </w:pPr>
            <w:r>
              <w:rPr>
                <w:rFonts w:hint="eastAsia" w:ascii="仿宋_GB2312" w:hAnsi="仿宋_GB2312" w:eastAsia="仿宋_GB2312" w:cs="仿宋_GB2312"/>
                <w:b/>
                <w:sz w:val="24"/>
                <w:szCs w:val="24"/>
                <w:highlight w:val="none"/>
              </w:rPr>
              <w:t>标的物名称</w:t>
            </w:r>
          </w:p>
        </w:tc>
        <w:tc>
          <w:tcPr>
            <w:tcW w:w="1258" w:type="dxa"/>
            <w:vAlign w:val="center"/>
          </w:tcPr>
          <w:p>
            <w:pPr>
              <w:spacing w:line="240" w:lineRule="atLeast"/>
              <w:jc w:val="center"/>
              <w:rPr>
                <w:rFonts w:hint="eastAsia" w:ascii="仿宋_GB2312" w:hAnsi="仿宋_GB2312" w:eastAsia="仿宋_GB2312" w:cs="仿宋_GB2312"/>
                <w:b/>
                <w:sz w:val="24"/>
                <w:szCs w:val="24"/>
                <w:highlight w:val="none"/>
              </w:rPr>
            </w:pPr>
            <w:r>
              <w:rPr>
                <w:rFonts w:hint="eastAsia" w:ascii="仿宋_GB2312" w:hAnsi="仿宋_GB2312" w:eastAsia="仿宋_GB2312" w:cs="仿宋_GB2312"/>
                <w:b/>
                <w:sz w:val="24"/>
                <w:szCs w:val="24"/>
                <w:highlight w:val="none"/>
              </w:rPr>
              <w:t>标的物数量</w:t>
            </w:r>
          </w:p>
        </w:tc>
        <w:tc>
          <w:tcPr>
            <w:tcW w:w="1073" w:type="dxa"/>
            <w:vAlign w:val="center"/>
          </w:tcPr>
          <w:p>
            <w:pPr>
              <w:spacing w:line="240" w:lineRule="atLeast"/>
              <w:jc w:val="center"/>
              <w:rPr>
                <w:rFonts w:hint="eastAsia" w:ascii="仿宋_GB2312" w:hAnsi="仿宋_GB2312" w:eastAsia="仿宋_GB2312" w:cs="仿宋_GB2312"/>
                <w:b/>
                <w:sz w:val="24"/>
                <w:szCs w:val="24"/>
                <w:highlight w:val="none"/>
              </w:rPr>
            </w:pPr>
            <w:r>
              <w:rPr>
                <w:rFonts w:hint="eastAsia" w:ascii="仿宋_GB2312" w:hAnsi="仿宋_GB2312" w:eastAsia="仿宋_GB2312" w:cs="仿宋_GB2312"/>
                <w:b/>
                <w:sz w:val="24"/>
                <w:szCs w:val="24"/>
                <w:highlight w:val="none"/>
              </w:rPr>
              <w:t>使用地点</w:t>
            </w:r>
          </w:p>
        </w:tc>
        <w:tc>
          <w:tcPr>
            <w:tcW w:w="4546" w:type="dxa"/>
            <w:vAlign w:val="center"/>
          </w:tcPr>
          <w:p>
            <w:pPr>
              <w:spacing w:line="240" w:lineRule="atLeast"/>
              <w:jc w:val="center"/>
              <w:rPr>
                <w:rFonts w:hint="eastAsia" w:ascii="仿宋_GB2312" w:hAnsi="仿宋_GB2312" w:eastAsia="仿宋_GB2312" w:cs="仿宋_GB2312"/>
                <w:b/>
                <w:sz w:val="24"/>
                <w:szCs w:val="24"/>
                <w:highlight w:val="none"/>
              </w:rPr>
            </w:pPr>
            <w:r>
              <w:rPr>
                <w:rFonts w:hint="eastAsia" w:ascii="仿宋_GB2312" w:hAnsi="仿宋_GB2312" w:eastAsia="仿宋_GB2312" w:cs="仿宋_GB2312"/>
                <w:b/>
                <w:sz w:val="24"/>
                <w:szCs w:val="24"/>
                <w:highlight w:val="none"/>
              </w:rPr>
              <w:t>货  期</w:t>
            </w:r>
          </w:p>
        </w:tc>
        <w:tc>
          <w:tcPr>
            <w:tcW w:w="1639" w:type="dxa"/>
            <w:vAlign w:val="center"/>
          </w:tcPr>
          <w:p>
            <w:pPr>
              <w:spacing w:line="240" w:lineRule="atLeast"/>
              <w:jc w:val="center"/>
              <w:rPr>
                <w:rFonts w:hint="eastAsia" w:ascii="仿宋_GB2312" w:hAnsi="仿宋_GB2312" w:eastAsia="仿宋_GB2312" w:cs="仿宋_GB2312"/>
                <w:b/>
                <w:sz w:val="24"/>
                <w:szCs w:val="24"/>
                <w:highlight w:val="none"/>
              </w:rPr>
            </w:pPr>
            <w:r>
              <w:rPr>
                <w:rFonts w:hint="eastAsia" w:ascii="仿宋_GB2312" w:hAnsi="仿宋_GB2312" w:eastAsia="仿宋_GB2312" w:cs="仿宋_GB2312"/>
                <w:b/>
                <w:sz w:val="24"/>
                <w:szCs w:val="24"/>
                <w:highlight w:val="none"/>
              </w:rPr>
              <w:t>备 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71" w:hRule="atLeast"/>
          <w:jc w:val="center"/>
        </w:trPr>
        <w:tc>
          <w:tcPr>
            <w:tcW w:w="571" w:type="dxa"/>
            <w:vAlign w:val="center"/>
          </w:tcPr>
          <w:p>
            <w:pPr>
              <w:pStyle w:val="36"/>
              <w:spacing w:line="240" w:lineRule="atLeast"/>
              <w:ind w:right="74"/>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A</w:t>
            </w:r>
          </w:p>
        </w:tc>
        <w:tc>
          <w:tcPr>
            <w:tcW w:w="1589" w:type="dxa"/>
            <w:tcMar>
              <w:top w:w="20" w:type="dxa"/>
              <w:left w:w="20" w:type="dxa"/>
              <w:bottom w:w="0" w:type="dxa"/>
              <w:right w:w="20" w:type="dxa"/>
            </w:tcMar>
            <w:vAlign w:val="center"/>
          </w:tcPr>
          <w:p>
            <w:pPr>
              <w:autoSpaceDE w:val="0"/>
              <w:autoSpaceDN w:val="0"/>
              <w:adjustRightInd w:val="0"/>
              <w:spacing w:line="240" w:lineRule="atLeast"/>
              <w:jc w:val="center"/>
              <w:rPr>
                <w:rFonts w:hint="eastAsia" w:ascii="仿宋" w:hAnsi="仿宋" w:eastAsia="仿宋" w:cs="仿宋"/>
                <w:sz w:val="24"/>
                <w:szCs w:val="18"/>
                <w:highlight w:val="none"/>
              </w:rPr>
            </w:pPr>
            <w:r>
              <w:rPr>
                <w:rFonts w:hint="eastAsia" w:ascii="仿宋" w:hAnsi="仿宋" w:eastAsia="仿宋" w:cs="仿宋"/>
                <w:sz w:val="24"/>
                <w:szCs w:val="18"/>
                <w:highlight w:val="none"/>
              </w:rPr>
              <w:t>改制模具</w:t>
            </w:r>
          </w:p>
        </w:tc>
        <w:tc>
          <w:tcPr>
            <w:tcW w:w="1258" w:type="dxa"/>
            <w:vAlign w:val="center"/>
          </w:tcPr>
          <w:p>
            <w:pPr>
              <w:autoSpaceDE w:val="0"/>
              <w:autoSpaceDN w:val="0"/>
              <w:adjustRightInd w:val="0"/>
              <w:spacing w:line="240" w:lineRule="atLeast"/>
              <w:jc w:val="center"/>
              <w:rPr>
                <w:rFonts w:hint="eastAsia" w:ascii="仿宋" w:hAnsi="仿宋" w:eastAsia="仿宋" w:cs="仿宋"/>
                <w:sz w:val="24"/>
                <w:szCs w:val="18"/>
                <w:highlight w:val="none"/>
              </w:rPr>
            </w:pPr>
            <w:r>
              <w:rPr>
                <w:rFonts w:hint="eastAsia" w:ascii="仿宋" w:hAnsi="仿宋" w:eastAsia="仿宋" w:cs="仿宋"/>
                <w:sz w:val="24"/>
                <w:szCs w:val="18"/>
                <w:highlight w:val="none"/>
                <w:lang w:val="en-US" w:eastAsia="zh-CN"/>
              </w:rPr>
              <w:t>4</w:t>
            </w:r>
          </w:p>
        </w:tc>
        <w:tc>
          <w:tcPr>
            <w:tcW w:w="1073" w:type="dxa"/>
            <w:vAlign w:val="center"/>
          </w:tcPr>
          <w:p>
            <w:pPr>
              <w:pStyle w:val="36"/>
              <w:spacing w:line="240" w:lineRule="atLeast"/>
              <w:ind w:right="74" w:rightChars="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中国境内</w:t>
            </w:r>
          </w:p>
        </w:tc>
        <w:tc>
          <w:tcPr>
            <w:tcW w:w="4546" w:type="dxa"/>
            <w:vAlign w:val="center"/>
          </w:tcPr>
          <w:p>
            <w:pPr>
              <w:pStyle w:val="36"/>
              <w:spacing w:line="240" w:lineRule="atLeast"/>
              <w:ind w:right="74" w:rightChars="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接到中标通知40个日历日内</w:t>
            </w:r>
            <w:r>
              <w:rPr>
                <w:rFonts w:hint="eastAsia" w:ascii="仿宋_GB2312" w:hAnsi="仿宋_GB2312" w:eastAsia="仿宋_GB2312" w:cs="仿宋_GB2312"/>
                <w:highlight w:val="none"/>
              </w:rPr>
              <w:t>完成模具更改</w:t>
            </w:r>
          </w:p>
        </w:tc>
        <w:tc>
          <w:tcPr>
            <w:tcW w:w="1639" w:type="dxa"/>
            <w:vAlign w:val="center"/>
          </w:tcPr>
          <w:p>
            <w:pPr>
              <w:pStyle w:val="36"/>
              <w:spacing w:line="240" w:lineRule="atLeast"/>
              <w:jc w:val="center"/>
              <w:rPr>
                <w:rFonts w:hint="eastAsia" w:ascii="仿宋_GB2312" w:hAnsi="仿宋_GB2312" w:eastAsia="仿宋_GB2312" w:cs="仿宋_GB2312"/>
                <w:highlight w:val="none"/>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420" w:hRule="atLeast"/>
          <w:jc w:val="center"/>
        </w:trPr>
        <w:tc>
          <w:tcPr>
            <w:tcW w:w="571" w:type="dxa"/>
            <w:vAlign w:val="center"/>
          </w:tcPr>
          <w:p>
            <w:pPr>
              <w:pStyle w:val="36"/>
              <w:spacing w:line="240" w:lineRule="atLeast"/>
              <w:ind w:right="74"/>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B</w:t>
            </w:r>
          </w:p>
        </w:tc>
        <w:tc>
          <w:tcPr>
            <w:tcW w:w="1589" w:type="dxa"/>
            <w:tcMar>
              <w:top w:w="20" w:type="dxa"/>
              <w:left w:w="20" w:type="dxa"/>
              <w:bottom w:w="0" w:type="dxa"/>
              <w:right w:w="20" w:type="dxa"/>
            </w:tcMar>
            <w:vAlign w:val="center"/>
          </w:tcPr>
          <w:p>
            <w:pPr>
              <w:autoSpaceDE w:val="0"/>
              <w:autoSpaceDN w:val="0"/>
              <w:adjustRightInd w:val="0"/>
              <w:spacing w:line="240" w:lineRule="atLeast"/>
              <w:jc w:val="center"/>
              <w:rPr>
                <w:rFonts w:hint="eastAsia" w:ascii="仿宋" w:hAnsi="仿宋" w:eastAsia="仿宋" w:cs="仿宋"/>
                <w:sz w:val="24"/>
                <w:szCs w:val="18"/>
                <w:highlight w:val="none"/>
              </w:rPr>
            </w:pPr>
            <w:r>
              <w:rPr>
                <w:rFonts w:hint="eastAsia" w:ascii="仿宋" w:hAnsi="仿宋" w:eastAsia="仿宋" w:cs="仿宋"/>
                <w:sz w:val="24"/>
                <w:szCs w:val="18"/>
                <w:highlight w:val="none"/>
              </w:rPr>
              <w:t>改制检具</w:t>
            </w:r>
          </w:p>
        </w:tc>
        <w:tc>
          <w:tcPr>
            <w:tcW w:w="1258" w:type="dxa"/>
            <w:vAlign w:val="center"/>
          </w:tcPr>
          <w:p>
            <w:pPr>
              <w:autoSpaceDE w:val="0"/>
              <w:autoSpaceDN w:val="0"/>
              <w:adjustRightInd w:val="0"/>
              <w:spacing w:line="240" w:lineRule="atLeast"/>
              <w:jc w:val="center"/>
              <w:rPr>
                <w:rFonts w:hint="eastAsia" w:ascii="仿宋" w:hAnsi="仿宋" w:eastAsia="仿宋" w:cs="仿宋"/>
                <w:sz w:val="24"/>
                <w:szCs w:val="18"/>
                <w:highlight w:val="none"/>
                <w:lang w:eastAsia="zh-CN"/>
              </w:rPr>
            </w:pPr>
            <w:r>
              <w:rPr>
                <w:rFonts w:hint="eastAsia" w:ascii="仿宋" w:hAnsi="仿宋" w:eastAsia="仿宋" w:cs="仿宋"/>
                <w:sz w:val="24"/>
                <w:szCs w:val="18"/>
                <w:highlight w:val="none"/>
                <w:lang w:val="en-US" w:eastAsia="zh-CN"/>
              </w:rPr>
              <w:t>1</w:t>
            </w:r>
          </w:p>
        </w:tc>
        <w:tc>
          <w:tcPr>
            <w:tcW w:w="1073" w:type="dxa"/>
            <w:vAlign w:val="center"/>
          </w:tcPr>
          <w:p>
            <w:pPr>
              <w:pStyle w:val="36"/>
              <w:spacing w:line="240" w:lineRule="atLeast"/>
              <w:ind w:right="74" w:rightChars="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rPr>
              <w:t>中国境内</w:t>
            </w:r>
          </w:p>
        </w:tc>
        <w:tc>
          <w:tcPr>
            <w:tcW w:w="4546" w:type="dxa"/>
            <w:vAlign w:val="center"/>
          </w:tcPr>
          <w:p>
            <w:pPr>
              <w:pStyle w:val="36"/>
              <w:spacing w:line="240" w:lineRule="atLeast"/>
              <w:ind w:right="74" w:rightChars="0"/>
              <w:jc w:val="center"/>
              <w:rPr>
                <w:rFonts w:hint="eastAsia" w:ascii="仿宋_GB2312" w:hAnsi="仿宋_GB2312" w:eastAsia="仿宋_GB2312" w:cs="仿宋_GB2312"/>
                <w:highlight w:val="none"/>
              </w:rPr>
            </w:pPr>
            <w:r>
              <w:rPr>
                <w:rFonts w:hint="eastAsia" w:ascii="仿宋_GB2312" w:hAnsi="仿宋_GB2312" w:eastAsia="仿宋_GB2312" w:cs="仿宋_GB2312"/>
                <w:highlight w:val="none"/>
                <w:lang w:val="en-US" w:eastAsia="zh-CN"/>
              </w:rPr>
              <w:t>接到中标通知40个日历日内完成检具</w:t>
            </w:r>
            <w:r>
              <w:rPr>
                <w:rFonts w:hint="eastAsia" w:ascii="仿宋_GB2312" w:hAnsi="仿宋_GB2312" w:eastAsia="仿宋_GB2312" w:cs="仿宋_GB2312"/>
                <w:highlight w:val="none"/>
              </w:rPr>
              <w:t>更改</w:t>
            </w:r>
          </w:p>
        </w:tc>
        <w:tc>
          <w:tcPr>
            <w:tcW w:w="1639" w:type="dxa"/>
            <w:vAlign w:val="center"/>
          </w:tcPr>
          <w:p>
            <w:pPr>
              <w:pStyle w:val="36"/>
              <w:spacing w:line="240" w:lineRule="atLeast"/>
              <w:ind w:right="74"/>
              <w:jc w:val="center"/>
              <w:rPr>
                <w:rFonts w:hint="eastAsia" w:ascii="仿宋_GB2312" w:hAnsi="仿宋_GB2312" w:eastAsia="仿宋_GB2312" w:cs="仿宋_GB2312"/>
                <w:highlight w:val="none"/>
              </w:rPr>
            </w:pPr>
          </w:p>
        </w:tc>
      </w:tr>
    </w:tbl>
    <w:p>
      <w:pPr>
        <w:pStyle w:val="171"/>
      </w:pP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rPr>
        <w:t>备注：1.本表所列采购货物仅为货物的主要构成部分，应配套供货以及招标人所列其它货物（或设备）和服务，请投标人认真阅读“供货范围”。若有异议，不管是多么微小，都应在投标文件“商务偏离”章节中予以详细说明。</w:t>
      </w:r>
    </w:p>
    <w:p>
      <w:pPr>
        <w:spacing w:line="360" w:lineRule="auto"/>
        <w:ind w:firstLine="480" w:firstLineChars="200"/>
        <w:rPr>
          <w:rFonts w:hint="eastAsia" w:ascii="宋体" w:hAnsi="宋体" w:eastAsia="宋体" w:cs="宋体"/>
          <w:bCs/>
          <w:sz w:val="24"/>
          <w:szCs w:val="24"/>
        </w:rPr>
      </w:pPr>
      <w:r>
        <w:rPr>
          <w:rFonts w:hint="eastAsia" w:ascii="宋体" w:hAnsi="宋体" w:eastAsia="宋体" w:cs="宋体"/>
          <w:bCs/>
          <w:sz w:val="24"/>
          <w:szCs w:val="24"/>
          <w:lang w:val="en-US" w:eastAsia="zh-CN"/>
        </w:rPr>
        <w:t>2</w:t>
      </w:r>
      <w:r>
        <w:rPr>
          <w:rFonts w:hint="eastAsia" w:ascii="宋体" w:hAnsi="宋体" w:eastAsia="宋体" w:cs="宋体"/>
          <w:bCs/>
          <w:sz w:val="24"/>
          <w:szCs w:val="24"/>
        </w:rPr>
        <w:t>.本表“供货方式”指：交钥匙方式——包括制造、运输、定点卸货、安装、调试和协助验收以及约定培训等。</w:t>
      </w:r>
    </w:p>
    <w:p>
      <w:pPr>
        <w:pStyle w:val="171"/>
        <w:rPr>
          <w:rFonts w:hint="eastAsia"/>
        </w:rPr>
      </w:pPr>
    </w:p>
    <w:p>
      <w:pPr>
        <w:pStyle w:val="171"/>
        <w:rPr>
          <w:rFonts w:hint="eastAsia"/>
        </w:rPr>
      </w:pPr>
    </w:p>
    <w:p>
      <w:pPr>
        <w:widowControl/>
        <w:jc w:val="left"/>
        <w:rPr>
          <w:rFonts w:hint="eastAsia"/>
        </w:rPr>
      </w:pPr>
      <w:r>
        <w:br w:type="page"/>
      </w:r>
    </w:p>
    <w:p>
      <w:pPr>
        <w:keepNext/>
        <w:keepLines/>
        <w:spacing w:before="120" w:after="120" w:line="480" w:lineRule="exact"/>
        <w:jc w:val="center"/>
        <w:outlineLvl w:val="1"/>
        <w:rPr>
          <w:rFonts w:ascii="宋体" w:hAnsi="Calibri" w:eastAsia="宋体" w:cs="Times New Roman"/>
          <w:bCs/>
          <w:kern w:val="44"/>
          <w:sz w:val="28"/>
          <w:szCs w:val="28"/>
        </w:rPr>
      </w:pPr>
      <w:bookmarkStart w:id="99" w:name="_Toc169605880"/>
      <w:r>
        <w:rPr>
          <w:rFonts w:hint="eastAsia" w:ascii="宋体" w:hAnsi="宋体" w:eastAsia="宋体" w:cs="Times New Roman"/>
          <w:b/>
          <w:bCs/>
          <w:kern w:val="44"/>
          <w:sz w:val="28"/>
          <w:szCs w:val="28"/>
        </w:rPr>
        <w:t>第二章技术要求</w:t>
      </w:r>
      <w:bookmarkEnd w:id="99"/>
    </w:p>
    <w:p>
      <w:pPr>
        <w:numPr>
          <w:ilvl w:val="0"/>
          <w:numId w:val="10"/>
        </w:numPr>
        <w:spacing w:before="120" w:beforeLines="50" w:after="120" w:afterLines="50"/>
        <w:rPr>
          <w:rFonts w:hint="eastAsia" w:eastAsia="宋体" w:cs="宋体"/>
          <w:b/>
          <w:bCs/>
          <w:sz w:val="24"/>
          <w:szCs w:val="24"/>
        </w:rPr>
      </w:pPr>
      <w:r>
        <w:rPr>
          <w:rFonts w:hint="eastAsia" w:eastAsia="宋体" w:cs="宋体"/>
          <w:b/>
          <w:bCs/>
          <w:sz w:val="24"/>
          <w:szCs w:val="24"/>
        </w:rPr>
        <w:t>特别提示</w:t>
      </w:r>
    </w:p>
    <w:p>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1.本章技术要求，仅对功能、设计、结构、性能、安装和试验检验等方面，提出了最低和一般性的技术要求，并未对一切技术细节作出规定。</w:t>
      </w:r>
    </w:p>
    <w:p>
      <w:pPr>
        <w:spacing w:line="360" w:lineRule="auto"/>
        <w:rPr>
          <w:rFonts w:hint="eastAsia" w:ascii="宋体" w:hAnsi="宋体" w:eastAsia="宋体" w:cs="Times New Roman"/>
          <w:sz w:val="24"/>
          <w:szCs w:val="24"/>
        </w:rPr>
      </w:pPr>
      <w:r>
        <w:rPr>
          <w:rFonts w:hint="eastAsia" w:ascii="宋体" w:hAnsi="宋体" w:eastAsia="宋体" w:cs="Times New Roman"/>
          <w:sz w:val="24"/>
          <w:szCs w:val="24"/>
        </w:rPr>
        <w:t xml:space="preserve">    2.本技术要求所使用的标准、规范等，如与投标人所执行的标准、规范不一致时，应按高于本技术要求所列的标准、规范执行。</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.投标人认为所供货物必需由招标人配备、解决或提供的其它要求，均应在投标文件“技术偏离”中予以充分说明。</w:t>
      </w:r>
    </w:p>
    <w:p>
      <w:pPr>
        <w:spacing w:line="360" w:lineRule="auto"/>
        <w:ind w:firstLine="480" w:firstLineChars="200"/>
        <w:rPr>
          <w:rFonts w:ascii="宋体" w:hAnsi="Calibri" w:eastAsia="宋体" w:cs="Times New Roman"/>
          <w:sz w:val="24"/>
          <w:szCs w:val="24"/>
        </w:rPr>
      </w:pPr>
      <w:r>
        <w:rPr>
          <w:rFonts w:ascii="宋体" w:hAnsi="宋体" w:eastAsia="宋体" w:cs="Times New Roman"/>
          <w:bCs/>
          <w:sz w:val="24"/>
          <w:szCs w:val="24"/>
        </w:rPr>
        <w:t>4</w:t>
      </w:r>
      <w:r>
        <w:rPr>
          <w:rFonts w:hint="eastAsia" w:ascii="宋体" w:hAnsi="宋体" w:eastAsia="宋体" w:cs="Times New Roman"/>
          <w:bCs/>
          <w:sz w:val="24"/>
          <w:szCs w:val="24"/>
        </w:rPr>
        <w:t>.投标人应根据招投标货物具体要求，提出</w:t>
      </w:r>
      <w:r>
        <w:rPr>
          <w:rFonts w:hint="eastAsia" w:ascii="宋体" w:hAnsi="宋体" w:eastAsia="宋体" w:cs="Times New Roman"/>
          <w:sz w:val="24"/>
          <w:szCs w:val="24"/>
        </w:rPr>
        <w:t>对厂房、设备基础（或安装平台）、公用设施、消防、环保等超出招标文件、投标文件、答疑文件、技术交流文件、技术协议书和合同等规定的、有特殊需要的解释、说明和要求。</w:t>
      </w:r>
    </w:p>
    <w:p>
      <w:pPr>
        <w:spacing w:line="360" w:lineRule="auto"/>
        <w:rPr>
          <w:rFonts w:ascii="宋体" w:hAnsi="Calibri" w:eastAsia="宋体" w:cs="Times New Roman"/>
          <w:sz w:val="24"/>
          <w:szCs w:val="24"/>
        </w:rPr>
      </w:pPr>
      <w:r>
        <w:rPr>
          <w:rFonts w:hint="eastAsia" w:ascii="宋体" w:hAnsi="宋体" w:eastAsia="宋体" w:cs="Times New Roman"/>
          <w:sz w:val="24"/>
          <w:szCs w:val="24"/>
        </w:rPr>
        <w:t xml:space="preserve">    5.无论是否有技术偏离，投标人均应在投标文件“技术偏离”中明确作出有无说明。若有异议，不管是多么微小，投标人必须予以明确和详细的说明或澄清。</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.为避免投标人优势在招标评审时漏项，质保期超出本技术标书要求的，应当在投标文件“技术偏离”中特别注明。</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7</w:t>
      </w:r>
      <w:r>
        <w:rPr>
          <w:rFonts w:hint="eastAsia" w:ascii="宋体" w:hAnsi="宋体" w:eastAsia="宋体" w:cs="Times New Roman"/>
          <w:sz w:val="24"/>
          <w:szCs w:val="24"/>
        </w:rPr>
        <w:t>.投标文件中，针对“特别提示”条款所做的回应，将作为投标人能否中标的重要依据之一。</w:t>
      </w:r>
    </w:p>
    <w:p>
      <w:pPr>
        <w:numPr>
          <w:ilvl w:val="0"/>
          <w:numId w:val="10"/>
        </w:numPr>
        <w:spacing w:before="120" w:beforeLines="50" w:after="120" w:afterLines="50"/>
        <w:rPr>
          <w:rFonts w:hint="eastAsia" w:eastAsia="宋体" w:cs="宋体"/>
          <w:b/>
          <w:bCs/>
          <w:sz w:val="24"/>
          <w:szCs w:val="24"/>
        </w:rPr>
      </w:pPr>
      <w:r>
        <w:rPr>
          <w:rFonts w:hint="eastAsia" w:eastAsia="宋体" w:cs="宋体"/>
          <w:b/>
          <w:bCs/>
          <w:sz w:val="24"/>
          <w:szCs w:val="24"/>
        </w:rPr>
        <w:t>基本要求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1</w:t>
      </w:r>
      <w:r>
        <w:rPr>
          <w:rFonts w:hint="eastAsia" w:ascii="宋体" w:hAnsi="宋体" w:eastAsia="宋体" w:cs="Times New Roman"/>
          <w:sz w:val="24"/>
          <w:szCs w:val="24"/>
        </w:rPr>
        <w:t>.投标人所供的货物，必须符合中国最新版的法律、法规和相关标准、规范的要求，符合项目所在地政府有关特殊要求。</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2</w:t>
      </w:r>
      <w:r>
        <w:rPr>
          <w:rFonts w:hint="eastAsia" w:ascii="宋体" w:hAnsi="宋体" w:eastAsia="宋体" w:cs="Times New Roman"/>
          <w:sz w:val="24"/>
          <w:szCs w:val="24"/>
        </w:rPr>
        <w:t>.投标人所供货物涉及的专利权技术以及知识产权保护的其它技术等，应保证招标人不因此受到任何侵权指控以及实际损失。</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3</w:t>
      </w:r>
      <w:r>
        <w:rPr>
          <w:rFonts w:hint="eastAsia" w:ascii="宋体" w:hAnsi="宋体" w:eastAsia="宋体" w:cs="Times New Roman"/>
          <w:sz w:val="24"/>
          <w:szCs w:val="24"/>
        </w:rPr>
        <w:t>.投标人应保证所供货物的先进性、可靠性、经济性和实用性，并为全新货物（或设备）。</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4</w:t>
      </w:r>
      <w:r>
        <w:rPr>
          <w:rFonts w:hint="eastAsia" w:ascii="宋体" w:hAnsi="宋体" w:eastAsia="宋体" w:cs="Times New Roman"/>
          <w:sz w:val="24"/>
          <w:szCs w:val="24"/>
        </w:rPr>
        <w:t>.投标人应满足招标人提出的各项技术要求，必要时应当免费提供技术承诺或担保。</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5</w:t>
      </w:r>
      <w:r>
        <w:rPr>
          <w:rFonts w:hint="eastAsia" w:ascii="宋体" w:hAnsi="宋体" w:eastAsia="宋体" w:cs="Times New Roman"/>
          <w:sz w:val="24"/>
          <w:szCs w:val="24"/>
        </w:rPr>
        <w:t>.投标人应保证所供货物（或设备）为中国政府指定或规定的主管部门公布的非淘汰货物（或设备），并尽力提供中国政府指定或规定的主管部门认可的环保型和节能型货物（或设备）。</w:t>
      </w:r>
    </w:p>
    <w:p>
      <w:pPr>
        <w:spacing w:line="360" w:lineRule="auto"/>
        <w:ind w:firstLine="480" w:firstLineChars="200"/>
        <w:rPr>
          <w:rFonts w:ascii="宋体" w:hAnsi="Calibri" w:eastAsia="宋体" w:cs="Times New Roman"/>
          <w:sz w:val="24"/>
          <w:szCs w:val="24"/>
        </w:rPr>
      </w:pPr>
      <w:r>
        <w:rPr>
          <w:rFonts w:ascii="宋体" w:hAnsi="宋体" w:eastAsia="宋体" w:cs="Times New Roman"/>
          <w:sz w:val="24"/>
          <w:szCs w:val="24"/>
        </w:rPr>
        <w:t>6</w:t>
      </w:r>
      <w:r>
        <w:rPr>
          <w:rFonts w:hint="eastAsia" w:ascii="宋体" w:hAnsi="宋体" w:eastAsia="宋体" w:cs="Times New Roman"/>
          <w:sz w:val="24"/>
          <w:szCs w:val="24"/>
        </w:rPr>
        <w:t>.投标人应保证所供货物的完整性和成套性，能保证货物的正常运行、使用。</w:t>
      </w:r>
    </w:p>
    <w:p>
      <w:pPr>
        <w:numPr>
          <w:ilvl w:val="0"/>
          <w:numId w:val="10"/>
        </w:numPr>
        <w:spacing w:before="120" w:beforeLines="50" w:after="120" w:afterLines="50"/>
        <w:rPr>
          <w:rFonts w:hint="eastAsia" w:eastAsia="宋体" w:cs="宋体"/>
          <w:b/>
          <w:bCs/>
          <w:sz w:val="24"/>
          <w:szCs w:val="24"/>
        </w:rPr>
      </w:pPr>
      <w:r>
        <w:rPr>
          <w:rFonts w:hint="eastAsia" w:eastAsia="宋体" w:cs="宋体"/>
          <w:b/>
          <w:bCs/>
          <w:sz w:val="24"/>
          <w:szCs w:val="24"/>
        </w:rPr>
        <w:t>技术要求</w:t>
      </w:r>
    </w:p>
    <w:p>
      <w:pPr>
        <w:spacing w:before="120" w:beforeLines="50" w:after="120" w:afterLines="50"/>
        <w:ind w:firstLine="479" w:firstLineChars="199"/>
        <w:rPr>
          <w:rFonts w:hint="eastAsia" w:ascii="宋体" w:hAnsi="宋体" w:eastAsia="宋体" w:cs="仿宋_GB2312"/>
          <w:b/>
          <w:sz w:val="24"/>
          <w:szCs w:val="24"/>
        </w:rPr>
      </w:pPr>
      <w:r>
        <w:rPr>
          <w:rFonts w:hint="eastAsia" w:ascii="宋体" w:hAnsi="宋体" w:eastAsia="宋体" w:cs="仿宋_GB2312"/>
          <w:b/>
          <w:sz w:val="24"/>
          <w:szCs w:val="24"/>
        </w:rPr>
        <w:t>1、供货内容</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1</w:t>
      </w:r>
      <w:r>
        <w:rPr>
          <w:rFonts w:hint="eastAsia" w:ascii="宋体" w:hAnsi="宋体" w:eastAsia="宋体"/>
          <w:sz w:val="24"/>
        </w:rPr>
        <w:t>招标方负责提供产品开发零件清单及零件数模，投标方按产品开发明细表要求开发相应模具。</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2</w:t>
      </w:r>
      <w:r>
        <w:rPr>
          <w:rFonts w:hint="eastAsia" w:ascii="宋体" w:hAnsi="宋体" w:eastAsia="宋体"/>
          <w:sz w:val="24"/>
        </w:rPr>
        <w:t>投标方进行工艺设计、模具设计、模具制作、模具调整、模具发运、现场调试及售后服务等。</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3</w:t>
      </w:r>
      <w:r>
        <w:rPr>
          <w:rFonts w:hint="eastAsia" w:ascii="宋体" w:hAnsi="宋体" w:eastAsia="宋体"/>
          <w:sz w:val="24"/>
        </w:rPr>
        <w:t>投标方向招标方提供合格的</w:t>
      </w:r>
      <w:r>
        <w:rPr>
          <w:rFonts w:ascii="宋体" w:hAnsi="宋体" w:eastAsia="宋体"/>
          <w:sz w:val="24"/>
        </w:rPr>
        <w:t xml:space="preserve">DL </w:t>
      </w:r>
      <w:r>
        <w:rPr>
          <w:rFonts w:hint="eastAsia" w:ascii="宋体" w:hAnsi="宋体" w:eastAsia="宋体"/>
          <w:sz w:val="24"/>
        </w:rPr>
        <w:t>图、</w:t>
      </w:r>
      <w:r>
        <w:rPr>
          <w:rFonts w:ascii="宋体" w:hAnsi="宋体" w:eastAsia="宋体"/>
          <w:sz w:val="24"/>
        </w:rPr>
        <w:t>2D</w:t>
      </w:r>
      <w:r>
        <w:rPr>
          <w:rFonts w:hint="eastAsia" w:ascii="宋体" w:hAnsi="宋体" w:eastAsia="宋体"/>
          <w:sz w:val="24"/>
        </w:rPr>
        <w:t>及</w:t>
      </w:r>
      <w:r>
        <w:rPr>
          <w:rFonts w:ascii="宋体" w:hAnsi="宋体" w:eastAsia="宋体"/>
          <w:sz w:val="24"/>
        </w:rPr>
        <w:t>3D</w:t>
      </w:r>
      <w:r>
        <w:rPr>
          <w:rFonts w:hint="eastAsia" w:ascii="宋体" w:hAnsi="宋体" w:eastAsia="宋体"/>
          <w:sz w:val="24"/>
        </w:rPr>
        <w:t>模具结构图、模具参数表、模具安装图明细及其他电子版等相关技术文件。</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4</w:t>
      </w:r>
      <w:r>
        <w:rPr>
          <w:rFonts w:hint="eastAsia" w:ascii="宋体" w:hAnsi="宋体" w:eastAsia="宋体"/>
          <w:sz w:val="24"/>
        </w:rPr>
        <w:t>投标方向招标方提供该项目所选用的标准件清单及备件清单 （电子文档书面文档各一份）。</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5</w:t>
      </w:r>
      <w:r>
        <w:rPr>
          <w:rFonts w:hint="eastAsia" w:ascii="宋体" w:hAnsi="宋体" w:eastAsia="宋体"/>
          <w:sz w:val="24"/>
        </w:rPr>
        <w:t>投标方向招标方提供该项目模具自检报告、调试记录、模具出厂合格证各一份。</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6</w:t>
      </w:r>
      <w:r>
        <w:rPr>
          <w:rFonts w:hint="eastAsia" w:ascii="宋体" w:hAnsi="宋体" w:eastAsia="宋体"/>
          <w:sz w:val="24"/>
        </w:rPr>
        <w:t>投标方提供合格的试制用冲压件、预验收样件，各批次的冲压件均附冲压件零件精度检测报告。</w:t>
      </w:r>
    </w:p>
    <w:p>
      <w:pPr>
        <w:spacing w:line="360" w:lineRule="exact"/>
        <w:ind w:firstLine="465"/>
        <w:rPr>
          <w:rFonts w:hint="eastAsia" w:ascii="宋体" w:hAnsi="宋体" w:eastAsia="宋体"/>
          <w:sz w:val="24"/>
        </w:rPr>
      </w:pPr>
      <w:r>
        <w:rPr>
          <w:rFonts w:hint="eastAsia" w:ascii="宋体" w:hAnsi="宋体" w:eastAsia="宋体"/>
          <w:sz w:val="24"/>
        </w:rPr>
        <w:t>2.</w:t>
      </w:r>
      <w:r>
        <w:rPr>
          <w:rFonts w:ascii="宋体" w:hAnsi="宋体" w:eastAsia="宋体"/>
          <w:sz w:val="24"/>
        </w:rPr>
        <w:t>7</w:t>
      </w:r>
      <w:r>
        <w:rPr>
          <w:rFonts w:hint="eastAsia" w:ascii="宋体" w:hAnsi="宋体" w:eastAsia="宋体"/>
          <w:sz w:val="24"/>
        </w:rPr>
        <w:t>在模具发运前的各个阶段提交以下资料，提交时间按下表所示。格式由招标方指定，没有规定格式的由投标方准备并通过招标方确认。</w:t>
      </w:r>
    </w:p>
    <w:tbl>
      <w:tblPr>
        <w:tblStyle w:val="41"/>
        <w:tblW w:w="9621"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720"/>
        <w:gridCol w:w="2490"/>
        <w:gridCol w:w="810"/>
        <w:gridCol w:w="2193"/>
        <w:gridCol w:w="34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3" w:hRule="atLeast"/>
          <w:jc w:val="center"/>
        </w:trPr>
        <w:tc>
          <w:tcPr>
            <w:tcW w:w="720" w:type="dxa"/>
            <w:vAlign w:val="center"/>
          </w:tcPr>
          <w:p>
            <w:pPr>
              <w:spacing w:line="360" w:lineRule="exact"/>
              <w:jc w:val="center"/>
              <w:rPr>
                <w:rFonts w:hint="eastAsia" w:ascii="宋体" w:hAnsi="宋体" w:eastAsia="宋体"/>
                <w:b/>
                <w:bCs/>
                <w:sz w:val="24"/>
                <w:szCs w:val="24"/>
              </w:rPr>
            </w:pPr>
            <w:r>
              <w:rPr>
                <w:rFonts w:hint="eastAsia" w:ascii="宋体" w:hAnsi="宋体" w:eastAsia="宋体"/>
                <w:b/>
                <w:bCs/>
                <w:sz w:val="24"/>
                <w:szCs w:val="24"/>
              </w:rPr>
              <w:t>序号</w:t>
            </w:r>
          </w:p>
        </w:tc>
        <w:tc>
          <w:tcPr>
            <w:tcW w:w="2490" w:type="dxa"/>
            <w:vAlign w:val="center"/>
          </w:tcPr>
          <w:p>
            <w:pPr>
              <w:spacing w:line="360" w:lineRule="exact"/>
              <w:jc w:val="center"/>
              <w:rPr>
                <w:rFonts w:hint="eastAsia" w:ascii="宋体" w:hAnsi="宋体" w:eastAsia="宋体"/>
                <w:b/>
                <w:bCs/>
                <w:sz w:val="24"/>
                <w:szCs w:val="24"/>
              </w:rPr>
            </w:pPr>
            <w:r>
              <w:rPr>
                <w:rFonts w:hint="eastAsia" w:ascii="宋体" w:hAnsi="宋体" w:eastAsia="宋体"/>
                <w:b/>
                <w:bCs/>
                <w:sz w:val="24"/>
                <w:szCs w:val="24"/>
              </w:rPr>
              <w:t>资料</w:t>
            </w:r>
          </w:p>
        </w:tc>
        <w:tc>
          <w:tcPr>
            <w:tcW w:w="810" w:type="dxa"/>
            <w:vAlign w:val="center"/>
          </w:tcPr>
          <w:p>
            <w:pPr>
              <w:spacing w:line="360" w:lineRule="exact"/>
              <w:jc w:val="center"/>
              <w:rPr>
                <w:rFonts w:hint="eastAsia" w:ascii="宋体" w:hAnsi="宋体" w:eastAsia="宋体"/>
                <w:b/>
                <w:bCs/>
                <w:sz w:val="24"/>
                <w:szCs w:val="24"/>
              </w:rPr>
            </w:pPr>
            <w:r>
              <w:rPr>
                <w:rFonts w:hint="eastAsia" w:ascii="宋体" w:hAnsi="宋体" w:eastAsia="宋体"/>
                <w:b/>
                <w:bCs/>
                <w:sz w:val="24"/>
                <w:szCs w:val="24"/>
              </w:rPr>
              <w:t>格式</w:t>
            </w:r>
          </w:p>
        </w:tc>
        <w:tc>
          <w:tcPr>
            <w:tcW w:w="2193" w:type="dxa"/>
            <w:vAlign w:val="center"/>
          </w:tcPr>
          <w:p>
            <w:pPr>
              <w:spacing w:line="360" w:lineRule="exact"/>
              <w:jc w:val="center"/>
              <w:rPr>
                <w:rFonts w:hint="eastAsia" w:ascii="宋体" w:hAnsi="宋体" w:eastAsia="宋体"/>
                <w:b/>
                <w:bCs/>
                <w:sz w:val="24"/>
                <w:szCs w:val="24"/>
              </w:rPr>
            </w:pPr>
            <w:r>
              <w:rPr>
                <w:rFonts w:hint="eastAsia" w:ascii="宋体" w:hAnsi="宋体" w:eastAsia="宋体"/>
                <w:b/>
                <w:bCs/>
                <w:sz w:val="24"/>
                <w:szCs w:val="24"/>
              </w:rPr>
              <w:t>提交时间</w:t>
            </w:r>
          </w:p>
        </w:tc>
        <w:tc>
          <w:tcPr>
            <w:tcW w:w="3408" w:type="dxa"/>
            <w:vAlign w:val="center"/>
          </w:tcPr>
          <w:p>
            <w:pPr>
              <w:spacing w:line="360" w:lineRule="exact"/>
              <w:jc w:val="center"/>
              <w:rPr>
                <w:rFonts w:hint="eastAsia" w:ascii="宋体" w:hAnsi="宋体" w:eastAsia="宋体"/>
                <w:b/>
                <w:bCs/>
                <w:sz w:val="24"/>
                <w:szCs w:val="24"/>
              </w:rPr>
            </w:pPr>
            <w:r>
              <w:rPr>
                <w:rFonts w:hint="eastAsia" w:ascii="宋体" w:hAnsi="宋体" w:eastAsia="宋体"/>
                <w:b/>
                <w:bCs/>
                <w:sz w:val="24"/>
                <w:szCs w:val="24"/>
              </w:rPr>
              <w:t>备注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1</w:t>
            </w:r>
          </w:p>
        </w:tc>
        <w:tc>
          <w:tcPr>
            <w:tcW w:w="2490" w:type="dxa"/>
            <w:vAlign w:val="center"/>
          </w:tcPr>
          <w:p>
            <w:pPr>
              <w:spacing w:line="360" w:lineRule="exact"/>
              <w:jc w:val="center"/>
              <w:rPr>
                <w:rFonts w:hint="eastAsia" w:ascii="宋体" w:hAnsi="宋体" w:eastAsia="宋体"/>
                <w:sz w:val="24"/>
                <w:szCs w:val="24"/>
              </w:rPr>
            </w:pPr>
            <w:r>
              <w:rPr>
                <w:rFonts w:ascii="宋体" w:hAnsi="宋体" w:eastAsia="宋体"/>
                <w:sz w:val="24"/>
                <w:szCs w:val="24"/>
              </w:rPr>
              <w:t>DL</w:t>
            </w:r>
            <w:r>
              <w:rPr>
                <w:rFonts w:hint="eastAsia" w:ascii="宋体" w:hAnsi="宋体" w:eastAsia="宋体"/>
                <w:sz w:val="24"/>
                <w:szCs w:val="24"/>
              </w:rPr>
              <w:t>图</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模具设计前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2</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静态检查表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3</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硬度测定表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4</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动态检查表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5</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冲压制件检查基准书</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6</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零件精度检查表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各阶段样品出货时</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7</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试模报告书</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eastAsia" w:ascii="宋体" w:hAnsi="宋体" w:eastAsia="宋体"/>
                <w:sz w:val="24"/>
                <w:szCs w:val="24"/>
                <w:lang w:eastAsia="zh-CN"/>
              </w:rPr>
            </w:pPr>
            <w:r>
              <w:rPr>
                <w:rFonts w:hint="eastAsia" w:ascii="宋体" w:hAnsi="宋体" w:eastAsia="宋体"/>
                <w:sz w:val="24"/>
                <w:szCs w:val="24"/>
                <w:lang w:val="en-US" w:eastAsia="zh-CN"/>
              </w:rPr>
              <w:t>8</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冲压工艺数模</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UG及CATIA V5R19格式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9</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冲压工艺文件</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cs="宋体"/>
                <w:sz w:val="24"/>
                <w:szCs w:val="24"/>
              </w:rPr>
            </w:pPr>
            <w:r>
              <w:rPr>
                <w:rFonts w:hint="eastAsia" w:ascii="宋体" w:hAnsi="宋体" w:eastAsia="宋体"/>
                <w:sz w:val="24"/>
                <w:szCs w:val="24"/>
              </w:rPr>
              <w:t>招标方格式，AutoCAD2007版</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10</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零件设计变更记录表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模具预验收前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招标方格式</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11</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模具材料表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12</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标准件清单</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55" w:hRule="atLeast"/>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13</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备品备件清单</w:t>
            </w:r>
          </w:p>
        </w:tc>
        <w:tc>
          <w:tcPr>
            <w:tcW w:w="810" w:type="dxa"/>
            <w:vAlign w:val="center"/>
          </w:tcPr>
          <w:p>
            <w:pPr>
              <w:keepNext/>
              <w:keepLines/>
              <w:spacing w:before="260" w:after="260"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keepNext/>
              <w:keepLines/>
              <w:spacing w:before="260" w:after="260"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pPr>
              <w:keepNext/>
              <w:keepLines/>
              <w:spacing w:before="260" w:after="260"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14</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模具出厂合格证</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模具出货前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15</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模具图纸（</w:t>
            </w:r>
            <w:r>
              <w:rPr>
                <w:rFonts w:ascii="宋体" w:hAnsi="宋体" w:eastAsia="宋体"/>
                <w:sz w:val="24"/>
                <w:szCs w:val="24"/>
              </w:rPr>
              <w:t>2D</w:t>
            </w:r>
            <w:r>
              <w:rPr>
                <w:rFonts w:hint="eastAsia" w:ascii="宋体" w:hAnsi="宋体" w:eastAsia="宋体"/>
                <w:sz w:val="24"/>
                <w:szCs w:val="24"/>
              </w:rPr>
              <w:t>及</w:t>
            </w:r>
            <w:r>
              <w:rPr>
                <w:rFonts w:ascii="宋体" w:hAnsi="宋体" w:eastAsia="宋体"/>
                <w:sz w:val="24"/>
                <w:szCs w:val="24"/>
              </w:rPr>
              <w:t>3D</w:t>
            </w:r>
            <w:r>
              <w:rPr>
                <w:rFonts w:hint="eastAsia" w:ascii="宋体" w:hAnsi="宋体" w:eastAsia="宋体"/>
                <w:sz w:val="24"/>
                <w:szCs w:val="24"/>
              </w:rPr>
              <w:t>）</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模具终验收前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格式按招标方格式。</w:t>
            </w:r>
          </w:p>
          <w:p>
            <w:pPr>
              <w:spacing w:line="360" w:lineRule="exact"/>
              <w:jc w:val="center"/>
              <w:rPr>
                <w:rFonts w:hint="eastAsia" w:ascii="宋体" w:hAnsi="宋体" w:eastAsia="宋体"/>
                <w:sz w:val="24"/>
                <w:szCs w:val="24"/>
              </w:rPr>
            </w:pPr>
            <w:r>
              <w:rPr>
                <w:rFonts w:hint="eastAsia" w:ascii="宋体" w:hAnsi="宋体" w:eastAsia="宋体"/>
                <w:sz w:val="24"/>
                <w:szCs w:val="24"/>
              </w:rPr>
              <w:t>2D、</w:t>
            </w:r>
            <w:r>
              <w:rPr>
                <w:rFonts w:ascii="宋体" w:hAnsi="宋体" w:eastAsia="宋体"/>
                <w:sz w:val="24"/>
                <w:szCs w:val="24"/>
              </w:rPr>
              <w:t>3D</w:t>
            </w:r>
            <w:r>
              <w:rPr>
                <w:rFonts w:hint="eastAsia" w:ascii="宋体" w:hAnsi="宋体" w:eastAsia="宋体"/>
                <w:sz w:val="24"/>
                <w:szCs w:val="24"/>
              </w:rPr>
              <w:t>均用UG</w:t>
            </w:r>
            <w:r>
              <w:rPr>
                <w:rFonts w:ascii="宋体" w:hAnsi="宋体" w:eastAsia="宋体"/>
                <w:sz w:val="24"/>
                <w:szCs w:val="24"/>
              </w:rPr>
              <w:t>10.0</w:t>
            </w:r>
            <w:r>
              <w:rPr>
                <w:rFonts w:hint="eastAsia" w:ascii="宋体" w:hAnsi="宋体" w:eastAsia="宋体"/>
                <w:sz w:val="24"/>
                <w:szCs w:val="24"/>
              </w:rPr>
              <w:t>格式，且2D、3D实现联动。除标准件外，其余单件均应出2D图纸。</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16</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模具钳修记录表</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无</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模具终验收前</w:t>
            </w:r>
          </w:p>
        </w:tc>
        <w:tc>
          <w:tcPr>
            <w:tcW w:w="3408" w:type="dxa"/>
            <w:vAlign w:val="center"/>
          </w:tcPr>
          <w:p>
            <w:pPr>
              <w:spacing w:line="360" w:lineRule="exact"/>
              <w:jc w:val="center"/>
              <w:rPr>
                <w:rFonts w:hint="eastAsia" w:ascii="宋体" w:hAnsi="宋体" w:eastAsia="宋体" w:cs="宋体"/>
                <w:sz w:val="24"/>
                <w:szCs w:val="24"/>
              </w:rPr>
            </w:pPr>
            <w:r>
              <w:rPr>
                <w:rFonts w:hint="eastAsia" w:ascii="宋体" w:hAnsi="宋体" w:eastAsia="宋体"/>
                <w:sz w:val="24"/>
                <w:szCs w:val="24"/>
              </w:rPr>
              <w:t>双方会审</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6" w:hRule="atLeast"/>
          <w:jc w:val="center"/>
        </w:trPr>
        <w:tc>
          <w:tcPr>
            <w:tcW w:w="720" w:type="dxa"/>
            <w:vAlign w:val="center"/>
          </w:tcPr>
          <w:p>
            <w:pPr>
              <w:spacing w:line="360" w:lineRule="exact"/>
              <w:jc w:val="center"/>
              <w:rPr>
                <w:rFonts w:hint="default" w:ascii="宋体" w:hAnsi="宋体" w:eastAsia="宋体"/>
                <w:sz w:val="24"/>
                <w:szCs w:val="24"/>
                <w:lang w:val="en-US" w:eastAsia="zh-CN"/>
              </w:rPr>
            </w:pPr>
            <w:r>
              <w:rPr>
                <w:rFonts w:hint="eastAsia" w:ascii="宋体" w:hAnsi="宋体" w:eastAsia="宋体"/>
                <w:sz w:val="24"/>
                <w:szCs w:val="24"/>
                <w:lang w:val="en-US" w:eastAsia="zh-CN"/>
              </w:rPr>
              <w:t>17</w:t>
            </w:r>
          </w:p>
        </w:tc>
        <w:tc>
          <w:tcPr>
            <w:tcW w:w="249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产品工序制件图</w:t>
            </w:r>
          </w:p>
        </w:tc>
        <w:tc>
          <w:tcPr>
            <w:tcW w:w="810"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有</w:t>
            </w:r>
          </w:p>
        </w:tc>
        <w:tc>
          <w:tcPr>
            <w:tcW w:w="2193"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模具终验收前</w:t>
            </w:r>
          </w:p>
        </w:tc>
        <w:tc>
          <w:tcPr>
            <w:tcW w:w="3408" w:type="dxa"/>
            <w:vAlign w:val="center"/>
          </w:tcPr>
          <w:p>
            <w:pPr>
              <w:spacing w:line="360" w:lineRule="exact"/>
              <w:jc w:val="center"/>
              <w:rPr>
                <w:rFonts w:hint="eastAsia" w:ascii="宋体" w:hAnsi="宋体" w:eastAsia="宋体"/>
                <w:sz w:val="24"/>
                <w:szCs w:val="24"/>
              </w:rPr>
            </w:pPr>
            <w:r>
              <w:rPr>
                <w:rFonts w:hint="eastAsia" w:ascii="宋体" w:hAnsi="宋体" w:eastAsia="宋体"/>
                <w:sz w:val="24"/>
                <w:szCs w:val="24"/>
              </w:rPr>
              <w:t>AutoCAD2007版；公差标注齐全</w:t>
            </w:r>
          </w:p>
        </w:tc>
      </w:tr>
    </w:tbl>
    <w:p>
      <w:pPr>
        <w:spacing w:line="360" w:lineRule="exact"/>
        <w:rPr>
          <w:rFonts w:hint="eastAsia" w:ascii="宋体" w:hAnsi="宋体" w:eastAsia="宋体"/>
          <w:sz w:val="24"/>
          <w:szCs w:val="24"/>
        </w:rPr>
      </w:pPr>
      <w:r>
        <w:rPr>
          <w:rFonts w:hint="eastAsia" w:ascii="宋体" w:hAnsi="宋体" w:eastAsia="宋体"/>
          <w:sz w:val="24"/>
          <w:szCs w:val="24"/>
        </w:rPr>
        <w:t>注：以上资料均应提供纸质及电子版，若投标方认为无需提供纸质版，需经招标方同意。</w:t>
      </w:r>
    </w:p>
    <w:p>
      <w:pPr>
        <w:spacing w:before="120" w:beforeLines="50" w:after="120" w:afterLines="50" w:line="500" w:lineRule="exact"/>
        <w:ind w:firstLine="482"/>
        <w:rPr>
          <w:rFonts w:hint="eastAsia" w:ascii="宋体" w:hAnsi="宋体" w:eastAsia="宋体"/>
          <w:b/>
          <w:sz w:val="24"/>
          <w:szCs w:val="24"/>
        </w:rPr>
      </w:pPr>
      <w:r>
        <w:rPr>
          <w:rFonts w:hint="eastAsia" w:ascii="宋体" w:hAnsi="宋体" w:eastAsia="宋体"/>
          <w:b/>
          <w:sz w:val="24"/>
          <w:szCs w:val="24"/>
        </w:rPr>
        <w:t>2、模具设计输入</w:t>
      </w:r>
    </w:p>
    <w:p>
      <w:pPr>
        <w:spacing w:line="360" w:lineRule="exact"/>
        <w:ind w:firstLine="465"/>
        <w:rPr>
          <w:rFonts w:hint="eastAsia" w:ascii="宋体" w:hAnsi="宋体" w:eastAsia="宋体"/>
          <w:b/>
          <w:sz w:val="24"/>
        </w:rPr>
      </w:pPr>
      <w:r>
        <w:rPr>
          <w:rFonts w:ascii="宋体" w:hAnsi="宋体" w:eastAsia="宋体"/>
          <w:b/>
          <w:sz w:val="24"/>
        </w:rPr>
        <w:t>2.1</w:t>
      </w:r>
      <w:r>
        <w:rPr>
          <w:rFonts w:hint="eastAsia" w:ascii="宋体" w:hAnsi="宋体" w:eastAsia="宋体"/>
          <w:b/>
          <w:sz w:val="24"/>
        </w:rPr>
        <w:t>生产条件</w:t>
      </w:r>
    </w:p>
    <w:p>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1</w:t>
      </w:r>
      <w:r>
        <w:rPr>
          <w:rFonts w:hint="eastAsia" w:ascii="宋体" w:hAnsi="宋体" w:eastAsia="宋体"/>
          <w:sz w:val="24"/>
        </w:rPr>
        <w:t>工作环境：室内，温度：</w:t>
      </w:r>
      <w:r>
        <w:rPr>
          <w:rFonts w:ascii="宋体" w:hAnsi="宋体" w:eastAsia="宋体"/>
          <w:sz w:val="24"/>
        </w:rPr>
        <w:t>-10</w:t>
      </w:r>
      <w:r>
        <w:rPr>
          <w:rFonts w:hint="eastAsia" w:ascii="宋体" w:hAnsi="宋体" w:eastAsia="宋体"/>
          <w:sz w:val="24"/>
        </w:rPr>
        <w:t>℃～</w:t>
      </w:r>
      <w:r>
        <w:rPr>
          <w:rFonts w:ascii="宋体" w:hAnsi="宋体" w:eastAsia="宋体"/>
          <w:sz w:val="24"/>
        </w:rPr>
        <w:t>40</w:t>
      </w:r>
      <w:r>
        <w:rPr>
          <w:rFonts w:hint="eastAsia" w:ascii="宋体" w:hAnsi="宋体" w:eastAsia="宋体"/>
          <w:sz w:val="24"/>
        </w:rPr>
        <w:t>℃，相对湿度：≤</w:t>
      </w:r>
      <w:r>
        <w:rPr>
          <w:rFonts w:ascii="宋体" w:hAnsi="宋体" w:eastAsia="宋体"/>
          <w:sz w:val="24"/>
        </w:rPr>
        <w:t>90%</w:t>
      </w:r>
      <w:r>
        <w:rPr>
          <w:rFonts w:hint="eastAsia" w:ascii="宋体" w:hAnsi="宋体" w:eastAsia="宋体"/>
          <w:sz w:val="24"/>
        </w:rPr>
        <w:t>；</w:t>
      </w:r>
    </w:p>
    <w:p>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2</w:t>
      </w:r>
      <w:r>
        <w:rPr>
          <w:rFonts w:hint="eastAsia" w:ascii="宋体" w:hAnsi="宋体" w:eastAsia="宋体"/>
          <w:sz w:val="24"/>
        </w:rPr>
        <w:t>生产节拍：自动线</w:t>
      </w:r>
      <w:r>
        <w:rPr>
          <w:rFonts w:ascii="宋体" w:hAnsi="宋体" w:eastAsia="宋体"/>
          <w:sz w:val="24"/>
        </w:rPr>
        <w:t>10-14</w:t>
      </w:r>
      <w:r>
        <w:rPr>
          <w:rFonts w:hint="eastAsia" w:ascii="宋体" w:hAnsi="宋体" w:eastAsia="宋体"/>
          <w:sz w:val="24"/>
        </w:rPr>
        <w:t>件</w:t>
      </w:r>
      <w:r>
        <w:rPr>
          <w:rFonts w:ascii="宋体" w:hAnsi="宋体" w:eastAsia="宋体"/>
          <w:sz w:val="24"/>
        </w:rPr>
        <w:t>/</w:t>
      </w:r>
      <w:r>
        <w:rPr>
          <w:rFonts w:hint="eastAsia" w:ascii="宋体" w:hAnsi="宋体" w:eastAsia="宋体"/>
          <w:sz w:val="24"/>
        </w:rPr>
        <w:t>分钟，手动线：</w:t>
      </w:r>
      <w:r>
        <w:rPr>
          <w:rFonts w:ascii="宋体" w:hAnsi="宋体" w:eastAsia="宋体"/>
          <w:sz w:val="24"/>
        </w:rPr>
        <w:t>4-8</w:t>
      </w:r>
      <w:r>
        <w:rPr>
          <w:rFonts w:hint="eastAsia" w:ascii="宋体" w:hAnsi="宋体" w:eastAsia="宋体"/>
          <w:sz w:val="24"/>
        </w:rPr>
        <w:t>件</w:t>
      </w:r>
      <w:r>
        <w:rPr>
          <w:rFonts w:ascii="宋体" w:hAnsi="宋体" w:eastAsia="宋体"/>
          <w:sz w:val="24"/>
        </w:rPr>
        <w:t>/</w:t>
      </w:r>
      <w:r>
        <w:rPr>
          <w:rFonts w:hint="eastAsia" w:ascii="宋体" w:hAnsi="宋体" w:eastAsia="宋体"/>
          <w:sz w:val="24"/>
        </w:rPr>
        <w:t>分钟。</w:t>
      </w:r>
    </w:p>
    <w:p>
      <w:pPr>
        <w:spacing w:line="360" w:lineRule="exact"/>
        <w:ind w:firstLine="465"/>
        <w:rPr>
          <w:rFonts w:hint="eastAsia" w:ascii="宋体" w:hAnsi="宋体" w:eastAsia="宋体"/>
          <w:i/>
          <w:sz w:val="24"/>
        </w:rPr>
      </w:pPr>
      <w:r>
        <w:rPr>
          <w:rFonts w:ascii="宋体" w:hAnsi="宋体" w:eastAsia="宋体"/>
          <w:sz w:val="24"/>
        </w:rPr>
        <w:t>2.</w:t>
      </w:r>
      <w:r>
        <w:rPr>
          <w:rFonts w:hint="eastAsia" w:ascii="宋体" w:hAnsi="宋体" w:eastAsia="宋体"/>
          <w:sz w:val="24"/>
        </w:rPr>
        <w:t>2.</w:t>
      </w:r>
      <w:r>
        <w:rPr>
          <w:rFonts w:ascii="宋体" w:hAnsi="宋体" w:eastAsia="宋体"/>
          <w:sz w:val="24"/>
        </w:rPr>
        <w:t>3</w:t>
      </w:r>
      <w:r>
        <w:rPr>
          <w:rFonts w:hint="eastAsia" w:ascii="宋体" w:hAnsi="宋体" w:eastAsia="宋体"/>
          <w:sz w:val="24"/>
        </w:rPr>
        <w:t>使用寿命：</w:t>
      </w:r>
      <w:r>
        <w:rPr>
          <w:rFonts w:ascii="宋体" w:hAnsi="宋体" w:eastAsia="宋体"/>
          <w:sz w:val="24"/>
        </w:rPr>
        <w:t>50</w:t>
      </w:r>
      <w:r>
        <w:rPr>
          <w:rFonts w:hint="eastAsia" w:ascii="宋体" w:hAnsi="宋体" w:eastAsia="宋体"/>
          <w:sz w:val="24"/>
        </w:rPr>
        <w:t>万次以上；</w:t>
      </w:r>
    </w:p>
    <w:p>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4</w:t>
      </w:r>
      <w:r>
        <w:rPr>
          <w:rFonts w:hint="eastAsia" w:ascii="宋体" w:hAnsi="宋体" w:eastAsia="宋体"/>
          <w:sz w:val="24"/>
        </w:rPr>
        <w:t>操作方式：自动线模具要适用于自动化系统自动上下料要求；其他模具要求适用于手工操作。</w:t>
      </w:r>
    </w:p>
    <w:p>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5</w:t>
      </w:r>
      <w:r>
        <w:rPr>
          <w:rFonts w:hint="eastAsia" w:ascii="宋体" w:hAnsi="宋体" w:eastAsia="宋体"/>
          <w:sz w:val="24"/>
        </w:rPr>
        <w:t>生产车间起吊方式：桥式起重机。</w:t>
      </w:r>
    </w:p>
    <w:p>
      <w:pPr>
        <w:spacing w:line="360" w:lineRule="exact"/>
        <w:ind w:firstLine="465"/>
        <w:rPr>
          <w:rFonts w:hint="eastAsia" w:ascii="宋体" w:hAnsi="宋体" w:eastAsia="宋体"/>
          <w:sz w:val="24"/>
        </w:rPr>
      </w:pPr>
      <w:r>
        <w:rPr>
          <w:rFonts w:ascii="宋体" w:hAnsi="宋体" w:eastAsia="宋体"/>
          <w:sz w:val="24"/>
        </w:rPr>
        <w:t>2.</w:t>
      </w:r>
      <w:r>
        <w:rPr>
          <w:rFonts w:hint="eastAsia" w:ascii="宋体" w:hAnsi="宋体" w:eastAsia="宋体"/>
          <w:sz w:val="24"/>
        </w:rPr>
        <w:t>2.</w:t>
      </w:r>
      <w:r>
        <w:rPr>
          <w:rFonts w:ascii="宋体" w:hAnsi="宋体" w:eastAsia="宋体"/>
          <w:sz w:val="24"/>
        </w:rPr>
        <w:t>6</w:t>
      </w:r>
      <w:r>
        <w:rPr>
          <w:rFonts w:hint="eastAsia" w:ascii="宋体" w:hAnsi="宋体" w:eastAsia="宋体"/>
          <w:sz w:val="24"/>
        </w:rPr>
        <w:t>生产设备：招标方指定的冲压设备，</w:t>
      </w:r>
    </w:p>
    <w:p>
      <w:pPr>
        <w:spacing w:line="360" w:lineRule="exact"/>
        <w:ind w:firstLine="422" w:firstLineChars="175"/>
        <w:rPr>
          <w:rFonts w:hint="eastAsia" w:ascii="宋体" w:hAnsi="宋体" w:eastAsia="宋体"/>
          <w:b/>
          <w:sz w:val="24"/>
        </w:rPr>
      </w:pPr>
      <w:r>
        <w:rPr>
          <w:rFonts w:ascii="宋体" w:hAnsi="宋体" w:eastAsia="宋体"/>
          <w:b/>
          <w:sz w:val="24"/>
        </w:rPr>
        <w:t xml:space="preserve">2.2 </w:t>
      </w:r>
      <w:r>
        <w:rPr>
          <w:rFonts w:hint="eastAsia" w:ascii="宋体" w:hAnsi="宋体" w:eastAsia="宋体"/>
          <w:b/>
          <w:sz w:val="24"/>
        </w:rPr>
        <w:t>产品数据及要求</w:t>
      </w:r>
    </w:p>
    <w:p>
      <w:pPr>
        <w:spacing w:line="360" w:lineRule="exact"/>
        <w:ind w:firstLine="420" w:firstLineChars="175"/>
        <w:rPr>
          <w:rFonts w:hint="eastAsia" w:ascii="宋体" w:hAnsi="宋体" w:eastAsia="宋体"/>
          <w:sz w:val="24"/>
        </w:rPr>
      </w:pPr>
      <w:r>
        <w:rPr>
          <w:rFonts w:hint="eastAsia" w:ascii="宋体" w:hAnsi="宋体" w:eastAsia="宋体"/>
          <w:sz w:val="24"/>
        </w:rPr>
        <w:t>2</w:t>
      </w:r>
      <w:r>
        <w:rPr>
          <w:rFonts w:ascii="宋体" w:hAnsi="宋体" w:eastAsia="宋体"/>
          <w:sz w:val="24"/>
        </w:rPr>
        <w:t xml:space="preserve">.2.1 </w:t>
      </w:r>
      <w:r>
        <w:rPr>
          <w:rFonts w:hint="eastAsia" w:ascii="宋体" w:hAnsi="宋体" w:eastAsia="宋体"/>
          <w:sz w:val="24"/>
        </w:rPr>
        <w:t>产品数模；</w:t>
      </w:r>
    </w:p>
    <w:p>
      <w:pPr>
        <w:spacing w:line="360" w:lineRule="exact"/>
        <w:ind w:firstLine="420" w:firstLineChars="175"/>
        <w:rPr>
          <w:rFonts w:hint="eastAsia" w:ascii="宋体" w:hAnsi="宋体" w:eastAsia="宋体"/>
          <w:sz w:val="24"/>
        </w:rPr>
      </w:pPr>
      <w:r>
        <w:rPr>
          <w:rFonts w:hint="eastAsia" w:ascii="宋体" w:hAnsi="宋体" w:eastAsia="宋体"/>
          <w:sz w:val="24"/>
        </w:rPr>
        <w:t>2</w:t>
      </w:r>
      <w:r>
        <w:rPr>
          <w:rFonts w:ascii="宋体" w:hAnsi="宋体" w:eastAsia="宋体"/>
          <w:sz w:val="24"/>
        </w:rPr>
        <w:t xml:space="preserve">.2.2 </w:t>
      </w:r>
      <w:r>
        <w:rPr>
          <w:rFonts w:hint="eastAsia" w:ascii="宋体" w:hAnsi="宋体" w:eastAsia="宋体"/>
          <w:sz w:val="24"/>
        </w:rPr>
        <w:t>冲压件零件质量判定标准</w:t>
      </w:r>
      <w:r>
        <w:rPr>
          <w:rFonts w:ascii="宋体" w:hAnsi="宋体" w:eastAsia="宋体"/>
          <w:sz w:val="24"/>
        </w:rPr>
        <w:t>(</w:t>
      </w:r>
      <w:r>
        <w:rPr>
          <w:rFonts w:hint="eastAsia" w:ascii="宋体" w:hAnsi="宋体" w:eastAsia="宋体"/>
          <w:sz w:val="24"/>
        </w:rPr>
        <w:t>见附件</w:t>
      </w:r>
      <w:r>
        <w:rPr>
          <w:rFonts w:hint="eastAsia" w:ascii="宋体" w:hAnsi="宋体" w:eastAsia="宋体"/>
          <w:sz w:val="24"/>
          <w:lang w:val="en-US" w:eastAsia="zh-CN"/>
        </w:rPr>
        <w:t>1</w:t>
      </w:r>
      <w:r>
        <w:rPr>
          <w:rFonts w:ascii="宋体" w:hAnsi="宋体" w:eastAsia="宋体"/>
          <w:sz w:val="24"/>
        </w:rPr>
        <w:t>)</w:t>
      </w:r>
    </w:p>
    <w:p>
      <w:pPr>
        <w:spacing w:before="120" w:beforeLines="50" w:after="120" w:afterLines="50" w:line="500" w:lineRule="exact"/>
        <w:ind w:firstLine="482"/>
        <w:rPr>
          <w:rFonts w:hint="eastAsia" w:ascii="宋体" w:hAnsi="宋体" w:eastAsia="宋体"/>
          <w:b/>
          <w:sz w:val="24"/>
          <w:szCs w:val="24"/>
        </w:rPr>
      </w:pPr>
      <w:r>
        <w:rPr>
          <w:rFonts w:ascii="宋体" w:hAnsi="宋体" w:eastAsia="宋体"/>
          <w:b/>
          <w:sz w:val="24"/>
          <w:szCs w:val="24"/>
        </w:rPr>
        <w:t>3</w:t>
      </w:r>
      <w:r>
        <w:rPr>
          <w:rFonts w:hint="eastAsia" w:ascii="宋体" w:hAnsi="宋体" w:eastAsia="宋体"/>
          <w:b/>
          <w:sz w:val="24"/>
          <w:szCs w:val="24"/>
        </w:rPr>
        <w:t>、模具设计、制造的技术要求</w:t>
      </w:r>
    </w:p>
    <w:p>
      <w:pPr>
        <w:spacing w:line="360" w:lineRule="exact"/>
        <w:ind w:firstLine="465"/>
        <w:rPr>
          <w:rFonts w:hint="eastAsia" w:ascii="宋体" w:hAnsi="宋体" w:eastAsia="宋体"/>
          <w:sz w:val="24"/>
        </w:rPr>
      </w:pPr>
      <w:r>
        <w:rPr>
          <w:rFonts w:ascii="宋体" w:hAnsi="宋体" w:eastAsia="宋体"/>
          <w:sz w:val="24"/>
        </w:rPr>
        <w:t>3.1</w:t>
      </w:r>
      <w:r>
        <w:rPr>
          <w:rFonts w:hint="eastAsia" w:ascii="宋体" w:hAnsi="宋体" w:eastAsia="宋体"/>
          <w:sz w:val="24"/>
        </w:rPr>
        <w:t>投标方提供招标方适用于本标的的模具设计制造标准，经招标方同意，作为模具设计、制造、验收的依据。该标准应随投标技术文件一起提供（可提供一份）。</w:t>
      </w:r>
    </w:p>
    <w:p>
      <w:pPr>
        <w:spacing w:line="360" w:lineRule="exact"/>
        <w:ind w:firstLine="465"/>
        <w:rPr>
          <w:rFonts w:hint="eastAsia" w:ascii="宋体" w:hAnsi="宋体" w:eastAsia="宋体"/>
          <w:sz w:val="24"/>
        </w:rPr>
      </w:pPr>
      <w:r>
        <w:rPr>
          <w:rFonts w:hint="eastAsia" w:ascii="宋体" w:hAnsi="宋体" w:eastAsia="宋体"/>
          <w:sz w:val="24"/>
        </w:rPr>
        <w:t>投标方提供的冲压工艺和模具应能冲制出与产品技术文件一致的冲压件。</w:t>
      </w:r>
    </w:p>
    <w:p>
      <w:pPr>
        <w:spacing w:line="360" w:lineRule="exact"/>
        <w:ind w:firstLine="465"/>
        <w:rPr>
          <w:rFonts w:hint="eastAsia" w:ascii="宋体" w:hAnsi="宋体" w:eastAsia="宋体"/>
          <w:sz w:val="24"/>
        </w:rPr>
      </w:pPr>
      <w:r>
        <w:rPr>
          <w:rFonts w:hint="eastAsia" w:ascii="宋体" w:hAnsi="宋体" w:eastAsia="宋体"/>
          <w:sz w:val="24"/>
          <w:lang w:val="en-US" w:eastAsia="zh-CN"/>
        </w:rPr>
        <w:t>3.2由投标方负责现场调研确认模检具实物状态，确定合理的改制方案。</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3</w:t>
      </w:r>
      <w:r>
        <w:rPr>
          <w:rFonts w:hint="eastAsia" w:ascii="宋体" w:hAnsi="宋体" w:eastAsia="宋体"/>
          <w:sz w:val="24"/>
        </w:rPr>
        <w:t>自动线模具应满足自动化生产</w:t>
      </w:r>
      <w:r>
        <w:rPr>
          <w:rFonts w:ascii="宋体" w:hAnsi="宋体" w:eastAsia="宋体"/>
          <w:sz w:val="24"/>
        </w:rPr>
        <w:t>,</w:t>
      </w:r>
      <w:r>
        <w:rPr>
          <w:rFonts w:hint="eastAsia" w:ascii="宋体" w:hAnsi="宋体" w:eastAsia="宋体"/>
          <w:sz w:val="24"/>
        </w:rPr>
        <w:t>定位方式符合快速定位的结构方式，取、送件容易</w:t>
      </w:r>
      <w:r>
        <w:rPr>
          <w:rFonts w:ascii="宋体" w:hAnsi="宋体" w:eastAsia="宋体"/>
          <w:sz w:val="24"/>
        </w:rPr>
        <w:t>,</w:t>
      </w:r>
      <w:r>
        <w:rPr>
          <w:rFonts w:hint="eastAsia" w:ascii="宋体" w:hAnsi="宋体" w:eastAsia="宋体"/>
          <w:sz w:val="24"/>
        </w:rPr>
        <w:t>保证生产节拍，操作方便安全。</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4</w:t>
      </w:r>
      <w:r>
        <w:rPr>
          <w:rFonts w:hint="eastAsia" w:ascii="宋体" w:hAnsi="宋体" w:eastAsia="宋体"/>
          <w:sz w:val="24"/>
        </w:rPr>
        <w:t>自动化生产线各序模具，板料及零件进出必须方便，空间足够，不得有对板料与零件造成磕碰划伤之隐患。对于手动生产线模具，影响外观质量和生产操作性的送料和取料均要求设有托架，托架上有防划橡胶滚轮，防止擦（碰）伤制件表面；托架超出模具底板外的部分应设成折叠式。</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5</w:t>
      </w:r>
      <w:r>
        <w:rPr>
          <w:rFonts w:hint="eastAsia" w:ascii="宋体" w:hAnsi="宋体" w:eastAsia="宋体"/>
          <w:sz w:val="24"/>
        </w:rPr>
        <w:t>在冲裁过程中产生的废料屑应采取措施，避免被带到下工序从而影响产品表面质量，投标方应在标书中以书面形式明确解决措施。</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6</w:t>
      </w:r>
      <w:r>
        <w:rPr>
          <w:rFonts w:hint="eastAsia" w:ascii="宋体" w:hAnsi="宋体" w:eastAsia="宋体"/>
          <w:sz w:val="24"/>
        </w:rPr>
        <w:t>制件从模具中取出前，模具应具有将制件顶出的机构，该机构将制件从模具型腔中顶出，顶出高度应便于取件，不能有任何障碍及粘附现象，并不妨碍取放制件和废料的排出。自动线模具设计自动化气源退料，且注意气源接头方向等的合理性，手动线由于模具结构、尺寸等原因确无法使用自动化气源退料的，则必须采用其他可靠方式，确保制件从下模脱落。</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7</w:t>
      </w:r>
      <w:r>
        <w:rPr>
          <w:rFonts w:hint="eastAsia" w:ascii="宋体" w:hAnsi="宋体" w:eastAsia="宋体"/>
          <w:sz w:val="24"/>
        </w:rPr>
        <w:t>凸模</w:t>
      </w:r>
      <w:r>
        <w:rPr>
          <w:rFonts w:hint="eastAsia" w:ascii="宋体" w:hAnsi="宋体" w:eastAsia="宋体"/>
          <w:sz w:val="24"/>
          <w:lang w:eastAsia="zh-CN"/>
        </w:rPr>
        <w:t>应</w:t>
      </w:r>
      <w:r>
        <w:rPr>
          <w:rFonts w:hint="eastAsia" w:ascii="宋体" w:hAnsi="宋体" w:eastAsia="宋体"/>
          <w:sz w:val="24"/>
        </w:rPr>
        <w:t>采用快换冲头，冲孔凹模采用可换式的（工作边距、孔距较小者除外），标准的冲孔凹模采用镶套结构，非圆凸模及凹模采取防转措施。冲孔凹模套外形随型，仿形后有效刃口高度不少于</w:t>
      </w:r>
      <w:r>
        <w:rPr>
          <w:rFonts w:ascii="宋体" w:hAnsi="宋体" w:eastAsia="宋体"/>
          <w:sz w:val="24"/>
        </w:rPr>
        <w:t>6mm</w:t>
      </w:r>
      <w:r>
        <w:rPr>
          <w:rFonts w:hint="eastAsia" w:ascii="宋体" w:hAnsi="宋体" w:eastAsia="宋体"/>
          <w:sz w:val="24"/>
        </w:rPr>
        <w:t>。</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8</w:t>
      </w:r>
      <w:r>
        <w:rPr>
          <w:rFonts w:hint="eastAsia" w:ascii="宋体" w:hAnsi="宋体" w:eastAsia="宋体"/>
          <w:sz w:val="24"/>
        </w:rPr>
        <w:t>手动线模具小孔废料以废料盒暂存后送出（最小存放量需满足单班次生产要求），其余废料必须经废料滑槽滑出模具后进入废料箱或手动取下，废料滑槽超出模具底板部分的刚性良好并采用折叠式结构和带挂链。自动线模具小孔废料以废料盒暂存后送出（最小存放量需满足单班次2000件生产要求），其他废料经废料滑槽滑出并落入废料输送带，切边废料应采用废料刀将废料切碎，废料对角线长度应小于6</w:t>
      </w:r>
      <w:r>
        <w:rPr>
          <w:rFonts w:ascii="宋体" w:hAnsi="宋体" w:eastAsia="宋体"/>
          <w:sz w:val="24"/>
        </w:rPr>
        <w:t>00mm</w:t>
      </w:r>
      <w:r>
        <w:rPr>
          <w:rFonts w:hint="eastAsia" w:ascii="宋体" w:hAnsi="宋体" w:eastAsia="宋体"/>
          <w:sz w:val="24"/>
        </w:rPr>
        <w:t>，该废料应自动排出工作台以外。废料的排出应保证排出可靠，而且考虑设备、模具、操作者的安全。</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9</w:t>
      </w:r>
      <w:r>
        <w:rPr>
          <w:rFonts w:hint="eastAsia" w:ascii="宋体" w:hAnsi="宋体" w:eastAsia="宋体"/>
          <w:sz w:val="24"/>
        </w:rPr>
        <w:t>模具凸模、凹模、废料刀原则上不允许悬空，对不可避免的必须控制其悬空量不大于</w:t>
      </w:r>
      <w:r>
        <w:rPr>
          <w:rFonts w:ascii="宋体" w:hAnsi="宋体" w:eastAsia="宋体"/>
          <w:sz w:val="24"/>
        </w:rPr>
        <w:t>10mm</w:t>
      </w:r>
      <w:r>
        <w:rPr>
          <w:rFonts w:hint="eastAsia" w:ascii="宋体" w:hAnsi="宋体" w:eastAsia="宋体"/>
          <w:sz w:val="24"/>
        </w:rPr>
        <w:t>，但需告知招标方。</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10</w:t>
      </w:r>
      <w:r>
        <w:rPr>
          <w:rFonts w:hint="eastAsia" w:ascii="宋体" w:hAnsi="宋体" w:eastAsia="宋体"/>
          <w:sz w:val="24"/>
        </w:rPr>
        <w:t>上下模座定位要操作方便、可靠，上、下模座的前、后、左、右垂直面上的中心线要有</w:t>
      </w:r>
      <w:r>
        <w:rPr>
          <w:rFonts w:ascii="宋体" w:hAnsi="宋体" w:eastAsia="宋体"/>
          <w:sz w:val="24"/>
        </w:rPr>
        <w:t>V</w:t>
      </w:r>
      <w:r>
        <w:rPr>
          <w:rFonts w:hint="eastAsia" w:ascii="宋体" w:hAnsi="宋体" w:eastAsia="宋体"/>
          <w:sz w:val="24"/>
        </w:rPr>
        <w:t>型槽标记；下模座左右两侧加工快速定位基准面，利用压力机工作台快速定位孔定位，具体尺寸由压力机确定；模具上、下模前端垂直面上明显处铸出前方标记“</w:t>
      </w:r>
      <w:r>
        <w:rPr>
          <w:rFonts w:ascii="宋体" w:hAnsi="宋体" w:eastAsia="宋体"/>
          <w:sz w:val="24"/>
        </w:rPr>
        <w:t>F</w:t>
      </w:r>
      <w:r>
        <w:rPr>
          <w:rFonts w:hint="eastAsia" w:ascii="宋体" w:hAnsi="宋体" w:eastAsia="宋体"/>
          <w:sz w:val="24"/>
        </w:rPr>
        <w:t>”字。</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11</w:t>
      </w:r>
      <w:r>
        <w:rPr>
          <w:rFonts w:hint="eastAsia" w:ascii="宋体" w:hAnsi="宋体" w:eastAsia="宋体"/>
          <w:sz w:val="24"/>
        </w:rPr>
        <w:t>所有的翻边镶块、导板等均应设有挡块或背托，不能仅用销钉。</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12</w:t>
      </w:r>
      <w:r>
        <w:rPr>
          <w:rFonts w:hint="eastAsia" w:ascii="宋体" w:hAnsi="宋体" w:eastAsia="宋体"/>
          <w:sz w:val="24"/>
        </w:rPr>
        <w:t>修边、整形、翻边等模具主要镶块（修边刃口、翻边镶块）等在预验收前，不得补焊。预验收结束后，如确需补焊钳修的，必须如实填写《模具钳修记录表》，必须保证一次补焊成功，否则无条件更换。</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13</w:t>
      </w:r>
      <w:r>
        <w:rPr>
          <w:rFonts w:hint="eastAsia" w:ascii="宋体" w:hAnsi="宋体" w:eastAsia="宋体"/>
          <w:sz w:val="24"/>
        </w:rPr>
        <w:t>为便于上、下模合模时的安全性，应设计防反装置。上模的活动部件均应有安全措施。</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14</w:t>
      </w:r>
      <w:r>
        <w:rPr>
          <w:rFonts w:hint="eastAsia" w:ascii="宋体" w:hAnsi="宋体" w:eastAsia="宋体"/>
          <w:sz w:val="24"/>
        </w:rPr>
        <w:t>模具的导柱均安装在下模座上，冲模的起重和翻转应在设计时考虑。冲模上的活动部件应有安全措施，应有行程限位器、存放式限位器、安全块、防护板、防护罩等。冲模零部件应考虑防松、防崩、防脱落、防冲击等措施。冲模的布置应考虑到压床的安全、合理和便于操作及安装。冲模的气动接头采用快换插头，并分别分布在冲模的左前侧，管路内应设有调压阀；接插座的排列顺序为定位装置升起、定位装置下降、托料装置升起、托料装置下降。</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15</w:t>
      </w:r>
      <w:r>
        <w:rPr>
          <w:rFonts w:hint="eastAsia" w:ascii="宋体" w:hAnsi="宋体" w:eastAsia="宋体"/>
          <w:sz w:val="24"/>
        </w:rPr>
        <w:t>外覆盖件模具成形型面（含拉延模工艺补充部分）不允许堆焊和补焊；拉延筋及压料面等，在调试过程中，确需要进行堆焊的，必须告知招标方，并如实填写《模具钳修记录单》，保证焊接质量。外覆盖件模具钳工修正前研合率须超过80</w:t>
      </w:r>
      <w:r>
        <w:rPr>
          <w:rFonts w:ascii="宋体" w:hAnsi="宋体" w:eastAsia="宋体"/>
          <w:sz w:val="24"/>
        </w:rPr>
        <w:t>%</w:t>
      </w:r>
      <w:r>
        <w:rPr>
          <w:rFonts w:hint="eastAsia" w:ascii="宋体" w:hAnsi="宋体" w:eastAsia="宋体"/>
          <w:sz w:val="24"/>
        </w:rPr>
        <w:t>，进行钳修后研合率须超过</w:t>
      </w:r>
      <w:r>
        <w:rPr>
          <w:rFonts w:ascii="宋体" w:hAnsi="宋体" w:eastAsia="宋体"/>
          <w:sz w:val="24"/>
        </w:rPr>
        <w:t>9</w:t>
      </w:r>
      <w:r>
        <w:rPr>
          <w:rFonts w:hint="eastAsia" w:ascii="宋体" w:hAnsi="宋体" w:eastAsia="宋体"/>
          <w:sz w:val="24"/>
        </w:rPr>
        <w:t>5</w:t>
      </w:r>
      <w:r>
        <w:rPr>
          <w:rFonts w:ascii="宋体" w:hAnsi="宋体" w:eastAsia="宋体"/>
          <w:sz w:val="24"/>
        </w:rPr>
        <w:t>%</w:t>
      </w:r>
      <w:r>
        <w:rPr>
          <w:rFonts w:hint="eastAsia" w:ascii="宋体" w:hAnsi="宋体" w:eastAsia="宋体"/>
          <w:sz w:val="24"/>
        </w:rPr>
        <w:t>，且如实填写《模具钳修记录表》；对于钳修后的研合率招标方将在预验收前进行蓝丹着色检查，投标方应予以无条件配合。有拉延工序零件的模具须有研模基准孔（</w:t>
      </w:r>
      <w:r>
        <w:rPr>
          <w:rFonts w:ascii="宋体" w:hAnsi="宋体" w:eastAsia="宋体"/>
          <w:sz w:val="24"/>
        </w:rPr>
        <w:t>CH</w:t>
      </w:r>
      <w:r>
        <w:rPr>
          <w:rFonts w:hint="eastAsia" w:ascii="宋体" w:hAnsi="宋体" w:eastAsia="宋体"/>
          <w:sz w:val="24"/>
        </w:rPr>
        <w:t>孔）。</w:t>
      </w:r>
    </w:p>
    <w:p>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16</w:t>
      </w:r>
      <w:r>
        <w:rPr>
          <w:rFonts w:hint="eastAsia" w:ascii="宋体" w:hAnsi="宋体" w:eastAsia="宋体"/>
          <w:sz w:val="24"/>
        </w:rPr>
        <w:t>模具材料及热处理。</w:t>
      </w:r>
    </w:p>
    <w:p>
      <w:pPr>
        <w:spacing w:line="360" w:lineRule="exact"/>
        <w:ind w:firstLine="465"/>
        <w:rPr>
          <w:rFonts w:hint="eastAsia" w:ascii="宋体" w:hAnsi="宋体" w:eastAsia="宋体"/>
        </w:rPr>
      </w:pPr>
      <w:r>
        <w:rPr>
          <w:rFonts w:hint="eastAsia" w:ascii="宋体" w:hAnsi="宋体" w:eastAsia="宋体"/>
          <w:sz w:val="24"/>
        </w:rPr>
        <w:t>3.</w:t>
      </w:r>
      <w:r>
        <w:rPr>
          <w:rFonts w:hint="eastAsia" w:ascii="宋体" w:hAnsi="宋体" w:eastAsia="宋体"/>
          <w:sz w:val="24"/>
          <w:lang w:val="en-US" w:eastAsia="zh-CN"/>
        </w:rPr>
        <w:t>16</w:t>
      </w:r>
      <w:r>
        <w:rPr>
          <w:rFonts w:hint="eastAsia" w:ascii="宋体" w:hAnsi="宋体" w:eastAsia="宋体"/>
          <w:sz w:val="24"/>
        </w:rPr>
        <w:t>.1大型覆盖件类拉延模：凸模、凹模、压边圈使用GGG70L铸铁，工作表面圆角部位需采取有效的热处理方式，不允许制件表面出现拉毛、划痕等影响外观质量的缺陷。圆角处的热处理方式应该由投标方提出并通过招标方同意；若进行TD处理，局部的分块结构与招标方人员进行确认。均匀淬火硬度HRC55±2°，工作部位表面粗糙度要求Ra0.8。硬度测试为每100mm随机取点，硬度平均值达到要求，且最小值≥50。地板的模具压边圈和凹模采用镶钢块（Cr12MoV）型面，并进行TD处理，硬度HRC58～62。</w:t>
      </w:r>
    </w:p>
    <w:p>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16</w:t>
      </w:r>
      <w:r>
        <w:rPr>
          <w:rFonts w:hint="eastAsia" w:ascii="宋体" w:hAnsi="宋体" w:eastAsia="宋体"/>
          <w:sz w:val="24"/>
        </w:rPr>
        <w:t>.2一般拉延模：凹模、凸模及压边圈采用GM246铸铁，均匀淬火硬度HRC53±2°。工作部位表面粗糙度要求Ra0.8。硬度测试为每100mm随机取点，硬度平均值达到要求，且最小值≥50。制件料厚大于等于2.5MM或材质为高强钢或成形复杂的模具压边圈和凹模采用Cr12MoV镶钢块（Cr12MoV）型面，并进行TD处理，硬度HRC58～62。</w:t>
      </w:r>
    </w:p>
    <w:p>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16</w:t>
      </w:r>
      <w:r>
        <w:rPr>
          <w:rFonts w:hint="eastAsia" w:ascii="宋体" w:hAnsi="宋体" w:eastAsia="宋体"/>
          <w:sz w:val="24"/>
        </w:rPr>
        <w:t>.3修边冲孔模：模座采用HT300，料厚&lt;1.2mm时，修边镶块采用7CrSiMnMoV，硬度HRC55～58。料厚≥1.2mm时，修边镶块采用Cr12MoV，硬度HRC58～62。压料芯等其他部件，采用HT300。工作部位表面及刃口表面粗糙度要求Ra0.8。</w:t>
      </w:r>
    </w:p>
    <w:p>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16</w:t>
      </w:r>
      <w:r>
        <w:rPr>
          <w:rFonts w:hint="eastAsia" w:ascii="宋体" w:hAnsi="宋体" w:eastAsia="宋体"/>
          <w:sz w:val="24"/>
        </w:rPr>
        <w:t>.4翻边整形模：模座采用HT300，料厚＜1.2mm时，镶块采用7CrSiMnMoV，硬度HRC55～58。料厚≥1.2mm时，镶块采用Cr12MoV，硬度HRC58～62。需进行整形过程的压料芯等其他部件，采用Mocr，硬度要求达到HRC50以上，其他采用HT300。工作部位表面粗糙度要求Ra0.8。</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17</w:t>
      </w:r>
      <w:r>
        <w:rPr>
          <w:rFonts w:hint="eastAsia" w:ascii="宋体" w:hAnsi="宋体" w:eastAsia="宋体"/>
          <w:sz w:val="24"/>
        </w:rPr>
        <w:t>铸件及钢镶块可拆卸件应进行打号标记，打号位置为可拆卸件及对应的模座（阿拉伯数字）。</w:t>
      </w:r>
    </w:p>
    <w:p>
      <w:pPr>
        <w:spacing w:line="360" w:lineRule="exact"/>
        <w:ind w:firstLine="465"/>
        <w:rPr>
          <w:rFonts w:hint="eastAsia" w:ascii="宋体" w:hAnsi="宋体" w:eastAsia="宋体"/>
          <w:sz w:val="24"/>
        </w:rPr>
      </w:pPr>
      <w:r>
        <w:rPr>
          <w:rFonts w:ascii="宋体" w:hAnsi="宋体" w:eastAsia="宋体"/>
          <w:sz w:val="24"/>
        </w:rPr>
        <w:t>3.</w:t>
      </w:r>
      <w:r>
        <w:rPr>
          <w:rFonts w:hint="eastAsia" w:ascii="宋体" w:hAnsi="宋体" w:eastAsia="宋体"/>
          <w:sz w:val="24"/>
          <w:lang w:val="en-US" w:eastAsia="zh-CN"/>
        </w:rPr>
        <w:t>18</w:t>
      </w:r>
      <w:r>
        <w:rPr>
          <w:rFonts w:hint="eastAsia" w:ascii="宋体" w:hAnsi="宋体" w:eastAsia="宋体"/>
          <w:sz w:val="24"/>
        </w:rPr>
        <w:t>在满足招标方技术要求并能生产出合格的冲压件的前提下，投标方自己确定模具主要部件所用材料及表面处理硬度，材料报价及表面处理费用应计算在投标总报价之内。</w:t>
      </w:r>
    </w:p>
    <w:p>
      <w:pPr>
        <w:spacing w:line="360" w:lineRule="exact"/>
        <w:ind w:firstLine="465"/>
        <w:rPr>
          <w:rFonts w:hint="eastAsia" w:ascii="宋体" w:hAnsi="宋体" w:eastAsia="宋体"/>
          <w:sz w:val="24"/>
        </w:rPr>
      </w:pPr>
      <w:r>
        <w:rPr>
          <w:rFonts w:hint="eastAsia" w:ascii="宋体" w:hAnsi="宋体" w:eastAsia="宋体"/>
          <w:sz w:val="24"/>
        </w:rPr>
        <w:t>3.</w:t>
      </w:r>
      <w:r>
        <w:rPr>
          <w:rFonts w:hint="eastAsia" w:ascii="宋体" w:hAnsi="宋体" w:eastAsia="宋体"/>
          <w:sz w:val="24"/>
          <w:lang w:val="en-US" w:eastAsia="zh-CN"/>
        </w:rPr>
        <w:t>19</w:t>
      </w:r>
      <w:r>
        <w:rPr>
          <w:rFonts w:hint="eastAsia" w:ascii="宋体" w:hAnsi="宋体" w:eastAsia="宋体"/>
          <w:sz w:val="24"/>
        </w:rPr>
        <w:t>其他的设计标准见附件</w:t>
      </w:r>
      <w:r>
        <w:rPr>
          <w:rFonts w:hint="eastAsia" w:ascii="宋体" w:hAnsi="宋体" w:eastAsia="宋体"/>
          <w:sz w:val="24"/>
          <w:lang w:val="en-US" w:eastAsia="zh-CN"/>
        </w:rPr>
        <w:t>2</w:t>
      </w:r>
      <w:r>
        <w:rPr>
          <w:rFonts w:hint="eastAsia" w:ascii="宋体" w:hAnsi="宋体" w:eastAsia="宋体"/>
          <w:sz w:val="24"/>
        </w:rPr>
        <w:t>《车身冲压模具设计标准》</w:t>
      </w:r>
    </w:p>
    <w:p>
      <w:pPr>
        <w:numPr>
          <w:ilvl w:val="0"/>
          <w:numId w:val="10"/>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项目实施</w:t>
      </w:r>
    </w:p>
    <w:p>
      <w:pPr>
        <w:spacing w:line="360" w:lineRule="exact"/>
        <w:ind w:firstLine="480" w:firstLineChars="200"/>
        <w:rPr>
          <w:rFonts w:hint="eastAsia" w:ascii="宋体" w:hAnsi="宋体" w:eastAsia="宋体"/>
          <w:sz w:val="24"/>
        </w:rPr>
      </w:pPr>
      <w:r>
        <w:rPr>
          <w:rFonts w:hint="eastAsia" w:ascii="宋体" w:hAnsi="宋体" w:eastAsia="宋体"/>
          <w:sz w:val="24"/>
        </w:rPr>
        <w:t>中标方依照定标的模具设计方案进行设计，若需调整，需经招标方认可。原则上，</w:t>
      </w:r>
      <w:r>
        <w:rPr>
          <w:rFonts w:ascii="宋体" w:hAnsi="宋体" w:eastAsia="宋体"/>
          <w:sz w:val="24"/>
        </w:rPr>
        <w:t>DL</w:t>
      </w:r>
      <w:r>
        <w:rPr>
          <w:rFonts w:hint="eastAsia" w:ascii="宋体" w:hAnsi="宋体" w:eastAsia="宋体"/>
          <w:sz w:val="24"/>
        </w:rPr>
        <w:t>图在招标方会签，如招标方有特殊情况，到中标方会签；模具设计图纸在中标方进行会签后方可投入后续工作。</w:t>
      </w:r>
    </w:p>
    <w:p>
      <w:pPr>
        <w:numPr>
          <w:ilvl w:val="0"/>
          <w:numId w:val="10"/>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项目验收</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1、预验收</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.1</w:t>
      </w:r>
      <w:r>
        <w:rPr>
          <w:rFonts w:hint="eastAsia" w:ascii="宋体" w:hAnsi="宋体" w:eastAsia="宋体"/>
          <w:sz w:val="24"/>
        </w:rPr>
        <w:t>预验收依据：中标方提供并经招标方认可的模具设计制造标准、合同，工艺及模具图纸会签纪要，冲压件零件质量判定标准。</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.2</w:t>
      </w:r>
      <w:r>
        <w:rPr>
          <w:rFonts w:hint="eastAsia" w:ascii="宋体" w:hAnsi="宋体" w:eastAsia="宋体"/>
          <w:sz w:val="24"/>
        </w:rPr>
        <w:t>预验收启动条件：中标方完成模具制造，通过动、静态、硬度自检符合要求，冲压件自检质量达到冲压件零件质量判定标准</w:t>
      </w:r>
      <w:r>
        <w:rPr>
          <w:rFonts w:ascii="宋体" w:hAnsi="宋体" w:eastAsia="宋体"/>
          <w:sz w:val="24"/>
        </w:rPr>
        <w:t>(</w:t>
      </w:r>
      <w:r>
        <w:rPr>
          <w:rFonts w:hint="eastAsia" w:ascii="宋体" w:hAnsi="宋体" w:eastAsia="宋体"/>
          <w:sz w:val="24"/>
        </w:rPr>
        <w:t>见附件</w:t>
      </w:r>
      <w:r>
        <w:rPr>
          <w:rFonts w:hint="eastAsia" w:ascii="宋体" w:hAnsi="宋体" w:eastAsia="宋体"/>
          <w:sz w:val="24"/>
          <w:lang w:val="en-US" w:eastAsia="zh-CN"/>
        </w:rPr>
        <w:t>1</w:t>
      </w:r>
      <w:r>
        <w:rPr>
          <w:rFonts w:ascii="宋体" w:hAnsi="宋体" w:eastAsia="宋体"/>
          <w:sz w:val="24"/>
        </w:rPr>
        <w:t>)</w:t>
      </w:r>
      <w:r>
        <w:rPr>
          <w:rFonts w:hint="eastAsia" w:ascii="宋体" w:hAnsi="宋体" w:eastAsia="宋体"/>
          <w:sz w:val="24"/>
        </w:rPr>
        <w:t>要求，并按要求完成2.</w:t>
      </w:r>
      <w:r>
        <w:rPr>
          <w:rFonts w:ascii="宋体" w:hAnsi="宋体" w:eastAsia="宋体"/>
          <w:sz w:val="24"/>
        </w:rPr>
        <w:t>7</w:t>
      </w:r>
      <w:r>
        <w:rPr>
          <w:rFonts w:hint="eastAsia" w:ascii="宋体" w:hAnsi="宋体" w:eastAsia="宋体"/>
          <w:sz w:val="24"/>
        </w:rPr>
        <w:t>条款所示的内容后，中标方向招标方提出预验收申请。</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.3</w:t>
      </w:r>
      <w:r>
        <w:rPr>
          <w:rFonts w:hint="eastAsia" w:ascii="宋体" w:hAnsi="宋体" w:eastAsia="宋体"/>
          <w:sz w:val="24"/>
        </w:rPr>
        <w:t>投标方负责向招标方提供冲压件及《冲压制件检查基准书》，并派技术人员参加零件匹配性验证。招标方按产品图纸及技术要求对制件的形状及尺寸进行必要的检测，并负责协调组织零件匹配性验证工作，验证完成后双方签署《验收纪要》。零件匹配性验证在招标方现场组织实施。</w:t>
      </w:r>
    </w:p>
    <w:p>
      <w:pPr>
        <w:spacing w:line="360" w:lineRule="exact"/>
        <w:ind w:left="101" w:leftChars="48" w:firstLine="316" w:firstLineChars="132"/>
        <w:rPr>
          <w:rFonts w:hint="eastAsia" w:ascii="宋体" w:hAnsi="宋体" w:eastAsia="宋体"/>
          <w:sz w:val="24"/>
          <w:szCs w:val="24"/>
        </w:rPr>
      </w:pPr>
      <w:r>
        <w:rPr>
          <w:rFonts w:hint="eastAsia" w:ascii="宋体" w:hAnsi="宋体" w:eastAsia="宋体"/>
          <w:sz w:val="24"/>
        </w:rPr>
        <w:t>1</w:t>
      </w:r>
      <w:r>
        <w:rPr>
          <w:rFonts w:ascii="宋体" w:hAnsi="宋体" w:eastAsia="宋体"/>
          <w:sz w:val="24"/>
        </w:rPr>
        <w:t>.4</w:t>
      </w:r>
      <w:r>
        <w:rPr>
          <w:rFonts w:hint="eastAsia" w:ascii="宋体" w:hAnsi="宋体" w:eastAsia="宋体"/>
          <w:sz w:val="24"/>
        </w:rPr>
        <w:t>在完成零件匹配性验证后，开展模具预验收工作，预验收场地在投标方处进行，并由投标方提供必要的设备、仪器、场地等预验收工作必须的条件</w:t>
      </w:r>
      <w:r>
        <w:rPr>
          <w:rFonts w:hint="eastAsia" w:ascii="宋体" w:hAnsi="宋体" w:eastAsia="宋体"/>
          <w:sz w:val="24"/>
          <w:szCs w:val="24"/>
        </w:rPr>
        <w:t>。</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1</w:t>
      </w:r>
      <w:r>
        <w:rPr>
          <w:rFonts w:ascii="宋体" w:hAnsi="宋体" w:eastAsia="宋体"/>
          <w:sz w:val="24"/>
        </w:rPr>
        <w:t>.5</w:t>
      </w:r>
      <w:r>
        <w:rPr>
          <w:rFonts w:hint="eastAsia" w:ascii="宋体" w:hAnsi="宋体" w:eastAsia="宋体"/>
          <w:sz w:val="24"/>
        </w:rPr>
        <w:t>预验收工作由双方配合完成。除完成动静态检测、硬度检测等基础检查项目外，连续试冲不少于</w:t>
      </w:r>
      <w:r>
        <w:rPr>
          <w:rFonts w:ascii="宋体" w:hAnsi="宋体" w:eastAsia="宋体"/>
          <w:sz w:val="24"/>
        </w:rPr>
        <w:t>30</w:t>
      </w:r>
      <w:r>
        <w:rPr>
          <w:rFonts w:hint="eastAsia" w:ascii="宋体" w:hAnsi="宋体" w:eastAsia="宋体"/>
          <w:sz w:val="24"/>
        </w:rPr>
        <w:t>个合格冲压制件</w:t>
      </w:r>
      <w:r>
        <w:rPr>
          <w:rFonts w:ascii="宋体" w:hAnsi="宋体" w:eastAsia="宋体"/>
          <w:sz w:val="24"/>
        </w:rPr>
        <w:t>(</w:t>
      </w:r>
      <w:r>
        <w:rPr>
          <w:rFonts w:hint="eastAsia" w:ascii="宋体" w:hAnsi="宋体" w:eastAsia="宋体"/>
          <w:sz w:val="24"/>
        </w:rPr>
        <w:t>以冲压件零件质量判定标准判定是否合格</w:t>
      </w:r>
      <w:r>
        <w:rPr>
          <w:rFonts w:ascii="宋体" w:hAnsi="宋体" w:eastAsia="宋体"/>
          <w:sz w:val="24"/>
        </w:rPr>
        <w:t>)</w:t>
      </w:r>
      <w:r>
        <w:rPr>
          <w:rFonts w:hint="eastAsia" w:ascii="宋体" w:hAnsi="宋体" w:eastAsia="宋体"/>
          <w:sz w:val="24"/>
        </w:rPr>
        <w:t>，所有模具导向面着色率≥</w:t>
      </w:r>
      <w:r>
        <w:rPr>
          <w:rFonts w:ascii="宋体" w:hAnsi="宋体" w:eastAsia="宋体"/>
          <w:sz w:val="24"/>
        </w:rPr>
        <w:t>9</w:t>
      </w:r>
      <w:r>
        <w:rPr>
          <w:rFonts w:hint="eastAsia" w:ascii="宋体" w:hAnsi="宋体" w:eastAsia="宋体"/>
          <w:sz w:val="24"/>
        </w:rPr>
        <w:t>5</w:t>
      </w:r>
      <w:r>
        <w:rPr>
          <w:rFonts w:ascii="宋体" w:hAnsi="宋体" w:eastAsia="宋体"/>
          <w:sz w:val="24"/>
        </w:rPr>
        <w:t>%</w:t>
      </w:r>
      <w:r>
        <w:rPr>
          <w:rFonts w:hint="eastAsia" w:ascii="宋体" w:hAnsi="宋体" w:eastAsia="宋体"/>
          <w:sz w:val="24"/>
        </w:rPr>
        <w:t>，其余拉延模着色率≥</w:t>
      </w:r>
      <w:r>
        <w:rPr>
          <w:rFonts w:ascii="宋体" w:hAnsi="宋体" w:eastAsia="宋体"/>
          <w:sz w:val="24"/>
        </w:rPr>
        <w:t>9</w:t>
      </w:r>
      <w:r>
        <w:rPr>
          <w:rFonts w:hint="eastAsia" w:ascii="宋体" w:hAnsi="宋体" w:eastAsia="宋体"/>
          <w:sz w:val="24"/>
        </w:rPr>
        <w:t>2</w:t>
      </w:r>
      <w:r>
        <w:rPr>
          <w:rFonts w:ascii="宋体" w:hAnsi="宋体" w:eastAsia="宋体"/>
          <w:sz w:val="24"/>
        </w:rPr>
        <w:t>%</w:t>
      </w:r>
      <w:r>
        <w:rPr>
          <w:rFonts w:hint="eastAsia" w:ascii="宋体" w:hAnsi="宋体" w:eastAsia="宋体"/>
          <w:sz w:val="24"/>
        </w:rPr>
        <w:t>，视为预验收合格。预验收合格后，双方签署《预验收纪要》</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2、模具终验收</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szCs w:val="24"/>
        </w:rPr>
        <w:t>2</w:t>
      </w:r>
      <w:r>
        <w:rPr>
          <w:rFonts w:ascii="宋体" w:hAnsi="宋体" w:eastAsia="宋体"/>
          <w:sz w:val="24"/>
          <w:szCs w:val="24"/>
        </w:rPr>
        <w:t>.1</w:t>
      </w:r>
      <w:r>
        <w:rPr>
          <w:rFonts w:hint="eastAsia" w:ascii="宋体" w:hAnsi="宋体" w:eastAsia="宋体"/>
          <w:sz w:val="24"/>
          <w:szCs w:val="24"/>
        </w:rPr>
        <w:t>在模具所有者现场，用工艺规定的材料、设备压出合格的制件（符合合同及技术协议中相关条款），并能够装出合格汽车车身为准。</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2</w:t>
      </w:r>
      <w:r>
        <w:rPr>
          <w:rFonts w:ascii="宋体" w:hAnsi="宋体" w:eastAsia="宋体"/>
          <w:sz w:val="24"/>
        </w:rPr>
        <w:t>.2</w:t>
      </w:r>
      <w:r>
        <w:rPr>
          <w:rFonts w:hint="eastAsia" w:ascii="宋体" w:hAnsi="宋体" w:eastAsia="宋体"/>
          <w:sz w:val="24"/>
        </w:rPr>
        <w:t>终验收前，模具应在招标方生产加工30</w:t>
      </w:r>
      <w:r>
        <w:rPr>
          <w:rFonts w:ascii="宋体" w:hAnsi="宋体" w:eastAsia="宋体"/>
          <w:sz w:val="24"/>
        </w:rPr>
        <w:t>00</w:t>
      </w:r>
      <w:r>
        <w:rPr>
          <w:rFonts w:hint="eastAsia" w:ascii="宋体" w:hAnsi="宋体" w:eastAsia="宋体"/>
          <w:sz w:val="24"/>
        </w:rPr>
        <w:t>件，若因招标方原因，在模具招标方</w:t>
      </w:r>
      <w:r>
        <w:rPr>
          <w:rFonts w:ascii="宋体" w:hAnsi="宋体" w:eastAsia="宋体"/>
          <w:sz w:val="24"/>
        </w:rPr>
        <w:t>1</w:t>
      </w:r>
      <w:r>
        <w:rPr>
          <w:rFonts w:hint="eastAsia" w:ascii="宋体" w:hAnsi="宋体" w:eastAsia="宋体"/>
          <w:sz w:val="24"/>
        </w:rPr>
        <w:t>年内，仍未生产加工30</w:t>
      </w:r>
      <w:r>
        <w:rPr>
          <w:rFonts w:ascii="宋体" w:hAnsi="宋体" w:eastAsia="宋体"/>
          <w:sz w:val="24"/>
        </w:rPr>
        <w:t>00</w:t>
      </w:r>
      <w:r>
        <w:rPr>
          <w:rFonts w:hint="eastAsia" w:ascii="宋体" w:hAnsi="宋体" w:eastAsia="宋体"/>
          <w:sz w:val="24"/>
        </w:rPr>
        <w:t>件的，则满足模具在到达招标方一年后，由投标方提出书面申请，进行模具终验收工作。在此期间，投标方应安排至少一名模具钳工进行陪产。</w:t>
      </w:r>
    </w:p>
    <w:p>
      <w:pPr>
        <w:spacing w:line="360" w:lineRule="exact"/>
        <w:ind w:left="101" w:leftChars="48" w:firstLine="316" w:firstLineChars="132"/>
        <w:rPr>
          <w:rFonts w:hint="eastAsia" w:ascii="宋体" w:hAnsi="宋体" w:eastAsia="宋体"/>
          <w:sz w:val="24"/>
        </w:rPr>
      </w:pPr>
      <w:r>
        <w:rPr>
          <w:rFonts w:hint="eastAsia" w:ascii="宋体" w:hAnsi="宋体" w:eastAsia="宋体"/>
          <w:sz w:val="24"/>
        </w:rPr>
        <w:t>2</w:t>
      </w:r>
      <w:r>
        <w:rPr>
          <w:rFonts w:ascii="宋体" w:hAnsi="宋体" w:eastAsia="宋体"/>
          <w:sz w:val="24"/>
        </w:rPr>
        <w:t xml:space="preserve">.3 </w:t>
      </w:r>
      <w:r>
        <w:rPr>
          <w:rFonts w:hint="eastAsia" w:ascii="宋体" w:hAnsi="宋体" w:eastAsia="宋体"/>
          <w:sz w:val="24"/>
        </w:rPr>
        <w:t>招标方收到投标方终验收申请后，根据生产情况，安排模具终验收工作。</w:t>
      </w:r>
    </w:p>
    <w:p>
      <w:pPr>
        <w:spacing w:line="360" w:lineRule="exact"/>
        <w:ind w:left="101" w:leftChars="48" w:firstLine="316" w:firstLineChars="132"/>
        <w:rPr>
          <w:rFonts w:hint="eastAsia" w:ascii="宋体" w:hAnsi="宋体" w:eastAsia="宋体"/>
          <w:kern w:val="0"/>
          <w:sz w:val="24"/>
        </w:rPr>
      </w:pPr>
      <w:r>
        <w:rPr>
          <w:rFonts w:hint="eastAsia" w:ascii="宋体" w:hAnsi="宋体" w:eastAsia="宋体"/>
          <w:sz w:val="24"/>
        </w:rPr>
        <w:t>2</w:t>
      </w:r>
      <w:r>
        <w:rPr>
          <w:rFonts w:ascii="宋体" w:hAnsi="宋体" w:eastAsia="宋体"/>
          <w:sz w:val="24"/>
        </w:rPr>
        <w:t xml:space="preserve">.4 </w:t>
      </w:r>
      <w:r>
        <w:rPr>
          <w:rFonts w:hint="eastAsia" w:ascii="宋体" w:hAnsi="宋体" w:eastAsia="宋体"/>
          <w:kern w:val="0"/>
          <w:sz w:val="24"/>
        </w:rPr>
        <w:t>模具的最终验收在招标方生产现场实施。投标方对全部模具在招标方的安装调整负全责。模具最终验收前，为便于事前安排调整，投标方须提出压力机使用计划，以便尽快完成模具终验收。另外，由于投标方责任导致机械故障，须赔偿。模具在压力机上调试时，全工序必须要完全和生产状态同一条件下进行，不可添加生产状态以外的条件（涂油、贴薄膜等）。</w:t>
      </w:r>
    </w:p>
    <w:p>
      <w:pPr>
        <w:widowControl/>
        <w:spacing w:line="360" w:lineRule="exact"/>
        <w:ind w:left="101" w:leftChars="48" w:firstLine="316" w:firstLineChars="132"/>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 xml:space="preserve">.5 </w:t>
      </w:r>
      <w:r>
        <w:rPr>
          <w:rFonts w:hint="eastAsia" w:ascii="宋体" w:hAnsi="宋体" w:eastAsia="宋体"/>
          <w:kern w:val="0"/>
          <w:sz w:val="24"/>
        </w:rPr>
        <w:t>模具终验时，投标方派遣模具技术人员在招标方工厂对接。模具调试用的工具、焊接棒、其它易耗品、技术人员所需的工作服、安全保护用品等均由投标方准备。投标方派遣的模具技术人员（模具交付人员）必须取得国家相关部门承认的证书（如天车操作证、焊机操作证等），并且遵守招标方的各项规定，若有违法或违反招标方公司制度，招标方有权对其进行相应的处罚并要求更换交模人员。</w:t>
      </w:r>
    </w:p>
    <w:p>
      <w:pPr>
        <w:widowControl/>
        <w:spacing w:line="360" w:lineRule="exact"/>
        <w:ind w:left="101" w:leftChars="48" w:firstLine="316" w:firstLineChars="132"/>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 xml:space="preserve">.6 </w:t>
      </w:r>
      <w:r>
        <w:rPr>
          <w:rFonts w:hint="eastAsia" w:ascii="宋体" w:hAnsi="宋体" w:eastAsia="宋体"/>
          <w:kern w:val="0"/>
          <w:sz w:val="24"/>
        </w:rPr>
        <w:t>除进行必要的模具动态检测外，招标方有权重新安排不少于</w:t>
      </w:r>
      <w:r>
        <w:rPr>
          <w:rFonts w:ascii="宋体" w:hAnsi="宋体" w:eastAsia="宋体"/>
          <w:kern w:val="0"/>
          <w:sz w:val="24"/>
        </w:rPr>
        <w:t>20%</w:t>
      </w:r>
      <w:r>
        <w:rPr>
          <w:rFonts w:hint="eastAsia" w:ascii="宋体" w:hAnsi="宋体" w:eastAsia="宋体"/>
          <w:kern w:val="0"/>
          <w:sz w:val="24"/>
        </w:rPr>
        <w:t>的模具重新进行全面的静态及硬度检测，投标方应予以配合。</w:t>
      </w: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w:t>
      </w:r>
      <w:r>
        <w:rPr>
          <w:rFonts w:hint="eastAsia" w:ascii="宋体" w:hAnsi="宋体" w:eastAsia="宋体"/>
          <w:kern w:val="0"/>
          <w:sz w:val="24"/>
          <w:lang w:val="en-US" w:eastAsia="zh-CN"/>
        </w:rPr>
        <w:t>7</w:t>
      </w:r>
      <w:r>
        <w:rPr>
          <w:rFonts w:hint="eastAsia" w:ascii="宋体" w:hAnsi="宋体" w:eastAsia="宋体"/>
          <w:kern w:val="0"/>
          <w:sz w:val="24"/>
        </w:rPr>
        <w:t>终验收时所生产零件需进行全尺寸检查。</w:t>
      </w:r>
    </w:p>
    <w:p>
      <w:pPr>
        <w:widowControl/>
        <w:spacing w:line="360" w:lineRule="exact"/>
        <w:ind w:firstLine="480" w:firstLineChars="200"/>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w:t>
      </w:r>
      <w:r>
        <w:rPr>
          <w:rFonts w:hint="eastAsia" w:ascii="宋体" w:hAnsi="宋体" w:eastAsia="宋体"/>
          <w:kern w:val="0"/>
          <w:sz w:val="24"/>
          <w:lang w:val="en-US" w:eastAsia="zh-CN"/>
        </w:rPr>
        <w:t>7</w:t>
      </w:r>
      <w:r>
        <w:rPr>
          <w:rFonts w:ascii="宋体" w:hAnsi="宋体" w:eastAsia="宋体"/>
          <w:kern w:val="0"/>
          <w:sz w:val="24"/>
        </w:rPr>
        <w:t>.1</w:t>
      </w:r>
      <w:r>
        <w:rPr>
          <w:rFonts w:hint="eastAsia" w:ascii="宋体" w:hAnsi="宋体" w:eastAsia="宋体"/>
          <w:kern w:val="0"/>
          <w:sz w:val="24"/>
        </w:rPr>
        <w:t>零件在自由状态下放置于检具或检测支架上（不夹紧状态），零件的反弹在</w:t>
      </w:r>
      <w:r>
        <w:rPr>
          <w:rFonts w:ascii="宋体" w:hAnsi="宋体" w:eastAsia="宋体"/>
          <w:kern w:val="0"/>
          <w:sz w:val="24"/>
        </w:rPr>
        <w:t>2mm</w:t>
      </w:r>
      <w:r>
        <w:rPr>
          <w:rFonts w:hint="eastAsia" w:ascii="宋体" w:hAnsi="宋体" w:eastAsia="宋体"/>
          <w:kern w:val="0"/>
          <w:sz w:val="24"/>
        </w:rPr>
        <w:t>以下时进行全尺寸检查，否则不进行全尺寸检查。</w:t>
      </w:r>
    </w:p>
    <w:p>
      <w:pPr>
        <w:widowControl/>
        <w:spacing w:line="360" w:lineRule="exact"/>
        <w:ind w:firstLine="480" w:firstLineChars="200"/>
        <w:jc w:val="left"/>
        <w:rPr>
          <w:rFonts w:hint="eastAsia" w:ascii="宋体" w:hAnsi="宋体" w:eastAsia="宋体"/>
          <w:kern w:val="0"/>
          <w:sz w:val="24"/>
        </w:rPr>
      </w:pPr>
      <w:r>
        <w:rPr>
          <w:rFonts w:hint="eastAsia" w:ascii="宋体" w:hAnsi="宋体" w:eastAsia="宋体"/>
          <w:kern w:val="0"/>
          <w:sz w:val="24"/>
        </w:rPr>
        <w:t>2</w:t>
      </w:r>
      <w:r>
        <w:rPr>
          <w:rFonts w:ascii="宋体" w:hAnsi="宋体" w:eastAsia="宋体"/>
          <w:kern w:val="0"/>
          <w:sz w:val="24"/>
        </w:rPr>
        <w:t>.</w:t>
      </w:r>
      <w:r>
        <w:rPr>
          <w:rFonts w:hint="eastAsia" w:ascii="宋体" w:hAnsi="宋体" w:eastAsia="宋体"/>
          <w:kern w:val="0"/>
          <w:sz w:val="24"/>
          <w:lang w:val="en-US" w:eastAsia="zh-CN"/>
        </w:rPr>
        <w:t>7</w:t>
      </w:r>
      <w:r>
        <w:rPr>
          <w:rFonts w:ascii="宋体" w:hAnsi="宋体" w:eastAsia="宋体"/>
          <w:kern w:val="0"/>
          <w:sz w:val="24"/>
        </w:rPr>
        <w:t>.2</w:t>
      </w:r>
      <w:r>
        <w:rPr>
          <w:rFonts w:hint="eastAsia" w:ascii="宋体" w:hAnsi="宋体" w:eastAsia="宋体"/>
          <w:kern w:val="0"/>
          <w:sz w:val="24"/>
        </w:rPr>
        <w:t>全尺寸检测中，所有的尺寸公差，按照招标方提供的冲压件质量判定标准进行。</w:t>
      </w:r>
    </w:p>
    <w:p>
      <w:pPr>
        <w:spacing w:line="360" w:lineRule="exact"/>
        <w:ind w:firstLine="480" w:firstLineChars="200"/>
        <w:rPr>
          <w:rFonts w:hint="eastAsia" w:ascii="宋体" w:hAnsi="宋体" w:eastAsia="宋体"/>
          <w:sz w:val="24"/>
          <w:szCs w:val="24"/>
        </w:rPr>
      </w:pPr>
      <w:r>
        <w:rPr>
          <w:rFonts w:hint="eastAsia" w:ascii="宋体" w:hAnsi="宋体" w:eastAsia="宋体"/>
          <w:kern w:val="0"/>
          <w:sz w:val="24"/>
        </w:rPr>
        <w:t>2</w:t>
      </w:r>
      <w:r>
        <w:rPr>
          <w:rFonts w:ascii="宋体" w:hAnsi="宋体" w:eastAsia="宋体"/>
          <w:kern w:val="0"/>
          <w:sz w:val="24"/>
        </w:rPr>
        <w:t>.</w:t>
      </w:r>
      <w:r>
        <w:rPr>
          <w:rFonts w:hint="eastAsia" w:ascii="宋体" w:hAnsi="宋体" w:eastAsia="宋体"/>
          <w:kern w:val="0"/>
          <w:sz w:val="24"/>
          <w:lang w:val="en-US" w:eastAsia="zh-CN"/>
        </w:rPr>
        <w:t>8</w:t>
      </w:r>
      <w:r>
        <w:rPr>
          <w:rFonts w:hint="eastAsia" w:ascii="宋体" w:hAnsi="宋体" w:eastAsia="宋体"/>
          <w:sz w:val="24"/>
          <w:szCs w:val="24"/>
        </w:rPr>
        <w:t>若在合同约定的时间内，投标方无法达到招标方的终验收要求，投标方应无条件按招标方的要求的时间，将模具发运至招标方指定的地点并派出合格的调试人员去调整交模。整改发生的费用由投标方承担，并从合同中扣除。</w:t>
      </w:r>
    </w:p>
    <w:p>
      <w:pPr>
        <w:numPr>
          <w:ilvl w:val="0"/>
          <w:numId w:val="10"/>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模具发运和包装</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5.1</w:t>
      </w:r>
      <w:r>
        <w:rPr>
          <w:rFonts w:hint="eastAsia" w:ascii="宋体" w:hAnsi="宋体" w:eastAsia="宋体"/>
          <w:kern w:val="0"/>
          <w:sz w:val="24"/>
        </w:rPr>
        <w:t>模具交付前，应进行清理、涂抹防锈油、固定模具连接板。根据使用单位要求涂装防锈漆，面漆颜色由招标方提供。</w:t>
      </w: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5</w:t>
      </w:r>
      <w:r>
        <w:rPr>
          <w:rFonts w:ascii="宋体" w:hAnsi="宋体" w:eastAsia="宋体"/>
          <w:kern w:val="0"/>
          <w:sz w:val="24"/>
        </w:rPr>
        <w:t>.2</w:t>
      </w:r>
      <w:r>
        <w:rPr>
          <w:rFonts w:hint="eastAsia" w:ascii="宋体" w:hAnsi="宋体" w:eastAsia="宋体"/>
          <w:kern w:val="0"/>
          <w:sz w:val="24"/>
        </w:rPr>
        <w:t>中标方负责模具的包装，包装要适用长途运输，做到防潮、防锈、防震、防变形。</w:t>
      </w: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5</w:t>
      </w:r>
      <w:r>
        <w:rPr>
          <w:rFonts w:ascii="宋体" w:hAnsi="宋体" w:eastAsia="宋体"/>
          <w:kern w:val="0"/>
          <w:sz w:val="24"/>
        </w:rPr>
        <w:t>.3</w:t>
      </w:r>
      <w:r>
        <w:rPr>
          <w:rFonts w:hint="eastAsia" w:ascii="宋体" w:hAnsi="宋体" w:eastAsia="宋体"/>
          <w:kern w:val="0"/>
          <w:sz w:val="24"/>
        </w:rPr>
        <w:t>模具由中标方负责运至模具所有者生产车间。</w:t>
      </w:r>
    </w:p>
    <w:p>
      <w:pPr>
        <w:numPr>
          <w:ilvl w:val="0"/>
          <w:numId w:val="10"/>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模具发运所附带的标准件等备品数量要求</w:t>
      </w:r>
    </w:p>
    <w:p>
      <w:pPr>
        <w:pStyle w:val="171"/>
        <w:jc w:val="both"/>
        <w:rPr>
          <w:lang w:val="en-US" w:eastAsia="zh-CN"/>
        </w:rPr>
      </w:pPr>
      <w:r>
        <w:rPr>
          <w:rFonts w:hint="eastAsia" w:ascii="宋体" w:hAnsi="宋体" w:eastAsia="宋体"/>
          <w:sz w:val="24"/>
          <w:szCs w:val="22"/>
          <w:lang w:val="en-US" w:eastAsia="zh-CN"/>
        </w:rPr>
        <w:t>满足现场调试的要求</w:t>
      </w:r>
    </w:p>
    <w:p>
      <w:pPr>
        <w:numPr>
          <w:ilvl w:val="0"/>
          <w:numId w:val="10"/>
        </w:numPr>
        <w:spacing w:before="120" w:beforeLines="50" w:after="120" w:afterLines="50"/>
        <w:rPr>
          <w:rFonts w:hint="eastAsia" w:ascii="宋体" w:hAnsi="宋体" w:eastAsia="宋体"/>
          <w:b/>
          <w:bCs/>
          <w:kern w:val="0"/>
          <w:sz w:val="24"/>
          <w:szCs w:val="24"/>
        </w:rPr>
      </w:pPr>
      <w:r>
        <w:rPr>
          <w:rFonts w:hint="eastAsia" w:ascii="宋体" w:hAnsi="宋体" w:eastAsia="宋体"/>
          <w:b/>
          <w:bCs/>
          <w:kern w:val="0"/>
          <w:sz w:val="24"/>
          <w:szCs w:val="24"/>
        </w:rPr>
        <w:t>项目管理要求</w:t>
      </w:r>
    </w:p>
    <w:p>
      <w:pPr>
        <w:widowControl/>
        <w:spacing w:line="360" w:lineRule="exact"/>
        <w:ind w:firstLine="422" w:firstLineChars="175"/>
        <w:jc w:val="left"/>
        <w:rPr>
          <w:rFonts w:hint="eastAsia" w:ascii="宋体" w:hAnsi="宋体" w:eastAsia="宋体"/>
          <w:b/>
          <w:kern w:val="0"/>
          <w:sz w:val="24"/>
        </w:rPr>
      </w:pPr>
      <w:bookmarkStart w:id="100" w:name="_Toc514853264"/>
      <w:r>
        <w:rPr>
          <w:rFonts w:ascii="宋体" w:hAnsi="宋体" w:eastAsia="宋体"/>
          <w:b/>
          <w:kern w:val="0"/>
          <w:sz w:val="24"/>
        </w:rPr>
        <w:t xml:space="preserve">1 </w:t>
      </w:r>
      <w:r>
        <w:rPr>
          <w:rFonts w:hint="eastAsia" w:ascii="宋体" w:hAnsi="宋体" w:eastAsia="宋体"/>
          <w:b/>
          <w:kern w:val="0"/>
          <w:sz w:val="24"/>
        </w:rPr>
        <w:t>项目管理组织</w:t>
      </w:r>
      <w:bookmarkEnd w:id="100"/>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1.1对投标方参与本项目的人员的要求，包括但不限于项目经理，项目管理团队，设计人员，加工管理人员，调试人员，质保人员。</w:t>
      </w: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w:t>
      </w:r>
      <w:r>
        <w:rPr>
          <w:rFonts w:ascii="宋体" w:hAnsi="宋体" w:eastAsia="宋体"/>
          <w:kern w:val="0"/>
          <w:sz w:val="24"/>
        </w:rPr>
        <w:t xml:space="preserve">2 </w:t>
      </w:r>
      <w:r>
        <w:rPr>
          <w:rFonts w:hint="eastAsia" w:ascii="宋体" w:hAnsi="宋体" w:eastAsia="宋体"/>
          <w:kern w:val="0"/>
          <w:sz w:val="24"/>
        </w:rPr>
        <w:t>项目期间，未经招标方书面许可，投标方不得中途更换项目经理。</w:t>
      </w: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w:t>
      </w:r>
      <w:r>
        <w:rPr>
          <w:rFonts w:ascii="宋体" w:hAnsi="宋体" w:eastAsia="宋体"/>
          <w:kern w:val="0"/>
          <w:sz w:val="24"/>
        </w:rPr>
        <w:t xml:space="preserve">3 </w:t>
      </w:r>
      <w:r>
        <w:rPr>
          <w:rFonts w:hint="eastAsia" w:ascii="宋体" w:hAnsi="宋体" w:eastAsia="宋体"/>
          <w:kern w:val="0"/>
          <w:sz w:val="24"/>
        </w:rPr>
        <w:t>项目期间，投标方的项目经理、品管经理、技术经理等主要管理人员在项目过程中不得变动，模具制造关键工序的模具钳工不得变动，项目组80%的人员在项目过程中不得变动。招标方有权随时要求投标方更换招标方认为不适合的投标方项目参与人员。在招标方提供出充分理由的情况下，投标方应予以无条件配合。</w:t>
      </w: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w:t>
      </w:r>
      <w:r>
        <w:rPr>
          <w:rFonts w:ascii="宋体" w:hAnsi="宋体" w:eastAsia="宋体"/>
          <w:kern w:val="0"/>
          <w:sz w:val="24"/>
        </w:rPr>
        <w:t xml:space="preserve">4 </w:t>
      </w:r>
      <w:r>
        <w:rPr>
          <w:rFonts w:hint="eastAsia" w:ascii="宋体" w:hAnsi="宋体" w:eastAsia="宋体"/>
          <w:kern w:val="0"/>
          <w:sz w:val="24"/>
        </w:rPr>
        <w:t>投标方必须提供管理组织结构图，要求包括参与人员的名字、年龄、学历、工作经历以及项目角色等信息。</w:t>
      </w:r>
    </w:p>
    <w:p>
      <w:pPr>
        <w:widowControl/>
        <w:spacing w:line="360" w:lineRule="exact"/>
        <w:ind w:firstLine="422" w:firstLineChars="175"/>
        <w:jc w:val="left"/>
        <w:rPr>
          <w:rFonts w:hint="eastAsia" w:ascii="宋体" w:hAnsi="宋体" w:eastAsia="宋体"/>
          <w:b/>
          <w:kern w:val="0"/>
          <w:sz w:val="24"/>
        </w:rPr>
      </w:pPr>
      <w:bookmarkStart w:id="101" w:name="_Toc514853265"/>
      <w:r>
        <w:rPr>
          <w:rFonts w:ascii="宋体" w:hAnsi="宋体" w:eastAsia="宋体"/>
          <w:b/>
          <w:kern w:val="0"/>
          <w:sz w:val="24"/>
        </w:rPr>
        <w:t xml:space="preserve">2 </w:t>
      </w:r>
      <w:r>
        <w:rPr>
          <w:rFonts w:hint="eastAsia" w:ascii="宋体" w:hAnsi="宋体" w:eastAsia="宋体"/>
          <w:b/>
          <w:kern w:val="0"/>
          <w:sz w:val="24"/>
        </w:rPr>
        <w:t>项目沟通的要求</w:t>
      </w:r>
      <w:bookmarkEnd w:id="101"/>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2.1</w:t>
      </w:r>
      <w:r>
        <w:rPr>
          <w:rFonts w:hint="eastAsia" w:ascii="宋体" w:hAnsi="宋体" w:eastAsia="宋体"/>
          <w:kern w:val="0"/>
          <w:sz w:val="24"/>
        </w:rPr>
        <w:t>投标方在投标文件中，根据招标方项目进度要求制订详细的设计、制造计划（以数模冻结为起点）。</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2.2</w:t>
      </w:r>
      <w:r>
        <w:rPr>
          <w:rFonts w:hint="eastAsia" w:ascii="宋体" w:hAnsi="宋体" w:eastAsia="宋体"/>
          <w:kern w:val="0"/>
          <w:sz w:val="24"/>
        </w:rPr>
        <w:t>甲乙双方每周固定约定一天，由投标方向招标方反馈项目的进度情况，包括项目总体汇报、项目进度汇报以及图片。如果发生项目拖期的情况，要求投标方同时反馈挽回计划以及挽回的情况。</w:t>
      </w:r>
    </w:p>
    <w:p>
      <w:pPr>
        <w:numPr>
          <w:ilvl w:val="0"/>
          <w:numId w:val="10"/>
        </w:numPr>
        <w:spacing w:before="120" w:beforeLines="50" w:after="120" w:afterLines="50"/>
        <w:rPr>
          <w:rFonts w:hint="eastAsia" w:ascii="宋体" w:hAnsi="宋体" w:eastAsia="宋体"/>
          <w:b/>
          <w:bCs/>
          <w:kern w:val="0"/>
          <w:sz w:val="24"/>
          <w:szCs w:val="24"/>
        </w:rPr>
      </w:pPr>
      <w:bookmarkStart w:id="102" w:name="_Toc514853267"/>
      <w:bookmarkStart w:id="103" w:name="_Toc3283"/>
      <w:r>
        <w:rPr>
          <w:rFonts w:hint="eastAsia" w:ascii="宋体" w:hAnsi="宋体" w:eastAsia="宋体"/>
          <w:b/>
          <w:bCs/>
          <w:kern w:val="0"/>
          <w:sz w:val="24"/>
          <w:szCs w:val="24"/>
        </w:rPr>
        <w:t>培训、保修和终验收后的技术服务</w:t>
      </w:r>
      <w:bookmarkEnd w:id="102"/>
      <w:bookmarkEnd w:id="103"/>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1.模、检具到招标方后</w:t>
      </w:r>
      <w:r>
        <w:rPr>
          <w:rFonts w:ascii="宋体" w:hAnsi="宋体" w:eastAsia="宋体"/>
          <w:kern w:val="0"/>
          <w:sz w:val="24"/>
        </w:rPr>
        <w:t>,</w:t>
      </w:r>
      <w:r>
        <w:rPr>
          <w:rFonts w:hint="eastAsia" w:ascii="宋体" w:hAnsi="宋体" w:eastAsia="宋体"/>
          <w:kern w:val="0"/>
          <w:sz w:val="24"/>
        </w:rPr>
        <w:t>投标方需派遣人员在招标方现场对招标方人员进行模、检具安装调试、操作、维修及冲压件、板件测量检验方法等技能培训。上述培训应持续至招标方操作及维修人员完全掌握模、检具的使用为止，且费用由投标方承担。</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2</w:t>
      </w:r>
      <w:r>
        <w:rPr>
          <w:rFonts w:hint="eastAsia" w:ascii="宋体" w:hAnsi="宋体" w:eastAsia="宋体"/>
          <w:kern w:val="0"/>
          <w:sz w:val="24"/>
        </w:rPr>
        <w:t>.现场服务内容及范围包括：现场安装、调试的技术准备；指导并参与现场安装、调试和试运行工作；处理安装、调试和试运行工作中出现的各种问题；检验调试、生产产品的精度及与设计的符合性等。</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3</w:t>
      </w:r>
      <w:r>
        <w:rPr>
          <w:rFonts w:hint="eastAsia" w:ascii="宋体" w:hAnsi="宋体" w:eastAsia="宋体"/>
          <w:kern w:val="0"/>
          <w:sz w:val="24"/>
        </w:rPr>
        <w:t>.在正常使用条件下，投标方需保证模具设计寿命。除易损件外，出现导向面磨损影响精度、托料块凹陷等现象的首次维修应在5</w:t>
      </w:r>
      <w:r>
        <w:rPr>
          <w:rFonts w:ascii="宋体" w:hAnsi="宋体" w:eastAsia="宋体"/>
          <w:kern w:val="0"/>
          <w:sz w:val="24"/>
        </w:rPr>
        <w:t>0</w:t>
      </w:r>
      <w:r>
        <w:rPr>
          <w:rFonts w:hint="eastAsia" w:ascii="宋体" w:hAnsi="宋体" w:eastAsia="宋体"/>
          <w:kern w:val="0"/>
          <w:sz w:val="24"/>
        </w:rPr>
        <w:t>万冲次以后。如果发生5</w:t>
      </w:r>
      <w:r>
        <w:rPr>
          <w:rFonts w:ascii="宋体" w:hAnsi="宋体" w:eastAsia="宋体"/>
          <w:kern w:val="0"/>
          <w:sz w:val="24"/>
        </w:rPr>
        <w:t>0</w:t>
      </w:r>
      <w:r>
        <w:rPr>
          <w:rFonts w:hint="eastAsia" w:ascii="宋体" w:hAnsi="宋体" w:eastAsia="宋体"/>
          <w:kern w:val="0"/>
          <w:sz w:val="24"/>
        </w:rPr>
        <w:t>万次之内所发生的维修由投标方承担。</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4</w:t>
      </w:r>
      <w:r>
        <w:rPr>
          <w:rFonts w:hint="eastAsia" w:ascii="宋体" w:hAnsi="宋体" w:eastAsia="宋体"/>
          <w:kern w:val="0"/>
          <w:sz w:val="24"/>
        </w:rPr>
        <w:t>.本项目终验收起一年内为项目质保期，投标方需在质保期内保证模具运行良好，且投标方提供免费维修服务。</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5</w:t>
      </w:r>
      <w:r>
        <w:rPr>
          <w:rFonts w:hint="eastAsia" w:ascii="宋体" w:hAnsi="宋体" w:eastAsia="宋体"/>
          <w:kern w:val="0"/>
          <w:sz w:val="24"/>
        </w:rPr>
        <w:t>.在质保期内</w:t>
      </w:r>
      <w:r>
        <w:rPr>
          <w:rFonts w:ascii="宋体" w:hAnsi="宋体" w:eastAsia="宋体"/>
          <w:kern w:val="0"/>
          <w:sz w:val="24"/>
        </w:rPr>
        <w:t>,</w:t>
      </w:r>
      <w:r>
        <w:rPr>
          <w:rFonts w:hint="eastAsia" w:ascii="宋体" w:hAnsi="宋体" w:eastAsia="宋体"/>
          <w:kern w:val="0"/>
          <w:sz w:val="24"/>
        </w:rPr>
        <w:t>正常使用条件下</w:t>
      </w:r>
      <w:r>
        <w:rPr>
          <w:rFonts w:ascii="宋体" w:hAnsi="宋体" w:eastAsia="宋体"/>
          <w:kern w:val="0"/>
          <w:sz w:val="24"/>
        </w:rPr>
        <w:t>,</w:t>
      </w:r>
      <w:r>
        <w:rPr>
          <w:rFonts w:hint="eastAsia" w:ascii="宋体" w:hAnsi="宋体" w:eastAsia="宋体"/>
          <w:kern w:val="0"/>
          <w:sz w:val="24"/>
        </w:rPr>
        <w:t>投标方对模具出现的故障提供免费维修</w:t>
      </w:r>
      <w:r>
        <w:rPr>
          <w:rFonts w:ascii="宋体" w:hAnsi="宋体" w:eastAsia="宋体"/>
          <w:kern w:val="0"/>
          <w:sz w:val="24"/>
        </w:rPr>
        <w:t>,</w:t>
      </w:r>
      <w:r>
        <w:rPr>
          <w:rFonts w:hint="eastAsia" w:ascii="宋体" w:hAnsi="宋体" w:eastAsia="宋体"/>
          <w:kern w:val="0"/>
          <w:sz w:val="24"/>
        </w:rPr>
        <w:t>零部件损坏须及时免费更换，免费维修与更换缺陷部件的期限为投标方收到招标方通知后3天。投标方需自备安装调试及维修用工具。</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6</w:t>
      </w:r>
      <w:r>
        <w:rPr>
          <w:rFonts w:hint="eastAsia" w:ascii="宋体" w:hAnsi="宋体" w:eastAsia="宋体"/>
          <w:kern w:val="0"/>
          <w:sz w:val="24"/>
        </w:rPr>
        <w:t>.质保期内，投标方在收到招标方关于模、检具故障通知后，能以通讯方式解决的故障，</w:t>
      </w:r>
      <w:r>
        <w:rPr>
          <w:rFonts w:ascii="宋体" w:hAnsi="宋体" w:eastAsia="宋体"/>
          <w:kern w:val="0"/>
          <w:sz w:val="24"/>
        </w:rPr>
        <w:t>2</w:t>
      </w:r>
      <w:r>
        <w:rPr>
          <w:rFonts w:hint="eastAsia" w:ascii="宋体" w:hAnsi="宋体" w:eastAsia="宋体"/>
          <w:kern w:val="0"/>
          <w:sz w:val="24"/>
        </w:rPr>
        <w:t>小时之内给予答复；不能以通讯方式解决的故障，投标方维修人员应在</w:t>
      </w:r>
      <w:r>
        <w:rPr>
          <w:rFonts w:ascii="宋体" w:hAnsi="宋体" w:eastAsia="宋体"/>
          <w:kern w:val="0"/>
          <w:sz w:val="24"/>
        </w:rPr>
        <w:t>24</w:t>
      </w:r>
      <w:r>
        <w:rPr>
          <w:rFonts w:hint="eastAsia" w:ascii="宋体" w:hAnsi="宋体" w:eastAsia="宋体"/>
          <w:kern w:val="0"/>
          <w:sz w:val="24"/>
        </w:rPr>
        <w:t>小时内到达招标方现场，并确保对一般问题在此期限内排除故障。需维修与更换缺陷部件的故障，投标方维修人员应在到达货物使用方现场后</w:t>
      </w:r>
      <w:r>
        <w:rPr>
          <w:rFonts w:ascii="宋体" w:hAnsi="宋体" w:eastAsia="宋体"/>
          <w:kern w:val="0"/>
          <w:sz w:val="24"/>
        </w:rPr>
        <w:t>2</w:t>
      </w:r>
      <w:r>
        <w:rPr>
          <w:rFonts w:hint="eastAsia" w:ascii="宋体" w:hAnsi="宋体" w:eastAsia="宋体"/>
          <w:kern w:val="0"/>
          <w:sz w:val="24"/>
        </w:rPr>
        <w:t>个日历日内解决。倘若投标方未能履行上述服务的，招标方有权自行或委托有能力的第三方对货物进行维修，所需的费用由投标方承担。</w:t>
      </w:r>
    </w:p>
    <w:p>
      <w:pPr>
        <w:widowControl/>
        <w:spacing w:line="360" w:lineRule="exact"/>
        <w:ind w:firstLine="420" w:firstLineChars="175"/>
        <w:jc w:val="left"/>
        <w:rPr>
          <w:rFonts w:hint="eastAsia" w:ascii="宋体" w:hAnsi="宋体" w:eastAsia="宋体"/>
          <w:kern w:val="0"/>
          <w:sz w:val="24"/>
        </w:rPr>
      </w:pPr>
      <w:r>
        <w:rPr>
          <w:rFonts w:ascii="宋体" w:hAnsi="宋体" w:eastAsia="宋体"/>
          <w:kern w:val="0"/>
          <w:sz w:val="24"/>
        </w:rPr>
        <w:t>7</w:t>
      </w:r>
      <w:r>
        <w:rPr>
          <w:rFonts w:hint="eastAsia" w:ascii="宋体" w:hAnsi="宋体" w:eastAsia="宋体"/>
          <w:kern w:val="0"/>
          <w:sz w:val="24"/>
        </w:rPr>
        <w:t>.质量保证期不含投标方对其交付物的排故时间，即在质量保证期内由投标方原因导致故障，质量保证期顺延，且更换的零件保质期自更换日起开始计算。</w:t>
      </w:r>
    </w:p>
    <w:p>
      <w:pPr>
        <w:numPr>
          <w:ilvl w:val="0"/>
          <w:numId w:val="10"/>
        </w:numPr>
        <w:spacing w:before="120" w:beforeLines="50" w:after="120" w:afterLines="50"/>
        <w:rPr>
          <w:rFonts w:hint="eastAsia" w:ascii="宋体" w:hAnsi="宋体" w:eastAsia="宋体"/>
          <w:b/>
          <w:bCs/>
          <w:kern w:val="0"/>
          <w:sz w:val="24"/>
          <w:szCs w:val="24"/>
        </w:rPr>
      </w:pPr>
      <w:bookmarkStart w:id="104" w:name="_Toc30996"/>
      <w:bookmarkStart w:id="105" w:name="_Toc514853268"/>
      <w:r>
        <w:rPr>
          <w:rFonts w:hint="eastAsia" w:ascii="宋体" w:hAnsi="宋体" w:eastAsia="宋体"/>
          <w:b/>
          <w:bCs/>
          <w:kern w:val="0"/>
          <w:sz w:val="24"/>
          <w:szCs w:val="24"/>
        </w:rPr>
        <w:t>其它条款</w:t>
      </w:r>
      <w:bookmarkEnd w:id="104"/>
      <w:bookmarkEnd w:id="105"/>
    </w:p>
    <w:p>
      <w:pPr>
        <w:widowControl/>
        <w:spacing w:line="360" w:lineRule="exact"/>
        <w:ind w:firstLine="420" w:firstLineChars="175"/>
        <w:jc w:val="left"/>
        <w:rPr>
          <w:rFonts w:hint="eastAsia" w:ascii="宋体" w:hAnsi="宋体" w:eastAsia="宋体" w:cs="仿宋_GB2312"/>
          <w:kern w:val="0"/>
          <w:sz w:val="24"/>
        </w:rPr>
      </w:pPr>
      <w:bookmarkStart w:id="106" w:name="_Toc514853269"/>
      <w:r>
        <w:rPr>
          <w:rFonts w:hint="eastAsia" w:ascii="宋体" w:hAnsi="宋体" w:eastAsia="宋体" w:cs="仿宋_GB2312"/>
          <w:kern w:val="0"/>
          <w:sz w:val="24"/>
        </w:rPr>
        <w:t>1.关于设变、板料运输、设变费用的说明</w:t>
      </w:r>
      <w:bookmarkEnd w:id="106"/>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1.1要求投标方报价详细到每一套模具的重量及价格。</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1.2中标通知发出后，若发生模具套数的增加，由投标方提出设变申请，经招标方审核确认后执行，费用由投标方承担。在满足工艺使用要求下，招标方鼓励模具套数减少，若发生模具套数的减少，由投标方提出申请，经招标方审核确认后执行，由招标方直接扣除相应模具投标报价费用。</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1.3若因招标方零件产品数量减少，而发生的模具数量减少，由招标方直接扣除相应模具投标报价费用。</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1.4 招标方设变发生在模具投铸之前，发生的设计变更，不计设变费用。</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1.5 招标方设变发生在投标方模具投铸之后，若对后续制造工作（如加工）没有影响，不计设变费用。若影响后续制造工作而产生费用，或因招标方零件产品数量增加，发生模具数量增加而产生费用，全部费用不超过模具费用的3%(含)，费用由投标方承提，超过3%，双方协商解决；设变费用按加工成本核算，新增模具费用按模具实际出厂重量与中标单吨价格的乘积（中标单吨价格=最终中标总价格/投标报价中模具总重量）。</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1.6若因投标方提出产品设计变更要求，投标方需向招标方提出书面申请（含工艺分析报告），招标方确认后，方可实施，但不计设变费用。</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1.7以上设变，若投标方向招标方提出设变费用，必须将设变留底，以备查。</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2.关于模具重量</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模具预验收完成并运抵招标方工厂后，招标方对全部模具进行称重，如每组模具的重量少于模具理论重量的3%(含)，模具的合同价格需要重新核算，按模具实际出厂重量与中标单吨价格的乘积（中标单吨价格=最终中标总价格/投标报价中模具总重量）。</w:t>
      </w:r>
    </w:p>
    <w:p>
      <w:pPr>
        <w:widowControl/>
        <w:spacing w:line="360" w:lineRule="exact"/>
        <w:ind w:firstLine="420" w:firstLineChars="175"/>
        <w:jc w:val="left"/>
        <w:rPr>
          <w:rFonts w:hint="eastAsia" w:ascii="宋体" w:hAnsi="宋体" w:eastAsia="宋体" w:cs="仿宋_GB2312"/>
          <w:kern w:val="0"/>
          <w:sz w:val="24"/>
        </w:rPr>
      </w:pPr>
      <w:bookmarkStart w:id="107" w:name="_Toc514853247"/>
      <w:bookmarkStart w:id="108" w:name="_Toc503952493"/>
      <w:r>
        <w:rPr>
          <w:rFonts w:hint="eastAsia" w:ascii="宋体" w:hAnsi="宋体" w:eastAsia="宋体" w:cs="仿宋_GB2312"/>
          <w:kern w:val="0"/>
          <w:sz w:val="24"/>
        </w:rPr>
        <w:t>3.调试板料</w:t>
      </w:r>
      <w:bookmarkEnd w:id="107"/>
      <w:bookmarkEnd w:id="108"/>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3.1关于调试板料的约定：</w:t>
      </w:r>
      <w:r>
        <w:rPr>
          <w:rFonts w:hint="eastAsia" w:ascii="宋体" w:hAnsi="宋体" w:eastAsia="宋体" w:cs="仿宋_GB2312"/>
          <w:kern w:val="0"/>
          <w:sz w:val="24"/>
          <w:lang w:eastAsia="zh-CN"/>
        </w:rPr>
        <w:t>改制调试过程中需要的调试板材费用由投标方负责承担</w:t>
      </w:r>
      <w:r>
        <w:rPr>
          <w:rFonts w:hint="eastAsia" w:ascii="宋体" w:hAnsi="宋体" w:eastAsia="宋体" w:cs="仿宋_GB2312"/>
          <w:kern w:val="0"/>
          <w:sz w:val="24"/>
        </w:rPr>
        <w:t>。</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3.2板料及样件运输费用包含在总合同费用之内。</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4.材料利用率作为评标的重要依据，并在投标文件中予以说明。</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5.投标方需提供一个招标方指定产品详细CAE分析报告及ECR反馈。鼓励投标方对产品进行工艺性分析，提出改进方案，如有需要，可在招标方指定电脑，使用分析软件进行分析，分析结果可作为投标文件的附件，格式不做统一要求。</w:t>
      </w:r>
    </w:p>
    <w:p>
      <w:pPr>
        <w:widowControl/>
        <w:spacing w:line="360" w:lineRule="exact"/>
        <w:ind w:firstLine="420" w:firstLineChars="175"/>
        <w:jc w:val="left"/>
        <w:rPr>
          <w:rFonts w:hint="eastAsia" w:ascii="宋体" w:hAnsi="宋体" w:eastAsia="宋体" w:cs="仿宋_GB2312"/>
          <w:kern w:val="0"/>
          <w:sz w:val="24"/>
        </w:rPr>
      </w:pPr>
      <w:bookmarkStart w:id="109" w:name="_Toc514853270"/>
      <w:r>
        <w:rPr>
          <w:rFonts w:hint="eastAsia" w:ascii="宋体" w:hAnsi="宋体" w:eastAsia="宋体" w:cs="仿宋_GB2312"/>
          <w:kern w:val="0"/>
          <w:sz w:val="24"/>
        </w:rPr>
        <w:t>6.关于不能准时交付的说明</w:t>
      </w:r>
      <w:bookmarkEnd w:id="109"/>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如果因投标方原因模具不能在规定周期内交付,招标方装车所需单件由投标方负责免费生产及运输，且投标方承担相应的商务责任。</w:t>
      </w:r>
    </w:p>
    <w:p>
      <w:pPr>
        <w:widowControl/>
        <w:spacing w:line="360" w:lineRule="exact"/>
        <w:ind w:firstLine="420" w:firstLineChars="175"/>
        <w:jc w:val="left"/>
        <w:rPr>
          <w:rFonts w:hint="eastAsia" w:ascii="宋体" w:hAnsi="宋体" w:eastAsia="宋体" w:cs="仿宋_GB2312"/>
          <w:kern w:val="0"/>
          <w:sz w:val="24"/>
        </w:rPr>
      </w:pPr>
      <w:bookmarkStart w:id="110" w:name="_Toc514853271"/>
      <w:r>
        <w:rPr>
          <w:rFonts w:hint="eastAsia" w:ascii="宋体" w:hAnsi="宋体" w:eastAsia="宋体" w:cs="仿宋_GB2312"/>
          <w:kern w:val="0"/>
          <w:sz w:val="24"/>
        </w:rPr>
        <w:t>7.关于保密的说明</w:t>
      </w:r>
      <w:bookmarkEnd w:id="110"/>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投标方对招标方提供的汽车产品数模、数据及相关技术资料负有保密责任，投标方负有保密责任，违者将按保密协议有关条款执行。</w:t>
      </w:r>
    </w:p>
    <w:p>
      <w:pPr>
        <w:widowControl/>
        <w:spacing w:line="360" w:lineRule="exact"/>
        <w:ind w:firstLine="420" w:firstLineChars="175"/>
        <w:jc w:val="left"/>
        <w:rPr>
          <w:rFonts w:hint="eastAsia" w:ascii="宋体" w:hAnsi="宋体" w:eastAsia="宋体" w:cs="仿宋_GB2312"/>
          <w:kern w:val="0"/>
          <w:sz w:val="24"/>
        </w:rPr>
      </w:pPr>
      <w:r>
        <w:rPr>
          <w:rFonts w:hint="eastAsia" w:ascii="宋体" w:hAnsi="宋体" w:eastAsia="宋体" w:cs="仿宋_GB2312"/>
          <w:kern w:val="0"/>
          <w:sz w:val="24"/>
        </w:rPr>
        <w:t>8.带*条款为否决项。</w:t>
      </w:r>
    </w:p>
    <w:p>
      <w:pPr>
        <w:rPr>
          <w:rFonts w:hint="eastAsia" w:ascii="宋体" w:hAnsi="宋体" w:eastAsia="宋体"/>
        </w:rPr>
      </w:pPr>
    </w:p>
    <w:p>
      <w:pPr>
        <w:widowControl/>
        <w:spacing w:line="360" w:lineRule="exact"/>
        <w:ind w:firstLine="420" w:firstLineChars="175"/>
        <w:jc w:val="left"/>
        <w:rPr>
          <w:rFonts w:hint="eastAsia" w:ascii="宋体" w:hAnsi="宋体" w:eastAsia="宋体"/>
          <w:kern w:val="0"/>
          <w:sz w:val="24"/>
        </w:rPr>
      </w:pPr>
      <w:r>
        <w:rPr>
          <w:rFonts w:hint="eastAsia" w:ascii="宋体" w:hAnsi="宋体" w:eastAsia="宋体"/>
          <w:kern w:val="0"/>
          <w:sz w:val="24"/>
        </w:rPr>
        <w:t>附件：</w:t>
      </w:r>
    </w:p>
    <w:p>
      <w:pPr>
        <w:widowControl/>
        <w:spacing w:line="360" w:lineRule="exact"/>
        <w:ind w:left="420" w:leftChars="200" w:firstLine="420" w:firstLineChars="175"/>
        <w:jc w:val="left"/>
        <w:rPr>
          <w:rFonts w:hint="eastAsia" w:ascii="宋体" w:hAnsi="宋体" w:eastAsia="宋体"/>
          <w:kern w:val="0"/>
          <w:sz w:val="24"/>
        </w:rPr>
      </w:pPr>
      <w:r>
        <w:rPr>
          <w:rFonts w:hint="eastAsia" w:ascii="宋体" w:hAnsi="宋体" w:eastAsia="宋体"/>
          <w:kern w:val="0"/>
          <w:sz w:val="24"/>
        </w:rPr>
        <w:t>附件1： 冲压件质量检验判定标准</w:t>
      </w:r>
    </w:p>
    <w:p>
      <w:pPr>
        <w:widowControl/>
        <w:spacing w:line="360" w:lineRule="exact"/>
        <w:ind w:left="420" w:leftChars="200" w:firstLine="420" w:firstLineChars="175"/>
        <w:jc w:val="left"/>
        <w:rPr>
          <w:rFonts w:hint="eastAsia" w:ascii="宋体" w:hAnsi="宋体" w:eastAsia="宋体"/>
          <w:kern w:val="0"/>
          <w:sz w:val="24"/>
        </w:rPr>
      </w:pPr>
      <w:r>
        <w:rPr>
          <w:rFonts w:hint="eastAsia" w:ascii="宋体" w:hAnsi="宋体" w:eastAsia="宋体"/>
          <w:kern w:val="0"/>
          <w:sz w:val="24"/>
        </w:rPr>
        <w:t>附件2： 车身冲压模具设计标准</w:t>
      </w:r>
    </w:p>
    <w:p>
      <w:pPr>
        <w:spacing w:line="360" w:lineRule="auto"/>
        <w:ind w:firstLine="480" w:firstLineChars="200"/>
        <w:rPr>
          <w:rFonts w:hint="eastAsia" w:ascii="宋体" w:hAnsi="宋体" w:eastAsia="宋体" w:cs="Times New Roman"/>
          <w:sz w:val="24"/>
          <w:szCs w:val="24"/>
        </w:rPr>
      </w:pPr>
    </w:p>
    <w:p>
      <w:pPr>
        <w:spacing w:line="360" w:lineRule="auto"/>
        <w:ind w:firstLine="480" w:firstLineChars="200"/>
        <w:rPr>
          <w:rFonts w:hint="eastAsia" w:ascii="宋体" w:hAnsi="宋体" w:eastAsia="宋体" w:cs="Times New Roman"/>
          <w:sz w:val="24"/>
          <w:szCs w:val="24"/>
        </w:rPr>
      </w:pPr>
    </w:p>
    <w:p>
      <w:pPr>
        <w:rPr>
          <w:rFonts w:ascii="Calibri" w:hAnsi="Calibri" w:eastAsia="宋体" w:cs="Times New Roman"/>
          <w:b/>
          <w:bCs/>
          <w:kern w:val="44"/>
          <w:sz w:val="28"/>
          <w:szCs w:val="28"/>
        </w:rPr>
      </w:pPr>
      <w:bookmarkStart w:id="111" w:name="_Toc169605881"/>
      <w:r>
        <w:rPr>
          <w:rFonts w:hint="eastAsia" w:ascii="Calibri" w:hAnsi="Calibri" w:eastAsia="宋体" w:cs="Times New Roman"/>
          <w:b/>
          <w:bCs/>
          <w:kern w:val="44"/>
          <w:sz w:val="28"/>
          <w:szCs w:val="28"/>
        </w:rPr>
        <w:br w:type="page"/>
      </w:r>
    </w:p>
    <w:bookmarkEnd w:id="111"/>
    <w:p>
      <w:pPr>
        <w:pStyle w:val="22"/>
        <w:spacing w:line="360" w:lineRule="auto"/>
      </w:pPr>
    </w:p>
    <w:p>
      <w:pPr>
        <w:pStyle w:val="136"/>
        <w:spacing w:line="360" w:lineRule="auto"/>
        <w:outlineLvl w:val="1"/>
        <w:rPr>
          <w:rFonts w:hint="eastAsia" w:eastAsia="宋体"/>
          <w:b/>
          <w:bCs w:val="0"/>
          <w:iCs/>
          <w:color w:val="auto"/>
          <w:sz w:val="28"/>
        </w:rPr>
      </w:pPr>
      <w:bookmarkStart w:id="112" w:name="_Toc465187647"/>
      <w:r>
        <w:rPr>
          <w:rFonts w:eastAsia="宋体"/>
          <w:b/>
          <w:bCs w:val="0"/>
          <w:iCs/>
          <w:color w:val="auto"/>
          <w:sz w:val="28"/>
        </w:rPr>
        <w:t>第</w:t>
      </w:r>
      <w:r>
        <w:rPr>
          <w:rFonts w:hint="eastAsia" w:eastAsia="宋体"/>
          <w:b/>
          <w:bCs w:val="0"/>
          <w:iCs/>
          <w:color w:val="auto"/>
          <w:sz w:val="28"/>
        </w:rPr>
        <w:t>三</w:t>
      </w:r>
      <w:r>
        <w:rPr>
          <w:rFonts w:eastAsia="宋体"/>
          <w:b/>
          <w:bCs w:val="0"/>
          <w:iCs/>
          <w:color w:val="auto"/>
          <w:sz w:val="28"/>
        </w:rPr>
        <w:t>章  投标技术文件一般要求</w:t>
      </w:r>
      <w:bookmarkEnd w:id="112"/>
    </w:p>
    <w:p>
      <w:pPr>
        <w:pStyle w:val="123"/>
        <w:spacing w:line="360" w:lineRule="auto"/>
        <w:rPr>
          <w:color w:val="auto"/>
        </w:rPr>
      </w:pPr>
      <w:r>
        <w:rPr>
          <w:color w:val="auto"/>
        </w:rPr>
        <w:t>一、技术文件一般内容要求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1.投标人应认真阅读招标文件和本技术标书，并按要求编写投标技术文件。</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2.投标技术文件至少应对投标货物的功能用途、技术性能、质量标准、技术参数等作出详细说明。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3.投标技术文件至少应根据投标货物的关键设备、总成、零部件或系统作出满足或优于招标文件要求的详细说明。</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4.投标技术文件至少应按照招标文件要求（或投标人建议）列明备品备件、易损件和专用耗材明细。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5.投标人应当而且必须分别说明所列备品备件、易损件和专用耗材的使用寿命（以有效工作小时数说明）。</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6.投标的货物，应当根据其配置和备品备件、易损件、专用耗材情况，尽可能详细且分类填入下表：</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6.1备品备件、易损件和专用耗材明细表：</w:t>
      </w:r>
    </w:p>
    <w:p>
      <w:pPr>
        <w:adjustRightInd w:val="0"/>
        <w:snapToGrid w:val="0"/>
        <w:spacing w:line="420" w:lineRule="exact"/>
        <w:ind w:firstLine="1890" w:firstLineChars="900"/>
        <w:rPr>
          <w:rFonts w:hint="eastAsia" w:ascii="宋体" w:hAnsi="宋体" w:eastAsia="宋体" w:cs="宋体"/>
        </w:rPr>
      </w:pPr>
      <w:r>
        <w:rPr>
          <w:rFonts w:hint="eastAsia" w:ascii="宋体" w:hAnsi="宋体" w:eastAsia="宋体" w:cs="宋体"/>
        </w:rPr>
        <w:t>备品备件、易损件和专用耗材明细表             单位：元</w:t>
      </w:r>
    </w:p>
    <w:tbl>
      <w:tblPr>
        <w:tblStyle w:val="41"/>
        <w:tblW w:w="9091"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16"/>
        <w:gridCol w:w="1924"/>
        <w:gridCol w:w="1236"/>
        <w:gridCol w:w="720"/>
        <w:gridCol w:w="720"/>
        <w:gridCol w:w="720"/>
        <w:gridCol w:w="720"/>
        <w:gridCol w:w="2235"/>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序号</w:t>
            </w:r>
          </w:p>
        </w:tc>
        <w:tc>
          <w:tcPr>
            <w:tcW w:w="1924"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名称</w:t>
            </w:r>
          </w:p>
        </w:tc>
        <w:tc>
          <w:tcPr>
            <w:tcW w:w="1236"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型号规格</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单位</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数量</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单价</w:t>
            </w:r>
          </w:p>
        </w:tc>
        <w:tc>
          <w:tcPr>
            <w:tcW w:w="720"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总价</w:t>
            </w:r>
          </w:p>
        </w:tc>
        <w:tc>
          <w:tcPr>
            <w:tcW w:w="2235" w:type="dxa"/>
          </w:tcPr>
          <w:p>
            <w:pPr>
              <w:adjustRightInd w:val="0"/>
              <w:snapToGrid w:val="0"/>
              <w:spacing w:line="360" w:lineRule="exact"/>
              <w:jc w:val="center"/>
              <w:rPr>
                <w:rFonts w:hint="eastAsia" w:ascii="宋体" w:hAnsi="宋体" w:eastAsia="宋体" w:cs="宋体"/>
              </w:rPr>
            </w:pPr>
            <w:r>
              <w:rPr>
                <w:rFonts w:hint="eastAsia" w:ascii="宋体" w:hAnsi="宋体" w:eastAsia="宋体" w:cs="宋体"/>
              </w:rPr>
              <w:t>制造商</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816" w:type="dxa"/>
          </w:tcPr>
          <w:p>
            <w:pPr>
              <w:adjustRightInd w:val="0"/>
              <w:snapToGrid w:val="0"/>
              <w:spacing w:line="360" w:lineRule="exact"/>
              <w:jc w:val="center"/>
              <w:rPr>
                <w:rFonts w:hint="eastAsia" w:ascii="宋体" w:hAnsi="宋体" w:eastAsia="宋体" w:cs="宋体"/>
              </w:rPr>
            </w:pPr>
          </w:p>
        </w:tc>
        <w:tc>
          <w:tcPr>
            <w:tcW w:w="1924" w:type="dxa"/>
          </w:tcPr>
          <w:p>
            <w:pPr>
              <w:adjustRightInd w:val="0"/>
              <w:snapToGrid w:val="0"/>
              <w:spacing w:line="360" w:lineRule="exact"/>
              <w:rPr>
                <w:rFonts w:hint="eastAsia" w:ascii="宋体" w:hAnsi="宋体" w:eastAsia="宋体" w:cs="宋体"/>
              </w:rPr>
            </w:pPr>
          </w:p>
        </w:tc>
        <w:tc>
          <w:tcPr>
            <w:tcW w:w="1236" w:type="dxa"/>
          </w:tcPr>
          <w:p>
            <w:pPr>
              <w:adjustRightInd w:val="0"/>
              <w:snapToGrid w:val="0"/>
              <w:spacing w:line="360" w:lineRule="exact"/>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720" w:type="dxa"/>
          </w:tcPr>
          <w:p>
            <w:pPr>
              <w:adjustRightInd w:val="0"/>
              <w:snapToGrid w:val="0"/>
              <w:spacing w:line="360" w:lineRule="exact"/>
              <w:jc w:val="center"/>
              <w:rPr>
                <w:rFonts w:hint="eastAsia" w:ascii="宋体" w:hAnsi="宋体" w:eastAsia="宋体" w:cs="宋体"/>
              </w:rPr>
            </w:pPr>
          </w:p>
        </w:tc>
        <w:tc>
          <w:tcPr>
            <w:tcW w:w="2235" w:type="dxa"/>
          </w:tcPr>
          <w:p>
            <w:pPr>
              <w:adjustRightInd w:val="0"/>
              <w:snapToGrid w:val="0"/>
              <w:spacing w:line="360" w:lineRule="exact"/>
              <w:rPr>
                <w:rFonts w:hint="eastAsia" w:ascii="宋体" w:hAnsi="宋体" w:eastAsia="宋体" w:cs="宋体"/>
              </w:rPr>
            </w:pPr>
          </w:p>
        </w:tc>
      </w:tr>
    </w:tbl>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6.2“开标一览表”和“明细表”仅作为投标人编制投标技术文件的一般格式。其中序号编写应当便于招标人了解分类或分项货物之间的所属关系，如1、1.1、1.2；</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6.3应当尽可能将货物的配置列全、列细，这将有助于投标人胜出；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6.4单价与总价之间、总价与分类小计价之间、分类小计价与合计价之间数据应当齐全而且准确；</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6.5  本条款表格中的制造商，应当为全称或公认的简称。</w:t>
      </w:r>
    </w:p>
    <w:p>
      <w:pPr>
        <w:pStyle w:val="123"/>
        <w:spacing w:line="360" w:lineRule="auto"/>
        <w:rPr>
          <w:rFonts w:hint="eastAsia" w:ascii="宋体" w:hAnsi="宋体" w:cs="宋体"/>
          <w:color w:val="auto"/>
        </w:rPr>
      </w:pPr>
      <w:r>
        <w:rPr>
          <w:rFonts w:hint="eastAsia" w:ascii="宋体" w:hAnsi="宋体" w:cs="宋体"/>
          <w:color w:val="auto"/>
        </w:rPr>
        <w:t>二、技术文件中货物报价格式要求</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技术文件中，如未按照要求编写、或者存在漏项和缺项，将有可能造成对投标人不必要的误解；必要时，漏项和缺项涉及的费用，将有可能以其它投标人中，相同或相似项目的最高价，计入投标人的投标总报价之内，作为评标的依据之一。</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2.如果投标总报价与其它价格出现错误或不一致，将有可能导致废标。</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3.投标总报价为自合同签定生效至合同无异议执行完毕涉及的买方需要支付的全部费用。如投标人认为本招标及投标货物涉及特需或专门的设计，应当单独列明设计费。</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4.备品备件、易损件和专用耗材，招标人将可能与投标人按照投标价格另行签署供货合同。</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5.要求投标总报价、分项报价、明细报价之间应当具有相互间对应关系以及填报分项和明细报价，仅为便于评标而不妨碍投标人以最合适的形式签署合同。</w:t>
      </w:r>
    </w:p>
    <w:p>
      <w:pPr>
        <w:pStyle w:val="123"/>
        <w:spacing w:line="360" w:lineRule="auto"/>
        <w:rPr>
          <w:rFonts w:hint="eastAsia" w:ascii="宋体" w:hAnsi="宋体" w:cs="宋体"/>
          <w:color w:val="auto"/>
        </w:rPr>
      </w:pPr>
      <w:r>
        <w:rPr>
          <w:rFonts w:hint="eastAsia" w:ascii="宋体" w:hAnsi="宋体" w:cs="宋体"/>
          <w:color w:val="auto"/>
        </w:rPr>
        <w:t>三、验收标准及内容要求</w:t>
      </w:r>
    </w:p>
    <w:p>
      <w:pPr>
        <w:adjustRightInd w:val="0"/>
        <w:snapToGrid w:val="0"/>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除招标文件明确的验收标准或内容之外，投标人应当在投标文件中提供预验收（必要时）和终验收的标准以及规程；在合同签定之前，经投标人和招标人双方洽谈确认并签署，以作为验收标准执行。</w:t>
      </w:r>
    </w:p>
    <w:p>
      <w:pPr>
        <w:pStyle w:val="2"/>
        <w:spacing w:before="120" w:after="120" w:line="360" w:lineRule="auto"/>
        <w:rPr>
          <w:rFonts w:hint="eastAsia" w:ascii="宋体" w:hAnsi="宋体" w:eastAsia="宋体" w:cs="宋体"/>
          <w:b w:val="0"/>
          <w:sz w:val="24"/>
          <w:szCs w:val="24"/>
        </w:rPr>
        <w:sectPr>
          <w:footerReference r:id="rId11" w:type="first"/>
          <w:footerReference r:id="rId10" w:type="default"/>
          <w:pgSz w:w="11906" w:h="16838"/>
          <w:pgMar w:top="1588" w:right="1418" w:bottom="1134" w:left="1418" w:header="851" w:footer="992" w:gutter="0"/>
          <w:pgNumType w:fmt="numberInDash"/>
          <w:cols w:space="720" w:num="1"/>
          <w:titlePg/>
          <w:docGrid w:linePitch="312" w:charSpace="0"/>
        </w:sectPr>
      </w:pPr>
      <w:bookmarkStart w:id="113" w:name="_Toc465187648"/>
    </w:p>
    <w:p>
      <w:pPr>
        <w:pStyle w:val="136"/>
        <w:outlineLvl w:val="1"/>
        <w:rPr>
          <w:rFonts w:hint="eastAsia" w:ascii="宋体" w:hAnsi="宋体" w:eastAsia="宋体" w:cs="宋体"/>
          <w:b/>
          <w:bCs w:val="0"/>
          <w:iCs/>
          <w:color w:val="auto"/>
          <w:sz w:val="28"/>
          <w:szCs w:val="22"/>
        </w:rPr>
      </w:pPr>
      <w:r>
        <w:rPr>
          <w:rFonts w:hint="eastAsia" w:ascii="宋体" w:hAnsi="宋体" w:eastAsia="宋体" w:cs="宋体"/>
          <w:b/>
          <w:bCs w:val="0"/>
          <w:iCs/>
          <w:color w:val="auto"/>
          <w:sz w:val="28"/>
          <w:szCs w:val="22"/>
        </w:rPr>
        <w:t>第四章  其它要求及说明</w:t>
      </w:r>
      <w:bookmarkEnd w:id="113"/>
    </w:p>
    <w:p>
      <w:pPr>
        <w:pStyle w:val="123"/>
        <w:spacing w:line="360" w:lineRule="auto"/>
        <w:rPr>
          <w:rFonts w:hint="eastAsia" w:ascii="宋体" w:hAnsi="宋体" w:cs="宋体"/>
          <w:color w:val="auto"/>
        </w:rPr>
      </w:pPr>
      <w:r>
        <w:rPr>
          <w:rFonts w:hint="eastAsia" w:ascii="宋体" w:hAnsi="宋体" w:cs="宋体"/>
          <w:color w:val="auto"/>
        </w:rPr>
        <w:t>一、要求</w:t>
      </w:r>
    </w:p>
    <w:p>
      <w:pPr>
        <w:pStyle w:val="25"/>
        <w:spacing w:after="0" w:line="360" w:lineRule="auto"/>
        <w:ind w:left="0" w:leftChars="0" w:firstLine="480" w:firstLineChars="200"/>
        <w:rPr>
          <w:rFonts w:hint="eastAsia" w:ascii="宋体" w:hAnsi="宋体" w:eastAsia="宋体" w:cs="宋体"/>
          <w:sz w:val="24"/>
          <w:szCs w:val="24"/>
        </w:rPr>
      </w:pPr>
      <w:r>
        <w:rPr>
          <w:rFonts w:hint="eastAsia" w:ascii="宋体" w:hAnsi="宋体" w:eastAsia="宋体" w:cs="宋体"/>
          <w:sz w:val="24"/>
          <w:szCs w:val="24"/>
        </w:rPr>
        <w:t>为保证本技术标书所列采购货物的质量以及先进性、可靠性、经济性和实用性，要求投标人在投标文件中，至少应具备以下资格证明文件或资料：</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1.投标人应是独立法人或得到法人授权的机构。应当在投标文件中提供法人营业执照（复印件）、税务登记证以及组织机构代码证（国际供应商参考该要求提供有效证明文件），并保证其真实性和有效性。</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2.投标人应当是通过有关资格认证的法人。应当在投标文件中提供有效期内的资格认证证书，如：ISO9001、VDA6.1、QS9000等。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3.国产设备应附有采购货物（或设备）涉及的由“中国质量认证中心”颁发的《中国国家强制性产品认证证书》（CCC证书）。</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4.应附有其它与投标人、采购货物有关的荣誉证书或资料。</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5.必须附有投标货物涉及产品要求的、国家或行业管理规定要求的、或者投标人认为能够体现其投标货物合法性及先进性的最高级别的证明材料（投标货物不涉及的除外）：</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5.1国家相关机构颁发的有效期之内所必需的《生产许可证》；</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5.2产品（或技术）鉴定报告/证书、专利证书或专利许可证书、新技术成果证书等；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5.3产品相关检验、试验报告，如：型式试验检验报告、安全试验检验报告、电弧效应试验报告、噪声检测报告等；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5.4其它能够证明所供货物的质量水平、技术水平、安全性水平、节能性水平、环保性水平等相关的其它证明文件或资料、报告等；</w:t>
      </w:r>
    </w:p>
    <w:p>
      <w:pPr>
        <w:spacing w:line="360" w:lineRule="auto"/>
        <w:ind w:firstLine="477" w:firstLineChars="199"/>
        <w:rPr>
          <w:rFonts w:hint="eastAsia" w:ascii="宋体" w:hAnsi="宋体" w:eastAsia="宋体" w:cs="宋体"/>
          <w:sz w:val="24"/>
          <w:szCs w:val="24"/>
        </w:rPr>
      </w:pPr>
      <w:r>
        <w:rPr>
          <w:rFonts w:hint="eastAsia" w:ascii="宋体" w:hAnsi="宋体" w:eastAsia="宋体" w:cs="宋体"/>
          <w:sz w:val="24"/>
          <w:szCs w:val="24"/>
        </w:rPr>
        <w:t>5.5该类报告或证明材料对于投标人胜出乃至中标极为重要！</w:t>
      </w:r>
    </w:p>
    <w:p>
      <w:pPr>
        <w:numPr>
          <w:ilvl w:val="255"/>
          <w:numId w:val="0"/>
        </w:numPr>
        <w:spacing w:line="360" w:lineRule="auto"/>
        <w:ind w:firstLine="482" w:firstLineChars="200"/>
        <w:rPr>
          <w:rFonts w:hint="eastAsia" w:ascii="宋体" w:hAnsi="宋体" w:eastAsia="宋体" w:cs="宋体"/>
          <w:sz w:val="24"/>
          <w:szCs w:val="24"/>
        </w:rPr>
      </w:pPr>
      <w:r>
        <w:rPr>
          <w:rFonts w:hint="eastAsia" w:ascii="宋体" w:hAnsi="宋体" w:eastAsia="宋体" w:cs="宋体"/>
          <w:b/>
          <w:sz w:val="24"/>
          <w:szCs w:val="24"/>
        </w:rPr>
        <w:t>6.必须附有：</w:t>
      </w:r>
      <w:r>
        <w:rPr>
          <w:rFonts w:hint="eastAsia" w:ascii="宋体" w:hAnsi="宋体" w:eastAsia="宋体" w:cs="宋体"/>
          <w:sz w:val="24"/>
          <w:szCs w:val="24"/>
        </w:rPr>
        <w:t>与本采购货物相同或相似技术规格、型号的而且已经正常使用或通过验收的近三年以上的货物的市场销售业绩清单，清单中应具备：买方单位名称、销售货物的规格型号、数量、（交货）时间、联系人和联系电话（非移动通信号码）等条目内容；投标人应当保证其业绩的真实性，否则将影响投标或中标资格。</w:t>
      </w:r>
    </w:p>
    <w:p>
      <w:pPr>
        <w:pStyle w:val="123"/>
        <w:spacing w:line="360" w:lineRule="auto"/>
      </w:pPr>
      <w:r>
        <w:rPr>
          <w:rFonts w:hint="eastAsia" w:ascii="宋体" w:hAnsi="宋体" w:cs="宋体"/>
          <w:color w:val="auto"/>
        </w:rPr>
        <w:t>二、其他</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1.投标人可以根据自身的技术、经验等优势以及对招标文件和本技术标书的理解，写明对招标人所采购货物的优化方案或建议意见。投标人的这些努力，招标人表示感谢，并将有助于投标人优先胜出。</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2.即使有建议意见或建议方案，仍应依据招标文件和本技术标书要求，编写符合要求的投标文件。建议方案或建议意见，应以单独篇章或文件，予以说明和报价。</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3.请投标人仔细阅读“采购货物概况”章节内说明，针对允许分投分中的货物，招标人有权利选择其中优秀设备或服务，作为投标人合同供货范围中的指定选用设备或服务（替代投标人分投而未中标部分）。</w:t>
      </w:r>
    </w:p>
    <w:p>
      <w:pPr>
        <w:spacing w:line="360" w:lineRule="auto"/>
        <w:ind w:firstLine="480" w:firstLineChars="200"/>
        <w:rPr>
          <w:rFonts w:hint="eastAsia" w:ascii="宋体" w:hAnsi="宋体" w:eastAsia="宋体" w:cs="宋体"/>
          <w:sz w:val="24"/>
          <w:szCs w:val="24"/>
        </w:rPr>
      </w:pPr>
      <w:r>
        <w:rPr>
          <w:rFonts w:hint="eastAsia" w:ascii="宋体" w:hAnsi="宋体" w:eastAsia="宋体" w:cs="宋体"/>
          <w:sz w:val="24"/>
          <w:szCs w:val="24"/>
        </w:rPr>
        <w:t>4.招标文件、投标文件、答疑文件、技术交流文件、技术标书等，在采购过程全部为有效文件，如有差异，以对招标人最有利的条款为准。</w:t>
      </w:r>
    </w:p>
    <w:p>
      <w:pPr>
        <w:spacing w:line="360" w:lineRule="auto"/>
        <w:ind w:firstLine="480" w:firstLineChars="200"/>
        <w:rPr>
          <w:rFonts w:hint="eastAsia" w:hAnsi="宋体" w:eastAsia="宋体" w:cs="Times New Roman"/>
          <w:b/>
          <w:color w:val="000000"/>
          <w:sz w:val="24"/>
          <w:szCs w:val="24"/>
        </w:rPr>
      </w:pPr>
      <w:r>
        <w:rPr>
          <w:rFonts w:hint="eastAsia" w:ascii="宋体" w:hAnsi="宋体" w:eastAsia="宋体" w:cs="宋体"/>
          <w:sz w:val="24"/>
          <w:szCs w:val="24"/>
        </w:rPr>
        <w:t>5.为避免歧义，本技术标书涉及招投标环节的条款，均将潜在的卖方称为投标人、将买方称为招标人；定标后合同签署环节以及后续的合同执行环节条款，招标人称为买方、投标人中的中标方称为卖方。</w:t>
      </w:r>
    </w:p>
    <w:p>
      <w:pPr>
        <w:rPr>
          <w:rFonts w:hint="eastAsia"/>
        </w:rPr>
      </w:pPr>
    </w:p>
    <w:p>
      <w:pPr>
        <w:pStyle w:val="22"/>
      </w:pPr>
    </w:p>
    <w:p>
      <w:r>
        <w:br w:type="page"/>
      </w:r>
    </w:p>
    <w:p>
      <w:pPr>
        <w:pStyle w:val="22"/>
      </w:pPr>
    </w:p>
    <w:p>
      <w:pPr>
        <w:spacing w:line="360" w:lineRule="auto"/>
        <w:jc w:val="center"/>
        <w:outlineLvl w:val="0"/>
        <w:rPr>
          <w:rFonts w:ascii="宋体" w:hAnsi="Calibri" w:eastAsia="宋体" w:cs="Times New Roman"/>
          <w:b/>
          <w:sz w:val="36"/>
          <w:szCs w:val="36"/>
        </w:rPr>
      </w:pPr>
      <w:bookmarkStart w:id="114" w:name="_Toc3115"/>
      <w:r>
        <w:rPr>
          <w:rFonts w:hint="eastAsia" w:ascii="宋体" w:hAnsi="宋体" w:eastAsia="宋体" w:cs="Times New Roman"/>
          <w:b/>
          <w:sz w:val="36"/>
          <w:szCs w:val="36"/>
        </w:rPr>
        <w:t>第五部分</w:t>
      </w:r>
      <w:r>
        <w:rPr>
          <w:rFonts w:ascii="宋体" w:hAnsi="宋体" w:eastAsia="宋体" w:cs="Times New Roman"/>
          <w:b/>
          <w:sz w:val="36"/>
          <w:szCs w:val="36"/>
        </w:rPr>
        <w:t xml:space="preserve"> </w:t>
      </w:r>
      <w:r>
        <w:rPr>
          <w:rFonts w:hint="eastAsia" w:ascii="宋体" w:hAnsi="宋体" w:eastAsia="宋体" w:cs="Times New Roman"/>
          <w:b/>
          <w:sz w:val="36"/>
          <w:szCs w:val="36"/>
        </w:rPr>
        <w:t>设备采购合同</w:t>
      </w:r>
      <w:bookmarkEnd w:id="114"/>
    </w:p>
    <w:p>
      <w:pPr>
        <w:adjustRightInd w:val="0"/>
        <w:snapToGrid w:val="0"/>
        <w:spacing w:line="360" w:lineRule="auto"/>
        <w:jc w:val="left"/>
        <w:rPr>
          <w:rFonts w:hint="eastAsia" w:ascii="宋体" w:hAnsi="宋体"/>
          <w:sz w:val="20"/>
          <w:szCs w:val="20"/>
        </w:rPr>
      </w:pPr>
      <w:r>
        <w:rPr>
          <w:rFonts w:ascii="宋体" w:hAnsi="宋体"/>
          <w:sz w:val="20"/>
          <w:szCs w:val="20"/>
        </w:rPr>
        <w:t xml:space="preserve">                                      </w:t>
      </w:r>
      <w:r>
        <w:rPr>
          <w:rFonts w:hint="eastAsia" w:ascii="宋体" w:hAnsi="宋体"/>
          <w:sz w:val="20"/>
          <w:szCs w:val="20"/>
        </w:rPr>
        <w:t xml:space="preserve">  </w:t>
      </w:r>
    </w:p>
    <w:p>
      <w:pPr>
        <w:wordWrap w:val="0"/>
        <w:adjustRightInd w:val="0"/>
        <w:snapToGrid w:val="0"/>
        <w:spacing w:line="360" w:lineRule="auto"/>
        <w:jc w:val="right"/>
        <w:rPr>
          <w:rFonts w:hint="eastAsia" w:ascii="方正小标宋简体" w:hAnsi="宋体" w:eastAsia="方正小标宋简体"/>
          <w:sz w:val="24"/>
          <w:szCs w:val="24"/>
        </w:rPr>
      </w:pPr>
      <w:r>
        <w:rPr>
          <w:rFonts w:hint="eastAsia" w:ascii="方正小标宋简体" w:hAnsi="宋体" w:eastAsia="方正小标宋简体"/>
          <w:sz w:val="24"/>
          <w:szCs w:val="24"/>
        </w:rPr>
        <w:t>编号：</w:t>
      </w:r>
      <w:r>
        <w:rPr>
          <w:rFonts w:hint="eastAsia" w:ascii="方正小标宋简体" w:hAnsi="宋体" w:eastAsia="方正小标宋简体"/>
          <w:sz w:val="24"/>
          <w:szCs w:val="24"/>
          <w:u w:val="thick"/>
        </w:rPr>
        <w:t xml:space="preserve">                  </w:t>
      </w:r>
    </w:p>
    <w:p>
      <w:pPr>
        <w:adjustRightInd w:val="0"/>
        <w:snapToGrid w:val="0"/>
        <w:spacing w:line="360" w:lineRule="auto"/>
        <w:jc w:val="left"/>
        <w:rPr>
          <w:rFonts w:hint="eastAsia" w:ascii="宋体" w:hAnsi="宋体"/>
          <w:sz w:val="20"/>
          <w:szCs w:val="20"/>
        </w:rPr>
      </w:pPr>
    </w:p>
    <w:p>
      <w:pPr>
        <w:adjustRightInd w:val="0"/>
        <w:snapToGrid w:val="0"/>
        <w:spacing w:line="360" w:lineRule="auto"/>
        <w:jc w:val="center"/>
        <w:rPr>
          <w:rFonts w:hint="eastAsia" w:ascii="方正小标宋简体" w:hAnsi="宋体" w:eastAsia="方正小标宋简体" w:cs="Times New Roman"/>
          <w:sz w:val="52"/>
          <w:szCs w:val="36"/>
        </w:rPr>
      </w:pPr>
      <w:r>
        <w:rPr>
          <w:rFonts w:hint="eastAsia" w:ascii="方正小标宋简体" w:hAnsi="宋体" w:eastAsia="方正小标宋简体" w:cs="Times New Roman"/>
          <w:bCs/>
          <w:sz w:val="52"/>
          <w:szCs w:val="36"/>
        </w:rPr>
        <w:t>设备采购合同</w:t>
      </w:r>
    </w:p>
    <w:p>
      <w:pPr>
        <w:adjustRightInd w:val="0"/>
        <w:snapToGrid w:val="0"/>
        <w:spacing w:line="360" w:lineRule="auto"/>
        <w:jc w:val="center"/>
        <w:rPr>
          <w:rFonts w:hint="eastAsia" w:ascii="宋体" w:hAnsi="宋体" w:eastAsia="宋体" w:cs="Times New Roman"/>
          <w:b/>
          <w:sz w:val="36"/>
          <w:szCs w:val="36"/>
        </w:rPr>
      </w:pPr>
      <w:r>
        <w:rPr>
          <w:rFonts w:hint="eastAsia" w:ascii="仿宋_GB2312" w:eastAsia="仿宋_GB2312" w:hAnsiTheme="minorEastAsia" w:cstheme="minorEastAsia"/>
          <w:sz w:val="24"/>
          <w:szCs w:val="24"/>
        </w:rPr>
        <w:t>（合同以双方最终签署的版本为准）</w:t>
      </w: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jc w:val="left"/>
        <w:rPr>
          <w:rFonts w:hint="eastAsia" w:ascii="宋体" w:hAnsi="宋体" w:eastAsia="宋体" w:cs="Times New Roman"/>
          <w:b/>
          <w:sz w:val="36"/>
          <w:szCs w:val="36"/>
        </w:rPr>
      </w:pP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甲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627" w:firstLineChars="6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 xml:space="preserve"> </w:t>
      </w:r>
    </w:p>
    <w:p>
      <w:pPr>
        <w:adjustRightInd w:val="0"/>
        <w:snapToGrid w:val="0"/>
        <w:spacing w:line="360" w:lineRule="auto"/>
        <w:ind w:firstLine="2107" w:firstLineChars="878"/>
        <w:jc w:val="left"/>
        <w:rPr>
          <w:rFonts w:hint="eastAsia" w:ascii="方正小标宋简体" w:hAnsi="宋体" w:eastAsia="方正小标宋简体" w:cs="Times New Roman"/>
          <w:sz w:val="24"/>
          <w:szCs w:val="24"/>
        </w:rPr>
      </w:pPr>
      <w:r>
        <w:rPr>
          <w:rFonts w:hint="eastAsia" w:ascii="方正小标宋简体" w:hAnsi="宋体" w:eastAsia="方正小标宋简体" w:cs="Times New Roman"/>
          <w:sz w:val="24"/>
          <w:szCs w:val="24"/>
        </w:rPr>
        <w:t>乙  方：</w:t>
      </w:r>
      <w:r>
        <w:rPr>
          <w:rFonts w:hint="eastAsia" w:ascii="方正小标宋简体" w:hAnsi="宋体" w:eastAsia="方正小标宋简体" w:cs="Times New Roman"/>
          <w:sz w:val="24"/>
          <w:szCs w:val="24"/>
          <w:u w:val="thick"/>
        </w:rPr>
        <w:t xml:space="preserve">                           </w:t>
      </w:r>
    </w:p>
    <w:p>
      <w:pPr>
        <w:adjustRightInd w:val="0"/>
        <w:snapToGrid w:val="0"/>
        <w:spacing w:line="360" w:lineRule="auto"/>
        <w:ind w:firstLine="1906" w:firstLineChars="678"/>
        <w:jc w:val="left"/>
        <w:rPr>
          <w:rFonts w:hint="eastAsia" w:ascii="宋体" w:hAnsi="宋体" w:eastAsia="宋体" w:cs="Times New Roman"/>
          <w:b/>
          <w:sz w:val="28"/>
          <w:szCs w:val="36"/>
        </w:rPr>
      </w:pPr>
    </w:p>
    <w:p>
      <w:pPr>
        <w:rPr>
          <w:rFonts w:ascii="Calibri" w:hAnsi="Calibri" w:eastAsia="宋体" w:cs="Times New Roman"/>
          <w:szCs w:val="21"/>
        </w:rPr>
      </w:pPr>
    </w:p>
    <w:p>
      <w:pPr>
        <w:spacing w:line="360" w:lineRule="auto"/>
        <w:ind w:right="480"/>
        <w:rPr>
          <w:rFonts w:hint="eastAsia" w:ascii="宋体" w:hAnsi="宋体" w:eastAsia="宋体" w:cs="宋体"/>
          <w:bCs/>
          <w:sz w:val="24"/>
          <w:szCs w:val="21"/>
          <w:u w:val="single"/>
        </w:rPr>
      </w:pPr>
      <w:r>
        <w:rPr>
          <w:rFonts w:hint="eastAsia" w:ascii="宋体" w:hAnsi="宋体" w:eastAsia="宋体" w:cs="宋体"/>
          <w:bCs/>
          <w:sz w:val="24"/>
          <w:szCs w:val="21"/>
        </w:rPr>
        <w:t xml:space="preserve">                                        </w:t>
      </w:r>
    </w:p>
    <w:p>
      <w:pPr>
        <w:spacing w:line="360" w:lineRule="auto"/>
        <w:rPr>
          <w:rFonts w:hint="eastAsia" w:ascii="宋体" w:hAnsi="宋体" w:cs="宋体"/>
          <w:bCs/>
          <w:sz w:val="22"/>
        </w:rPr>
        <w:sectPr>
          <w:headerReference r:id="rId12" w:type="default"/>
          <w:footerReference r:id="rId13" w:type="default"/>
          <w:pgSz w:w="11907" w:h="16840"/>
          <w:pgMar w:top="1304" w:right="1418" w:bottom="1304" w:left="1418" w:header="724" w:footer="851" w:gutter="0"/>
          <w:cols w:space="720" w:num="1"/>
          <w:docGrid w:linePitch="290" w:charSpace="-3931"/>
        </w:sectPr>
      </w:pPr>
    </w:p>
    <w:p>
      <w:pPr>
        <w:spacing w:line="360" w:lineRule="auto"/>
        <w:rPr>
          <w:rFonts w:hint="eastAsia" w:ascii="仿宋_GB2312" w:hAnsi="宋体" w:eastAsia="仿宋_GB2312" w:cs="宋体"/>
          <w:bCs/>
          <w:sz w:val="24"/>
          <w:szCs w:val="24"/>
        </w:rPr>
      </w:pPr>
      <w:r>
        <w:rPr>
          <w:rFonts w:hint="eastAsia" w:ascii="宋体" w:hAnsi="宋体" w:eastAsia="宋体" w:cs="宋体"/>
          <w:bCs/>
          <w:sz w:val="22"/>
        </w:rPr>
        <w:t xml:space="preserve"> </w:t>
      </w:r>
      <w:r>
        <w:rPr>
          <w:rFonts w:hint="eastAsia" w:ascii="仿宋_GB2312" w:hAnsi="宋体" w:eastAsia="仿宋_GB2312" w:cs="宋体"/>
          <w:bCs/>
          <w:sz w:val="24"/>
          <w:szCs w:val="24"/>
        </w:rPr>
        <w:t>甲方（买方）：</w:t>
      </w:r>
      <w:r>
        <w:rPr>
          <w:rFonts w:hint="eastAsia" w:ascii="仿宋_GB2312" w:hAnsi="宋体" w:eastAsia="仿宋_GB2312" w:cs="宋体"/>
          <w:b/>
          <w:bCs/>
          <w:sz w:val="24"/>
          <w:szCs w:val="24"/>
          <w:u w:val="single"/>
        </w:rPr>
        <w:t xml:space="preserve">            </w:t>
      </w:r>
      <w:r>
        <w:rPr>
          <w:rFonts w:hint="eastAsia" w:ascii="仿宋_GB2312" w:hAnsi="宋体" w:eastAsia="仿宋_GB2312" w:cs="宋体"/>
          <w:bCs/>
          <w:sz w:val="24"/>
          <w:szCs w:val="24"/>
        </w:rPr>
        <w:t xml:space="preserve">      </w:t>
      </w:r>
    </w:p>
    <w:p>
      <w:pPr>
        <w:spacing w:line="360" w:lineRule="auto"/>
        <w:rPr>
          <w:rFonts w:hint="eastAsia" w:ascii="仿宋_GB2312" w:hAnsi="宋体" w:eastAsia="仿宋_GB2312" w:cs="宋体"/>
          <w:bCs/>
          <w:sz w:val="24"/>
          <w:szCs w:val="24"/>
        </w:rPr>
      </w:pPr>
      <w:r>
        <w:rPr>
          <w:rFonts w:hint="eastAsia" w:ascii="仿宋_GB2312" w:hAnsi="宋体" w:eastAsia="仿宋_GB2312" w:cs="宋体"/>
          <w:bCs/>
          <w:sz w:val="24"/>
          <w:szCs w:val="24"/>
        </w:rPr>
        <w:t xml:space="preserve">    </w:t>
      </w:r>
    </w:p>
    <w:p>
      <w:pPr>
        <w:spacing w:line="360" w:lineRule="auto"/>
        <w:ind w:right="-189" w:rightChars="-90" w:firstLine="120" w:firstLineChars="50"/>
        <w:jc w:val="left"/>
        <w:rPr>
          <w:rFonts w:hint="eastAsia" w:ascii="仿宋_GB2312" w:hAnsi="宋体" w:eastAsia="仿宋_GB2312" w:cs="宋体"/>
          <w:b/>
          <w:bCs/>
          <w:sz w:val="24"/>
          <w:szCs w:val="24"/>
          <w:u w:val="single"/>
        </w:rPr>
      </w:pPr>
      <w:r>
        <w:rPr>
          <w:rFonts w:hint="eastAsia" w:ascii="仿宋_GB2312" w:hAnsi="宋体" w:eastAsia="仿宋_GB2312" w:cs="宋体"/>
          <w:bCs/>
          <w:sz w:val="24"/>
          <w:szCs w:val="24"/>
        </w:rPr>
        <w:t>乙方（卖方）：</w:t>
      </w:r>
      <w:r>
        <w:rPr>
          <w:rFonts w:hint="eastAsia" w:ascii="仿宋_GB2312" w:hAnsi="宋体" w:eastAsia="仿宋_GB2312" w:cs="宋体"/>
          <w:b/>
          <w:bCs/>
          <w:sz w:val="24"/>
          <w:szCs w:val="24"/>
          <w:u w:val="single"/>
        </w:rPr>
        <w:t xml:space="preserve">            </w:t>
      </w:r>
    </w:p>
    <w:p>
      <w:pPr>
        <w:spacing w:line="360" w:lineRule="auto"/>
        <w:ind w:right="-189" w:rightChars="-90"/>
        <w:jc w:val="left"/>
        <w:rPr>
          <w:rFonts w:hint="eastAsia" w:ascii="仿宋_GB2312" w:hAnsi="宋体" w:eastAsia="仿宋_GB2312" w:cs="宋体"/>
          <w:b/>
          <w:bCs/>
          <w:sz w:val="24"/>
          <w:szCs w:val="24"/>
          <w:u w:val="single"/>
        </w:rPr>
      </w:pPr>
    </w:p>
    <w:p>
      <w:pPr>
        <w:spacing w:line="360" w:lineRule="auto"/>
        <w:ind w:firstLine="480" w:firstLineChars="200"/>
        <w:rPr>
          <w:rFonts w:hint="eastAsia" w:ascii="仿宋_GB2312" w:hAnsi="宋体" w:eastAsia="仿宋_GB2312" w:cs="宋体"/>
          <w:sz w:val="24"/>
          <w:szCs w:val="24"/>
        </w:rPr>
      </w:pPr>
      <w:r>
        <w:rPr>
          <w:rFonts w:hint="eastAsia" w:ascii="仿宋_GB2312" w:hAnsi="宋体" w:eastAsia="仿宋_GB2312" w:cs="宋体"/>
          <w:sz w:val="24"/>
          <w:szCs w:val="24"/>
        </w:rPr>
        <w:t>本设备采购合同由甲乙双方于山东省济南市（</w:t>
      </w:r>
      <w:r>
        <w:rPr>
          <w:rFonts w:hint="eastAsia" w:ascii="仿宋_GB2312" w:hAnsi="等线" w:eastAsia="仿宋_GB2312" w:cs="等线"/>
          <w:i/>
          <w:iCs/>
          <w:sz w:val="24"/>
          <w:szCs w:val="21"/>
          <w:u w:val="single"/>
        </w:rPr>
        <w:t>可根据实际情况调整为甲方/买方所在地</w:t>
      </w:r>
      <w:r>
        <w:rPr>
          <w:rFonts w:hint="eastAsia" w:ascii="仿宋_GB2312" w:hAnsi="宋体" w:eastAsia="仿宋_GB2312" w:cs="宋体"/>
          <w:sz w:val="24"/>
          <w:szCs w:val="24"/>
        </w:rPr>
        <w:t>）签订：</w:t>
      </w:r>
    </w:p>
    <w:p>
      <w:pPr>
        <w:spacing w:line="360" w:lineRule="auto"/>
        <w:ind w:right="-189" w:rightChars="-90" w:firstLine="480" w:firstLineChars="200"/>
        <w:jc w:val="left"/>
        <w:rPr>
          <w:rFonts w:hint="eastAsia" w:ascii="仿宋_GB2312" w:hAnsi="宋体" w:eastAsia="仿宋_GB2312" w:cs="宋体"/>
          <w:sz w:val="24"/>
          <w:szCs w:val="24"/>
        </w:rPr>
      </w:pPr>
      <w:r>
        <w:rPr>
          <w:rFonts w:hint="eastAsia" w:ascii="仿宋_GB2312" w:hAnsi="宋体" w:eastAsia="仿宋_GB2312" w:cs="宋体"/>
          <w:sz w:val="24"/>
          <w:szCs w:val="24"/>
        </w:rPr>
        <w:t>鉴于，买方向卖方购买</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项目</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设备</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台（套），就该设备的设计、制造、运输、定点卸货、安装（或指导安装）、调试、验收、培训及售后服务等有关问题，以上所列内容经买卖双方协商自愿达成本合同：</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 合同设备</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1.1买方向卖方购买的设备信息见附件一：《设备清单明细表》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1.2技术规格和标准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1.2.1本合同约定设备的技术规格详见附件二《技术协议书》。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1.2.2本合同约定设备的技术规格应与《技术协议书》中规定的相应标准一致。若《技术协议书》无相应规定或未签署《技术协议书》，设备的技术规格则应符合相应的国家标准、其原产地国家有关部门最新颁布的相应正式标准、买方招标文件及卖方一切书面承诺中要求的技术标准。</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1.3在设备所有权转移到买方之前，有关设备的保险由卖方负责办理并承担保险费用。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2 包装</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2.1设备的包装需采用国家标准，没有国家标准的采用行业标准，没有行业标准的应当按照通用的方式包装，没有通用方式的，应当采取足以保护设备的包装方式。这种包装应适于长途运输，并有良好的防潮、防锈和防野蛮装卸等保护措施，以确保设备在运输过程中不受损伤安全抵运现场。卖方应承担由于其包装、防护不妥而引起的设备锈蚀、损坏、丢失等任何损失的责任和费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2.2每件包装应附有详细的装箱单和质量证书各两套，一套在包装箱里，一套在包装箱外。</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3 运输标记</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3.1卖方应在每一包装箱邻近的四个侧面用不易褪色的油漆以醒目的中文印刷字体标明以下各项：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3.1.1收货人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3.1.2合同号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3.1.3发货标记（唛头）</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3.1.4设备的名称、品目号、箱号</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3.1.5毛重/净重（公斤）</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3.1.6尺寸（长×宽×高，以厘米计）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3.2根据设备的特点和运输的不同要求，卖方应在每件包装箱的两侧以国内贸易相宜的运输标志标明“重心”和“吊装点”，并以清晰的字样在包装箱上注明“小心轻放”、“勿倒置”、“防潮”等适当的标志，以方便装卸和搬运。</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4 检验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4.1卖方在发货之前，对设备有关外观、质量、规格、性能、数量和重量进行准确的和全面的检验，并出具其设备符合本合同规定的质量保证书，但不应将其视为是对设备质量、规格、性能、数量或重量的最终定论。质量保证书应附有写明制造商检验的细节、结果的说明。设备到货并安装调试正常运行后，买方按照《技术协议书》和相关标准进行检验，检验合格后，买方签署最终验收报告。</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4.2国家强制检验检测的设备，需要经过国家有关部门进行检验检测，卖方保证提供的设备通过其检验并承担费用。</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5 权利担保</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5.1卖方所交付的设备，必须是第三方不能提出任何权利或要求的设备，卖方应担保设备不存在订立本合同时不为买方所知的第三方的权利（包括但不限于抵押权、留置权等）或行政、司法查封。</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5.2卖方应保证第三方对其提交的设备不得以侵权或其他类似理由提出合法要求，如侵犯知识产权等。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5.3任何第三方如果提出侵权指控，卖方应与第三方交涉，并承担由此引起的一切法律责任和费用以及给买方所造成的损失。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5.4买方应在已知道第三方的权利或要求后的一段合理时间内，将此权利或要求的性质通知卖方。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5.5如卖方需要根据买方提供的技术协议书或图纸进行生产并供货的，根据该技术协议书或图纸所知悉、掌握或改进的任何技术、信息（包括但不限于商标、专利、产品外观或产品生产制造的过程、方法、技术）所涉及的全部知识产权（包括但不限于所有权、使用权、申请权、许可权等）均归买方、买方母公司或母公司其他关联方所有。</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6 交货</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6.1卖方应在本合同规定的到货时间前传真、邮件等给买方详细交货清单，包括合同号、设备名称、规格、数量、总毛重、总体积（立方米）和每一包装箱的尺寸（长×宽×高）、单价和总价、备妥待运日期，以及设备在运输和仓储中的特殊要求和注意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6.2卖方应在设备装运完成后当天以传真、邮件等的形式通知买方合同号、设备名称、数量、毛重、体积（立方米）、发票金额、启运日期、预计到达日期。</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6.3技术资料：签订本合同后，卖方应按买方要求免费提供给买方包括但不限于：设备总装图、安装尺寸图、设备基础图、操作手册、使用说明、维修指南、服务手册等买方所需要的、与执行本合同有关的各类资料，如上述资料未按买方要求交付的，买方有权拒绝对合同设备验收（包括预验收和最终验收），并且卖方应赔偿因此给买方造成的一切损失。</w:t>
      </w:r>
    </w:p>
    <w:p>
      <w:pPr>
        <w:spacing w:line="360" w:lineRule="auto"/>
        <w:ind w:firstLine="453" w:firstLineChars="189"/>
        <w:rPr>
          <w:rFonts w:hint="eastAsia" w:ascii="仿宋_GB2312" w:hAnsi="宋体" w:eastAsia="仿宋_GB2312" w:cs="宋体"/>
          <w:i/>
          <w:iCs/>
          <w:sz w:val="24"/>
          <w:szCs w:val="24"/>
          <w:u w:val="double"/>
        </w:rPr>
      </w:pPr>
      <w:r>
        <w:rPr>
          <w:rFonts w:hint="eastAsia" w:ascii="仿宋_GB2312" w:hAnsi="宋体" w:eastAsia="仿宋_GB2312" w:cs="宋体"/>
          <w:sz w:val="24"/>
          <w:szCs w:val="24"/>
        </w:rPr>
        <w:t>6.4交货方式</w:t>
      </w:r>
      <w:r>
        <w:rPr>
          <w:rFonts w:hint="eastAsia" w:ascii="仿宋_GB2312" w:hAnsi="宋体" w:eastAsia="仿宋_GB2312" w:cs="宋体"/>
          <w:bCs/>
          <w:sz w:val="24"/>
          <w:szCs w:val="24"/>
        </w:rPr>
        <w:t>：</w:t>
      </w:r>
      <w:r>
        <w:rPr>
          <w:rFonts w:hint="eastAsia" w:ascii="仿宋_GB2312" w:hAnsi="宋体" w:eastAsia="仿宋_GB2312" w:cs="宋体"/>
          <w:bCs/>
          <w:sz w:val="24"/>
          <w:szCs w:val="24"/>
          <w:u w:val="single"/>
        </w:rPr>
        <w:t xml:space="preserve">        </w:t>
      </w:r>
      <w:r>
        <w:rPr>
          <w:rFonts w:hint="eastAsia" w:ascii="仿宋_GB2312" w:hAnsi="宋体" w:eastAsia="仿宋_GB2312" w:cs="宋体"/>
          <w:iCs/>
          <w:sz w:val="24"/>
          <w:szCs w:val="24"/>
          <w:u w:val="single"/>
        </w:rPr>
        <w:t>（可选择6.4.1-6.4.3定义的方式或根据实际约定）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6.4.1交钥匙方式：卖方负责合同设备的设计、制造、运输、定点卸货、安装、调试、培训及售后服务等所有内容，直至买方验收合格并交付使用。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6.4.2指定地点交货：卖方依照合同约定将合同设备卸载至约定地点，经买方根据合同所约定的数量、型号及配置等内容逐一确认无误后，双方完成交付手续，同时卖方应指导协助买方进行安装调试等工作。</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6.4.3自提：买方依照合同约定到卖方所在地提取合同设备，经买方根据合同所约定的数量、型号及配置等内容逐一确认无误后，双方完成交付手续。</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6.5交货地点：</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6.6到货时间：</w:t>
      </w:r>
      <w:r>
        <w:rPr>
          <w:rFonts w:hint="eastAsia" w:ascii="仿宋_GB2312" w:hAnsi="宋体" w:eastAsia="仿宋_GB2312" w:cs="宋体"/>
          <w:sz w:val="24"/>
          <w:szCs w:val="24"/>
          <w:u w:val="single"/>
        </w:rPr>
        <w:t>20  年  月   日前</w:t>
      </w:r>
      <w:r>
        <w:rPr>
          <w:rFonts w:hint="eastAsia" w:ascii="仿宋_GB2312" w:hAnsi="宋体" w:eastAsia="仿宋_GB2312" w:cs="宋体"/>
          <w:sz w:val="24"/>
          <w:szCs w:val="24"/>
        </w:rPr>
        <w:t xml:space="preserve">         </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6.7到货后，买卖双方代表办理移交手续，此时的移交不代表卖方合同设备所有权的转移，合同设备的保管责任仍然由卖方承担。移交内容包括：合同设备、硬件、软件、图纸、资料、质量证明文件等。</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6.8卖方在交付设备前需通知买方。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6.9风险的转移：</w:t>
      </w:r>
    </w:p>
    <w:p>
      <w:pPr>
        <w:spacing w:line="360" w:lineRule="auto"/>
        <w:ind w:firstLine="453" w:firstLineChars="189"/>
        <w:rPr>
          <w:rFonts w:hint="eastAsia" w:ascii="宋体" w:hAnsi="宋体" w:eastAsia="宋体" w:cs="宋体"/>
          <w:sz w:val="20"/>
          <w:szCs w:val="20"/>
        </w:rPr>
      </w:pPr>
      <w:r>
        <w:rPr>
          <w:rFonts w:hint="eastAsia" w:ascii="仿宋_GB2312" w:hAnsi="宋体" w:eastAsia="仿宋_GB2312" w:cs="宋体"/>
          <w:sz w:val="24"/>
          <w:szCs w:val="24"/>
        </w:rPr>
        <w:t>设备最终验收合格后，设备所有权由卖方转移至买方。如果在对该设备进行最终验收之前，卖方被解散、破产、收购等，其接收方应无条件承担该合同的所有责任和义务，且卖方应自出现上述事项之日起一个月内书面通知买方，如买方没有在一个月内收到明确责任义务的书面通知，则该设备所有权自动由卖方转移至买方，余款作为该设备的后续质量维护费用，买方无须再支付给卖方。在设备所有权转移之前，设备毁损、灭失等风险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7 安装、调试</w:t>
      </w:r>
    </w:p>
    <w:p>
      <w:pPr>
        <w:spacing w:after="200" w:line="360" w:lineRule="auto"/>
        <w:ind w:firstLine="453" w:firstLineChars="189"/>
        <w:jc w:val="left"/>
        <w:rPr>
          <w:rFonts w:hint="eastAsia" w:ascii="仿宋_GB2312" w:hAnsi="黑体" w:eastAsia="仿宋_GB2312" w:cs="宋体"/>
          <w:kern w:val="0"/>
          <w:sz w:val="24"/>
          <w:szCs w:val="24"/>
        </w:rPr>
      </w:pPr>
      <w:r>
        <w:rPr>
          <w:rFonts w:hint="eastAsia" w:ascii="仿宋_GB2312" w:hAnsi="黑体" w:eastAsia="仿宋_GB2312" w:cs="宋体"/>
          <w:kern w:val="0"/>
          <w:sz w:val="24"/>
          <w:szCs w:val="24"/>
        </w:rPr>
        <w:t>7.1 卖方须在到货后</w:t>
      </w:r>
      <w:r>
        <w:rPr>
          <w:rFonts w:hint="eastAsia" w:ascii="仿宋_GB2312" w:hAnsi="黑体" w:eastAsia="仿宋_GB2312" w:cs="宋体"/>
          <w:kern w:val="0"/>
          <w:sz w:val="24"/>
          <w:szCs w:val="24"/>
          <w:u w:val="single"/>
        </w:rPr>
        <w:t xml:space="preserve">    </w:t>
      </w:r>
      <w:r>
        <w:rPr>
          <w:rFonts w:hint="eastAsia" w:ascii="仿宋_GB2312" w:hAnsi="黑体" w:eastAsia="仿宋_GB2312" w:cs="宋体"/>
          <w:kern w:val="0"/>
          <w:sz w:val="24"/>
          <w:szCs w:val="24"/>
        </w:rPr>
        <w:t>日内安装调试完成。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7.2卖方应自带用以安装、调试过程中所需的各种工具、仪器、仪表及易损件。在安装、调试过程中，卖方应自负其工作人员的食宿、交通等费用。</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7.3在安装、调试过程中，安装场地及施工人员安全，由卖方负责。由于安装、调试等原因造成买方或他人人身损害或财产损失的，由卖方承担赔偿责任。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7.4</w:t>
      </w:r>
      <w:r>
        <w:rPr>
          <w:rFonts w:hint="eastAsia" w:ascii="仿宋_GB2312" w:hAnsi="黑体" w:eastAsia="仿宋_GB2312" w:cs="宋体"/>
          <w:bCs/>
          <w:sz w:val="24"/>
          <w:szCs w:val="24"/>
        </w:rPr>
        <w:t xml:space="preserve"> </w:t>
      </w:r>
      <w:r>
        <w:rPr>
          <w:rFonts w:hint="eastAsia" w:ascii="仿宋_GB2312" w:hAnsi="黑体" w:eastAsia="仿宋_GB2312" w:cs="宋体"/>
          <w:sz w:val="24"/>
          <w:szCs w:val="24"/>
        </w:rPr>
        <w:t>卖方须对安装、调试过程中造成的买方或他人人身损害或财产损失承担赔偿责任。</w:t>
      </w:r>
    </w:p>
    <w:p>
      <w:pPr>
        <w:spacing w:line="360" w:lineRule="auto"/>
        <w:ind w:firstLine="453" w:firstLineChars="189"/>
        <w:rPr>
          <w:rFonts w:hint="eastAsia" w:ascii="仿宋_GB2312" w:hAnsi="黑体" w:eastAsia="仿宋_GB2312" w:cs="宋体"/>
          <w:sz w:val="24"/>
          <w:szCs w:val="24"/>
        </w:rPr>
      </w:pPr>
      <w:r>
        <w:rPr>
          <w:rFonts w:ascii="仿宋_GB2312" w:hAnsi="黑体" w:eastAsia="仿宋_GB2312" w:cs="宋体"/>
          <w:sz w:val="24"/>
          <w:szCs w:val="24"/>
        </w:rPr>
        <w:t>7.5 若设备安装、调试过程中需使用买方产品的，买方提供调试所用产品数量【】件，超出此数量部分由卖方提供，由此产生的相关费用由卖方承担。</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8 价款与支付</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8.1本合同不含税总价为人民币</w:t>
      </w:r>
      <w:r>
        <w:rPr>
          <w:rFonts w:hint="eastAsia" w:ascii="仿宋_GB2312" w:hAnsi="Calibri" w:eastAsia="仿宋_GB2312" w:cs="Calibri"/>
          <w:sz w:val="24"/>
          <w:szCs w:val="24"/>
        </w:rPr>
        <w:t>¥</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），增值税税率</w:t>
      </w:r>
      <w:r>
        <w:rPr>
          <w:rFonts w:ascii="仿宋_GB2312" w:hAnsi="黑体" w:eastAsia="仿宋_GB2312" w:cs="宋体"/>
          <w:sz w:val="24"/>
          <w:szCs w:val="24"/>
          <w:u w:val="single"/>
        </w:rPr>
        <w:t xml:space="preserve">    </w:t>
      </w:r>
      <w:r>
        <w:rPr>
          <w:rFonts w:hint="eastAsia" w:ascii="仿宋_GB2312" w:hAnsi="黑体" w:eastAsia="仿宋_GB2312" w:cs="宋体"/>
          <w:sz w:val="24"/>
          <w:szCs w:val="24"/>
          <w:u w:val="single"/>
        </w:rPr>
        <w:t>【】</w:t>
      </w:r>
      <w:r>
        <w:rPr>
          <w:rFonts w:hint="eastAsia" w:ascii="仿宋_GB2312" w:hAnsi="黑体" w:eastAsia="仿宋_GB2312" w:cs="宋体"/>
          <w:sz w:val="24"/>
          <w:szCs w:val="24"/>
        </w:rPr>
        <w:t>%，税额</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元，含税总价</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元人民币（大写：</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），如国家出台新政策对增值税率进行了调整，则不含税价款不变，本合同含税总价在不含税价基础上根据国家最新税法进行相应的调整。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含税总价包括但不限于全部（全新）产品价、备品备件价、专用工具价、运杂费（包括现场卸车费）、设计、制造、安装（或指导安装）、调试、验收、培训、技术及售后服务费、技术资料费等所有费用的总和。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8.2合同价款的结算方式：半年期商业汇票（包括银行承兑汇票和商业承兑汇票）（如有其它方式可据实填写）</w:t>
      </w:r>
      <w:r>
        <w:rPr>
          <w:rFonts w:ascii="仿宋_GB2312" w:hAnsi="黑体" w:eastAsia="仿宋_GB2312" w:cs="宋体"/>
          <w:sz w:val="24"/>
          <w:szCs w:val="24"/>
        </w:rPr>
        <w:t xml:space="preserve">  </w:t>
      </w:r>
      <w:r>
        <w:rPr>
          <w:rFonts w:hint="eastAsia" w:ascii="仿宋_GB2312" w:hAnsi="黑体" w:eastAsia="仿宋_GB2312" w:cs="宋体"/>
          <w:sz w:val="24"/>
          <w:szCs w:val="24"/>
        </w:rPr>
        <w:t xml:space="preserve">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8.3合同价款的支付：（如有不同付款比例，则按照招标文件约定据实填写）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8.3.1合同生效设备全部到齐无质量问题后, 卖方提交金额为合同含税价款60 %的收据（正本一份，复印件二份），经买方依照财务制度审核无误后【】日后支付。</w:t>
      </w:r>
      <w:r>
        <w:rPr>
          <w:rFonts w:hint="eastAsia" w:ascii="仿宋_GB2312" w:hAnsi="黑体" w:eastAsia="仿宋_GB2312" w:cs="宋体"/>
          <w:i/>
          <w:sz w:val="24"/>
          <w:szCs w:val="24"/>
        </w:rPr>
        <w:t>【按照实际业务的</w:t>
      </w:r>
      <w:r>
        <w:rPr>
          <w:rFonts w:ascii="仿宋_GB2312" w:hAnsi="黑体" w:eastAsia="仿宋_GB2312" w:cs="宋体"/>
          <w:i/>
          <w:sz w:val="24"/>
          <w:szCs w:val="24"/>
        </w:rPr>
        <w:t>SAP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8.3.2设备全部到齐无质量问题，经安装、调试最终验收合格后，卖方提交金额为合同含税价款30 %的收据及合同全额增值税专用发票（税率为</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%，正本一份，复印件二份）并附带该套合同设备最终验收报告的原件及其复印件两份，经买方依照财务制度审核无误后【】日后支付：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p>
    <w:p>
      <w:pPr>
        <w:spacing w:line="360" w:lineRule="auto"/>
        <w:ind w:firstLine="453" w:firstLineChars="189"/>
        <w:rPr>
          <w:rFonts w:hint="eastAsia" w:ascii="仿宋_GB2312" w:hAnsi="黑体" w:eastAsia="仿宋_GB2312" w:cs="宋体"/>
          <w:i/>
          <w:sz w:val="24"/>
          <w:szCs w:val="24"/>
        </w:rPr>
      </w:pPr>
      <w:r>
        <w:rPr>
          <w:rFonts w:hint="eastAsia" w:ascii="仿宋_GB2312" w:hAnsi="黑体" w:eastAsia="仿宋_GB2312" w:cs="宋体"/>
          <w:sz w:val="24"/>
          <w:szCs w:val="24"/>
        </w:rPr>
        <w:t>8.3.3合同含税总价款的 10 %作为本合同约定设备的质量保证金，质量保证金在质量保证期内不计利息。待每套合同设备质量保证期满后，卖方向买方提交金额为合同价款10%的收据（正本一份，复印件二份）及设备使用单位的使用情况说明，经买方依照财务制度审核无误后【】日后支付。</w:t>
      </w:r>
      <w:r>
        <w:rPr>
          <w:rFonts w:hint="eastAsia" w:ascii="仿宋_GB2312" w:hAnsi="黑体" w:eastAsia="仿宋_GB2312" w:cs="宋体"/>
          <w:i/>
          <w:sz w:val="24"/>
          <w:szCs w:val="24"/>
        </w:rPr>
        <w:t>【按照实际业务的S</w:t>
      </w:r>
      <w:r>
        <w:rPr>
          <w:rFonts w:ascii="仿宋_GB2312" w:hAnsi="黑体" w:eastAsia="仿宋_GB2312" w:cs="宋体"/>
          <w:i/>
          <w:sz w:val="24"/>
          <w:szCs w:val="24"/>
        </w:rPr>
        <w:t>AP</w:t>
      </w:r>
      <w:r>
        <w:rPr>
          <w:rFonts w:hint="eastAsia" w:ascii="仿宋_GB2312" w:hAnsi="黑体" w:eastAsia="仿宋_GB2312" w:cs="宋体"/>
          <w:i/>
          <w:sz w:val="24"/>
          <w:szCs w:val="24"/>
        </w:rPr>
        <w:t>付款条件填写】</w:t>
      </w:r>
      <w:r>
        <w:rPr>
          <w:rFonts w:hint="eastAsia" w:ascii="仿宋_GB2312" w:hAnsi="黑体" w:eastAsia="仿宋_GB2312" w:cs="宋体"/>
          <w:sz w:val="24"/>
          <w:szCs w:val="24"/>
        </w:rPr>
        <w:t>如有质量问题，质量保证金予以相应扣除。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9 质量保证及售后服务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9.1卖方保证其提供的合同设备是全新的、未使用的、未经改装的、包装完好的、原厂正品，采用最佳材料和一流工艺的，并在各个方面符合本合同规定的质量、规格和性能要求。卖方保证其合同设备经过正确安装、合理操作和维护保养，在合同设备寿命期内运转良好。</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9.2卖方承诺其提供的设备不存在任何产品缺陷，否则因卖方提供的设备存在产品缺陷而给买方造成的一切后果和损失由卖方承担。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9.3卖方承诺因其提供的设备存在瑕疵或产品缺陷而导致第三方向买方主张权利或提起诉讼的，卖方应积极配合买方进行解决或应诉，因此而发生的一切费用（包括但不限于诉讼费、仲裁费、律师费、交通费、通讯费、住宿费、餐饮费、调查取证费等）由卖方承担。</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9.4本合同约定设备的质量保证期：自最终验收报告签署之日（以签署日期最晚者为准）起</w:t>
      </w:r>
      <w:r>
        <w:rPr>
          <w:rFonts w:hint="eastAsia" w:ascii="仿宋_GB2312" w:hAnsi="黑体" w:eastAsia="仿宋_GB2312" w:cs="宋体"/>
          <w:sz w:val="24"/>
          <w:szCs w:val="24"/>
          <w:u w:val="single"/>
        </w:rPr>
        <w:t xml:space="preserve"> </w:t>
      </w:r>
      <w:r>
        <w:rPr>
          <w:rFonts w:ascii="仿宋_GB2312" w:hAnsi="黑体" w:eastAsia="仿宋_GB2312" w:cs="宋体"/>
          <w:sz w:val="24"/>
          <w:szCs w:val="24"/>
          <w:u w:val="single"/>
        </w:rPr>
        <w:t xml:space="preserve">   </w:t>
      </w:r>
      <w:r>
        <w:rPr>
          <w:rFonts w:hint="eastAsia" w:ascii="仿宋_GB2312" w:hAnsi="黑体" w:eastAsia="仿宋_GB2312" w:cs="宋体"/>
          <w:sz w:val="24"/>
          <w:szCs w:val="24"/>
        </w:rPr>
        <w:t>年。</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9.5合同约定的设备在质量保证期届满前，如有质量问题，卖方应在收到买方或设备使用单位通知后2小时内做出回复，如需到现场解决问题，卖方应派工作人员在24小时内到达设备使用现场，并按买方要求的时间免费修复、更换相关部件，将设备修复完成。</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9.6卖方负责在买方指定的地点免费为买方培训操作及维修人员，培训内容包括：基本原理、操作使用、安全操作注意事项以及维修保养等内容。</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9.7质量保证期满后，卖方保证向买方提供及时的、质优的、价格优惠的技术服务和备品备件供应。</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9.8质量保证期满后，如出现质量问题，卖方也应及时修复和更换，且只收取成本费，费用由买方承担，卖方对设备质量问题所负的责任直到设备使用寿命周期结束。</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10法定责任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10.1卖方需遵从国家有关的法律、法规，缴纳有关的法定费用和税项。若卖方未按期交纳法定费用、税项，则卖方须补偿买方由此造成的所有费用及损失。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10.2除非本合同中另有规定或买方同意，卖方不得全部或部分转让本合同项下的权利义务。</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10.3买卖双方同意在履行本合同期间双方之间交换、披露、传递或通信的所有工业和商业信息，任何附加文件或相关文件，应该被视为商业秘密，双方应该按照此处规定仅用于本合同的签订和履行。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10.4除对方预先书面同意外，任何一方在本合同签订和履行期间或本合同终止后不得向第三方披露在本合同履行过程中知悉的与对方有关的任何商业秘密。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11 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11.1卖方应承担提供的设备与本合同约定不符的一切责任，买方有权在检验、安装、调试、验收测试期限内、质量保证期内等任何时间提出索赔，买方有权按下述一种或多种方法要求卖方赔偿：</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11.1.1卖方同意买方拒收设备并把被与拒收设备等值的价款在买方要求的时间内以本合同规定的货币付给买方，卖方承担因此而发生的一切损失和费用，包括但不限于同期银行贷款利息、银行费用、运输和保险费、检验费、仓储和装卸费以及为保管和保护被拒绝设备所需要的其他必需的费用，并赔偿因此给买方造成的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11.1.2根据设备的瑕疵和受损程度以及买方遭受损失的金额，经买方同意降低设备价格。</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11.1.3更换有缺陷的零件、部件、设备或修理缺陷部分，以达到本合同规定的规格、质量和性能，卖方承担一切费用和风险并负担买方遭受的一切损失，同时卖方应相应延长被修理或更换设备的质量保证期。</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11.2如果买方就卖方的设备质量问题提出索赔通知后 10 日内卖方未能予以答复，该索赔视为已被卖方接受。若卖方未能在买方提出索赔通知后 10 日内或买方同意的更长一些的时间内，按买方同意的上述任何一种方式处理索赔事宜，买方将从货款中扣回索赔金额，同时保留进一步要求赔偿的权利。</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11.3如果卖方未能按期到货，卖方应向买方支付违约金，</w:t>
      </w:r>
      <w:r>
        <w:rPr>
          <w:rFonts w:hint="eastAsia" w:ascii="仿宋_GB2312" w:hAnsi="黑体" w:eastAsia="仿宋_GB2312" w:cstheme="minorEastAsia"/>
          <w:sz w:val="24"/>
          <w:szCs w:val="24"/>
        </w:rPr>
        <w:t>违约金比率为每迟交壹日，按合同总价的10‰计算，但是违约金的金额不得超过合同总价款的 20 %，如果卖方在达到违约金的最高限额后仍不能交货，</w:t>
      </w:r>
      <w:r>
        <w:rPr>
          <w:rFonts w:hint="eastAsia" w:ascii="仿宋_GB2312" w:hAnsi="黑体" w:eastAsia="仿宋_GB2312" w:cs="宋体"/>
          <w:sz w:val="24"/>
          <w:szCs w:val="24"/>
        </w:rPr>
        <w:t>买方有权就卖方违约而随时解除本合同，且卖方仍须支付上述违约金，并赔偿由此给买方造成的一切损失。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11.4如卖方未按7.1条履行义务，</w:t>
      </w:r>
      <w:r>
        <w:rPr>
          <w:rFonts w:hint="eastAsia" w:ascii="仿宋_GB2312" w:hAnsi="黑体" w:eastAsia="仿宋_GB2312" w:cstheme="minorEastAsia"/>
          <w:sz w:val="24"/>
          <w:szCs w:val="24"/>
        </w:rPr>
        <w:t>从逾期之日起卖方每天按合同总价款的 10 ‰支付给买方作违约金，但是违约金的金额不得超过合同总价的 20 %。如果卖方在达到违约金的最高限额或者不能使设备通过最终验收，</w:t>
      </w:r>
      <w:r>
        <w:rPr>
          <w:rFonts w:hint="eastAsia" w:ascii="仿宋_GB2312" w:hAnsi="黑体" w:eastAsia="仿宋_GB2312" w:cs="宋体"/>
          <w:sz w:val="24"/>
          <w:szCs w:val="24"/>
        </w:rPr>
        <w:t>买方有权就卖方违约而随时解除本合同，且卖方仍须支付上述违约金，并返还买方支付的设备款，并赔偿由此给买方造成的一切损失。</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11.5买方延期付款时（有正当拒付理由者除外），</w:t>
      </w:r>
      <w:r>
        <w:rPr>
          <w:rFonts w:hint="eastAsia" w:ascii="仿宋_GB2312" w:hAnsi="黑体" w:eastAsia="仿宋_GB2312" w:cstheme="minorEastAsia"/>
          <w:sz w:val="24"/>
          <w:szCs w:val="24"/>
        </w:rPr>
        <w:t>每日按延付金额的 3 ‰向卖方偿付延期付款违约金，</w:t>
      </w:r>
      <w:r>
        <w:rPr>
          <w:rFonts w:hint="eastAsia" w:ascii="仿宋_GB2312" w:hAnsi="黑体" w:eastAsia="仿宋_GB2312" w:cs="宋体"/>
          <w:sz w:val="24"/>
          <w:szCs w:val="24"/>
        </w:rPr>
        <w:t>但违约金总额不超过延付金额的 50 ‰。</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11.6如卖方违反9.5条，则买方有权视情况扣除部分或全部质量保证金作为卖方的违约金，并且卖方应赔偿因此给买方造成的一切损失。卖方不能及时到现场履行质量维修义务，每延迟一天应承担合同价款20</w:t>
      </w:r>
      <w:r>
        <w:rPr>
          <w:rFonts w:ascii="仿宋_GB2312" w:hAnsi="黑体" w:eastAsia="仿宋_GB2312" w:cs="宋体"/>
          <w:sz w:val="24"/>
          <w:szCs w:val="24"/>
        </w:rPr>
        <w:t xml:space="preserve"> </w:t>
      </w:r>
      <w:r>
        <w:rPr>
          <w:rFonts w:hint="eastAsia" w:ascii="仿宋_GB2312" w:hAnsi="黑体" w:eastAsia="仿宋_GB2312" w:cs="宋体"/>
          <w:sz w:val="24"/>
          <w:szCs w:val="24"/>
        </w:rPr>
        <w:t>‰的违约金（合同额不足10万元按照2000元/天计取），且不免除维修的责任。违约金在质保金中扣除。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w:t>
      </w:r>
      <w:r>
        <w:rPr>
          <w:rFonts w:ascii="仿宋_GB2312" w:hAnsi="黑体" w:eastAsia="仿宋_GB2312" w:cs="宋体"/>
          <w:sz w:val="24"/>
          <w:szCs w:val="24"/>
        </w:rPr>
        <w:t>1.7</w:t>
      </w:r>
      <w:r>
        <w:rPr>
          <w:rFonts w:hint="eastAsia" w:ascii="仿宋_GB2312" w:hAnsi="黑体" w:eastAsia="仿宋_GB2312" w:cs="宋体"/>
          <w:sz w:val="24"/>
          <w:szCs w:val="24"/>
        </w:rPr>
        <w:t>因发票违规给买方造成的增值税、所得税等损失，由卖方承担相关责任，包括但不限于税款、滞纳金、罚款及其它相关损失。</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11.</w:t>
      </w:r>
      <w:r>
        <w:rPr>
          <w:rFonts w:ascii="仿宋_GB2312" w:hAnsi="黑体" w:eastAsia="仿宋_GB2312" w:cs="宋体"/>
          <w:sz w:val="24"/>
          <w:szCs w:val="24"/>
        </w:rPr>
        <w:t>8</w:t>
      </w:r>
      <w:r>
        <w:rPr>
          <w:rFonts w:hint="eastAsia" w:ascii="仿宋_GB2312" w:hAnsi="黑体" w:eastAsia="仿宋_GB2312" w:cs="宋体"/>
          <w:sz w:val="24"/>
          <w:szCs w:val="24"/>
        </w:rPr>
        <w:t>如果卖方违反本合同其他约定（包括本合同及所有附件）应赔偿因此给买方造成的一切损失。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12 合同的终止与解除</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12.1本合同订立后，卖方由于履行义务的能力或信用有严重缺陷，买方可以终止履行本合同，要求卖方返还已支付的款项并不承担违约责任。</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12.2经双方协商一致，可以解除本合同。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12.3有下列情形之一的，买方可以解除本合同：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12.3.1卖方明确表示或者以自己的行为表明不履行主要义务的；</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12.3.2按照本合同第11.3条或第11.4条的规定，达到违约金的最高限额；</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12.3.3卖方所提交的设备不符合本合同的规定；</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12.3.4卖方有其他违约行为。</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12.4卖方分批交付设备的，卖方对其中一批设备不交付或者交付不符合约定，致使该批设备不能实现本合同目的的，买方可以就该批设备解除合同。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12.5卖方不交付其中一批设备或者交付不符合约定，致使今后其他各批设备的交付不能实现本合同目的的，买方可以就该批以及今后其他各批设备解除合同。</w:t>
      </w:r>
    </w:p>
    <w:p>
      <w:pPr>
        <w:spacing w:line="360" w:lineRule="auto"/>
        <w:ind w:firstLine="453" w:firstLineChars="189"/>
        <w:rPr>
          <w:rFonts w:hint="eastAsia" w:ascii="仿宋_GB2312" w:hAnsi="黑体" w:eastAsia="仿宋_GB2312" w:cs="宋体"/>
          <w:sz w:val="24"/>
          <w:szCs w:val="24"/>
        </w:rPr>
      </w:pPr>
      <w:r>
        <w:rPr>
          <w:rFonts w:hint="eastAsia" w:ascii="仿宋_GB2312" w:hAnsi="黑体" w:eastAsia="仿宋_GB2312" w:cs="宋体"/>
          <w:sz w:val="24"/>
          <w:szCs w:val="24"/>
        </w:rPr>
        <w:t>12.6买方如果就其中一批设备解除合同，该批设备与其他各批设备相互依存的，可以就已经交付和未交付的各批设备解除合同。</w:t>
      </w:r>
    </w:p>
    <w:p>
      <w:pPr>
        <w:spacing w:line="360" w:lineRule="auto"/>
        <w:ind w:firstLine="453" w:firstLineChars="189"/>
        <w:rPr>
          <w:rFonts w:hint="eastAsia" w:ascii="宋体" w:hAnsi="宋体" w:eastAsia="宋体" w:cs="宋体"/>
          <w:sz w:val="20"/>
          <w:szCs w:val="20"/>
        </w:rPr>
      </w:pPr>
      <w:r>
        <w:rPr>
          <w:rFonts w:hint="eastAsia" w:ascii="仿宋_GB2312" w:hAnsi="黑体" w:eastAsia="仿宋_GB2312" w:cs="宋体"/>
          <w:sz w:val="24"/>
          <w:szCs w:val="24"/>
        </w:rPr>
        <w:t>12.7因为卖方违约导致买方解除合同的，卖方应赔偿买方因此所遭受的一切损失。</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13 不可抗力</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13.1如果本合同的任何一方因不可抗力导致履行本合同义务受阻，并且不可抗力的发生和后果无法阻止和不可避免，在受阻方有能力发出通知的前提下，受阻方应在知道或应当知道不可抗力发生后十五日内通知对方，并在此后提供事件详细信息和由相关政府部门出具的有效证明文件说明其不能履行或推迟履行本合同全部或部分内容的理由。</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13.2各方应该通过协商决定是否终止本合同，或推迟全部或部分本合同的履行或免除对方全部或部分相关履行义务。</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14 通讯</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14.1通讯地址：</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本合同下的任何通讯按照本合同双方提供的信息，以书信、传真、电子通讯方式或电话作出。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14.2.1书信。书信为送达时生效；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14.2.2传真。发送人取得成功传输的信息时生效；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14.2.3电子邮件。电子邮件于发送之时生效，前提是寄件者于该邮件发送后24小时内没有收到发送失败通知；</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14.2.4电话。电话于打出时生效，以电话作出的任何通讯必须以书信、传真或电子邮件确认，如果没有发送或者接收该确认不会使原有通讯失效。</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14.3书面法律证据。根据本合同以书信、传真或电子邮件方式送达任何订约方的任何通讯，将作为书面法律证据。</w:t>
      </w:r>
    </w:p>
    <w:p>
      <w:pPr>
        <w:tabs>
          <w:tab w:val="right" w:leader="dot" w:pos="9061"/>
        </w:tabs>
        <w:spacing w:before="312" w:beforeLines="100" w:line="360" w:lineRule="auto"/>
        <w:ind w:left="420"/>
        <w:outlineLvl w:val="1"/>
        <w:rPr>
          <w:rFonts w:hint="eastAsia" w:ascii="黑体" w:hAnsi="黑体" w:eastAsia="黑体" w:cs="宋体"/>
          <w:iCs/>
          <w:sz w:val="28"/>
          <w:szCs w:val="28"/>
        </w:rPr>
      </w:pPr>
      <w:r>
        <w:rPr>
          <w:rFonts w:hint="eastAsia" w:ascii="黑体" w:hAnsi="黑体" w:eastAsia="黑体" w:cs="宋体"/>
          <w:iCs/>
          <w:sz w:val="28"/>
          <w:szCs w:val="28"/>
        </w:rPr>
        <w:t>15 适用法律及争议解决</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15.1本合同条款的效力和解释适用中华人民共和国法律。</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15.2双方同意将本着诚信的态度协商解决本合同履行过程中产生的任何争议。如果争议事项不能通过双方协商解决，本合同双方同意采用向买方所在地人民法院提起诉讼的方式解决。</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16 附件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本合同及其附件构成双方关于本合同标的之全部协议，包括但不限于下列文件：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16.1技术协议书；</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16.2合同设备一览表；</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16.3卖方中标的设备投标书以及一切书面承诺；</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16.4招标文件。</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上述附件内容与本合同约定有冲突的，以本合同约定为准。</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17 其他规定</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17.1本合同及其附件构成了双方就本合同所含交易而达成的全部合同，并取代双方先前与该等交易有关的全部口头和书面合同。</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17.2如果本合同的任何条款和条件在任何时间成为非法、无效或不可强制执行的，则其他条款不应受其影响。</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17.3除非另有规定，一方未行使或迟延行使本合同项下的权利、权力或特权并不构成放弃这些权利、权力和特权，而单一或部分行使这些权利、权力和特权并不排斥行使任何其他权利、权力和特权。</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17.4监造，在合同设备的制造过程中，买方有权派出代表对合同设备制造过程中的关键工序进行质量监督，卖方有配合买方监造的义务。</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17.5非因买方原因，卖方不能向其分包商或外购材料设备供货商及时付款等原因造成了分包商或外购材料设备供货商对买方发生了围堵上访、法律诉讼等不利的影响，卖方须承担违约责任及对买方造成的一切损失，同时买方有权直接向分包商或其外购材料设备供货商直接付款，该笔款项将直接从卖方的合同款项中扣除。</w:t>
      </w:r>
    </w:p>
    <w:p>
      <w:pPr>
        <w:tabs>
          <w:tab w:val="right" w:leader="dot" w:pos="9061"/>
        </w:tabs>
        <w:spacing w:before="312" w:beforeLines="100" w:line="360" w:lineRule="auto"/>
        <w:ind w:firstLine="529" w:firstLineChars="189"/>
        <w:outlineLvl w:val="1"/>
        <w:rPr>
          <w:rFonts w:hint="eastAsia" w:ascii="黑体" w:hAnsi="黑体" w:eastAsia="黑体" w:cs="宋体"/>
          <w:iCs/>
          <w:sz w:val="28"/>
          <w:szCs w:val="28"/>
        </w:rPr>
      </w:pPr>
      <w:r>
        <w:rPr>
          <w:rFonts w:hint="eastAsia" w:ascii="黑体" w:hAnsi="黑体" w:eastAsia="黑体" w:cs="宋体"/>
          <w:iCs/>
          <w:sz w:val="28"/>
          <w:szCs w:val="28"/>
        </w:rPr>
        <w:t>18 签署事项</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本合同一式</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份，买方持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份，卖方持</w:t>
      </w:r>
      <w:r>
        <w:rPr>
          <w:rFonts w:hint="eastAsia" w:ascii="仿宋_GB2312" w:hAnsi="宋体" w:eastAsia="仿宋_GB2312" w:cs="宋体"/>
          <w:sz w:val="24"/>
          <w:szCs w:val="24"/>
          <w:u w:val="single"/>
        </w:rPr>
        <w:t xml:space="preserve">   </w:t>
      </w:r>
      <w:r>
        <w:rPr>
          <w:rFonts w:hint="eastAsia" w:ascii="仿宋_GB2312" w:hAnsi="宋体" w:eastAsia="仿宋_GB2312" w:cs="宋体"/>
          <w:sz w:val="24"/>
          <w:szCs w:val="24"/>
        </w:rPr>
        <w:t>份；本合同经双方签署后生效。</w:t>
      </w:r>
    </w:p>
    <w:p>
      <w:pPr>
        <w:spacing w:line="360" w:lineRule="auto"/>
        <w:ind w:firstLine="455" w:firstLineChars="189"/>
        <w:rPr>
          <w:rFonts w:ascii="仿宋_GB2312" w:hAnsi="宋体" w:eastAsia="仿宋_GB2312" w:cs="宋体"/>
          <w:b/>
          <w:sz w:val="24"/>
          <w:szCs w:val="24"/>
        </w:rPr>
      </w:pPr>
      <w:r>
        <w:rPr>
          <w:rFonts w:ascii="仿宋_GB2312" w:hAnsi="宋体" w:eastAsia="仿宋_GB2312" w:cs="宋体"/>
          <w:b/>
          <w:sz w:val="24"/>
          <w:szCs w:val="24"/>
        </w:rPr>
        <w:t>本合同的各签约方选择使用电子签约的，已由法定代表人本人或授权其代理人在电子签约平台进行了实名注册，并通过CA证书进行签约。电子签约的任一方均已知晓且同意通过代理人密码登录账户后的所有操作视为该方的行为，并自愿承担由此产生的一切法律后果。电子签约方的代理人包括在平台完成认证并具有相应盖章、签字权限的管理员、盖章人或签名人。电子签约方在相关电子合同通过CA证书进行电子签章的，视为该方有效签署合同。如各方签章时间不一致的，以最后签章的时间为准。本合同所有的手写涂改部分无效（个人手写签名除外）。</w:t>
      </w:r>
      <w:r>
        <w:rPr>
          <w:rFonts w:ascii="仿宋_GB2312" w:hAnsi="宋体" w:eastAsia="仿宋_GB2312" w:cs="宋体"/>
          <w:b/>
          <w:sz w:val="24"/>
          <w:szCs w:val="24"/>
        </w:rPr>
        <w:br w:type="textWrapping"/>
      </w:r>
      <w:r>
        <w:rPr>
          <w:rFonts w:hint="eastAsia" w:ascii="仿宋_GB2312" w:hAnsi="宋体" w:eastAsia="仿宋_GB2312" w:cs="宋体"/>
          <w:b/>
          <w:sz w:val="24"/>
          <w:szCs w:val="24"/>
        </w:rPr>
        <w:t xml:space="preserve"> </w:t>
      </w:r>
      <w:r>
        <w:rPr>
          <w:rFonts w:ascii="仿宋_GB2312" w:hAnsi="宋体" w:eastAsia="仿宋_GB2312" w:cs="宋体"/>
          <w:b/>
          <w:sz w:val="24"/>
          <w:szCs w:val="24"/>
        </w:rPr>
        <w:t xml:space="preserve">   若一方不使用电子签约，此情形下各方认可并同意电子签章与在纸质合同上手写签名或者盖章具有同等的法律效力，一方在合同上使用电子签章，另一方将已完成电子签章的合同打印为纸质合同后，再于合同签署处加盖实物印章、手写签名视为双方已签署完毕。</w:t>
      </w:r>
    </w:p>
    <w:p>
      <w:pPr>
        <w:spacing w:line="360" w:lineRule="auto"/>
        <w:ind w:firstLine="420" w:firstLineChars="0"/>
        <w:rPr>
          <w:rFonts w:hint="eastAsia" w:ascii="仿宋_GB2312" w:hAnsi="宋体" w:eastAsia="仿宋_GB2312" w:cs="宋体"/>
          <w:b/>
          <w:sz w:val="24"/>
          <w:szCs w:val="24"/>
          <w:lang w:eastAsia="zh-CN"/>
        </w:rPr>
      </w:pPr>
      <w:r>
        <w:rPr>
          <w:rFonts w:hint="eastAsia" w:ascii="仿宋_GB2312" w:hAnsi="宋体" w:eastAsia="仿宋_GB2312" w:cs="宋体"/>
          <w:b/>
          <w:sz w:val="24"/>
          <w:szCs w:val="24"/>
        </w:rPr>
        <w:t>招标人有权指定招标人的关联单位作为合同签订人，与中标人签署相关合同，且具体权利义务以中标人与招标人的关联公司最终签署的合同为准</w:t>
      </w:r>
      <w:r>
        <w:rPr>
          <w:rFonts w:hint="eastAsia" w:ascii="仿宋_GB2312" w:hAnsi="宋体" w:eastAsia="仿宋_GB2312" w:cs="宋体"/>
          <w:b/>
          <w:sz w:val="24"/>
          <w:szCs w:val="24"/>
          <w:lang w:eastAsia="zh-CN"/>
        </w:rPr>
        <w:t>。</w:t>
      </w:r>
    </w:p>
    <w:p>
      <w:pPr>
        <w:spacing w:line="360" w:lineRule="auto"/>
        <w:ind w:firstLine="453" w:firstLineChars="189"/>
        <w:rPr>
          <w:rFonts w:hint="eastAsia" w:ascii="仿宋_GB2312" w:hAnsi="宋体" w:eastAsia="仿宋_GB2312" w:cs="宋体"/>
          <w:sz w:val="24"/>
          <w:szCs w:val="24"/>
        </w:rPr>
      </w:pPr>
      <w:r>
        <w:rPr>
          <w:rFonts w:hint="eastAsia" w:ascii="仿宋_GB2312" w:hAnsi="宋体" w:eastAsia="仿宋_GB2312" w:cs="宋体"/>
          <w:sz w:val="24"/>
          <w:szCs w:val="24"/>
        </w:rPr>
        <w:t>（以下无正文）</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甲方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kern w:val="0"/>
          <w:sz w:val="24"/>
          <w:szCs w:val="24"/>
        </w:rPr>
        <w:t xml:space="preserve">           </w:t>
      </w:r>
      <w:r>
        <w:rPr>
          <w:rFonts w:hint="eastAsia" w:ascii="仿宋_GB2312" w:hAnsi="宋体" w:eastAsia="仿宋_GB2312" w:cs="Times New Roman"/>
          <w:snapToGrid w:val="0"/>
          <w:kern w:val="0"/>
          <w:sz w:val="24"/>
          <w:szCs w:val="24"/>
          <w:lang w:eastAsia="zh-Hans"/>
        </w:rPr>
        <w:t>乙方</w:t>
      </w:r>
      <w:r>
        <w:rPr>
          <w:rFonts w:hint="eastAsia" w:ascii="仿宋_GB2312" w:hAnsi="宋体" w:eastAsia="仿宋_GB2312" w:cs="Times New Roman"/>
          <w:snapToGrid w:val="0"/>
          <w:kern w:val="0"/>
          <w:sz w:val="24"/>
          <w:szCs w:val="24"/>
        </w:rPr>
        <w:t>（盖章）</w:t>
      </w:r>
      <w:r>
        <w:rPr>
          <w:rFonts w:hint="eastAsia" w:ascii="仿宋_GB2312" w:hAnsi="宋体" w:eastAsia="仿宋_GB2312" w:cs="Times New Roman"/>
          <w:snapToGrid w:val="0"/>
          <w:kern w:val="0"/>
          <w:sz w:val="24"/>
          <w:szCs w:val="24"/>
          <w:lang w:eastAsia="zh-Hans"/>
        </w:rPr>
        <w:t>：</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法定代表人或代理人（签字）：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法定代表人或代理人（签字）：</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地  址：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地  址：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电话：                                       电话： </w:t>
      </w:r>
    </w:p>
    <w:p>
      <w:pPr>
        <w:widowControl/>
        <w:adjustRightInd w:val="0"/>
        <w:snapToGrid w:val="0"/>
        <w:spacing w:line="360" w:lineRule="auto"/>
        <w:jc w:val="left"/>
        <w:rPr>
          <w:rFonts w:hint="eastAsia" w:ascii="仿宋_GB2312" w:hAnsi="宋体" w:eastAsia="仿宋_GB2312" w:cs="Times New Roman"/>
          <w:snapToGrid w:val="0"/>
          <w:kern w:val="0"/>
          <w:sz w:val="24"/>
          <w:szCs w:val="24"/>
          <w:lang w:eastAsia="zh-Hans"/>
        </w:rPr>
      </w:pPr>
      <w:r>
        <w:rPr>
          <w:rFonts w:hint="eastAsia" w:ascii="仿宋_GB2312" w:hAnsi="宋体" w:eastAsia="仿宋_GB2312" w:cs="Times New Roman"/>
          <w:snapToGrid w:val="0"/>
          <w:kern w:val="0"/>
          <w:sz w:val="24"/>
          <w:szCs w:val="24"/>
          <w:lang w:eastAsia="zh-Hans"/>
        </w:rPr>
        <w:t xml:space="preserve">传真：                                       传真： </w:t>
      </w:r>
    </w:p>
    <w:p>
      <w:pPr>
        <w:widowControl/>
        <w:adjustRightInd w:val="0"/>
        <w:snapToGrid w:val="0"/>
        <w:spacing w:line="360" w:lineRule="auto"/>
        <w:jc w:val="left"/>
        <w:rPr>
          <w:rFonts w:hint="eastAsia" w:ascii="仿宋_GB2312" w:hAnsi="宋体" w:eastAsia="仿宋_GB2312" w:cs="Times New Roman"/>
          <w:snapToGrid w:val="0"/>
          <w:color w:val="000000"/>
          <w:kern w:val="0"/>
          <w:sz w:val="24"/>
          <w:szCs w:val="24"/>
          <w:lang w:eastAsia="zh-Hans"/>
        </w:rPr>
      </w:pPr>
      <w:r>
        <w:rPr>
          <w:rFonts w:hint="eastAsia" w:ascii="仿宋_GB2312" w:hAnsi="宋体" w:eastAsia="仿宋_GB2312" w:cs="Times New Roman"/>
          <w:snapToGrid w:val="0"/>
          <w:color w:val="000000"/>
          <w:kern w:val="0"/>
          <w:sz w:val="24"/>
          <w:szCs w:val="24"/>
          <w:lang w:eastAsia="zh-Hans"/>
        </w:rPr>
        <w:t xml:space="preserve">开户银行：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开户银行：   </w:t>
      </w:r>
    </w:p>
    <w:p>
      <w:pPr>
        <w:widowControl/>
        <w:adjustRightInd w:val="0"/>
        <w:snapToGrid w:val="0"/>
        <w:spacing w:line="360" w:lineRule="auto"/>
        <w:jc w:val="left"/>
        <w:rPr>
          <w:rFonts w:hint="eastAsia" w:ascii="仿宋_GB2312" w:hAnsi="宋体" w:eastAsia="仿宋_GB2312" w:cs="Times New Roman"/>
          <w:snapToGrid w:val="0"/>
          <w:kern w:val="0"/>
          <w:sz w:val="24"/>
          <w:szCs w:val="24"/>
        </w:rPr>
      </w:pPr>
      <w:r>
        <w:rPr>
          <w:rFonts w:hint="eastAsia" w:ascii="仿宋_GB2312" w:hAnsi="宋体" w:eastAsia="仿宋_GB2312" w:cs="Times New Roman"/>
          <w:snapToGrid w:val="0"/>
          <w:color w:val="000000"/>
          <w:kern w:val="0"/>
          <w:sz w:val="24"/>
          <w:szCs w:val="24"/>
          <w:lang w:eastAsia="zh-Hans"/>
        </w:rPr>
        <w:t xml:space="preserve">账  号：                            </w:t>
      </w:r>
      <w:r>
        <w:rPr>
          <w:rFonts w:hint="eastAsia" w:ascii="仿宋_GB2312" w:hAnsi="宋体" w:eastAsia="仿宋_GB2312" w:cs="Times New Roman"/>
          <w:snapToGrid w:val="0"/>
          <w:kern w:val="0"/>
          <w:sz w:val="24"/>
          <w:szCs w:val="24"/>
          <w:lang w:eastAsia="zh-Hans"/>
        </w:rPr>
        <w:t xml:space="preserve">        </w:t>
      </w:r>
      <w:r>
        <w:rPr>
          <w:rFonts w:hint="eastAsia" w:ascii="仿宋_GB2312" w:hAnsi="宋体" w:eastAsia="仿宋_GB2312" w:cs="Times New Roman"/>
          <w:snapToGrid w:val="0"/>
          <w:color w:val="000000"/>
          <w:kern w:val="0"/>
          <w:sz w:val="24"/>
          <w:szCs w:val="24"/>
          <w:lang w:eastAsia="zh-Hans"/>
        </w:rPr>
        <w:t xml:space="preserve"> 账 号： </w:t>
      </w:r>
    </w:p>
    <w:p>
      <w:pPr>
        <w:rPr>
          <w:rFonts w:ascii="Calibri" w:hAnsi="Calibri" w:eastAsia="宋体" w:cs="Times New Roman"/>
          <w:sz w:val="24"/>
          <w:szCs w:val="24"/>
        </w:rPr>
      </w:pPr>
      <w:r>
        <w:rPr>
          <w:rFonts w:hint="eastAsia" w:ascii="Calibri" w:hAnsi="Calibri" w:eastAsia="宋体" w:cs="Times New Roman"/>
          <w:sz w:val="24"/>
          <w:szCs w:val="24"/>
        </w:rPr>
        <w:br w:type="page"/>
      </w: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附件一：设备清单明细表</w:t>
      </w:r>
    </w:p>
    <w:p>
      <w:pPr>
        <w:rPr>
          <w:rFonts w:hint="eastAsia"/>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89"/>
        <w:gridCol w:w="1541"/>
        <w:gridCol w:w="2126"/>
        <w:gridCol w:w="748"/>
        <w:gridCol w:w="812"/>
        <w:gridCol w:w="708"/>
        <w:gridCol w:w="708"/>
        <w:gridCol w:w="708"/>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8"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序号</w:t>
            </w:r>
          </w:p>
        </w:tc>
        <w:tc>
          <w:tcPr>
            <w:tcW w:w="1541" w:type="dxa"/>
            <w:vAlign w:val="center"/>
          </w:tcPr>
          <w:p>
            <w:pPr>
              <w:pStyle w:val="31"/>
              <w:spacing w:line="360" w:lineRule="auto"/>
              <w:ind w:left="480" w:hanging="480"/>
              <w:jc w:val="left"/>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产品及部件名称</w:t>
            </w: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规格型号及</w:t>
            </w:r>
          </w:p>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技术参数</w:t>
            </w: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单位</w:t>
            </w: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数量</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单价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总价</w:t>
            </w: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品牌</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1</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2</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75" w:hRule="atLeast"/>
          <w:jc w:val="center"/>
        </w:trPr>
        <w:tc>
          <w:tcPr>
            <w:tcW w:w="989"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r>
              <w:rPr>
                <w:rFonts w:hint="eastAsia" w:ascii="仿宋_GB2312" w:eastAsia="仿宋_GB2312" w:hAnsiTheme="minorEastAsia" w:cstheme="minorEastAsia"/>
                <w:sz w:val="24"/>
                <w:szCs w:val="24"/>
              </w:rPr>
              <w:t>合计</w:t>
            </w:r>
          </w:p>
        </w:tc>
        <w:tc>
          <w:tcPr>
            <w:tcW w:w="1541"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2126"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48"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812" w:type="dxa"/>
            <w:vAlign w:val="center"/>
          </w:tcPr>
          <w:p>
            <w:pPr>
              <w:pStyle w:val="31"/>
              <w:spacing w:line="360" w:lineRule="auto"/>
              <w:ind w:left="480" w:hanging="480"/>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c>
          <w:tcPr>
            <w:tcW w:w="708" w:type="dxa"/>
            <w:vAlign w:val="center"/>
          </w:tcPr>
          <w:p>
            <w:pPr>
              <w:spacing w:line="360" w:lineRule="auto"/>
              <w:jc w:val="center"/>
              <w:rPr>
                <w:rFonts w:hint="eastAsia" w:ascii="仿宋_GB2312" w:eastAsia="仿宋_GB2312" w:hAnsiTheme="minorEastAsia" w:cstheme="minorEastAsia"/>
                <w:sz w:val="24"/>
                <w:szCs w:val="24"/>
              </w:rPr>
            </w:pPr>
          </w:p>
        </w:tc>
      </w:tr>
    </w:tbl>
    <w:p>
      <w:pPr>
        <w:tabs>
          <w:tab w:val="right" w:leader="dot" w:pos="9061"/>
        </w:tabs>
        <w:rPr>
          <w:rFonts w:hint="eastAsia" w:asciiTheme="minorEastAsia" w:hAnsiTheme="minorEastAsia" w:cstheme="minorEastAsia"/>
          <w:sz w:val="20"/>
        </w:rPr>
      </w:pPr>
    </w:p>
    <w:p>
      <w:pPr>
        <w:widowControl/>
        <w:adjustRightInd w:val="0"/>
        <w:snapToGrid w:val="0"/>
        <w:spacing w:line="360" w:lineRule="auto"/>
        <w:ind w:firstLine="480" w:firstLineChars="200"/>
        <w:jc w:val="left"/>
        <w:rPr>
          <w:rFonts w:hint="eastAsia" w:ascii="仿宋_GB2312" w:hAnsi="仿宋_GB2312" w:eastAsia="仿宋_GB2312" w:cs="仿宋_GB2312"/>
          <w:b/>
          <w:bCs/>
          <w:snapToGrid w:val="0"/>
          <w:kern w:val="0"/>
          <w:sz w:val="24"/>
          <w:szCs w:val="24"/>
          <w:u w:val="single"/>
        </w:rPr>
      </w:pPr>
      <w:r>
        <w:rPr>
          <w:rFonts w:hint="eastAsia" w:ascii="仿宋_GB2312" w:hAnsi="仿宋_GB2312" w:eastAsia="仿宋_GB2312" w:cs="仿宋_GB2312"/>
          <w:snapToGrid w:val="0"/>
          <w:kern w:val="0"/>
          <w:sz w:val="24"/>
          <w:szCs w:val="24"/>
          <w:lang w:eastAsia="zh-Hans"/>
        </w:rPr>
        <w:t>甲方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bCs/>
          <w:snapToGrid w:val="0"/>
          <w:kern w:val="0"/>
          <w:sz w:val="24"/>
          <w:szCs w:val="24"/>
          <w:u w:val="single"/>
        </w:rPr>
        <w:t>甲方单位全称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bCs/>
          <w:snapToGrid w:val="0"/>
          <w:kern w:val="0"/>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z w:val="24"/>
          <w:szCs w:val="24"/>
        </w:rPr>
      </w:pPr>
      <w:r>
        <w:rPr>
          <w:rFonts w:hint="eastAsia" w:ascii="仿宋_GB2312" w:hAnsi="仿宋_GB2312" w:eastAsia="仿宋_GB2312" w:cs="仿宋_GB2312"/>
          <w:snapToGrid w:val="0"/>
          <w:color w:val="000000"/>
          <w:kern w:val="0"/>
          <w:sz w:val="24"/>
          <w:szCs w:val="24"/>
        </w:rPr>
        <w:t>甲方代表</w:t>
      </w:r>
      <w:r>
        <w:rPr>
          <w:rFonts w:hint="eastAsia" w:ascii="仿宋_GB2312" w:hAnsi="仿宋_GB2312" w:eastAsia="仿宋_GB2312" w:cs="仿宋_GB2312"/>
          <w:snapToGrid w:val="0"/>
          <w:color w:val="000000"/>
          <w:kern w:val="0"/>
          <w:sz w:val="24"/>
          <w:szCs w:val="24"/>
          <w:lang w:eastAsia="zh-Hans"/>
        </w:rPr>
        <w:t xml:space="preserve">（签字）： </w:t>
      </w: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kern w:val="0"/>
          <w:sz w:val="24"/>
          <w:szCs w:val="24"/>
        </w:rPr>
      </w:pPr>
    </w:p>
    <w:p>
      <w:pPr>
        <w:widowControl/>
        <w:adjustRightInd w:val="0"/>
        <w:snapToGrid w:val="0"/>
        <w:spacing w:line="360" w:lineRule="auto"/>
        <w:ind w:firstLine="480" w:firstLineChars="200"/>
        <w:jc w:val="left"/>
        <w:rPr>
          <w:rFonts w:hint="eastAsia" w:ascii="仿宋_GB2312" w:hAnsi="仿宋_GB2312" w:eastAsia="仿宋_GB2312" w:cs="仿宋_GB2312"/>
          <w:b/>
          <w:sz w:val="24"/>
          <w:szCs w:val="24"/>
          <w:u w:val="single"/>
        </w:rPr>
      </w:pPr>
      <w:r>
        <w:rPr>
          <w:rFonts w:hint="eastAsia" w:ascii="仿宋_GB2312" w:hAnsi="仿宋_GB2312" w:eastAsia="仿宋_GB2312" w:cs="仿宋_GB2312"/>
          <w:snapToGrid w:val="0"/>
          <w:kern w:val="0"/>
          <w:sz w:val="24"/>
          <w:szCs w:val="24"/>
        </w:rPr>
        <w:t>乙</w:t>
      </w:r>
      <w:r>
        <w:rPr>
          <w:rFonts w:hint="eastAsia" w:ascii="仿宋_GB2312" w:hAnsi="仿宋_GB2312" w:eastAsia="仿宋_GB2312" w:cs="仿宋_GB2312"/>
          <w:snapToGrid w:val="0"/>
          <w:kern w:val="0"/>
          <w:sz w:val="24"/>
          <w:szCs w:val="24"/>
          <w:lang w:eastAsia="zh-Hans"/>
        </w:rPr>
        <w:t>方</w:t>
      </w:r>
      <w:r>
        <w:rPr>
          <w:rFonts w:hint="eastAsia" w:ascii="仿宋_GB2312" w:hAnsi="仿宋_GB2312" w:eastAsia="仿宋_GB2312" w:cs="仿宋_GB2312"/>
          <w:snapToGrid w:val="0"/>
          <w:kern w:val="0"/>
          <w:sz w:val="24"/>
          <w:szCs w:val="24"/>
        </w:rPr>
        <w:t>（盖章）</w:t>
      </w:r>
      <w:r>
        <w:rPr>
          <w:rFonts w:hint="eastAsia" w:ascii="仿宋_GB2312" w:hAnsi="仿宋_GB2312" w:eastAsia="仿宋_GB2312" w:cs="仿宋_GB2312"/>
          <w:snapToGrid w:val="0"/>
          <w:kern w:val="0"/>
          <w:sz w:val="24"/>
          <w:szCs w:val="24"/>
          <w:lang w:eastAsia="zh-Hans"/>
        </w:rPr>
        <w:t>：</w:t>
      </w:r>
      <w:r>
        <w:rPr>
          <w:rFonts w:hint="eastAsia" w:ascii="仿宋_GB2312" w:hAnsi="仿宋_GB2312" w:eastAsia="仿宋_GB2312" w:cs="仿宋_GB2312"/>
          <w:b/>
          <w:sz w:val="24"/>
          <w:szCs w:val="24"/>
          <w:u w:val="single"/>
        </w:rPr>
        <w:t>乙方单位全称</w:t>
      </w:r>
    </w:p>
    <w:p>
      <w:pPr>
        <w:widowControl/>
        <w:adjustRightInd w:val="0"/>
        <w:snapToGrid w:val="0"/>
        <w:spacing w:line="360" w:lineRule="auto"/>
        <w:ind w:firstLine="482" w:firstLineChars="200"/>
        <w:jc w:val="left"/>
        <w:rPr>
          <w:rFonts w:hint="eastAsia" w:ascii="仿宋_GB2312" w:hAnsi="仿宋_GB2312" w:eastAsia="仿宋_GB2312" w:cs="仿宋_GB2312"/>
          <w:b/>
          <w:sz w:val="24"/>
          <w:szCs w:val="24"/>
          <w:u w:val="single"/>
        </w:rPr>
      </w:pPr>
    </w:p>
    <w:p>
      <w:pPr>
        <w:widowControl/>
        <w:adjustRightInd w:val="0"/>
        <w:snapToGrid w:val="0"/>
        <w:spacing w:line="360" w:lineRule="auto"/>
        <w:ind w:firstLine="480" w:firstLineChars="200"/>
        <w:jc w:val="left"/>
        <w:rPr>
          <w:rFonts w:hint="eastAsia" w:ascii="仿宋_GB2312" w:hAnsi="仿宋_GB2312" w:eastAsia="仿宋_GB2312" w:cs="仿宋_GB2312"/>
          <w:snapToGrid w:val="0"/>
          <w:color w:val="000000"/>
          <w:kern w:val="0"/>
          <w:sz w:val="24"/>
          <w:szCs w:val="24"/>
          <w:lang w:eastAsia="zh-Hans"/>
        </w:rPr>
      </w:pPr>
      <w:r>
        <w:rPr>
          <w:rFonts w:hint="eastAsia" w:ascii="仿宋_GB2312" w:hAnsi="仿宋_GB2312" w:eastAsia="仿宋_GB2312" w:cs="仿宋_GB2312"/>
          <w:snapToGrid w:val="0"/>
          <w:color w:val="000000"/>
          <w:kern w:val="0"/>
          <w:sz w:val="24"/>
          <w:szCs w:val="24"/>
        </w:rPr>
        <w:t>乙方代表</w:t>
      </w:r>
      <w:r>
        <w:rPr>
          <w:rFonts w:hint="eastAsia" w:ascii="仿宋_GB2312" w:hAnsi="仿宋_GB2312" w:eastAsia="仿宋_GB2312" w:cs="仿宋_GB2312"/>
          <w:snapToGrid w:val="0"/>
          <w:color w:val="000000"/>
          <w:kern w:val="0"/>
          <w:sz w:val="24"/>
          <w:szCs w:val="24"/>
          <w:lang w:eastAsia="zh-Hans"/>
        </w:rPr>
        <w:t xml:space="preserve">（签字）： </w:t>
      </w:r>
    </w:p>
    <w:p>
      <w:pPr>
        <w:rPr>
          <w:rFonts w:hint="eastAsia" w:asciiTheme="minorEastAsia" w:hAnsiTheme="minorEastAsia" w:cstheme="minorEastAsia"/>
          <w:sz w:val="20"/>
          <w:szCs w:val="20"/>
        </w:rPr>
      </w:pPr>
    </w:p>
    <w:p>
      <w:pPr>
        <w:pStyle w:val="4"/>
        <w:rPr>
          <w:rFonts w:hint="eastAsia" w:ascii="黑体" w:hAnsi="黑体" w:eastAsia="黑体" w:cstheme="minorEastAsia"/>
          <w:b w:val="0"/>
          <w:sz w:val="28"/>
          <w:szCs w:val="28"/>
        </w:rPr>
      </w:pPr>
      <w:r>
        <w:rPr>
          <w:rFonts w:hint="eastAsia" w:ascii="黑体" w:hAnsi="黑体" w:eastAsia="黑体" w:cstheme="minorEastAsia"/>
          <w:b w:val="0"/>
          <w:sz w:val="28"/>
          <w:szCs w:val="28"/>
        </w:rPr>
        <w:t>附件二 技术协议书</w:t>
      </w:r>
    </w:p>
    <w:p>
      <w:pPr>
        <w:widowControl/>
        <w:adjustRightInd w:val="0"/>
        <w:snapToGrid w:val="0"/>
        <w:spacing w:line="360" w:lineRule="auto"/>
        <w:jc w:val="left"/>
        <w:rPr>
          <w:rFonts w:hint="eastAsia" w:ascii="黑体" w:hAnsi="黑体" w:eastAsia="黑体" w:cstheme="minorEastAsia"/>
          <w:sz w:val="28"/>
          <w:szCs w:val="28"/>
          <w:lang w:eastAsia="zh-Hans"/>
        </w:rPr>
      </w:pPr>
      <w:r>
        <w:rPr>
          <w:rFonts w:hint="eastAsia" w:ascii="黑体" w:hAnsi="黑体" w:eastAsia="黑体" w:cstheme="minorEastAsia"/>
          <w:sz w:val="28"/>
          <w:szCs w:val="28"/>
        </w:rPr>
        <w:t>作为附件另附</w:t>
      </w:r>
    </w:p>
    <w:p>
      <w:pPr>
        <w:ind w:right="360"/>
        <w:rPr>
          <w:rFonts w:hint="eastAsia" w:asciiTheme="minorEastAsia" w:hAnsiTheme="minorEastAsia" w:cstheme="minorEastAsia"/>
          <w:sz w:val="20"/>
          <w:szCs w:val="20"/>
        </w:rPr>
        <w:sectPr>
          <w:headerReference r:id="rId14" w:type="default"/>
          <w:footerReference r:id="rId15" w:type="default"/>
          <w:pgSz w:w="11906" w:h="16838"/>
          <w:pgMar w:top="1588" w:right="1418" w:bottom="1134" w:left="1418" w:header="851" w:footer="992" w:gutter="0"/>
          <w:cols w:space="720" w:num="1"/>
          <w:titlePg/>
          <w:docGrid w:type="lines" w:linePitch="312" w:charSpace="0"/>
        </w:sectPr>
      </w:pPr>
    </w:p>
    <w:p>
      <w:pPr>
        <w:keepNext/>
        <w:keepLines/>
        <w:jc w:val="center"/>
        <w:outlineLvl w:val="0"/>
        <w:rPr>
          <w:rFonts w:ascii="Calibri" w:hAnsi="Calibri" w:eastAsia="宋体" w:cs="Times New Roman"/>
          <w:b/>
          <w:bCs/>
          <w:kern w:val="44"/>
          <w:sz w:val="36"/>
          <w:szCs w:val="44"/>
        </w:rPr>
      </w:pPr>
      <w:bookmarkStart w:id="115" w:name="_Toc8509"/>
      <w:bookmarkStart w:id="116" w:name="_Toc15851"/>
      <w:bookmarkStart w:id="117" w:name="_Toc20872"/>
      <w:r>
        <w:rPr>
          <w:rFonts w:hint="eastAsia" w:ascii="Calibri" w:hAnsi="Calibri" w:eastAsia="宋体" w:cs="Times New Roman"/>
          <w:b/>
          <w:bCs/>
          <w:kern w:val="44"/>
          <w:sz w:val="36"/>
          <w:szCs w:val="44"/>
        </w:rPr>
        <w:t>第六部分</w:t>
      </w:r>
      <w:r>
        <w:rPr>
          <w:rFonts w:ascii="Calibri" w:hAnsi="Calibri" w:eastAsia="宋体" w:cs="Times New Roman"/>
          <w:b/>
          <w:bCs/>
          <w:kern w:val="44"/>
          <w:sz w:val="36"/>
          <w:szCs w:val="44"/>
        </w:rPr>
        <w:t xml:space="preserve"> </w:t>
      </w:r>
      <w:r>
        <w:rPr>
          <w:rFonts w:hint="eastAsia" w:ascii="Calibri" w:hAnsi="Calibri" w:eastAsia="宋体" w:cs="Times New Roman"/>
          <w:b/>
          <w:bCs/>
          <w:kern w:val="44"/>
          <w:sz w:val="36"/>
          <w:szCs w:val="44"/>
        </w:rPr>
        <w:t>投标文件附件</w:t>
      </w:r>
      <w:bookmarkEnd w:id="115"/>
      <w:bookmarkEnd w:id="116"/>
      <w:bookmarkEnd w:id="117"/>
    </w:p>
    <w:p>
      <w:pPr>
        <w:keepNext/>
        <w:keepLines/>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说明：</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1.投标人须认真填写和提交本部分中的附件文件；</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2.对附件文件中所要求的内容应给予明确的答复；</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3.附件文件的签字人应保证其对一切问题的答复、所做的声明及出具的资格资质文件、资料等具有真实性和准确性；</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4.招标人将对投标人提交的文件、资料等内容予以保密，但不退还；</w:t>
      </w:r>
    </w:p>
    <w:p>
      <w:pPr>
        <w:spacing w:line="420" w:lineRule="exact"/>
        <w:ind w:firstLine="480" w:firstLineChars="200"/>
        <w:rPr>
          <w:rFonts w:hint="eastAsia" w:ascii="宋体" w:hAnsi="宋体" w:eastAsia="宋体" w:cs="宋体"/>
          <w:sz w:val="24"/>
          <w:szCs w:val="24"/>
        </w:rPr>
      </w:pPr>
      <w:r>
        <w:rPr>
          <w:rFonts w:hint="eastAsia" w:ascii="宋体" w:hAnsi="宋体" w:eastAsia="宋体" w:cs="宋体"/>
          <w:sz w:val="24"/>
          <w:szCs w:val="24"/>
        </w:rPr>
        <w:t>5.所有附件文件应以中文书写，作为投标文件的组成部分。</w:t>
      </w:r>
    </w:p>
    <w:p>
      <w:pPr>
        <w:pStyle w:val="22"/>
        <w:rPr>
          <w:rFonts w:ascii="Times New Roman" w:hAnsi="Times New Roman" w:eastAsia="宋体" w:cs="Times New Roman"/>
          <w:b/>
          <w:bCs/>
          <w:color w:val="000000"/>
          <w:sz w:val="24"/>
          <w:szCs w:val="24"/>
        </w:rPr>
        <w:sectPr>
          <w:footerReference r:id="rId17" w:type="first"/>
          <w:footerReference r:id="rId16"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1 </w:t>
      </w:r>
      <w:r>
        <w:rPr>
          <w:rFonts w:hint="eastAsia" w:ascii="Times New Roman" w:hAnsi="Times New Roman" w:eastAsia="宋体" w:cs="Times New Roman"/>
          <w:b/>
          <w:bCs/>
          <w:color w:val="000000"/>
          <w:sz w:val="24"/>
          <w:szCs w:val="24"/>
        </w:rPr>
        <w:t>投标函</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致：中国重汽集团</w:t>
      </w:r>
      <w:r>
        <w:rPr>
          <w:rFonts w:hint="eastAsia" w:ascii="宋体" w:hAnsi="宋体" w:eastAsia="宋体" w:cs="Times New Roman"/>
          <w:color w:val="000000"/>
          <w:sz w:val="24"/>
          <w:szCs w:val="24"/>
          <w:highlight w:val="none"/>
        </w:rPr>
        <w:t>济南动力有限公司：</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根据贵方</w:t>
      </w:r>
      <w:r>
        <w:rPr>
          <w:rFonts w:hint="eastAsia" w:ascii="宋体" w:hAnsi="宋体" w:eastAsia="宋体" w:cs="宋体"/>
          <w:sz w:val="24"/>
          <w:u w:val="single"/>
          <w:lang w:val="en-US" w:eastAsia="zh-CN"/>
        </w:rPr>
        <w:t xml:space="preserve">                    </w:t>
      </w:r>
      <w:r>
        <w:rPr>
          <w:rFonts w:hint="eastAsia" w:ascii="宋体" w:hAnsi="宋体" w:eastAsia="宋体" w:cs="Times New Roman"/>
          <w:bCs/>
          <w:snapToGrid w:val="0"/>
          <w:color w:val="000000"/>
          <w:kern w:val="0"/>
          <w:sz w:val="24"/>
          <w:szCs w:val="24"/>
        </w:rPr>
        <w:t>招标公告</w:t>
      </w:r>
      <w:r>
        <w:rPr>
          <w:rFonts w:hint="eastAsia" w:ascii="宋体" w:hAnsi="宋体" w:eastAsia="宋体" w:cs="Times New Roman"/>
          <w:color w:val="000000"/>
          <w:sz w:val="24"/>
          <w:szCs w:val="24"/>
        </w:rPr>
        <w:t>，</w:t>
      </w:r>
      <w:r>
        <w:rPr>
          <w:rFonts w:ascii="宋体" w:hAnsi="宋体" w:eastAsia="宋体" w:cs="Times New Roman"/>
          <w:b/>
          <w:color w:val="000000"/>
          <w:sz w:val="24"/>
          <w:szCs w:val="24"/>
          <w:u w:val="single"/>
        </w:rPr>
        <w:t xml:space="preserve">            </w:t>
      </w:r>
      <w:r>
        <w:rPr>
          <w:rFonts w:hint="eastAsia" w:ascii="宋体" w:hAnsi="宋体" w:eastAsia="宋体" w:cs="Times New Roman"/>
          <w:color w:val="000000"/>
          <w:sz w:val="24"/>
          <w:szCs w:val="24"/>
        </w:rPr>
        <w:t>投标公司，</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法人代表人为</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，正式授权</w:t>
      </w:r>
      <w:r>
        <w:rPr>
          <w:rFonts w:ascii="宋体" w:hAnsi="宋体" w:eastAsia="宋体" w:cs="Times New Roman"/>
          <w:color w:val="000000"/>
          <w:sz w:val="24"/>
          <w:szCs w:val="24"/>
          <w:u w:val="single"/>
        </w:rPr>
        <w:t xml:space="preserve">           </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提交纸质投标文件：资质证明文件、商务文件和技术文</w:t>
      </w:r>
      <w:r>
        <w:rPr>
          <w:rFonts w:hint="eastAsia" w:ascii="宋体" w:hAnsi="宋体" w:eastAsia="宋体" w:cs="Times New Roman"/>
          <w:color w:val="000000"/>
          <w:sz w:val="24"/>
          <w:szCs w:val="24"/>
          <w:highlight w:val="none"/>
        </w:rPr>
        <w:t>件正本</w:t>
      </w:r>
      <w:r>
        <w:rPr>
          <w:rFonts w:hint="eastAsia" w:ascii="宋体" w:hAnsi="宋体" w:eastAsia="宋体" w:cs="Times New Roman"/>
          <w:color w:val="000000"/>
          <w:sz w:val="24"/>
          <w:szCs w:val="24"/>
          <w:highlight w:val="none"/>
          <w:lang w:val="en-US" w:eastAsia="zh-CN"/>
        </w:rPr>
        <w:t>一</w:t>
      </w:r>
      <w:r>
        <w:rPr>
          <w:rFonts w:hint="eastAsia" w:ascii="宋体" w:hAnsi="宋体" w:eastAsia="宋体" w:cs="Times New Roman"/>
          <w:color w:val="000000"/>
          <w:sz w:val="24"/>
          <w:szCs w:val="24"/>
          <w:highlight w:val="none"/>
        </w:rPr>
        <w:t>份</w:t>
      </w:r>
      <w:r>
        <w:rPr>
          <w:rFonts w:hint="eastAsia" w:ascii="宋体" w:hAnsi="宋体" w:eastAsia="宋体" w:cs="Times New Roman"/>
          <w:color w:val="000000"/>
          <w:sz w:val="24"/>
          <w:szCs w:val="24"/>
          <w:highlight w:val="none"/>
          <w:lang w:eastAsia="zh-CN"/>
        </w:rPr>
        <w:t>、</w:t>
      </w:r>
      <w:r>
        <w:rPr>
          <w:rFonts w:hint="eastAsia" w:ascii="宋体" w:hAnsi="宋体" w:eastAsia="宋体" w:cs="Times New Roman"/>
          <w:color w:val="000000"/>
          <w:sz w:val="24"/>
          <w:szCs w:val="24"/>
          <w:highlight w:val="none"/>
          <w:lang w:val="en-US" w:eastAsia="zh-CN"/>
        </w:rPr>
        <w:t>副本二份</w:t>
      </w:r>
      <w:r>
        <w:rPr>
          <w:rFonts w:hint="eastAsia" w:ascii="宋体" w:hAnsi="宋体" w:eastAsia="宋体" w:cs="Times New Roman"/>
          <w:color w:val="000000"/>
          <w:sz w:val="24"/>
          <w:szCs w:val="24"/>
          <w:highlight w:val="none"/>
        </w:rPr>
        <w:t>；电子版投标文件一份</w:t>
      </w:r>
      <w:r>
        <w:rPr>
          <w:rFonts w:hint="eastAsia" w:ascii="宋体" w:hAnsi="宋体" w:eastAsia="宋体"/>
          <w:color w:val="000000"/>
          <w:sz w:val="24"/>
          <w:szCs w:val="24"/>
          <w:highlight w:val="none"/>
        </w:rPr>
        <w:t>（</w:t>
      </w:r>
      <w:r>
        <w:rPr>
          <w:rFonts w:hint="eastAsia" w:ascii="宋体" w:hAnsi="Courier New" w:eastAsia="宋体"/>
          <w:bCs/>
          <w:color w:val="000000"/>
          <w:sz w:val="24"/>
          <w:szCs w:val="24"/>
          <w:highlight w:val="none"/>
        </w:rPr>
        <w:t>电子版投标文件为纸质盖章版的扫描件或加盖电</w:t>
      </w:r>
      <w:r>
        <w:rPr>
          <w:rFonts w:hint="eastAsia" w:ascii="宋体" w:hAnsi="Courier New" w:eastAsia="宋体"/>
          <w:bCs/>
          <w:color w:val="000000"/>
          <w:sz w:val="24"/>
          <w:szCs w:val="24"/>
        </w:rPr>
        <w:t>子章；不盖章无效。</w:t>
      </w:r>
      <w:r>
        <w:rPr>
          <w:rFonts w:hint="eastAsia" w:ascii="宋体" w:hAnsi="宋体" w:eastAsia="宋体"/>
          <w:color w:val="000000"/>
          <w:sz w:val="24"/>
          <w:szCs w:val="24"/>
        </w:rPr>
        <w:t>）</w:t>
      </w:r>
      <w:r>
        <w:rPr>
          <w:rFonts w:hint="eastAsia" w:ascii="宋体" w:hAnsi="宋体" w:eastAsia="宋体" w:cs="Times New Roman"/>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据此函，签字代表宣布同意如下：</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1</w:t>
      </w:r>
      <w:r>
        <w:rPr>
          <w:rFonts w:hint="eastAsia" w:ascii="宋体" w:hAnsi="宋体" w:eastAsia="宋体" w:cs="Times New Roman"/>
          <w:color w:val="000000"/>
          <w:sz w:val="24"/>
          <w:szCs w:val="24"/>
        </w:rPr>
        <w:t>.投标人已详细审查全部“招标文件”，包括修改文件（如有的话）以及全部参考资料和有关附件，已经了解我方对于招标文件、采购过程、采购结果有依法进行询问、质疑、投诉的权利及相关渠道和要求。</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2</w:t>
      </w:r>
      <w:r>
        <w:rPr>
          <w:rFonts w:hint="eastAsia" w:ascii="宋体" w:hAnsi="宋体" w:eastAsia="宋体" w:cs="Times New Roman"/>
          <w:color w:val="000000"/>
          <w:sz w:val="24"/>
          <w:szCs w:val="24"/>
        </w:rPr>
        <w:t>.投标人在投标之前已经与贵方进行了充分的沟通，完全理解并接受招标文件的各项规定和要求，对招标文件的合理性、合法性不再有异议。</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3</w:t>
      </w:r>
      <w:r>
        <w:rPr>
          <w:rFonts w:hint="eastAsia" w:ascii="宋体" w:hAnsi="宋体" w:eastAsia="宋体" w:cs="Times New Roman"/>
          <w:color w:val="000000"/>
          <w:sz w:val="24"/>
          <w:szCs w:val="24"/>
        </w:rPr>
        <w:t>.本投标有效期自开标日起</w:t>
      </w:r>
      <w:r>
        <w:rPr>
          <w:rFonts w:ascii="宋体" w:hAnsi="宋体" w:eastAsia="宋体" w:cs="Times New Roman"/>
          <w:bCs/>
          <w:color w:val="000000"/>
          <w:sz w:val="24"/>
          <w:szCs w:val="24"/>
          <w:u w:val="single"/>
        </w:rPr>
        <w:t xml:space="preserve"> 90</w:t>
      </w:r>
      <w:r>
        <w:rPr>
          <w:rFonts w:hint="eastAsia" w:ascii="宋体" w:hAnsi="宋体" w:eastAsia="宋体" w:cs="Times New Roman"/>
          <w:color w:val="000000"/>
          <w:sz w:val="24"/>
          <w:szCs w:val="24"/>
        </w:rPr>
        <w:t>个日历日。</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4</w:t>
      </w:r>
      <w:r>
        <w:rPr>
          <w:rFonts w:hint="eastAsia" w:ascii="宋体" w:hAnsi="宋体" w:eastAsia="宋体" w:cs="Times New Roman"/>
          <w:color w:val="000000"/>
          <w:sz w:val="24"/>
          <w:szCs w:val="24"/>
        </w:rPr>
        <w:t>.如中标，本投标文件至本项目合同履行完毕止均保持有效，本投标人将按“招标文件”及政府采购法律、法规的规定履行合同责任和义务。</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5</w:t>
      </w:r>
      <w:r>
        <w:rPr>
          <w:rFonts w:hint="eastAsia" w:ascii="宋体" w:hAnsi="宋体" w:eastAsia="宋体" w:cs="Times New Roman"/>
          <w:color w:val="000000"/>
          <w:sz w:val="24"/>
          <w:szCs w:val="24"/>
        </w:rPr>
        <w:t>.投标人同意按照贵方要求提供与投标有关的一切数据或资料。</w:t>
      </w:r>
    </w:p>
    <w:p>
      <w:pPr>
        <w:spacing w:line="360" w:lineRule="auto"/>
        <w:ind w:firstLine="480" w:firstLineChars="200"/>
        <w:rPr>
          <w:rFonts w:hint="eastAsia" w:ascii="宋体" w:hAnsi="宋体" w:eastAsia="宋体" w:cs="Times New Roman"/>
          <w:color w:val="000000"/>
          <w:sz w:val="24"/>
          <w:szCs w:val="24"/>
        </w:rPr>
      </w:pPr>
      <w:r>
        <w:rPr>
          <w:rFonts w:ascii="宋体" w:hAnsi="宋体" w:eastAsia="宋体" w:cs="Times New Roman"/>
          <w:color w:val="000000"/>
          <w:sz w:val="24"/>
          <w:szCs w:val="24"/>
        </w:rPr>
        <w:t>6</w:t>
      </w:r>
      <w:r>
        <w:rPr>
          <w:rFonts w:hint="eastAsia" w:ascii="宋体" w:hAnsi="宋体" w:eastAsia="宋体" w:cs="Times New Roman"/>
          <w:color w:val="000000"/>
          <w:sz w:val="24"/>
          <w:szCs w:val="24"/>
        </w:rPr>
        <w:t>.与本投标有关的一切正式往来信函请寄：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地址：</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邮编：</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电话：</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传真：</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投标人代表姓名：</w:t>
      </w:r>
      <w:r>
        <w:rPr>
          <w:rFonts w:hint="eastAsia"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rPr>
        <w:t>职务：</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开户银行：</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银行帐号：</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hint="eastAsia" w:ascii="宋体" w:hAnsi="宋体" w:eastAsia="宋体" w:cs="Times New Roman"/>
          <w:bCs/>
          <w:color w:val="000000"/>
          <w:sz w:val="24"/>
          <w:szCs w:val="24"/>
        </w:rPr>
        <w:t>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授权代表签字</w:t>
      </w:r>
      <w:r>
        <w:rPr>
          <w:rFonts w:hint="eastAsia" w:ascii="宋体" w:hAnsi="宋体" w:eastAsia="宋体" w:cs="Times New Roman"/>
          <w:bCs/>
          <w:color w:val="000000"/>
          <w:sz w:val="24"/>
          <w:szCs w:val="24"/>
        </w:rPr>
        <w:t>：</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黑体" w:hAnsi="Calibri" w:eastAsia="黑体" w:cs="Times New Roman"/>
          <w:color w:val="000000"/>
          <w:sz w:val="24"/>
          <w:szCs w:val="24"/>
        </w:rPr>
      </w:pPr>
    </w:p>
    <w:p>
      <w:pPr>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pStyle w:val="22"/>
        <w:rPr>
          <w:rFonts w:ascii="黑体" w:hAnsi="Calibri" w:eastAsia="黑体" w:cs="Times New Roman"/>
          <w:color w:val="000000"/>
          <w:sz w:val="24"/>
          <w:szCs w:val="24"/>
        </w:rPr>
      </w:pPr>
    </w:p>
    <w:p>
      <w:pPr>
        <w:rPr>
          <w:rFonts w:ascii="黑体" w:hAnsi="Calibri" w:eastAsia="黑体" w:cs="Times New Roman"/>
          <w:color w:val="000000"/>
          <w:sz w:val="24"/>
          <w:szCs w:val="24"/>
        </w:r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w:t>
      </w:r>
      <w:r>
        <w:rPr>
          <w:rFonts w:ascii="Times New Roman" w:hAnsi="Times New Roman" w:eastAsia="宋体" w:cs="Times New Roman"/>
          <w:b/>
          <w:bCs/>
          <w:color w:val="000000"/>
          <w:sz w:val="24"/>
          <w:szCs w:val="24"/>
        </w:rPr>
        <w:t xml:space="preserve">2 </w:t>
      </w:r>
      <w:r>
        <w:rPr>
          <w:rFonts w:hint="eastAsia" w:ascii="Times New Roman" w:hAnsi="Times New Roman" w:eastAsia="宋体" w:cs="Times New Roman"/>
          <w:b/>
          <w:bCs/>
          <w:color w:val="000000"/>
          <w:sz w:val="24"/>
          <w:szCs w:val="24"/>
        </w:rPr>
        <w:t>法定代表人授权委托书</w:t>
      </w:r>
    </w:p>
    <w:p>
      <w:pPr>
        <w:adjustRightInd w:val="0"/>
        <w:snapToGrid w:val="0"/>
        <w:spacing w:before="93" w:beforeLines="30" w:line="240" w:lineRule="exact"/>
        <w:jc w:val="center"/>
        <w:rPr>
          <w:rFonts w:ascii="宋体" w:hAnsi="Calibri" w:eastAsia="宋体" w:cs="Times New Roman"/>
          <w:sz w:val="24"/>
          <w:szCs w:val="20"/>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本授权委托书声明：我＿＿＿＿＿＿＿（姓名）系＿＿＿＿＿＿＿＿＿＿＿＿＿＿＿＿＿＿＿＿＿＿＿＿＿＿＿＿（投标人全称）的法定代表人，就</w:t>
      </w:r>
      <w:r>
        <w:rPr>
          <w:rFonts w:ascii="宋体" w:hAnsi="宋体" w:eastAsia="宋体" w:cs="Times New Roman"/>
          <w:b/>
          <w:bCs/>
          <w:color w:val="000000"/>
          <w:sz w:val="24"/>
          <w:szCs w:val="24"/>
          <w:u w:val="single"/>
        </w:rPr>
        <w:t xml:space="preserve"> </w:t>
      </w:r>
      <w:r>
        <w:rPr>
          <w:rFonts w:hint="eastAsia" w:ascii="宋体" w:hAnsi="宋体" w:eastAsia="宋体" w:cs="宋体"/>
          <w:sz w:val="24"/>
          <w:u w:val="single"/>
          <w:lang w:val="en-US" w:eastAsia="zh-CN"/>
        </w:rPr>
        <w:t xml:space="preserve">  </w:t>
      </w:r>
      <w:r>
        <w:rPr>
          <w:rFonts w:hint="eastAsia" w:ascii="宋体" w:hAnsi="宋体" w:eastAsia="宋体" w:cs="宋体"/>
          <w:color w:val="000000"/>
          <w:sz w:val="24"/>
          <w:szCs w:val="24"/>
          <w:u w:val="single"/>
        </w:rPr>
        <w:t xml:space="preserve"> </w:t>
      </w:r>
      <w:r>
        <w:rPr>
          <w:rFonts w:hint="eastAsia" w:ascii="宋体" w:hAnsi="宋体" w:eastAsia="宋体" w:cs="Times New Roman"/>
          <w:color w:val="000000"/>
          <w:sz w:val="24"/>
          <w:szCs w:val="24"/>
          <w:highlight w:val="none"/>
        </w:rPr>
        <w:t>（</w:t>
      </w:r>
      <w:r>
        <w:rPr>
          <w:rFonts w:hint="eastAsia" w:ascii="宋体" w:hAnsi="宋体" w:eastAsia="宋体" w:cs="Times New Roman"/>
          <w:color w:val="000000"/>
          <w:sz w:val="24"/>
          <w:szCs w:val="24"/>
          <w:highlight w:val="none"/>
          <w:lang w:val="en-US" w:eastAsia="zh-CN"/>
        </w:rPr>
        <w:t>项目编号</w:t>
      </w:r>
      <w:r>
        <w:rPr>
          <w:rFonts w:hint="eastAsia" w:ascii="宋体" w:hAnsi="宋体" w:eastAsia="宋体" w:cs="Times New Roman"/>
          <w:color w:val="000000"/>
          <w:sz w:val="24"/>
          <w:szCs w:val="24"/>
          <w:highlight w:val="none"/>
        </w:rPr>
        <w:t>）现授权委托＿＿＿＿＿＿＿＿＿＿＿＿＿＿＿＿＿＿＿＿＿＿＿＿＿＿＿＿（单位名</w:t>
      </w:r>
      <w:r>
        <w:rPr>
          <w:rFonts w:hint="eastAsia" w:ascii="宋体" w:hAnsi="宋体" w:eastAsia="宋体" w:cs="Times New Roman"/>
          <w:color w:val="000000"/>
          <w:sz w:val="24"/>
          <w:szCs w:val="24"/>
        </w:rPr>
        <w:t>称）的＿＿＿＿＿＿＿＿（姓名、职务）为我公司全权代表，全权代表在投标文件、评标过程中的书面承诺、合同等所签署的一切文件和处理与之有关的一切事务，我均予以承认。</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全权代表无转委权。特此委托。</w:t>
      </w:r>
    </w:p>
    <w:tbl>
      <w:tblPr>
        <w:tblStyle w:val="41"/>
        <w:tblW w:w="8590" w:type="dxa"/>
        <w:jc w:val="center"/>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8590"/>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3407" w:hRule="atLeast"/>
          <w:jc w:val="center"/>
        </w:trPr>
        <w:tc>
          <w:tcPr>
            <w:tcW w:w="8590" w:type="dxa"/>
            <w:tcBorders>
              <w:top w:val="single" w:color="auto" w:sz="4" w:space="0"/>
              <w:bottom w:val="single" w:color="auto" w:sz="4" w:space="0"/>
            </w:tcBorders>
            <w:vAlign w:val="center"/>
          </w:tcPr>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附法人身份证明复印件（</w:t>
            </w:r>
            <w:r>
              <w:rPr>
                <w:rFonts w:hint="eastAsia" w:ascii="宋体" w:hAnsi="宋体" w:eastAsia="宋体" w:cs="Times New Roman"/>
                <w:color w:val="000000" w:themeColor="text1"/>
                <w:sz w:val="24"/>
                <w:szCs w:val="20"/>
                <w14:textFill>
                  <w14:solidFill>
                    <w14:schemeClr w14:val="tx1"/>
                  </w14:solidFill>
                </w14:textFill>
              </w:rPr>
              <w:t>正反面）</w:t>
            </w:r>
          </w:p>
          <w:p>
            <w:pPr>
              <w:adjustRightInd w:val="0"/>
              <w:snapToGrid w:val="0"/>
              <w:spacing w:before="93" w:beforeLines="30" w:line="312" w:lineRule="auto"/>
              <w:jc w:val="center"/>
              <w:rPr>
                <w:rFonts w:ascii="宋体" w:hAnsi="Calibri" w:eastAsia="宋体" w:cs="Times New Roman"/>
                <w:sz w:val="24"/>
                <w:szCs w:val="20"/>
              </w:rPr>
            </w:pPr>
            <w:r>
              <w:rPr>
                <w:rFonts w:hint="eastAsia" w:ascii="宋体" w:hAnsi="宋体" w:eastAsia="宋体" w:cs="Times New Roman"/>
                <w:sz w:val="24"/>
                <w:szCs w:val="20"/>
              </w:rPr>
              <w:t>附授权代理人身份证明复印件（正反面）</w:t>
            </w: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全权代表姓名：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性别：</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年龄：</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单位：</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部门：</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职务：</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法定代表人签字或盖章</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被授权人签字</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被授权人电话：</w:t>
      </w:r>
      <w:r>
        <w:rPr>
          <w:rFonts w:ascii="宋体" w:hAnsi="宋体" w:eastAsia="宋体" w:cs="Times New Roman"/>
          <w:color w:val="000000"/>
          <w:sz w:val="24"/>
          <w:szCs w:val="24"/>
          <w:u w:val="single"/>
        </w:rPr>
        <w:t xml:space="preserve">                </w:t>
      </w:r>
      <w:r>
        <w:rPr>
          <w:rFonts w:hint="eastAsia" w:ascii="宋体" w:hAnsi="宋体" w:eastAsia="宋体" w:cs="Times New Roman"/>
          <w:color w:val="000000"/>
          <w:sz w:val="24"/>
          <w:szCs w:val="24"/>
          <w:u w:val="single"/>
        </w:rPr>
        <w:t>（须为移动电话）</w:t>
      </w:r>
      <w:r>
        <w:rPr>
          <w:rFonts w:ascii="宋体" w:hAnsi="宋体" w:eastAsia="宋体" w:cs="Times New Roman"/>
          <w:color w:val="000000"/>
          <w:sz w:val="24"/>
          <w:szCs w:val="24"/>
        </w:rPr>
        <w:t xml:space="preserve">    </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投标人名称（公章）</w:t>
      </w:r>
      <w:r>
        <w:rPr>
          <w:rFonts w:ascii="宋体" w:hAnsi="宋体" w:eastAsia="宋体" w:cs="Times New Roman"/>
          <w:color w:val="000000"/>
          <w:sz w:val="24"/>
          <w:szCs w:val="24"/>
        </w:rPr>
        <w:t xml:space="preserve">                       </w:t>
      </w:r>
    </w:p>
    <w:p>
      <w:pPr>
        <w:spacing w:line="460" w:lineRule="exact"/>
        <w:ind w:firstLine="5520" w:firstLineChars="2300"/>
        <w:rPr>
          <w:rFonts w:ascii="宋体" w:hAnsi="Calibri"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Calibri" w:hAnsi="Calibri" w:eastAsia="黑体" w:cs="Times New Roman"/>
          <w:b/>
          <w:bCs/>
          <w:color w:val="000000"/>
          <w:sz w:val="28"/>
          <w:szCs w:val="20"/>
        </w:rPr>
      </w:pPr>
    </w:p>
    <w:p>
      <w:pPr>
        <w:pStyle w:val="22"/>
        <w:rPr>
          <w:rFonts w:ascii="Calibri" w:hAnsi="Calibri" w:eastAsia="黑体" w:cs="Times New Roman"/>
          <w:b/>
          <w:bCs/>
          <w:color w:val="000000"/>
          <w:sz w:val="28"/>
          <w:szCs w:val="20"/>
        </w:rPr>
        <w:sectPr>
          <w:pgSz w:w="11906" w:h="16838"/>
          <w:pgMar w:top="1588" w:right="1418" w:bottom="1134" w:left="1418" w:header="851" w:footer="992" w:gutter="0"/>
          <w:cols w:space="720" w:num="1"/>
          <w:titlePg/>
          <w:docGrid w:type="lines" w:linePitch="312" w:charSpace="0"/>
        </w:sectPr>
      </w:pPr>
    </w:p>
    <w:p>
      <w:pPr>
        <w:keepNext/>
        <w:keepLines/>
        <w:outlineLvl w:val="2"/>
        <w:rPr>
          <w:rFonts w:hint="eastAsia" w:ascii="宋体" w:hAnsi="宋体" w:eastAsia="宋体" w:cs="宋体"/>
          <w:spacing w:val="-9"/>
          <w:sz w:val="24"/>
          <w:szCs w:val="24"/>
          <w14:textOutline w14:w="4356" w14:cap="flat" w14:cmpd="sng" w14:algn="ctr">
            <w14:solidFill>
              <w14:srgbClr w14:val="000000"/>
            </w14:solidFill>
            <w14:prstDash w14:val="solid"/>
            <w14:miter w14:val="0"/>
          </w14:textOutline>
        </w:rPr>
      </w:pP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附</w:t>
      </w:r>
      <w:r>
        <w:rPr>
          <w:rFonts w:hint="eastAsia" w:ascii="宋体" w:hAnsi="宋体" w:eastAsia="宋体" w:cs="宋体"/>
          <w:spacing w:val="-14"/>
          <w:sz w:val="24"/>
          <w:szCs w:val="24"/>
          <w14:textOutline w14:w="4356" w14:cap="sq" w14:cmpd="sng" w14:algn="ctr">
            <w14:solidFill>
              <w14:srgbClr w14:val="000000"/>
            </w14:solidFill>
            <w14:prstDash w14:val="solid"/>
            <w14:bevel/>
          </w14:textOutline>
        </w:rPr>
        <w:t>件</w:t>
      </w:r>
      <w:r>
        <w:rPr>
          <w:rFonts w:ascii="宋体" w:hAnsi="宋体" w:eastAsia="宋体" w:cs="宋体"/>
          <w:spacing w:val="-17"/>
          <w:sz w:val="24"/>
          <w:szCs w:val="24"/>
          <w14:textOutline w14:w="4356" w14:cap="sq" w14:cmpd="sng" w14:algn="ctr">
            <w14:solidFill>
              <w14:srgbClr w14:val="000000"/>
            </w14:solidFill>
            <w14:prstDash w14:val="solid"/>
            <w14:bevel/>
          </w14:textOutline>
        </w:rPr>
        <w:t>3</w:t>
      </w:r>
      <w:r>
        <w:rPr>
          <w:rFonts w:hint="eastAsia" w:ascii="宋体" w:hAnsi="宋体" w:eastAsia="宋体" w:cs="宋体"/>
          <w:spacing w:val="-17"/>
          <w:sz w:val="24"/>
          <w:szCs w:val="24"/>
          <w14:textOutline w14:w="4356" w14:cap="sq" w14:cmpd="sng" w14:algn="ctr">
            <w14:solidFill>
              <w14:srgbClr w14:val="000000"/>
            </w14:solidFill>
            <w14:prstDash w14:val="solid"/>
            <w14:bevel/>
          </w14:textOutline>
        </w:rPr>
        <w:t xml:space="preserve"> </w:t>
      </w:r>
      <w:r>
        <w:rPr>
          <w:rFonts w:hint="eastAsia" w:ascii="宋体" w:hAnsi="宋体" w:eastAsia="宋体" w:cs="宋体"/>
          <w:spacing w:val="15"/>
          <w:position w:val="3"/>
          <w:sz w:val="24"/>
          <w:szCs w:val="24"/>
          <w14:textOutline w14:w="4356" w14:cap="sq" w14:cmpd="sng" w14:algn="ctr">
            <w14:solidFill>
              <w14:srgbClr w14:val="000000"/>
            </w14:solidFill>
            <w14:prstDash w14:val="solid"/>
            <w14:bevel/>
          </w14:textOutline>
        </w:rPr>
        <w:t>投</w:t>
      </w:r>
      <w:r>
        <w:rPr>
          <w:rFonts w:hint="eastAsia" w:ascii="宋体" w:hAnsi="宋体" w:eastAsia="宋体" w:cs="宋体"/>
          <w:spacing w:val="8"/>
          <w:position w:val="3"/>
          <w:sz w:val="24"/>
          <w:szCs w:val="24"/>
          <w14:textOutline w14:w="4356" w14:cap="sq" w14:cmpd="sng" w14:algn="ctr">
            <w14:solidFill>
              <w14:srgbClr w14:val="000000"/>
            </w14:solidFill>
            <w14:prstDash w14:val="solid"/>
            <w14:bevel/>
          </w14:textOutline>
        </w:rPr>
        <w:t>标人基本情况及</w:t>
      </w:r>
      <w:r>
        <w:rPr>
          <w:rFonts w:hint="eastAsia" w:ascii="宋体" w:hAnsi="宋体" w:eastAsia="宋体" w:cs="宋体"/>
          <w:spacing w:val="8"/>
          <w:sz w:val="24"/>
          <w:szCs w:val="24"/>
          <w14:textOutline w14:w="4356" w14:cap="sq" w14:cmpd="sng" w14:algn="ctr">
            <w14:solidFill>
              <w14:srgbClr w14:val="000000"/>
            </w14:solidFill>
            <w14:prstDash w14:val="solid"/>
            <w14:bevel/>
          </w14:textOutline>
        </w:rPr>
        <w:t>资产情况汇总</w:t>
      </w:r>
      <w:r>
        <w:rPr>
          <w:rFonts w:hint="eastAsia" w:ascii="宋体" w:hAnsi="宋体" w:eastAsia="宋体" w:cs="宋体"/>
          <w:spacing w:val="7"/>
          <w:sz w:val="24"/>
          <w:szCs w:val="24"/>
          <w14:textOutline w14:w="4356" w14:cap="sq" w14:cmpd="sng" w14:algn="ctr">
            <w14:solidFill>
              <w14:srgbClr w14:val="000000"/>
            </w14:solidFill>
            <w14:prstDash w14:val="solid"/>
            <w14:bevel/>
          </w14:textOutline>
        </w:rPr>
        <w:t>表</w:t>
      </w:r>
    </w:p>
    <w:p>
      <w:pPr>
        <w:keepNext/>
        <w:keepLines/>
        <w:outlineLvl w:val="3"/>
        <w:rPr>
          <w:rFonts w:ascii="Times New Roman" w:hAnsi="Times New Roman" w:eastAsia="宋体" w:cs="Times New Roman"/>
          <w:b/>
          <w:bCs/>
          <w:color w:val="000000"/>
          <w:sz w:val="24"/>
          <w:szCs w:val="24"/>
        </w:rPr>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投标人基本情况表</w:t>
      </w:r>
    </w:p>
    <w:tbl>
      <w:tblPr>
        <w:tblStyle w:val="133"/>
        <w:tblpPr w:leftFromText="180" w:rightFromText="180" w:vertAnchor="text" w:horzAnchor="page" w:tblpX="1053" w:tblpY="310"/>
        <w:tblOverlap w:val="never"/>
        <w:tblW w:w="9456"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1956"/>
        <w:gridCol w:w="990"/>
        <w:gridCol w:w="1530"/>
        <w:gridCol w:w="1063"/>
        <w:gridCol w:w="1097"/>
        <w:gridCol w:w="1310"/>
        <w:gridCol w:w="1510"/>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11" w:hRule="atLeast"/>
        </w:trPr>
        <w:tc>
          <w:tcPr>
            <w:tcW w:w="1956" w:type="dxa"/>
          </w:tcPr>
          <w:p>
            <w:pPr>
              <w:pStyle w:val="135"/>
              <w:spacing w:before="114"/>
              <w:ind w:left="720"/>
              <w:rPr>
                <w:rFonts w:hint="eastAsia"/>
              </w:rPr>
            </w:pPr>
            <w:r>
              <w:t xml:space="preserve">企业名称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502" w:hRule="atLeast"/>
        </w:trPr>
        <w:tc>
          <w:tcPr>
            <w:tcW w:w="1956" w:type="dxa"/>
          </w:tcPr>
          <w:p>
            <w:pPr>
              <w:pStyle w:val="135"/>
              <w:spacing w:before="114"/>
              <w:ind w:left="720"/>
              <w:rPr>
                <w:rFonts w:hint="eastAsia"/>
              </w:rPr>
            </w:pPr>
            <w:r>
              <w:t xml:space="preserve">企业地址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6"/>
              <w:ind w:left="154"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 xml:space="preserve">联系人电话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76" w:hRule="atLeast"/>
        </w:trPr>
        <w:tc>
          <w:tcPr>
            <w:tcW w:w="1956" w:type="dxa"/>
          </w:tcPr>
          <w:p>
            <w:pPr>
              <w:pStyle w:val="135"/>
              <w:spacing w:before="111"/>
              <w:ind w:left="720"/>
              <w:rPr>
                <w:rFonts w:hint="eastAsia"/>
              </w:rPr>
            </w:pPr>
            <w:r>
              <w:t xml:space="preserve">企业性质 </w:t>
            </w:r>
          </w:p>
        </w:tc>
        <w:tc>
          <w:tcPr>
            <w:tcW w:w="4680" w:type="dxa"/>
            <w:gridSpan w:val="4"/>
            <w:vAlign w:val="center"/>
          </w:tcPr>
          <w:p>
            <w:pPr>
              <w:widowControl/>
              <w:jc w:val="center"/>
              <w:textAlignment w:val="center"/>
              <w:rPr>
                <w:rFonts w:hint="eastAsia" w:ascii="宋体" w:hAnsi="宋体" w:eastAsia="宋体" w:cs="宋体"/>
                <w:color w:val="000000" w:themeColor="text1"/>
                <w14:textFill>
                  <w14:solidFill>
                    <w14:schemeClr w14:val="tx1"/>
                  </w14:solidFill>
                </w14:textFill>
              </w:rPr>
            </w:pPr>
          </w:p>
        </w:tc>
        <w:tc>
          <w:tcPr>
            <w:tcW w:w="1310" w:type="dxa"/>
          </w:tcPr>
          <w:p>
            <w:pPr>
              <w:pStyle w:val="135"/>
              <w:spacing w:before="103"/>
              <w:ind w:left="154" w:right="26"/>
              <w:jc w:val="center"/>
              <w:rPr>
                <w:rFonts w:hint="eastAsia"/>
                <w:color w:val="000000" w:themeColor="text1"/>
                <w14:textFill>
                  <w14:solidFill>
                    <w14:schemeClr w14:val="tx1"/>
                  </w14:solidFill>
                </w14:textFill>
              </w:rPr>
            </w:pPr>
            <w:r>
              <w:rPr>
                <w:rFonts w:hint="eastAsia"/>
                <w:color w:val="000000" w:themeColor="text1"/>
                <w14:textFill>
                  <w14:solidFill>
                    <w14:schemeClr w14:val="tx1"/>
                  </w14:solidFill>
                </w14:textFill>
              </w:rPr>
              <w:t>注册时间</w:t>
            </w:r>
            <w:r>
              <w:rPr>
                <w:color w:val="000000" w:themeColor="text1"/>
                <w14:textFill>
                  <w14:solidFill>
                    <w14:schemeClr w14:val="tx1"/>
                  </w14:solidFill>
                </w14:textFill>
              </w:rPr>
              <w:t xml:space="preserve"> </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64" w:hRule="atLeast"/>
        </w:trPr>
        <w:tc>
          <w:tcPr>
            <w:tcW w:w="1956" w:type="dxa"/>
          </w:tcPr>
          <w:p>
            <w:pPr>
              <w:pStyle w:val="135"/>
              <w:spacing w:before="111"/>
              <w:ind w:left="509"/>
              <w:rPr>
                <w:rFonts w:hint="eastAsia"/>
                <w:highlight w:val="yellow"/>
              </w:rPr>
            </w:pPr>
            <w:r>
              <w:t xml:space="preserve">企业法人代表  </w:t>
            </w:r>
          </w:p>
        </w:tc>
        <w:tc>
          <w:tcPr>
            <w:tcW w:w="4680" w:type="dxa"/>
            <w:gridSpan w:val="4"/>
          </w:tcPr>
          <w:p>
            <w:pPr>
              <w:pStyle w:val="4"/>
              <w:keepNext w:val="0"/>
              <w:keepLines w:val="0"/>
              <w:widowControl/>
              <w:shd w:val="clear" w:color="auto" w:fill="FFFFFF"/>
              <w:spacing w:before="0" w:after="0" w:line="450" w:lineRule="atLeast"/>
              <w:rPr>
                <w:rFonts w:hint="eastAsia" w:ascii="宋体" w:hAnsi="宋体" w:cs="宋体"/>
                <w:color w:val="000000" w:themeColor="text1"/>
                <w14:textFill>
                  <w14:solidFill>
                    <w14:schemeClr w14:val="tx1"/>
                  </w14:solidFill>
                </w14:textFill>
              </w:rPr>
            </w:pPr>
          </w:p>
        </w:tc>
        <w:tc>
          <w:tcPr>
            <w:tcW w:w="1310" w:type="dxa"/>
          </w:tcPr>
          <w:p>
            <w:pPr>
              <w:pStyle w:val="135"/>
              <w:spacing w:before="103"/>
              <w:ind w:right="26"/>
              <w:jc w:val="center"/>
              <w:rPr>
                <w:rFonts w:hint="eastAsia"/>
                <w:color w:val="000000" w:themeColor="text1"/>
                <w14:textFill>
                  <w14:solidFill>
                    <w14:schemeClr w14:val="tx1"/>
                  </w14:solidFill>
                </w14:textFill>
              </w:rPr>
            </w:pPr>
            <w:r>
              <w:rPr>
                <w:color w:val="000000" w:themeColor="text1"/>
                <w14:textFill>
                  <w14:solidFill>
                    <w14:schemeClr w14:val="tx1"/>
                  </w14:solidFill>
                </w14:textFill>
              </w:rPr>
              <w:t>企业资质</w:t>
            </w:r>
          </w:p>
        </w:tc>
        <w:tc>
          <w:tcPr>
            <w:tcW w:w="1510" w:type="dxa"/>
            <w:vAlign w:val="center"/>
          </w:tcPr>
          <w:p>
            <w:pPr>
              <w:widowControl/>
              <w:jc w:val="center"/>
              <w:textAlignment w:val="center"/>
              <w:rPr>
                <w:rFonts w:hint="eastAsia" w:ascii="宋体" w:hAnsi="宋体" w:eastAsia="宋体" w:cs="宋体"/>
                <w:color w:val="000000" w:themeColor="text1"/>
                <w:szCs w:val="21"/>
                <w14:textFill>
                  <w14:solidFill>
                    <w14:schemeClr w14:val="tx1"/>
                  </w14:solidFill>
                </w14:textFill>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92" w:hRule="atLeast"/>
        </w:trPr>
        <w:tc>
          <w:tcPr>
            <w:tcW w:w="1956" w:type="dxa"/>
          </w:tcPr>
          <w:p>
            <w:pPr>
              <w:pStyle w:val="135"/>
              <w:spacing w:before="114"/>
              <w:ind w:left="720"/>
              <w:rPr>
                <w:rFonts w:hint="eastAsia"/>
              </w:rPr>
            </w:pPr>
            <w:r>
              <w:t xml:space="preserve">品牌区分 </w:t>
            </w:r>
          </w:p>
        </w:tc>
        <w:tc>
          <w:tcPr>
            <w:tcW w:w="7500" w:type="dxa"/>
            <w:gridSpan w:val="6"/>
          </w:tcPr>
          <w:p>
            <w:pPr>
              <w:pStyle w:val="135"/>
              <w:spacing w:before="106"/>
              <w:ind w:left="401"/>
              <w:rPr>
                <w:rFonts w:hint="eastAsia"/>
              </w:rPr>
            </w:pPr>
            <w:r>
              <w:t xml:space="preserve"> </w:t>
            </w:r>
            <w:r>
              <w:rPr/>
              <w:sym w:font="Wingdings 2" w:char="00A3"/>
            </w:r>
            <w:r>
              <w:t xml:space="preserve">自产 </w:t>
            </w:r>
            <w:r>
              <w:rPr/>
              <w:sym w:font="Wingdings 2" w:char="00A3"/>
            </w:r>
            <w:r>
              <w:t xml:space="preserve">总代理 </w:t>
            </w:r>
            <w:r>
              <w:rPr/>
              <w:sym w:font="Wingdings 2" w:char="00A3"/>
            </w:r>
            <w:r>
              <w:t xml:space="preserve">代理  </w:t>
            </w:r>
            <w:r>
              <w:rPr/>
              <w:sym w:font="Wingdings 2" w:char="00A3"/>
            </w:r>
            <w:r>
              <w:t xml:space="preserve">经销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Ex>
        <w:trPr>
          <w:trHeight w:val="492" w:hRule="atLeast"/>
        </w:trPr>
        <w:tc>
          <w:tcPr>
            <w:tcW w:w="1956" w:type="dxa"/>
          </w:tcPr>
          <w:p>
            <w:pPr>
              <w:pStyle w:val="135"/>
              <w:spacing w:before="178"/>
              <w:ind w:left="720"/>
              <w:rPr>
                <w:rFonts w:hint="eastAsia"/>
              </w:rPr>
            </w:pPr>
            <w:r>
              <w:t xml:space="preserve">品牌名称 </w:t>
            </w:r>
          </w:p>
        </w:tc>
        <w:tc>
          <w:tcPr>
            <w:tcW w:w="3583" w:type="dxa"/>
            <w:gridSpan w:val="3"/>
            <w:vAlign w:val="center"/>
          </w:tcPr>
          <w:p>
            <w:pPr>
              <w:widowControl/>
              <w:rPr>
                <w:rFonts w:hint="eastAsia" w:ascii="宋体" w:hAnsi="宋体" w:eastAsia="仿宋_GB2312"/>
                <w:kern w:val="0"/>
                <w:szCs w:val="21"/>
                <w:lang w:bidi="ar"/>
              </w:rPr>
            </w:pPr>
          </w:p>
        </w:tc>
        <w:tc>
          <w:tcPr>
            <w:tcW w:w="1097" w:type="dxa"/>
          </w:tcPr>
          <w:p>
            <w:pPr>
              <w:pStyle w:val="135"/>
              <w:spacing w:before="15"/>
              <w:ind w:left="279"/>
              <w:rPr>
                <w:rFonts w:hint="eastAsia"/>
              </w:rPr>
            </w:pPr>
            <w:r>
              <w:rPr>
                <w:spacing w:val="-2"/>
              </w:rPr>
              <w:t>质量</w:t>
            </w:r>
            <w:r>
              <w:t xml:space="preserve"> </w:t>
            </w:r>
          </w:p>
          <w:p>
            <w:pPr>
              <w:pStyle w:val="135"/>
              <w:spacing w:before="30" w:line="277" w:lineRule="exact"/>
              <w:ind w:left="279"/>
              <w:rPr>
                <w:rFonts w:hint="eastAsia"/>
              </w:rPr>
            </w:pPr>
            <w:r>
              <w:rPr>
                <w:rFonts w:hint="eastAsia"/>
              </w:rPr>
              <w:t>体系</w:t>
            </w:r>
          </w:p>
        </w:tc>
        <w:tc>
          <w:tcPr>
            <w:tcW w:w="2820" w:type="dxa"/>
            <w:gridSpan w:val="2"/>
          </w:tcPr>
          <w:p>
            <w:pPr>
              <w:pStyle w:val="135"/>
              <w:spacing w:before="158"/>
              <w:jc w:val="center"/>
              <w:rPr>
                <w:rFonts w:hint="eastAsia"/>
                <w:sz w:val="24"/>
              </w:rPr>
            </w:pPr>
            <w:r>
              <w:rPr>
                <w:rFonts w:hint="eastAsia"/>
                <w:kern w:val="0"/>
                <w:szCs w:val="21"/>
                <w:lang w:bidi="ar"/>
              </w:rPr>
              <w:t>/</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405" w:hRule="atLeast"/>
        </w:trPr>
        <w:tc>
          <w:tcPr>
            <w:tcW w:w="9456" w:type="dxa"/>
            <w:gridSpan w:val="7"/>
          </w:tcPr>
          <w:p>
            <w:pPr>
              <w:pStyle w:val="135"/>
              <w:spacing w:before="149"/>
              <w:ind w:left="3345" w:right="3223"/>
              <w:jc w:val="center"/>
              <w:rPr>
                <w:rFonts w:hint="eastAsia"/>
              </w:rPr>
            </w:pPr>
            <w:r>
              <w:rPr>
                <w:rFonts w:hint="eastAsia"/>
                <w:szCs w:val="21"/>
              </w:rPr>
              <w:t>单位概况</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9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spacing w:val="-2"/>
                <w:szCs w:val="21"/>
              </w:rPr>
              <w:t>参保</w:t>
            </w:r>
            <w:r>
              <w:rPr>
                <w:rFonts w:ascii="宋体" w:hAnsi="宋体" w:eastAsia="宋体" w:cs="宋体"/>
                <w:spacing w:val="-2"/>
                <w:szCs w:val="21"/>
              </w:rPr>
              <w:t>职工总人</w:t>
            </w:r>
            <w:r>
              <w:rPr>
                <w:rFonts w:ascii="宋体" w:hAnsi="宋体" w:eastAsia="宋体" w:cs="宋体"/>
                <w:spacing w:val="-1"/>
                <w:szCs w:val="21"/>
              </w:rPr>
              <w:t>数</w:t>
            </w:r>
          </w:p>
        </w:tc>
        <w:tc>
          <w:tcPr>
            <w:tcW w:w="990" w:type="dxa"/>
            <w:vAlign w:val="center"/>
          </w:tcPr>
          <w:p>
            <w:pPr>
              <w:widowControl/>
              <w:textAlignment w:val="center"/>
              <w:rPr>
                <w:rFonts w:hint="eastAsia" w:ascii="宋体" w:hAnsi="宋体" w:eastAsia="宋体" w:cs="宋体"/>
                <w:szCs w:val="21"/>
              </w:rPr>
            </w:pPr>
          </w:p>
        </w:tc>
        <w:tc>
          <w:tcPr>
            <w:tcW w:w="1530"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2"/>
                <w:szCs w:val="21"/>
              </w:rPr>
              <w:t>工程技术人</w:t>
            </w:r>
            <w:r>
              <w:rPr>
                <w:rFonts w:ascii="宋体" w:hAnsi="宋体" w:eastAsia="宋体" w:cs="宋体"/>
                <w:spacing w:val="-1"/>
                <w:szCs w:val="21"/>
              </w:rPr>
              <w:t>员</w:t>
            </w:r>
          </w:p>
        </w:tc>
        <w:tc>
          <w:tcPr>
            <w:tcW w:w="1063" w:type="dxa"/>
            <w:vAlign w:val="center"/>
          </w:tcPr>
          <w:p>
            <w:pPr>
              <w:widowControl/>
              <w:jc w:val="center"/>
              <w:textAlignment w:val="center"/>
              <w:rPr>
                <w:rFonts w:hint="eastAsia" w:ascii="宋体" w:hAnsi="宋体" w:eastAsia="宋体" w:cs="宋体"/>
                <w:szCs w:val="21"/>
              </w:rPr>
            </w:pPr>
          </w:p>
        </w:tc>
        <w:tc>
          <w:tcPr>
            <w:tcW w:w="1097" w:type="dxa"/>
            <w:vAlign w:val="center"/>
          </w:tcPr>
          <w:p>
            <w:pPr>
              <w:widowControl/>
              <w:textAlignment w:val="center"/>
              <w:rPr>
                <w:rFonts w:hint="eastAsia" w:ascii="宋体" w:hAnsi="宋体" w:eastAsia="宋体" w:cs="宋体"/>
                <w:szCs w:val="21"/>
              </w:rPr>
            </w:pPr>
            <w:r>
              <w:rPr>
                <w:rFonts w:ascii="宋体" w:hAnsi="宋体" w:eastAsia="宋体" w:cs="宋体"/>
                <w:spacing w:val="-3"/>
                <w:szCs w:val="21"/>
              </w:rPr>
              <w:t>生</w:t>
            </w:r>
            <w:r>
              <w:rPr>
                <w:rFonts w:ascii="宋体" w:hAnsi="宋体" w:eastAsia="宋体" w:cs="宋体"/>
                <w:spacing w:val="-2"/>
                <w:szCs w:val="21"/>
              </w:rPr>
              <w:t>产</w:t>
            </w:r>
            <w:r>
              <w:rPr>
                <w:rFonts w:hint="eastAsia" w:ascii="宋体" w:hAnsi="宋体" w:eastAsia="宋体" w:cs="宋体"/>
                <w:spacing w:val="-2"/>
                <w:szCs w:val="21"/>
              </w:rPr>
              <w:t>、销售人员</w:t>
            </w:r>
          </w:p>
        </w:tc>
        <w:tc>
          <w:tcPr>
            <w:tcW w:w="2820" w:type="dxa"/>
            <w:gridSpan w:val="2"/>
            <w:vAlign w:val="center"/>
          </w:tcPr>
          <w:p>
            <w:pPr>
              <w:widowControl/>
              <w:jc w:val="center"/>
              <w:textAlignment w:val="center"/>
              <w:rPr>
                <w:rFonts w:hint="eastAsia" w:ascii="宋体" w:hAnsi="宋体" w:eastAsia="宋体" w:cs="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97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企业优势、关键产品特点</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86"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color w:val="000000"/>
                <w:kern w:val="0"/>
                <w:szCs w:val="21"/>
                <w:lang w:bidi="ar"/>
              </w:rPr>
              <w:t>企业行业水平及行业口碑</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49" w:hRule="atLeast"/>
        </w:trPr>
        <w:tc>
          <w:tcPr>
            <w:tcW w:w="1956" w:type="dxa"/>
            <w:vAlign w:val="center"/>
          </w:tcPr>
          <w:p>
            <w:pPr>
              <w:widowControl/>
              <w:jc w:val="center"/>
              <w:textAlignment w:val="center"/>
              <w:rPr>
                <w:rFonts w:hint="eastAsia" w:ascii="宋体" w:hAnsi="宋体" w:eastAsia="宋体" w:cs="宋体"/>
                <w:szCs w:val="21"/>
              </w:rPr>
            </w:pPr>
            <w:r>
              <w:rPr>
                <w:rFonts w:ascii="宋体" w:hAnsi="宋体" w:eastAsia="宋体" w:cs="宋体"/>
                <w:spacing w:val="-10"/>
                <w:szCs w:val="21"/>
              </w:rPr>
              <w:t>公</w:t>
            </w:r>
            <w:r>
              <w:rPr>
                <w:rFonts w:ascii="宋体" w:hAnsi="宋体" w:eastAsia="宋体" w:cs="宋体"/>
                <w:spacing w:val="-7"/>
                <w:szCs w:val="21"/>
              </w:rPr>
              <w:t>司</w:t>
            </w:r>
            <w:r>
              <w:rPr>
                <w:rFonts w:ascii="宋体" w:hAnsi="宋体" w:eastAsia="宋体" w:cs="宋体"/>
                <w:spacing w:val="-5"/>
                <w:szCs w:val="21"/>
              </w:rPr>
              <w:t>现有主要研发、</w:t>
            </w:r>
            <w:r>
              <w:rPr>
                <w:rFonts w:ascii="宋体" w:hAnsi="宋体" w:eastAsia="宋体" w:cs="宋体"/>
                <w:szCs w:val="21"/>
              </w:rPr>
              <w:t xml:space="preserve"> </w:t>
            </w:r>
            <w:r>
              <w:rPr>
                <w:rFonts w:ascii="宋体" w:hAnsi="宋体" w:eastAsia="宋体" w:cs="宋体"/>
                <w:spacing w:val="-4"/>
                <w:szCs w:val="21"/>
              </w:rPr>
              <w:t>实</w:t>
            </w:r>
            <w:r>
              <w:rPr>
                <w:rFonts w:ascii="宋体" w:hAnsi="宋体" w:eastAsia="宋体" w:cs="宋体"/>
                <w:spacing w:val="-2"/>
                <w:szCs w:val="21"/>
              </w:rPr>
              <w:t>验、生产设备</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105"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近三或五年企业类似业绩及履约情况</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jc w:val="center"/>
              <w:textAlignment w:val="center"/>
              <w:rPr>
                <w:rFonts w:hint="eastAsia" w:ascii="宋体" w:hAnsi="宋体" w:eastAsia="宋体" w:cs="宋体"/>
                <w:szCs w:val="21"/>
              </w:rPr>
            </w:pPr>
            <w:r>
              <w:rPr>
                <w:rFonts w:hint="eastAsia" w:ascii="宋体" w:hAnsi="宋体" w:eastAsia="宋体" w:cs="宋体"/>
                <w:kern w:val="0"/>
                <w:szCs w:val="21"/>
                <w:lang w:bidi="ar"/>
              </w:rPr>
              <w:t>售后服务及质量</w:t>
            </w:r>
          </w:p>
        </w:tc>
        <w:tc>
          <w:tcPr>
            <w:tcW w:w="7500" w:type="dxa"/>
            <w:gridSpan w:val="6"/>
            <w:vAlign w:val="center"/>
          </w:tcPr>
          <w:p>
            <w:pPr>
              <w:widowControl/>
              <w:jc w:val="left"/>
              <w:rPr>
                <w:rFonts w:hint="eastAsia" w:ascii="宋体" w:hAnsi="宋体" w:eastAsia="宋体" w:cs="宋体"/>
                <w:szCs w:val="21"/>
              </w:rPr>
            </w:pPr>
            <w:r>
              <w:rPr>
                <w:rFonts w:hint="eastAsia" w:ascii="宋体" w:hAnsi="宋体" w:eastAsia="宋体" w:cs="宋体"/>
                <w:kern w:val="0"/>
                <w:szCs w:val="21"/>
                <w:lang w:bidi="ar"/>
              </w:rPr>
              <w:t>　</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1020" w:hRule="atLeast"/>
        </w:trPr>
        <w:tc>
          <w:tcPr>
            <w:tcW w:w="1956" w:type="dxa"/>
            <w:vAlign w:val="center"/>
          </w:tcPr>
          <w:p>
            <w:pPr>
              <w:widowControl/>
              <w:textAlignment w:val="center"/>
              <w:rPr>
                <w:rFonts w:hint="eastAsia" w:ascii="宋体" w:hAnsi="宋体" w:eastAsia="宋体" w:cs="宋体"/>
                <w:kern w:val="0"/>
                <w:szCs w:val="21"/>
                <w:lang w:bidi="ar"/>
              </w:rPr>
            </w:pPr>
            <w:r>
              <w:rPr>
                <w:rFonts w:ascii="宋体" w:hAnsi="宋体" w:eastAsia="宋体" w:cs="宋体"/>
                <w:spacing w:val="-4"/>
                <w:szCs w:val="21"/>
              </w:rPr>
              <w:t>对本项目在设计、制造、进度、财务等方面采取的组织措施和相</w:t>
            </w:r>
            <w:r>
              <w:rPr>
                <w:rFonts w:ascii="宋体" w:hAnsi="宋体" w:eastAsia="宋体" w:cs="宋体"/>
                <w:spacing w:val="-2"/>
                <w:szCs w:val="21"/>
              </w:rPr>
              <w:t>关</w:t>
            </w:r>
            <w:r>
              <w:rPr>
                <w:rFonts w:ascii="宋体" w:hAnsi="宋体" w:eastAsia="宋体" w:cs="宋体"/>
                <w:spacing w:val="-3"/>
                <w:szCs w:val="21"/>
              </w:rPr>
              <w:t>人</w:t>
            </w:r>
            <w:r>
              <w:rPr>
                <w:rFonts w:ascii="宋体" w:hAnsi="宋体" w:eastAsia="宋体" w:cs="宋体"/>
                <w:spacing w:val="-2"/>
                <w:szCs w:val="21"/>
              </w:rPr>
              <w:t>员简介</w:t>
            </w:r>
          </w:p>
        </w:tc>
        <w:tc>
          <w:tcPr>
            <w:tcW w:w="7500" w:type="dxa"/>
            <w:gridSpan w:val="6"/>
            <w:vAlign w:val="center"/>
          </w:tcPr>
          <w:p>
            <w:pPr>
              <w:widowControl/>
              <w:jc w:val="left"/>
              <w:rPr>
                <w:rFonts w:hint="eastAsia" w:ascii="宋体" w:hAnsi="宋体" w:eastAsia="宋体" w:cs="宋体"/>
                <w:kern w:val="0"/>
                <w:szCs w:val="21"/>
                <w:lang w:bidi="ar"/>
              </w:rPr>
            </w:pPr>
          </w:p>
        </w:tc>
      </w:tr>
    </w:tbl>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rPr>
          <w:rFonts w:ascii="Times New Roman" w:hAnsi="Times New Roman" w:eastAsia="宋体" w:cs="Times New Roman"/>
          <w:b/>
          <w:bCs/>
          <w:color w:val="000000"/>
          <w:sz w:val="24"/>
          <w:szCs w:val="24"/>
        </w:rPr>
      </w:pPr>
    </w:p>
    <w:p>
      <w:pPr>
        <w:pStyle w:val="22"/>
        <w:outlineLvl w:val="3"/>
        <w:rPr>
          <w:rFonts w:ascii="Times New Roman" w:hAnsi="Times New Roman" w:eastAsia="宋体" w:cs="Times New Roman"/>
          <w:b/>
          <w:bCs/>
          <w:color w:val="000000"/>
          <w:sz w:val="24"/>
          <w:szCs w:val="24"/>
        </w:rPr>
      </w:pPr>
      <w:r>
        <w:rPr>
          <w:rFonts w:hAnsi="宋体" w:eastAsia="宋体" w:cs="宋体"/>
          <w:spacing w:val="-9"/>
          <w:sz w:val="24"/>
          <w:szCs w:val="24"/>
          <w14:textOutline w14:w="4356" w14:cap="flat" w14:cmpd="sng" w14:algn="ctr">
            <w14:solidFill>
              <w14:srgbClr w14:val="000000"/>
            </w14:solidFill>
            <w14:prstDash w14:val="solid"/>
            <w14:miter w14:val="0"/>
          </w14:textOutline>
        </w:rPr>
        <w:t>表</w:t>
      </w:r>
      <w:r>
        <w:rPr>
          <w:rFonts w:hAnsi="宋体" w:eastAsia="宋体" w:cs="宋体"/>
          <w:spacing w:val="-7"/>
          <w:sz w:val="24"/>
          <w:szCs w:val="24"/>
        </w:rPr>
        <w:t xml:space="preserve"> </w:t>
      </w:r>
      <w:r>
        <w:rPr>
          <w:rFonts w:hAnsi="宋体" w:eastAsia="宋体" w:cs="宋体"/>
          <w:spacing w:val="-7"/>
          <w:sz w:val="24"/>
          <w:szCs w:val="24"/>
          <w14:textOutline w14:w="4356" w14:cap="flat" w14:cmpd="sng" w14:algn="ctr">
            <w14:solidFill>
              <w14:srgbClr w14:val="000000"/>
            </w14:solidFill>
            <w14:prstDash w14:val="solid"/>
            <w14:miter w14:val="0"/>
          </w14:textOutline>
        </w:rPr>
        <w:t>2</w:t>
      </w:r>
      <w:r>
        <w:rPr>
          <w:rFonts w:hint="eastAsia" w:hAnsi="宋体" w:eastAsia="宋体" w:cs="宋体"/>
          <w:spacing w:val="-7"/>
          <w:sz w:val="24"/>
          <w:szCs w:val="24"/>
          <w14:textOutline w14:w="4356" w14:cap="flat" w14:cmpd="sng" w14:algn="ctr">
            <w14:solidFill>
              <w14:srgbClr w14:val="000000"/>
            </w14:solidFill>
            <w14:prstDash w14:val="solid"/>
            <w14:miter w14:val="0"/>
          </w14:textOutline>
        </w:rPr>
        <w:t xml:space="preserve"> </w:t>
      </w:r>
      <w:r>
        <w:rPr>
          <w:rFonts w:hint="eastAsia" w:ascii="Times New Roman" w:hAnsi="Times New Roman" w:eastAsia="宋体" w:cs="Times New Roman"/>
          <w:b/>
          <w:bCs/>
          <w:color w:val="000000"/>
          <w:sz w:val="24"/>
          <w:szCs w:val="24"/>
        </w:rPr>
        <w:t>资产情况汇总表</w:t>
      </w:r>
    </w:p>
    <w:p>
      <w:pPr>
        <w:pStyle w:val="22"/>
        <w:rPr>
          <w:rFonts w:ascii="Times New Roman" w:hAnsi="Times New Roman" w:eastAsia="宋体" w:cs="Times New Roman"/>
          <w:b/>
          <w:bCs/>
          <w:color w:val="000000"/>
          <w:sz w:val="24"/>
          <w:szCs w:val="24"/>
        </w:rPr>
      </w:pPr>
    </w:p>
    <w:tbl>
      <w:tblPr>
        <w:tblStyle w:val="41"/>
        <w:tblW w:w="0" w:type="auto"/>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4584"/>
        <w:gridCol w:w="1287"/>
        <w:gridCol w:w="1288"/>
        <w:gridCol w:w="12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8449" w:type="dxa"/>
            <w:gridSpan w:val="4"/>
            <w:vAlign w:val="center"/>
          </w:tcPr>
          <w:p>
            <w:pPr>
              <w:spacing w:line="440" w:lineRule="exact"/>
              <w:jc w:val="center"/>
              <w:rPr>
                <w:rFonts w:hint="eastAsia" w:ascii="宋体" w:hAnsi="宋体"/>
                <w:szCs w:val="24"/>
              </w:rPr>
            </w:pPr>
            <w:r>
              <w:rPr>
                <w:rFonts w:ascii="宋体" w:hAnsi="宋体" w:eastAsia="宋体"/>
                <w:color w:val="000000"/>
                <w:sz w:val="24"/>
                <w:szCs w:val="24"/>
                <w:u w:val="single"/>
              </w:rPr>
              <w:t xml:space="preserve">                   </w:t>
            </w:r>
            <w:r>
              <w:rPr>
                <w:rFonts w:hint="eastAsia" w:ascii="宋体" w:hAnsi="宋体" w:eastAsia="宋体"/>
                <w:color w:val="000000"/>
                <w:sz w:val="24"/>
                <w:szCs w:val="24"/>
              </w:rPr>
              <w:t>公司资产情况汇总表</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注册资本（万元）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highlight w:val="yellow"/>
              </w:rPr>
            </w:pPr>
            <w:r>
              <w:rPr>
                <w:rFonts w:hint="eastAsia" w:ascii="宋体" w:hAnsi="宋体" w:eastAsia="宋体"/>
                <w:color w:val="000000"/>
                <w:sz w:val="24"/>
                <w:szCs w:val="24"/>
                <w:highlight w:val="yellow"/>
              </w:rPr>
              <w:t>实缴资本</w:t>
            </w:r>
            <w:r>
              <w:rPr>
                <w:rFonts w:ascii="宋体" w:hAnsi="宋体" w:eastAsia="宋体"/>
                <w:color w:val="000000"/>
                <w:sz w:val="24"/>
                <w:szCs w:val="24"/>
                <w:highlight w:val="yellow"/>
              </w:rPr>
              <w:t>（万元）</w:t>
            </w:r>
          </w:p>
        </w:tc>
        <w:tc>
          <w:tcPr>
            <w:tcW w:w="3865" w:type="dxa"/>
            <w:gridSpan w:val="3"/>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年度资产情况</w:t>
            </w:r>
          </w:p>
        </w:tc>
        <w:tc>
          <w:tcPr>
            <w:tcW w:w="1287"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2022年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2023年</w:t>
            </w:r>
          </w:p>
        </w:tc>
        <w:tc>
          <w:tcPr>
            <w:tcW w:w="1288"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2024年</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非流动资产（万元）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营业收入（万元）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年底资产总值（万元）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年底负债总值（万元）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ascii="宋体" w:hAnsi="宋体" w:eastAsia="宋体"/>
                <w:color w:val="000000"/>
                <w:sz w:val="24"/>
                <w:szCs w:val="24"/>
              </w:rPr>
              <w:t>资产负债率</w:t>
            </w:r>
            <w:r>
              <w:rPr>
                <w:rFonts w:hint="eastAsia" w:ascii="宋体" w:hAnsi="宋体" w:eastAsia="宋体"/>
                <w:color w:val="000000"/>
                <w:sz w:val="24"/>
                <w:szCs w:val="24"/>
              </w:rPr>
              <w:t>（  %）</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净利润（万元）</w:t>
            </w:r>
          </w:p>
        </w:tc>
        <w:tc>
          <w:tcPr>
            <w:tcW w:w="1287"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c>
          <w:tcPr>
            <w:tcW w:w="1288" w:type="dxa"/>
          </w:tcPr>
          <w:p>
            <w:pPr>
              <w:spacing w:line="440" w:lineRule="exact"/>
              <w:jc w:val="center"/>
              <w:rPr>
                <w:rFonts w:hint="eastAsia" w:ascii="宋体" w:hAnsi="宋体"/>
                <w:color w:val="000000"/>
                <w:sz w:val="24"/>
                <w:szCs w:val="24"/>
                <w:highlight w:val="yellow"/>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未分配利润（万元）</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营运</w:t>
            </w:r>
            <w:r>
              <w:rPr>
                <w:rFonts w:ascii="宋体" w:hAnsi="宋体" w:eastAsia="宋体"/>
                <w:color w:val="000000"/>
                <w:sz w:val="24"/>
                <w:szCs w:val="24"/>
              </w:rPr>
              <w:t>资</w:t>
            </w:r>
            <w:r>
              <w:rPr>
                <w:rFonts w:hint="eastAsia" w:ascii="宋体" w:hAnsi="宋体" w:eastAsia="宋体"/>
                <w:color w:val="000000"/>
                <w:sz w:val="24"/>
                <w:szCs w:val="24"/>
              </w:rPr>
              <w:t>金</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737" w:hRule="atLeast"/>
          <w:jc w:val="center"/>
        </w:trPr>
        <w:tc>
          <w:tcPr>
            <w:tcW w:w="4584" w:type="dxa"/>
            <w:vAlign w:val="center"/>
          </w:tcPr>
          <w:p>
            <w:pPr>
              <w:spacing w:line="440" w:lineRule="exact"/>
              <w:jc w:val="center"/>
              <w:rPr>
                <w:rFonts w:hint="eastAsia" w:ascii="宋体" w:hAnsi="宋体"/>
                <w:color w:val="000000"/>
                <w:sz w:val="24"/>
                <w:szCs w:val="24"/>
              </w:rPr>
            </w:pPr>
            <w:r>
              <w:rPr>
                <w:rFonts w:hint="eastAsia" w:ascii="宋体" w:hAnsi="宋体" w:eastAsia="宋体"/>
                <w:color w:val="000000"/>
                <w:sz w:val="24"/>
                <w:szCs w:val="24"/>
              </w:rPr>
              <w:t>（本年营业收入-上年营业收入）÷上年营业收入</w:t>
            </w:r>
          </w:p>
        </w:tc>
        <w:tc>
          <w:tcPr>
            <w:tcW w:w="1287"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c>
          <w:tcPr>
            <w:tcW w:w="1288" w:type="dxa"/>
          </w:tcPr>
          <w:p>
            <w:pPr>
              <w:spacing w:line="440" w:lineRule="exact"/>
              <w:jc w:val="center"/>
              <w:rPr>
                <w:rFonts w:hint="eastAsia" w:ascii="宋体" w:hAnsi="宋体"/>
                <w:color w:val="000000"/>
                <w:sz w:val="24"/>
                <w:szCs w:val="24"/>
              </w:rPr>
            </w:pPr>
          </w:p>
        </w:tc>
      </w:tr>
    </w:tbl>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ind w:firstLine="240" w:firstLineChars="100"/>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19" w:type="first"/>
          <w:footerReference r:id="rId18"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附件4</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保密承诺函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rPr>
        <w:t>中国重汽</w:t>
      </w:r>
      <w:r>
        <w:rPr>
          <w:rFonts w:hint="eastAsia" w:ascii="宋体" w:hAnsi="宋体" w:eastAsia="宋体" w:cs="Times New Roman"/>
          <w:b/>
          <w:bCs/>
          <w:sz w:val="24"/>
          <w:szCs w:val="20"/>
          <w:highlight w:val="none"/>
        </w:rPr>
        <w:t>集团济南动力有限公司：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rPr>
        <w:t>我代表（投标人名称）对招标人的商业秘密作如下承诺：</w:t>
      </w:r>
    </w:p>
    <w:p>
      <w:pPr>
        <w:spacing w:line="360" w:lineRule="auto"/>
        <w:ind w:left="479" w:leftChars="228"/>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r>
        <w:rPr>
          <w:rFonts w:hint="eastAsia" w:ascii="宋体" w:hAnsi="宋体" w:eastAsia="宋体" w:cs="Times New Roman"/>
          <w:sz w:val="24"/>
          <w:szCs w:val="20"/>
          <w:u w:val="single"/>
        </w:rPr>
        <w:t>无论是否中标、是否签署合同，对获得的招标人商业秘密（包括但不限于产品和/或装备的技术文件、制造文件、实验文件和销售及售后服务文件等，如报告、通知、记录、会议纪要、备忘录、图纸、草图、样品、模型、企业标准、软件；不论以何种形式提供，如光盘、磁盘、录像带、照片或其他表述，无论该信息是以口头还是书面方式还是何种语言提供、是否标识为保密，也无论该等信息储存于任何载体）承担保密责任。</w:t>
      </w: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sectPr>
          <w:footerReference r:id="rId21" w:type="first"/>
          <w:footerReference r:id="rId20" w:type="default"/>
          <w:pgSz w:w="11906" w:h="16838"/>
          <w:pgMar w:top="1588" w:right="1418" w:bottom="1134" w:left="1418" w:header="851" w:footer="992" w:gutter="0"/>
          <w:cols w:space="720" w:num="1"/>
          <w:titlePg/>
          <w:docGrid w:type="lines" w:linePitch="312" w:charSpace="0"/>
        </w:sectPr>
      </w:pPr>
    </w:p>
    <w:p>
      <w:pPr>
        <w:keepNext/>
        <w:keepLines/>
        <w:ind w:firstLine="482" w:firstLineChars="200"/>
        <w:outlineLvl w:val="2"/>
        <w:rPr>
          <w:rFonts w:ascii="Times New Roman" w:hAnsi="Times New Roman" w:eastAsia="宋体" w:cs="Times New Roman"/>
          <w:b/>
          <w:bCs/>
          <w:color w:val="000000"/>
          <w:sz w:val="24"/>
          <w:szCs w:val="24"/>
        </w:rPr>
      </w:pPr>
      <w:r>
        <w:rPr>
          <w:rFonts w:hint="eastAsia" w:ascii="Times New Roman" w:hAnsi="Times New Roman" w:eastAsia="宋体" w:cs="宋体"/>
          <w:b/>
          <w:bCs/>
          <w:color w:val="000000"/>
          <w:sz w:val="24"/>
          <w:szCs w:val="24"/>
        </w:rPr>
        <w:t>附件5-1</w:t>
      </w:r>
      <w:r>
        <w:rPr>
          <w:rFonts w:ascii="Times New Roman" w:hAnsi="Times New Roman" w:eastAsia="宋体" w:cs="宋体"/>
          <w:b/>
          <w:bCs/>
          <w:color w:val="000000"/>
          <w:sz w:val="24"/>
          <w:szCs w:val="24"/>
        </w:rPr>
        <w:t xml:space="preserve"> </w:t>
      </w:r>
      <w:r>
        <w:rPr>
          <w:rFonts w:hint="eastAsia" w:ascii="Times New Roman" w:hAnsi="Times New Roman" w:eastAsia="宋体" w:cs="Times New Roman"/>
          <w:b/>
          <w:bCs/>
          <w:color w:val="000000"/>
          <w:sz w:val="24"/>
          <w:szCs w:val="24"/>
        </w:rPr>
        <w:t>技术规格偏离表</w:t>
      </w:r>
    </w:p>
    <w:p>
      <w:pPr>
        <w:spacing w:line="360" w:lineRule="auto"/>
        <w:ind w:firstLine="480" w:firstLineChars="200"/>
        <w:rPr>
          <w:rFonts w:hint="eastAsia" w:ascii="宋体" w:hAnsi="宋体" w:eastAsia="宋体" w:cs="Times New Roman"/>
          <w:color w:val="000000"/>
          <w:sz w:val="24"/>
          <w:szCs w:val="24"/>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8407" w:type="dxa"/>
        <w:tblInd w:w="649"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1385"/>
        <w:gridCol w:w="3190"/>
        <w:gridCol w:w="2540"/>
        <w:gridCol w:w="1292"/>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序号</w:t>
            </w:r>
          </w:p>
        </w:tc>
        <w:tc>
          <w:tcPr>
            <w:tcW w:w="319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招标要求</w:t>
            </w:r>
          </w:p>
        </w:tc>
        <w:tc>
          <w:tcPr>
            <w:tcW w:w="2540"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292" w:type="dxa"/>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523" w:hRule="exac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19" w:hRule="atLeast"/>
        </w:trPr>
        <w:tc>
          <w:tcPr>
            <w:tcW w:w="1385" w:type="dxa"/>
          </w:tcPr>
          <w:p>
            <w:pPr>
              <w:jc w:val="center"/>
              <w:rPr>
                <w:rFonts w:ascii="Times New Roman" w:hAnsi="Times New Roman" w:eastAsia="宋体" w:cs="Times New Roman"/>
                <w:b/>
                <w:sz w:val="24"/>
                <w:szCs w:val="20"/>
              </w:rPr>
            </w:pPr>
          </w:p>
        </w:tc>
        <w:tc>
          <w:tcPr>
            <w:tcW w:w="3190" w:type="dxa"/>
          </w:tcPr>
          <w:p>
            <w:pPr>
              <w:jc w:val="center"/>
              <w:rPr>
                <w:rFonts w:ascii="Times New Roman" w:hAnsi="Times New Roman" w:eastAsia="宋体" w:cs="Times New Roman"/>
                <w:b/>
                <w:sz w:val="24"/>
                <w:szCs w:val="20"/>
              </w:rPr>
            </w:pPr>
          </w:p>
        </w:tc>
        <w:tc>
          <w:tcPr>
            <w:tcW w:w="2540" w:type="dxa"/>
          </w:tcPr>
          <w:p>
            <w:pPr>
              <w:jc w:val="center"/>
              <w:rPr>
                <w:rFonts w:ascii="Times New Roman" w:hAnsi="Times New Roman" w:eastAsia="宋体" w:cs="Times New Roman"/>
                <w:b/>
                <w:sz w:val="24"/>
                <w:szCs w:val="20"/>
              </w:rPr>
            </w:pPr>
          </w:p>
        </w:tc>
        <w:tc>
          <w:tcPr>
            <w:tcW w:w="1292" w:type="dxa"/>
          </w:tcPr>
          <w:p>
            <w:pPr>
              <w:jc w:val="center"/>
              <w:rPr>
                <w:rFonts w:ascii="Times New Roman" w:hAnsi="Times New Roman" w:eastAsia="宋体" w:cs="Times New Roman"/>
                <w:b/>
                <w:sz w:val="24"/>
                <w:szCs w:val="20"/>
              </w:rPr>
            </w:pPr>
          </w:p>
        </w:tc>
      </w:tr>
    </w:tbl>
    <w:p>
      <w:pPr>
        <w:spacing w:line="660" w:lineRule="exact"/>
        <w:ind w:firstLine="480" w:firstLineChars="200"/>
        <w:rPr>
          <w:rFonts w:hint="eastAsia" w:ascii="宋体" w:hAnsi="宋体" w:eastAsia="宋体" w:cs="Times New Roman"/>
          <w:sz w:val="24"/>
          <w:szCs w:val="20"/>
        </w:rPr>
      </w:pPr>
    </w:p>
    <w:p>
      <w:pPr>
        <w:spacing w:line="660" w:lineRule="exact"/>
        <w:ind w:firstLine="480" w:firstLineChars="200"/>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ind w:firstLine="480" w:firstLineChars="200"/>
        <w:rPr>
          <w:rFonts w:hint="eastAsia" w:ascii="宋体" w:hAnsi="宋体" w:eastAsia="宋体" w:cs="宋体"/>
          <w:spacing w:val="-6"/>
          <w:szCs w:val="21"/>
        </w:rPr>
        <w:sectPr>
          <w:footerReference r:id="rId23" w:type="first"/>
          <w:footerReference r:id="rId22" w:type="default"/>
          <w:pgSz w:w="11906" w:h="16838"/>
          <w:pgMar w:top="1588" w:right="1418" w:bottom="1134" w:left="1418" w:header="851" w:footer="992" w:gutter="0"/>
          <w:cols w:space="720" w:num="1"/>
          <w:titlePg/>
          <w:docGrid w:type="lines" w:linePitch="312" w:charSpace="0"/>
        </w:sectPr>
      </w:pPr>
      <w:r>
        <w:rPr>
          <w:rFonts w:hint="eastAsia" w:ascii="宋体" w:hAnsi="宋体" w:eastAsia="宋体" w:cs="Times New Roman"/>
          <w:sz w:val="24"/>
          <w:szCs w:val="20"/>
        </w:rPr>
        <w:t>法定代表人（委托代理人）：（签字）</w:t>
      </w:r>
    </w:p>
    <w:p>
      <w:pPr>
        <w:keepNext/>
        <w:keepLines/>
        <w:outlineLvl w:val="2"/>
        <w:rPr>
          <w:rFonts w:ascii="Times New Roman" w:hAnsi="Times New Roman" w:eastAsia="宋体" w:cs="宋体"/>
          <w:b/>
          <w:bCs/>
          <w:color w:val="000000"/>
          <w:sz w:val="24"/>
          <w:szCs w:val="24"/>
        </w:rPr>
      </w:pPr>
      <w:r>
        <w:rPr>
          <w:rFonts w:hint="eastAsia" w:ascii="Times New Roman" w:hAnsi="Times New Roman" w:eastAsia="宋体" w:cs="宋体"/>
          <w:b/>
          <w:bCs/>
          <w:color w:val="000000"/>
          <w:sz w:val="24"/>
          <w:szCs w:val="24"/>
        </w:rPr>
        <w:t>附件 5-2 设备分项配置表</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w:t>
      </w:r>
      <w:r>
        <w:rPr>
          <w:rFonts w:hint="eastAsia" w:ascii="宋体" w:hAnsi="宋体" w:eastAsia="宋体" w:cs="宋体"/>
          <w:spacing w:val="8"/>
          <w:sz w:val="24"/>
          <w:szCs w:val="24"/>
          <w14:textOutline w14:w="5791" w14:cap="flat" w14:cmpd="sng" w14:algn="ctr">
            <w14:solidFill>
              <w14:srgbClr w14:val="000000"/>
            </w14:solidFill>
            <w14:prstDash w14:val="solid"/>
            <w14:miter w14:val="0"/>
          </w14:textOutline>
        </w:rPr>
        <w:t>配置</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8666" w:type="dxa"/>
        <w:tblInd w:w="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506"/>
        <w:gridCol w:w="1500"/>
        <w:gridCol w:w="3150"/>
        <w:gridCol w:w="630"/>
        <w:gridCol w:w="645"/>
        <w:gridCol w:w="1320"/>
        <w:gridCol w:w="91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16" w:hRule="atLeast"/>
        </w:trPr>
        <w:tc>
          <w:tcPr>
            <w:tcW w:w="506" w:type="dxa"/>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3150" w:type="dxa"/>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630" w:type="dxa"/>
          </w:tcPr>
          <w:p>
            <w:pPr>
              <w:spacing w:before="98" w:line="185"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645" w:type="dxa"/>
          </w:tcPr>
          <w:p>
            <w:pPr>
              <w:spacing w:before="100" w:line="182"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320" w:type="dxa"/>
            <w:tcBorders>
              <w:right w:val="single" w:color="000000" w:sz="4" w:space="0"/>
            </w:tcBorders>
          </w:tcPr>
          <w:p>
            <w:pPr>
              <w:spacing w:before="99" w:line="183"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915" w:type="dxa"/>
          </w:tcPr>
          <w:p>
            <w:pPr>
              <w:spacing w:before="99" w:line="183" w:lineRule="auto"/>
              <w:jc w:val="center"/>
              <w:rPr>
                <w:rFonts w:hint="eastAsia" w:ascii="宋体" w:hAnsi="宋体" w:eastAsia="宋体" w:cs="宋体"/>
                <w:szCs w:val="21"/>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89" w:hRule="atLeast"/>
        </w:trPr>
        <w:tc>
          <w:tcPr>
            <w:tcW w:w="50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315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p>
        </w:tc>
        <w:tc>
          <w:tcPr>
            <w:tcW w:w="63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64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320" w:type="dxa"/>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91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94"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cs="宋体"/>
                <w:sz w:val="24"/>
                <w:szCs w:val="24"/>
              </w:rPr>
            </w:pPr>
          </w:p>
        </w:tc>
        <w:tc>
          <w:tcPr>
            <w:tcW w:w="645" w:type="dxa"/>
            <w:vAlign w:val="center"/>
          </w:tcPr>
          <w:p>
            <w:pPr>
              <w:widowControl/>
              <w:jc w:val="center"/>
              <w:textAlignment w:val="center"/>
              <w:rPr>
                <w:rFonts w:hint="eastAsia" w:ascii="宋体" w:hAnsi="宋体" w:eastAsia="宋体" w:cs="宋体"/>
                <w:sz w:val="24"/>
                <w:szCs w:val="24"/>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87"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09"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adjustRightInd w:val="0"/>
              <w:snapToGrid w:val="0"/>
              <w:spacing w:before="156" w:beforeLines="50" w:after="156" w:afterLines="50"/>
              <w:jc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rPr>
            </w:pPr>
          </w:p>
        </w:tc>
        <w:tc>
          <w:tcPr>
            <w:tcW w:w="3150" w:type="dxa"/>
            <w:vAlign w:val="center"/>
          </w:tcPr>
          <w:p>
            <w:pPr>
              <w:widowControl/>
              <w:jc w:val="center"/>
              <w:textAlignment w:val="center"/>
              <w:rPr>
                <w:rFonts w:hint="eastAsia" w:ascii="宋体" w:hAnsi="宋体" w:eastAsia="宋体" w:cs="宋体"/>
                <w:sz w:val="18"/>
                <w:szCs w:val="18"/>
              </w:rPr>
            </w:pPr>
          </w:p>
        </w:tc>
        <w:tc>
          <w:tcPr>
            <w:tcW w:w="630" w:type="dxa"/>
            <w:vAlign w:val="center"/>
          </w:tcPr>
          <w:p>
            <w:pPr>
              <w:widowControl/>
              <w:jc w:val="center"/>
              <w:textAlignment w:val="center"/>
              <w:rPr>
                <w:rFonts w:hint="eastAsia" w:ascii="宋体" w:hAnsi="宋体" w:eastAsia="宋体"/>
                <w:szCs w:val="21"/>
              </w:rPr>
            </w:pPr>
          </w:p>
        </w:tc>
        <w:tc>
          <w:tcPr>
            <w:tcW w:w="645" w:type="dxa"/>
            <w:vAlign w:val="center"/>
          </w:tcPr>
          <w:p>
            <w:pPr>
              <w:widowControl/>
              <w:jc w:val="center"/>
              <w:textAlignment w:val="center"/>
              <w:rPr>
                <w:rFonts w:hint="eastAsia" w:ascii="宋体" w:hAnsi="宋体" w:eastAsia="宋体"/>
                <w:szCs w:val="21"/>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0" w:hRule="atLeast"/>
        </w:trPr>
        <w:tc>
          <w:tcPr>
            <w:tcW w:w="506" w:type="dxa"/>
            <w:vAlign w:val="center"/>
          </w:tcPr>
          <w:p>
            <w:pPr>
              <w:widowControl/>
              <w:jc w:val="center"/>
              <w:textAlignment w:val="center"/>
              <w:rPr>
                <w:rFonts w:hint="eastAsia" w:ascii="宋体" w:hAnsi="宋体" w:cs="宋体"/>
                <w:szCs w:val="21"/>
              </w:rPr>
            </w:pPr>
          </w:p>
        </w:tc>
        <w:tc>
          <w:tcPr>
            <w:tcW w:w="1500" w:type="dxa"/>
            <w:vAlign w:val="center"/>
          </w:tcPr>
          <w:p>
            <w:pPr>
              <w:widowControl/>
              <w:jc w:val="center"/>
              <w:textAlignment w:val="center"/>
              <w:rPr>
                <w:rFonts w:hint="eastAsia" w:ascii="宋体" w:hAnsi="宋体" w:eastAsia="宋体" w:cs="宋体"/>
                <w:color w:val="000000"/>
                <w:kern w:val="0"/>
                <w:sz w:val="18"/>
                <w:szCs w:val="18"/>
                <w:lang w:bidi="ar"/>
              </w:rPr>
            </w:pPr>
          </w:p>
        </w:tc>
        <w:tc>
          <w:tcPr>
            <w:tcW w:w="315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30" w:type="dxa"/>
            <w:vAlign w:val="center"/>
          </w:tcPr>
          <w:p>
            <w:pPr>
              <w:widowControl/>
              <w:jc w:val="center"/>
              <w:textAlignment w:val="center"/>
              <w:rPr>
                <w:rFonts w:hint="eastAsia" w:ascii="宋体" w:hAnsi="宋体" w:eastAsia="宋体" w:cs="宋体"/>
                <w:color w:val="000000"/>
                <w:kern w:val="0"/>
                <w:sz w:val="20"/>
                <w:szCs w:val="20"/>
                <w:lang w:bidi="ar"/>
              </w:rPr>
            </w:pPr>
          </w:p>
        </w:tc>
        <w:tc>
          <w:tcPr>
            <w:tcW w:w="645" w:type="dxa"/>
            <w:vAlign w:val="center"/>
          </w:tcPr>
          <w:p>
            <w:pPr>
              <w:widowControl/>
              <w:jc w:val="center"/>
              <w:textAlignment w:val="center"/>
              <w:rPr>
                <w:rFonts w:hint="eastAsia" w:ascii="宋体" w:hAnsi="宋体" w:eastAsia="宋体" w:cs="宋体"/>
                <w:color w:val="000000"/>
                <w:kern w:val="0"/>
                <w:sz w:val="20"/>
                <w:szCs w:val="20"/>
                <w:lang w:bidi="ar"/>
              </w:rPr>
            </w:pPr>
          </w:p>
        </w:tc>
        <w:tc>
          <w:tcPr>
            <w:tcW w:w="1320" w:type="dxa"/>
            <w:tcBorders>
              <w:right w:val="single" w:color="000000" w:sz="4" w:space="0"/>
            </w:tcBorders>
          </w:tcPr>
          <w:p>
            <w:pPr>
              <w:jc w:val="left"/>
              <w:rPr>
                <w:rFonts w:hint="eastAsia" w:ascii="Arial"/>
              </w:rPr>
            </w:pPr>
          </w:p>
        </w:tc>
        <w:tc>
          <w:tcPr>
            <w:tcW w:w="915" w:type="dxa"/>
          </w:tcPr>
          <w:p>
            <w:pPr>
              <w:jc w:val="left"/>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43" w:hRule="atLeast"/>
        </w:trPr>
        <w:tc>
          <w:tcPr>
            <w:tcW w:w="506" w:type="dxa"/>
          </w:tcPr>
          <w:p>
            <w:pPr>
              <w:spacing w:before="79"/>
              <w:ind w:left="249"/>
              <w:rPr>
                <w:rFonts w:hint="eastAsia" w:ascii="宋体" w:hAnsi="宋体" w:eastAsia="宋体" w:cs="宋体"/>
                <w:szCs w:val="21"/>
              </w:rPr>
            </w:pPr>
            <w:r>
              <w:rPr>
                <w:rFonts w:ascii="宋体" w:hAnsi="宋体" w:eastAsia="宋体" w:cs="宋体"/>
                <w:position w:val="1"/>
                <w:szCs w:val="21"/>
              </w:rPr>
              <w:t>…</w:t>
            </w:r>
          </w:p>
        </w:tc>
        <w:tc>
          <w:tcPr>
            <w:tcW w:w="1500" w:type="dxa"/>
          </w:tcPr>
          <w:p>
            <w:pPr>
              <w:rPr>
                <w:rFonts w:hint="eastAsia" w:ascii="Arial"/>
              </w:rPr>
            </w:pPr>
            <w:r>
              <w:rPr>
                <w:rFonts w:hint="eastAsia" w:ascii="宋体" w:hAnsi="宋体" w:eastAsia="宋体" w:cs="宋体"/>
                <w:color w:val="000000"/>
                <w:kern w:val="0"/>
                <w:sz w:val="20"/>
                <w:szCs w:val="20"/>
                <w:lang w:bidi="ar"/>
              </w:rPr>
              <w:t>以上投标设备不足之处请往下添加序号自行补充</w:t>
            </w:r>
          </w:p>
        </w:tc>
        <w:tc>
          <w:tcPr>
            <w:tcW w:w="3150" w:type="dxa"/>
          </w:tcPr>
          <w:p>
            <w:pPr>
              <w:rPr>
                <w:rFonts w:hint="eastAsia" w:ascii="Arial"/>
              </w:rPr>
            </w:pPr>
          </w:p>
        </w:tc>
        <w:tc>
          <w:tcPr>
            <w:tcW w:w="630" w:type="dxa"/>
          </w:tcPr>
          <w:p>
            <w:pPr>
              <w:adjustRightInd w:val="0"/>
              <w:snapToGrid w:val="0"/>
              <w:spacing w:before="156" w:beforeLines="50" w:after="156" w:afterLines="50"/>
              <w:jc w:val="center"/>
              <w:rPr>
                <w:rFonts w:hint="eastAsia" w:ascii="宋体" w:hAnsi="宋体" w:cs="宋体"/>
                <w:szCs w:val="21"/>
              </w:rPr>
            </w:pPr>
          </w:p>
        </w:tc>
        <w:tc>
          <w:tcPr>
            <w:tcW w:w="645" w:type="dxa"/>
          </w:tcPr>
          <w:p>
            <w:pPr>
              <w:rPr>
                <w:rFonts w:hint="eastAsia" w:ascii="Arial"/>
              </w:rPr>
            </w:pPr>
          </w:p>
        </w:tc>
        <w:tc>
          <w:tcPr>
            <w:tcW w:w="1320" w:type="dxa"/>
            <w:tcBorders>
              <w:right w:val="single" w:color="000000" w:sz="4" w:space="0"/>
            </w:tcBorders>
          </w:tcPr>
          <w:p>
            <w:pPr>
              <w:rPr>
                <w:rFonts w:hint="eastAsia" w:ascii="Arial"/>
              </w:rPr>
            </w:pPr>
          </w:p>
        </w:tc>
        <w:tc>
          <w:tcPr>
            <w:tcW w:w="915" w:type="dxa"/>
          </w:tcPr>
          <w:p>
            <w:pPr>
              <w:rPr>
                <w:rFonts w:hint="eastAsia" w:ascii="Arial"/>
              </w:rPr>
            </w:pPr>
          </w:p>
        </w:tc>
      </w:tr>
    </w:tbl>
    <w:p>
      <w:pPr>
        <w:spacing w:before="78" w:line="219" w:lineRule="auto"/>
        <w:ind w:left="431"/>
        <w:rPr>
          <w:rFonts w:hint="eastAsia" w:ascii="宋体" w:hAnsi="宋体" w:eastAsia="宋体" w:cs="宋体"/>
          <w:spacing w:val="-6"/>
          <w:szCs w:val="21"/>
        </w:rPr>
      </w:pPr>
      <w:r>
        <w:rPr>
          <w:rFonts w:ascii="宋体" w:hAnsi="宋体" w:eastAsia="宋体" w:cs="宋体"/>
          <w:spacing w:val="-8"/>
          <w:szCs w:val="21"/>
        </w:rPr>
        <w:t>注：</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1.该明细表所有信息均为必填项，不得删减，可细化可增加。</w:t>
      </w:r>
    </w:p>
    <w:p>
      <w:pPr>
        <w:spacing w:before="78" w:line="219" w:lineRule="auto"/>
        <w:ind w:left="431"/>
        <w:rPr>
          <w:rFonts w:hint="eastAsia" w:ascii="宋体" w:hAnsi="宋体" w:eastAsia="宋体" w:cs="宋体"/>
          <w:b/>
          <w:bCs/>
          <w:spacing w:val="-6"/>
          <w:szCs w:val="21"/>
          <w:highlight w:val="yellow"/>
        </w:rPr>
      </w:pPr>
      <w:r>
        <w:rPr>
          <w:rFonts w:hint="eastAsia" w:ascii="宋体" w:hAnsi="宋体" w:eastAsia="宋体" w:cs="宋体"/>
          <w:b/>
          <w:bCs/>
          <w:spacing w:val="-6"/>
          <w:szCs w:val="21"/>
          <w:highlight w:val="yellow"/>
        </w:rPr>
        <w:t>2.此表格需在技术标中体现，并明确规格型号、品牌等信息。</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3.此表分项明细需要和附表9-1完全对应。</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4.因填写不规范造成废标及终止招标的，责任由投标人自负。</w:t>
      </w:r>
    </w:p>
    <w:p>
      <w:pPr>
        <w:spacing w:before="78" w:line="219" w:lineRule="auto"/>
        <w:ind w:left="431"/>
        <w:rPr>
          <w:rFonts w:hint="eastAsia" w:ascii="宋体" w:hAnsi="宋体" w:eastAsia="宋体" w:cs="宋体"/>
          <w:spacing w:val="-6"/>
          <w:szCs w:val="21"/>
        </w:rPr>
      </w:pP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hint="eastAsia" w:ascii="宋体" w:hAnsi="宋体"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keepNext/>
        <w:keepLines/>
        <w:outlineLvl w:val="2"/>
        <w:rPr>
          <w:rFonts w:ascii="Times New Roman" w:hAnsi="Times New Roman" w:eastAsia="宋体" w:cs="Times New Roman"/>
          <w:b/>
          <w:bCs/>
          <w:color w:val="000000"/>
          <w:sz w:val="24"/>
          <w:szCs w:val="24"/>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 xml:space="preserve">附件6  </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2022年1月1日以来同类项目业绩一览表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860"/>
        <w:gridCol w:w="2082"/>
        <w:gridCol w:w="1355"/>
        <w:gridCol w:w="826"/>
        <w:gridCol w:w="1320"/>
        <w:gridCol w:w="1023"/>
        <w:gridCol w:w="159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序号</w:t>
            </w:r>
          </w:p>
        </w:tc>
        <w:tc>
          <w:tcPr>
            <w:tcW w:w="2082"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采购单位</w:t>
            </w:r>
          </w:p>
        </w:tc>
        <w:tc>
          <w:tcPr>
            <w:tcW w:w="1355"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项目名称</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（万元）</w:t>
            </w:r>
          </w:p>
        </w:tc>
        <w:tc>
          <w:tcPr>
            <w:tcW w:w="826"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数量</w:t>
            </w:r>
          </w:p>
        </w:tc>
        <w:tc>
          <w:tcPr>
            <w:tcW w:w="1320"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合同金额</w:t>
            </w:r>
          </w:p>
        </w:tc>
        <w:tc>
          <w:tcPr>
            <w:tcW w:w="1023" w:type="dxa"/>
            <w:vAlign w:val="center"/>
          </w:tcPr>
          <w:p>
            <w:pPr>
              <w:jc w:val="center"/>
              <w:rPr>
                <w:rFonts w:ascii="宋体" w:hAnsi="Times New Roman" w:eastAsia="宋体" w:cs="Times New Roman"/>
                <w:b/>
                <w:szCs w:val="21"/>
              </w:rPr>
            </w:pPr>
            <w:r>
              <w:rPr>
                <w:rFonts w:hint="eastAsia" w:ascii="宋体" w:hAnsi="宋体" w:eastAsia="宋体" w:cs="Times New Roman"/>
                <w:b/>
                <w:szCs w:val="21"/>
              </w:rPr>
              <w:t>合同签订时间</w:t>
            </w:r>
          </w:p>
        </w:tc>
        <w:tc>
          <w:tcPr>
            <w:tcW w:w="1590" w:type="dxa"/>
            <w:vAlign w:val="center"/>
          </w:tcPr>
          <w:p>
            <w:pPr>
              <w:ind w:left="420" w:hanging="420"/>
              <w:jc w:val="center"/>
              <w:rPr>
                <w:rFonts w:ascii="宋体" w:hAnsi="Times New Roman" w:eastAsia="宋体" w:cs="Times New Roman"/>
                <w:b/>
                <w:szCs w:val="21"/>
              </w:rPr>
            </w:pPr>
            <w:r>
              <w:rPr>
                <w:rFonts w:hint="eastAsia" w:ascii="宋体" w:hAnsi="宋体" w:eastAsia="宋体" w:cs="Times New Roman"/>
                <w:b/>
                <w:szCs w:val="21"/>
              </w:rPr>
              <w:t>联系人及</w:t>
            </w:r>
          </w:p>
          <w:p>
            <w:pPr>
              <w:ind w:left="420" w:hanging="420"/>
              <w:jc w:val="center"/>
              <w:rPr>
                <w:rFonts w:ascii="宋体" w:hAnsi="Times New Roman" w:eastAsia="宋体" w:cs="Times New Roman"/>
                <w:b/>
                <w:szCs w:val="21"/>
              </w:rPr>
            </w:pPr>
            <w:r>
              <w:rPr>
                <w:rFonts w:hint="eastAsia" w:ascii="宋体" w:hAnsi="宋体" w:eastAsia="宋体" w:cs="Times New Roman"/>
                <w:b/>
                <w:szCs w:val="21"/>
              </w:rPr>
              <w:t>联系电话</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860" w:type="dxa"/>
          </w:tcPr>
          <w:p>
            <w:pPr>
              <w:ind w:left="420" w:hanging="420"/>
              <w:rPr>
                <w:rFonts w:ascii="宋体" w:hAnsi="Times New Roman" w:eastAsia="宋体" w:cs="Times New Roman"/>
                <w:b/>
                <w:szCs w:val="20"/>
              </w:rPr>
            </w:pPr>
          </w:p>
        </w:tc>
        <w:tc>
          <w:tcPr>
            <w:tcW w:w="2082" w:type="dxa"/>
          </w:tcPr>
          <w:p>
            <w:pPr>
              <w:ind w:left="420" w:hanging="420"/>
              <w:rPr>
                <w:rFonts w:ascii="宋体" w:hAnsi="Times New Roman" w:eastAsia="宋体" w:cs="Times New Roman"/>
                <w:b/>
                <w:szCs w:val="20"/>
              </w:rPr>
            </w:pPr>
          </w:p>
        </w:tc>
        <w:tc>
          <w:tcPr>
            <w:tcW w:w="1355" w:type="dxa"/>
          </w:tcPr>
          <w:p>
            <w:pPr>
              <w:ind w:left="420" w:hanging="420"/>
              <w:rPr>
                <w:rFonts w:ascii="宋体" w:hAnsi="Times New Roman" w:eastAsia="宋体" w:cs="Times New Roman"/>
                <w:b/>
                <w:szCs w:val="20"/>
              </w:rPr>
            </w:pP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620" w:hRule="atLeast"/>
        </w:trPr>
        <w:tc>
          <w:tcPr>
            <w:tcW w:w="4297" w:type="dxa"/>
            <w:gridSpan w:val="3"/>
          </w:tcPr>
          <w:p>
            <w:pPr>
              <w:ind w:left="420" w:hanging="420"/>
              <w:rPr>
                <w:rFonts w:ascii="宋体" w:hAnsi="Times New Roman" w:eastAsia="宋体" w:cs="Times New Roman"/>
                <w:b/>
                <w:szCs w:val="20"/>
              </w:rPr>
            </w:pPr>
            <w:r>
              <w:rPr>
                <w:rFonts w:hint="eastAsia" w:ascii="宋体" w:hAnsi="宋体" w:eastAsia="宋体" w:cs="宋体"/>
                <w:sz w:val="24"/>
                <w:szCs w:val="24"/>
                <w:highlight w:val="yellow"/>
              </w:rPr>
              <w:t>2022年1月1日</w:t>
            </w:r>
            <w:r>
              <w:rPr>
                <w:rFonts w:ascii="宋体" w:hAnsi="宋体" w:eastAsia="宋体" w:cs="宋体"/>
                <w:sz w:val="24"/>
                <w:szCs w:val="24"/>
                <w:highlight w:val="yellow"/>
              </w:rPr>
              <w:t>至今所有业绩合同总额汇总（必填）</w:t>
            </w:r>
          </w:p>
        </w:tc>
        <w:tc>
          <w:tcPr>
            <w:tcW w:w="826" w:type="dxa"/>
          </w:tcPr>
          <w:p>
            <w:pPr>
              <w:ind w:left="420" w:hanging="420"/>
              <w:rPr>
                <w:rFonts w:ascii="宋体" w:hAnsi="Times New Roman" w:eastAsia="宋体" w:cs="Times New Roman"/>
                <w:b/>
                <w:szCs w:val="20"/>
              </w:rPr>
            </w:pPr>
          </w:p>
        </w:tc>
        <w:tc>
          <w:tcPr>
            <w:tcW w:w="1320" w:type="dxa"/>
          </w:tcPr>
          <w:p>
            <w:pPr>
              <w:ind w:left="420" w:hanging="420"/>
              <w:rPr>
                <w:rFonts w:ascii="宋体" w:hAnsi="Times New Roman" w:eastAsia="宋体" w:cs="Times New Roman"/>
                <w:b/>
                <w:szCs w:val="20"/>
              </w:rPr>
            </w:pPr>
          </w:p>
        </w:tc>
        <w:tc>
          <w:tcPr>
            <w:tcW w:w="1023" w:type="dxa"/>
          </w:tcPr>
          <w:p>
            <w:pPr>
              <w:ind w:left="420" w:hanging="420"/>
              <w:rPr>
                <w:rFonts w:ascii="宋体" w:hAnsi="Times New Roman" w:eastAsia="宋体" w:cs="Times New Roman"/>
                <w:b/>
                <w:szCs w:val="20"/>
              </w:rPr>
            </w:pPr>
          </w:p>
        </w:tc>
        <w:tc>
          <w:tcPr>
            <w:tcW w:w="1590" w:type="dxa"/>
          </w:tcPr>
          <w:p>
            <w:pPr>
              <w:ind w:left="420" w:hanging="420"/>
              <w:rPr>
                <w:rFonts w:ascii="宋体" w:hAnsi="Times New Roman" w:eastAsia="宋体" w:cs="Times New Roman"/>
                <w:b/>
                <w:szCs w:val="20"/>
              </w:rPr>
            </w:pPr>
          </w:p>
        </w:tc>
      </w:tr>
    </w:tbl>
    <w:p>
      <w:pPr>
        <w:spacing w:line="240" w:lineRule="atLeast"/>
        <w:rPr>
          <w:rFonts w:ascii="宋体" w:hAnsi="Calibri" w:eastAsia="宋体" w:cs="Times New Roman"/>
          <w:sz w:val="24"/>
          <w:szCs w:val="20"/>
        </w:rPr>
      </w:pPr>
      <w:r>
        <w:rPr>
          <w:rFonts w:hint="eastAsia" w:ascii="宋体" w:hAnsi="宋体" w:eastAsia="宋体" w:cs="Times New Roman"/>
          <w:sz w:val="24"/>
          <w:szCs w:val="20"/>
        </w:rPr>
        <w:t>注：</w:t>
      </w:r>
      <w:r>
        <w:rPr>
          <w:rFonts w:hint="eastAsia" w:ascii="宋体" w:hAnsi="宋体" w:eastAsia="宋体" w:cs="宋体"/>
          <w:kern w:val="0"/>
          <w:sz w:val="24"/>
          <w:szCs w:val="20"/>
        </w:rPr>
        <w:t>提供2022年1月1日以来同类产品的制造销售业绩（用户名单、联系方式）</w:t>
      </w:r>
      <w:r>
        <w:rPr>
          <w:rFonts w:hint="eastAsia" w:ascii="宋体" w:hAnsi="宋体" w:eastAsia="宋体" w:cs="Times New Roman"/>
          <w:sz w:val="24"/>
          <w:szCs w:val="20"/>
        </w:rPr>
        <w:t>，并附合同复印件。</w:t>
      </w:r>
      <w:r>
        <w:rPr>
          <w:rFonts w:hint="eastAsia" w:ascii="宋体" w:hAnsi="宋体" w:eastAsia="宋体" w:cs="宋体"/>
          <w:kern w:val="0"/>
          <w:sz w:val="24"/>
          <w:szCs w:val="20"/>
        </w:rPr>
        <w:t>该同类项目业绩一览表</w:t>
      </w:r>
      <w:r>
        <w:rPr>
          <w:rFonts w:hint="eastAsia" w:ascii="宋体" w:hAnsi="宋体" w:eastAsia="宋体" w:cs="宋体"/>
          <w:b/>
          <w:bCs/>
          <w:kern w:val="0"/>
          <w:sz w:val="24"/>
          <w:szCs w:val="20"/>
        </w:rPr>
        <w:t>必须如实填写，应全尽全</w:t>
      </w:r>
      <w:r>
        <w:rPr>
          <w:rFonts w:hint="eastAsia" w:ascii="宋体" w:hAnsi="宋体" w:eastAsia="宋体" w:cs="宋体"/>
          <w:kern w:val="0"/>
          <w:sz w:val="24"/>
          <w:szCs w:val="20"/>
        </w:rPr>
        <w:t>；一览表最终的所有业绩</w:t>
      </w:r>
      <w:r>
        <w:rPr>
          <w:rFonts w:hint="eastAsia" w:ascii="宋体" w:hAnsi="宋体" w:eastAsia="宋体" w:cs="宋体"/>
          <w:b/>
          <w:bCs/>
          <w:kern w:val="0"/>
          <w:sz w:val="24"/>
          <w:szCs w:val="20"/>
        </w:rPr>
        <w:t>合同总额汇总必填</w:t>
      </w:r>
      <w:r>
        <w:rPr>
          <w:rFonts w:hint="eastAsia" w:ascii="宋体" w:hAnsi="宋体" w:eastAsia="宋体" w:cs="宋体"/>
          <w:kern w:val="0"/>
          <w:sz w:val="24"/>
          <w:szCs w:val="20"/>
        </w:rPr>
        <w:t>，此项很重要，数据将影响现场评标专家组对投标单位的业绩考评。若未提供相应业绩证明，根据技术标评分规则，将影响现场评标专家组对投标单位业绩判定打分</w:t>
      </w:r>
      <w:r>
        <w:rPr>
          <w:rFonts w:hint="eastAsia" w:ascii="宋体" w:hAnsi="宋体" w:eastAsia="宋体" w:cs="Times New Roman"/>
          <w:sz w:val="24"/>
          <w:szCs w:val="20"/>
        </w:rPr>
        <w:t>。</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rPr>
      </w:pPr>
    </w:p>
    <w:p>
      <w:pPr>
        <w:rPr>
          <w:rFonts w:ascii="宋体" w:hAnsi="Calibri" w:eastAsia="宋体" w:cs="宋体"/>
          <w:b/>
          <w:bCs/>
          <w:color w:val="000000"/>
          <w:sz w:val="28"/>
        </w:rPr>
        <w:sectPr>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附件7</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设备质量承诺函</w:t>
      </w:r>
    </w:p>
    <w:p>
      <w:pPr>
        <w:spacing w:line="240" w:lineRule="exact"/>
        <w:rPr>
          <w:rFonts w:hint="eastAsia" w:ascii="宋体" w:hAnsi="宋体" w:eastAsia="宋体" w:cs="Times New Roman"/>
          <w:szCs w:val="20"/>
        </w:rPr>
      </w:pPr>
      <w:r>
        <w:rPr>
          <w:rFonts w:ascii="宋体" w:hAnsi="宋体" w:eastAsia="宋体" w:cs="Times New Roman"/>
          <w:szCs w:val="20"/>
        </w:rPr>
        <w:t xml:space="preserve">                                               </w:t>
      </w:r>
    </w:p>
    <w:p>
      <w:pPr>
        <w:spacing w:line="360" w:lineRule="auto"/>
        <w:rPr>
          <w:rFonts w:hint="eastAsia" w:ascii="宋体" w:hAnsi="宋体" w:eastAsia="宋体" w:cs="宋体"/>
          <w:sz w:val="24"/>
          <w:u w:val="single"/>
          <w:lang w:val="en-US" w:eastAsia="zh-CN"/>
        </w:rPr>
      </w:pPr>
      <w:r>
        <w:rPr>
          <w:rFonts w:hint="eastAsia" w:ascii="宋体" w:hAnsi="宋体" w:eastAsia="宋体" w:cs="Times New Roman"/>
          <w:sz w:val="24"/>
          <w:szCs w:val="20"/>
        </w:rPr>
        <w:t>项目名称</w:t>
      </w:r>
      <w:r>
        <w:rPr>
          <w:rFonts w:ascii="宋体" w:hAnsi="宋体" w:eastAsia="宋体" w:cs="Times New Roman"/>
          <w:sz w:val="24"/>
          <w:szCs w:val="20"/>
        </w:rPr>
        <w:t xml:space="preserve">: </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rPr>
      </w:pPr>
      <w:r>
        <w:rPr>
          <w:rFonts w:hint="eastAsia" w:ascii="宋体" w:hAnsi="宋体" w:eastAsia="宋体" w:cs="Times New Roman"/>
          <w:b/>
          <w:bCs/>
          <w:sz w:val="24"/>
          <w:szCs w:val="20"/>
          <w:highlight w:val="none"/>
        </w:rPr>
        <w:t>中国重汽集团济南动力有限公司</w:t>
      </w:r>
      <w:r>
        <w:rPr>
          <w:rFonts w:hint="eastAsia" w:ascii="宋体" w:hAnsi="宋体" w:eastAsia="宋体" w:cs="Times New Roman"/>
          <w:b/>
          <w:bCs/>
          <w:sz w:val="24"/>
          <w:szCs w:val="20"/>
        </w:rPr>
        <w:t>：</w:t>
      </w:r>
    </w:p>
    <w:p>
      <w:pPr>
        <w:spacing w:line="360" w:lineRule="auto"/>
        <w:ind w:firstLine="480" w:firstLineChars="200"/>
        <w:rPr>
          <w:rFonts w:ascii="宋体" w:hAnsi="Calibri" w:eastAsia="宋体" w:cs="Times New Roman"/>
          <w:sz w:val="24"/>
          <w:szCs w:val="20"/>
        </w:rPr>
      </w:pPr>
      <w:r>
        <w:rPr>
          <w:rFonts w:hint="eastAsia" w:ascii="宋体" w:hAnsi="宋体" w:eastAsia="宋体" w:cs="Times New Roman"/>
          <w:sz w:val="24"/>
          <w:szCs w:val="20"/>
        </w:rPr>
        <w:t>我代表</w:t>
      </w:r>
      <w:r>
        <w:rPr>
          <w:rFonts w:ascii="宋体" w:hAnsi="宋体" w:eastAsia="宋体" w:cs="Times New Roman"/>
          <w:sz w:val="24"/>
          <w:szCs w:val="20"/>
        </w:rPr>
        <w:t>(</w:t>
      </w:r>
      <w:r>
        <w:rPr>
          <w:rFonts w:hint="eastAsia" w:ascii="宋体" w:hAnsi="宋体" w:eastAsia="宋体" w:cs="Times New Roman"/>
          <w:sz w:val="24"/>
          <w:szCs w:val="20"/>
        </w:rPr>
        <w:t>投标人名称</w:t>
      </w:r>
      <w:r>
        <w:rPr>
          <w:rFonts w:ascii="宋体" w:hAnsi="宋体" w:eastAsia="宋体" w:cs="Times New Roman"/>
          <w:sz w:val="24"/>
          <w:szCs w:val="20"/>
        </w:rPr>
        <w:t>)</w:t>
      </w:r>
      <w:r>
        <w:rPr>
          <w:rFonts w:hint="eastAsia" w:ascii="宋体" w:hAnsi="宋体" w:eastAsia="宋体" w:cs="Times New Roman"/>
          <w:sz w:val="24"/>
          <w:szCs w:val="20"/>
        </w:rPr>
        <w:t>为保证中标产品的质量特作如下承诺：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left="480"/>
        <w:rPr>
          <w:rFonts w:hint="eastAsia" w:ascii="宋体" w:hAnsi="宋体" w:eastAsia="宋体" w:cs="Times New Roman"/>
          <w:sz w:val="24"/>
          <w:szCs w:val="20"/>
        </w:rPr>
      </w:pPr>
      <w:r>
        <w:rPr>
          <w:rFonts w:ascii="宋体" w:hAnsi="宋体" w:eastAsia="宋体" w:cs="Times New Roman"/>
          <w:sz w:val="24"/>
          <w:szCs w:val="20"/>
        </w:rPr>
        <w:t xml:space="preserve">                           </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rPr>
          <w:rFonts w:ascii="宋体" w:hAnsi="Calibri" w:eastAsia="宋体" w:cs="宋体"/>
          <w:b/>
          <w:bCs/>
          <w:color w:val="000000"/>
          <w:sz w:val="28"/>
          <w:szCs w:val="20"/>
        </w:rPr>
        <w:sectPr>
          <w:footerReference r:id="rId25" w:type="first"/>
          <w:footerReference r:id="rId24" w:type="default"/>
          <w:pgSz w:w="11906" w:h="16838"/>
          <w:pgMar w:top="1588" w:right="1418" w:bottom="1134" w:left="1418" w:header="851" w:footer="992" w:gutter="0"/>
          <w:cols w:space="720" w:num="1"/>
          <w:titlePg/>
          <w:docGrid w:type="lines" w:linePitch="312" w:charSpace="0"/>
        </w:sectPr>
      </w:pP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附件8</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开标一览表</w:t>
      </w:r>
    </w:p>
    <w:p>
      <w:pPr>
        <w:spacing w:line="360" w:lineRule="auto"/>
        <w:ind w:firstLine="482" w:firstLineChars="200"/>
        <w:rPr>
          <w:rFonts w:hint="eastAsia" w:ascii="宋体" w:hAnsi="宋体" w:eastAsia="宋体" w:cs="Times New Roman"/>
          <w:b/>
          <w:color w:val="000000"/>
          <w:sz w:val="24"/>
          <w:szCs w:val="24"/>
        </w:rPr>
      </w:pPr>
      <w:r>
        <w:rPr>
          <w:rFonts w:hint="eastAsia" w:ascii="宋体" w:hAnsi="宋体" w:eastAsia="宋体" w:cs="Times New Roman"/>
          <w:b/>
          <w:color w:val="000000"/>
          <w:sz w:val="24"/>
          <w:szCs w:val="24"/>
        </w:rPr>
        <w:t>《开标一览表》单独封存，以备唱标使用</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项目名称：</w:t>
      </w:r>
      <w:r>
        <w:rPr>
          <w:rFonts w:hint="eastAsia" w:ascii="宋体" w:hAnsi="宋体" w:eastAsia="宋体" w:cs="宋体"/>
          <w:sz w:val="24"/>
          <w:u w:val="single"/>
          <w:lang w:val="en-US" w:eastAsia="zh-CN"/>
        </w:rPr>
        <w:t xml:space="preserve">                             </w:t>
      </w:r>
      <w:r>
        <w:rPr>
          <w:rFonts w:ascii="宋体" w:hAnsi="宋体" w:eastAsia="宋体" w:cs="Times New Roman"/>
          <w:color w:val="000000"/>
          <w:sz w:val="24"/>
          <w:szCs w:val="24"/>
        </w:rPr>
        <w:t xml:space="preserve">                                                        </w:t>
      </w:r>
    </w:p>
    <w:tbl>
      <w:tblPr>
        <w:tblStyle w:val="41"/>
        <w:tblW w:w="9060"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677"/>
        <w:gridCol w:w="1518"/>
        <w:gridCol w:w="848"/>
        <w:gridCol w:w="2270"/>
        <w:gridCol w:w="1100"/>
        <w:gridCol w:w="1243"/>
        <w:gridCol w:w="705"/>
        <w:gridCol w:w="699"/>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065" w:hRule="atLeast"/>
          <w:jc w:val="center"/>
        </w:trPr>
        <w:tc>
          <w:tcPr>
            <w:tcW w:w="677"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序号</w:t>
            </w:r>
          </w:p>
        </w:tc>
        <w:tc>
          <w:tcPr>
            <w:tcW w:w="151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货物名称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数量</w:t>
            </w:r>
          </w:p>
        </w:tc>
        <w:tc>
          <w:tcPr>
            <w:tcW w:w="227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投标总价</w:t>
            </w:r>
            <w:r>
              <w:rPr>
                <w:rFonts w:hint="eastAsia" w:ascii="等线" w:hAnsi="等线" w:eastAsia="等线" w:cs="Times New Roman"/>
                <w:b/>
                <w:szCs w:val="20"/>
              </w:rPr>
              <w:t>（元）</w:t>
            </w:r>
          </w:p>
        </w:tc>
        <w:tc>
          <w:tcPr>
            <w:tcW w:w="1100"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质保期</w:t>
            </w:r>
          </w:p>
        </w:tc>
        <w:tc>
          <w:tcPr>
            <w:tcW w:w="1243"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交货及安装</w:t>
            </w:r>
          </w:p>
          <w:p>
            <w:pPr>
              <w:jc w:val="center"/>
              <w:rPr>
                <w:rFonts w:ascii="Times New Roman" w:hAnsi="Times New Roman" w:eastAsia="宋体" w:cs="Times New Roman"/>
                <w:b/>
                <w:szCs w:val="20"/>
              </w:rPr>
            </w:pPr>
            <w:r>
              <w:rPr>
                <w:rFonts w:hint="eastAsia" w:ascii="Times New Roman" w:hAnsi="Times New Roman" w:eastAsia="宋体" w:cs="Times New Roman"/>
                <w:b/>
                <w:szCs w:val="20"/>
              </w:rPr>
              <w:t>时间</w:t>
            </w:r>
          </w:p>
        </w:tc>
        <w:tc>
          <w:tcPr>
            <w:tcW w:w="705"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付款方式及比例如何响应</w:t>
            </w:r>
          </w:p>
        </w:tc>
        <w:tc>
          <w:tcPr>
            <w:tcW w:w="699"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付款方式及比例是否偏离</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cantSplit/>
          <w:trHeight w:val="1534" w:hRule="atLeast"/>
          <w:jc w:val="center"/>
        </w:trPr>
        <w:tc>
          <w:tcPr>
            <w:tcW w:w="677" w:type="dxa"/>
            <w:vAlign w:val="center"/>
          </w:tcPr>
          <w:p>
            <w:pPr>
              <w:jc w:val="center"/>
              <w:rPr>
                <w:rFonts w:ascii="Times New Roman" w:hAnsi="Times New Roman" w:eastAsia="宋体" w:cs="Times New Roman"/>
                <w:b/>
                <w:szCs w:val="20"/>
              </w:rPr>
            </w:pPr>
            <w:r>
              <w:rPr>
                <w:rFonts w:ascii="Times New Roman" w:hAnsi="Times New Roman" w:eastAsia="宋体" w:cs="Times New Roman"/>
                <w:b/>
                <w:szCs w:val="20"/>
              </w:rPr>
              <w:t>1</w:t>
            </w:r>
          </w:p>
        </w:tc>
        <w:tc>
          <w:tcPr>
            <w:tcW w:w="1518" w:type="dxa"/>
            <w:vAlign w:val="center"/>
          </w:tcPr>
          <w:p>
            <w:pPr>
              <w:jc w:val="center"/>
              <w:rPr>
                <w:rFonts w:hint="default" w:ascii="Times New Roman" w:hAnsi="Times New Roman" w:eastAsia="宋体" w:cs="Times New Roman"/>
                <w:b/>
                <w:szCs w:val="20"/>
                <w:lang w:val="en-US" w:eastAsia="zh-CN"/>
              </w:rPr>
            </w:pPr>
            <w:r>
              <w:rPr>
                <w:rFonts w:hint="eastAsia" w:ascii="Times New Roman" w:hAnsi="Times New Roman" w:eastAsia="宋体" w:cs="Times New Roman"/>
                <w:b/>
                <w:szCs w:val="20"/>
                <w:lang w:val="en-US" w:eastAsia="zh-CN"/>
              </w:rPr>
              <w:t>项目名称</w:t>
            </w:r>
          </w:p>
        </w:tc>
        <w:tc>
          <w:tcPr>
            <w:tcW w:w="848" w:type="dxa"/>
            <w:vAlign w:val="center"/>
          </w:tcPr>
          <w:p>
            <w:pPr>
              <w:jc w:val="center"/>
              <w:rPr>
                <w:rFonts w:ascii="Times New Roman" w:hAnsi="Times New Roman" w:eastAsia="宋体" w:cs="Times New Roman"/>
                <w:b/>
                <w:szCs w:val="20"/>
              </w:rPr>
            </w:pPr>
            <w:r>
              <w:rPr>
                <w:rFonts w:hint="eastAsia" w:ascii="Times New Roman" w:hAnsi="Times New Roman" w:eastAsia="宋体" w:cs="Times New Roman"/>
                <w:b/>
                <w:szCs w:val="20"/>
              </w:rPr>
              <w:t>1套</w:t>
            </w:r>
          </w:p>
        </w:tc>
        <w:tc>
          <w:tcPr>
            <w:tcW w:w="2270" w:type="dxa"/>
            <w:vAlign w:val="center"/>
          </w:tcPr>
          <w:p>
            <w:pPr>
              <w:jc w:val="center"/>
              <w:rPr>
                <w:rFonts w:hint="eastAsia" w:ascii="等线" w:hAnsi="等线" w:eastAsia="等线" w:cs="Times New Roman"/>
                <w:b/>
                <w:szCs w:val="20"/>
              </w:rPr>
            </w:pPr>
            <w:r>
              <w:rPr>
                <w:rFonts w:hint="eastAsia" w:ascii="等线" w:hAnsi="等线" w:eastAsia="等线" w:cs="Times New Roman"/>
                <w:b/>
                <w:szCs w:val="20"/>
              </w:rPr>
              <w:t>不含税价：</w:t>
            </w:r>
          </w:p>
          <w:p>
            <w:pPr>
              <w:jc w:val="center"/>
              <w:rPr>
                <w:rFonts w:hint="eastAsia" w:ascii="等线" w:hAnsi="等线" w:eastAsia="等线" w:cs="Times New Roman"/>
                <w:b/>
                <w:szCs w:val="20"/>
              </w:rPr>
            </w:pPr>
            <w:r>
              <w:rPr>
                <w:rFonts w:hint="eastAsia" w:ascii="等线" w:hAnsi="等线" w:eastAsia="等线" w:cs="Times New Roman"/>
                <w:b/>
                <w:szCs w:val="20"/>
              </w:rPr>
              <w:t>含税价格：</w:t>
            </w:r>
            <w:r>
              <w:rPr>
                <w:rFonts w:hint="eastAsia" w:ascii="等线" w:hAnsi="等线" w:eastAsia="等线" w:cs="Times New Roman"/>
                <w:b/>
                <w:szCs w:val="20"/>
                <w:u w:val="single"/>
              </w:rPr>
              <w:t xml:space="preserve">    （大写：    ）</w:t>
            </w:r>
          </w:p>
          <w:p>
            <w:pPr>
              <w:jc w:val="center"/>
              <w:rPr>
                <w:rFonts w:ascii="Times New Roman" w:hAnsi="Times New Roman" w:eastAsia="宋体" w:cs="Times New Roman"/>
                <w:b/>
                <w:szCs w:val="20"/>
              </w:rPr>
            </w:pPr>
            <w:r>
              <w:rPr>
                <w:rFonts w:hint="eastAsia" w:ascii="等线" w:hAnsi="等线" w:eastAsia="等线" w:cs="Times New Roman"/>
                <w:b/>
                <w:szCs w:val="20"/>
              </w:rPr>
              <w:t>税率：</w:t>
            </w:r>
          </w:p>
        </w:tc>
        <w:tc>
          <w:tcPr>
            <w:tcW w:w="1100" w:type="dxa"/>
            <w:vAlign w:val="center"/>
          </w:tcPr>
          <w:p>
            <w:pPr>
              <w:jc w:val="center"/>
              <w:rPr>
                <w:rFonts w:ascii="Times New Roman" w:hAnsi="Times New Roman" w:eastAsia="宋体" w:cs="Times New Roman"/>
                <w:b/>
                <w:szCs w:val="20"/>
              </w:rPr>
            </w:pPr>
          </w:p>
        </w:tc>
        <w:tc>
          <w:tcPr>
            <w:tcW w:w="1243" w:type="dxa"/>
            <w:vAlign w:val="center"/>
          </w:tcPr>
          <w:p>
            <w:pPr>
              <w:jc w:val="center"/>
              <w:rPr>
                <w:rFonts w:ascii="Times New Roman" w:hAnsi="Times New Roman" w:eastAsia="宋体" w:cs="Times New Roman"/>
                <w:b/>
                <w:szCs w:val="20"/>
              </w:rPr>
            </w:pPr>
          </w:p>
        </w:tc>
        <w:tc>
          <w:tcPr>
            <w:tcW w:w="705" w:type="dxa"/>
            <w:vAlign w:val="center"/>
          </w:tcPr>
          <w:p>
            <w:pPr>
              <w:jc w:val="center"/>
              <w:rPr>
                <w:rFonts w:ascii="Times New Roman" w:hAnsi="Times New Roman" w:eastAsia="宋体" w:cs="Times New Roman"/>
                <w:b/>
                <w:szCs w:val="20"/>
              </w:rPr>
            </w:pPr>
          </w:p>
        </w:tc>
        <w:tc>
          <w:tcPr>
            <w:tcW w:w="699" w:type="dxa"/>
            <w:vAlign w:val="center"/>
          </w:tcPr>
          <w:p>
            <w:pPr>
              <w:jc w:val="center"/>
              <w:rPr>
                <w:rFonts w:ascii="Times New Roman" w:hAnsi="Times New Roman" w:eastAsia="宋体" w:cs="Times New Roman"/>
                <w:b/>
                <w:szCs w:val="20"/>
              </w:rPr>
            </w:pPr>
          </w:p>
        </w:tc>
      </w:tr>
    </w:tbl>
    <w:p>
      <w:pPr>
        <w:rPr>
          <w:rFonts w:ascii="宋体" w:hAnsi="Arial" w:eastAsia="宋体" w:cs="Times New Roman"/>
          <w:sz w:val="24"/>
          <w:szCs w:val="24"/>
        </w:rPr>
      </w:pPr>
    </w:p>
    <w:p>
      <w:pPr>
        <w:spacing w:line="400" w:lineRule="exact"/>
        <w:rPr>
          <w:rFonts w:ascii="宋体" w:hAnsi="Calibri" w:eastAsia="宋体" w:cs="Times New Roman"/>
          <w:szCs w:val="21"/>
        </w:rPr>
      </w:pPr>
      <w:r>
        <w:rPr>
          <w:rFonts w:hint="eastAsia" w:ascii="宋体" w:hAnsi="宋体" w:eastAsia="宋体" w:cs="Times New Roman"/>
          <w:b/>
          <w:bCs/>
          <w:szCs w:val="21"/>
        </w:rPr>
        <w:t>注：</w:t>
      </w:r>
    </w:p>
    <w:p>
      <w:pPr>
        <w:spacing w:line="520" w:lineRule="exact"/>
        <w:rPr>
          <w:rFonts w:ascii="宋体" w:hAnsi="Calibri" w:eastAsia="宋体" w:cs="Times New Roman"/>
          <w:b/>
          <w:bCs/>
          <w:szCs w:val="21"/>
        </w:rPr>
      </w:pPr>
      <w:r>
        <w:rPr>
          <w:rFonts w:ascii="宋体" w:hAnsi="宋体" w:eastAsia="宋体" w:cs="Times New Roman"/>
          <w:b/>
          <w:bCs/>
          <w:szCs w:val="21"/>
        </w:rPr>
        <w:t>1</w:t>
      </w:r>
      <w:r>
        <w:rPr>
          <w:rFonts w:hint="eastAsia" w:ascii="宋体" w:hAnsi="宋体" w:eastAsia="宋体" w:cs="Times New Roman"/>
          <w:b/>
          <w:bCs/>
          <w:szCs w:val="21"/>
        </w:rPr>
        <w:t>.此表中的报价必须与相应的报价明细表中的报价一致。</w:t>
      </w:r>
    </w:p>
    <w:p>
      <w:pPr>
        <w:spacing w:line="300" w:lineRule="auto"/>
        <w:rPr>
          <w:rFonts w:ascii="宋体" w:hAnsi="Calibri" w:eastAsia="宋体" w:cs="Times New Roman"/>
          <w:b/>
          <w:bCs/>
          <w:szCs w:val="21"/>
        </w:rPr>
      </w:pPr>
      <w:r>
        <w:rPr>
          <w:rFonts w:ascii="宋体" w:hAnsi="宋体" w:eastAsia="宋体" w:cs="Times New Roman"/>
          <w:b/>
          <w:bCs/>
          <w:szCs w:val="21"/>
        </w:rPr>
        <w:t>2</w:t>
      </w:r>
      <w:r>
        <w:rPr>
          <w:rFonts w:hint="eastAsia" w:ascii="宋体" w:hAnsi="宋体" w:eastAsia="宋体" w:cs="Times New Roman"/>
          <w:b/>
          <w:bCs/>
          <w:szCs w:val="21"/>
        </w:rPr>
        <w:t>.此表在投递标书时请单独密封两份，否则不予唱标。</w:t>
      </w:r>
    </w:p>
    <w:p>
      <w:pPr>
        <w:spacing w:line="300" w:lineRule="auto"/>
        <w:rPr>
          <w:rFonts w:hint="eastAsia" w:ascii="宋体" w:hAnsi="宋体" w:eastAsia="宋体" w:cs="宋体"/>
          <w:b/>
          <w:szCs w:val="20"/>
        </w:rPr>
      </w:pPr>
      <w:r>
        <w:rPr>
          <w:rFonts w:hint="eastAsia" w:ascii="宋体" w:hAnsi="宋体" w:eastAsia="宋体" w:cs="宋体"/>
          <w:b/>
          <w:szCs w:val="20"/>
        </w:rPr>
        <w:t>3.需写明含税价、不含税价格、税率。</w:t>
      </w:r>
    </w:p>
    <w:p>
      <w:pPr>
        <w:pStyle w:val="22"/>
        <w:rPr>
          <w:rFonts w:hint="eastAsia" w:hAnsi="宋体" w:eastAsia="宋体" w:cs="Times New Roman"/>
          <w:b/>
          <w:bCs/>
          <w:szCs w:val="21"/>
          <w:highlight w:val="yellow"/>
        </w:rPr>
      </w:pPr>
      <w:r>
        <w:rPr>
          <w:rFonts w:hint="eastAsia" w:hAnsi="宋体" w:eastAsia="宋体" w:cs="宋体"/>
          <w:b/>
          <w:szCs w:val="20"/>
          <w:highlight w:val="yellow"/>
        </w:rPr>
        <w:t>4.</w:t>
      </w:r>
      <w:r>
        <w:rPr>
          <w:rFonts w:hint="eastAsia" w:hAnsi="宋体" w:eastAsia="宋体" w:cs="Times New Roman"/>
          <w:b/>
          <w:bCs/>
          <w:szCs w:val="21"/>
          <w:highlight w:val="yellow"/>
        </w:rPr>
        <w:t>投标总价包括设备费、调试费、备品备件、特殊工具、运杂费、装卸费、技术服务费、保险费及增值税和其它税费。</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投标人：（盖章）</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法定代表人（委托代理人）：（签字）</w:t>
      </w:r>
    </w:p>
    <w:p>
      <w:pPr>
        <w:spacing w:line="660" w:lineRule="exact"/>
        <w:rPr>
          <w:rFonts w:ascii="宋体" w:hAnsi="Calibri" w:eastAsia="宋体" w:cs="Times New Roman"/>
          <w:sz w:val="24"/>
          <w:szCs w:val="20"/>
        </w:rPr>
      </w:pPr>
      <w:r>
        <w:rPr>
          <w:rFonts w:hint="eastAsia" w:ascii="宋体" w:hAnsi="宋体" w:eastAsia="宋体" w:cs="Times New Roman"/>
          <w:sz w:val="24"/>
          <w:szCs w:val="20"/>
        </w:rPr>
        <w:t>日</w:t>
      </w:r>
      <w:r>
        <w:rPr>
          <w:rFonts w:ascii="宋体" w:hAnsi="宋体" w:eastAsia="宋体" w:cs="Times New Roman"/>
          <w:sz w:val="24"/>
          <w:szCs w:val="20"/>
        </w:rPr>
        <w:t xml:space="preserve">  </w:t>
      </w:r>
      <w:r>
        <w:rPr>
          <w:rFonts w:hint="eastAsia" w:ascii="宋体" w:hAnsi="宋体" w:eastAsia="宋体" w:cs="Times New Roman"/>
          <w:sz w:val="24"/>
          <w:szCs w:val="20"/>
        </w:rPr>
        <w:t>期：</w:t>
      </w:r>
      <w:r>
        <w:rPr>
          <w:rFonts w:ascii="宋体" w:hAnsi="宋体" w:eastAsia="宋体" w:cs="Times New Roman"/>
          <w:sz w:val="24"/>
          <w:szCs w:val="20"/>
          <w:u w:val="single"/>
        </w:rPr>
        <w:t xml:space="preserve">       </w:t>
      </w:r>
      <w:r>
        <w:rPr>
          <w:rFonts w:hint="eastAsia" w:ascii="宋体" w:hAnsi="宋体" w:eastAsia="宋体" w:cs="Times New Roman"/>
          <w:sz w:val="24"/>
          <w:szCs w:val="20"/>
        </w:rPr>
        <w:t>年</w:t>
      </w:r>
      <w:r>
        <w:rPr>
          <w:rFonts w:ascii="宋体" w:hAnsi="宋体" w:eastAsia="宋体" w:cs="Times New Roman"/>
          <w:sz w:val="24"/>
          <w:szCs w:val="20"/>
          <w:u w:val="single"/>
        </w:rPr>
        <w:t xml:space="preserve">    </w:t>
      </w:r>
      <w:r>
        <w:rPr>
          <w:rFonts w:hint="eastAsia" w:ascii="宋体" w:hAnsi="宋体" w:eastAsia="宋体" w:cs="Times New Roman"/>
          <w:sz w:val="24"/>
          <w:szCs w:val="20"/>
        </w:rPr>
        <w:t>月</w:t>
      </w:r>
      <w:r>
        <w:rPr>
          <w:rFonts w:ascii="宋体" w:hAnsi="宋体" w:eastAsia="宋体" w:cs="Times New Roman"/>
          <w:sz w:val="24"/>
          <w:szCs w:val="20"/>
          <w:u w:val="single"/>
        </w:rPr>
        <w:t xml:space="preserve">    </w:t>
      </w:r>
      <w:r>
        <w:rPr>
          <w:rFonts w:hint="eastAsia" w:ascii="宋体" w:hAnsi="宋体" w:eastAsia="宋体" w:cs="Times New Roman"/>
          <w:sz w:val="24"/>
          <w:szCs w:val="20"/>
        </w:rPr>
        <w:t>日</w:t>
      </w:r>
    </w:p>
    <w:p>
      <w:pPr>
        <w:ind w:firstLine="480"/>
        <w:rPr>
          <w:rFonts w:ascii="宋体" w:hAnsi="Calibri" w:eastAsia="宋体" w:cs="Times New Roman"/>
          <w:color w:val="000000"/>
          <w:sz w:val="24"/>
          <w:szCs w:val="24"/>
        </w:rPr>
      </w:pPr>
    </w:p>
    <w:p>
      <w:pPr>
        <w:pStyle w:val="22"/>
        <w:sectPr>
          <w:pgSz w:w="11906" w:h="16838"/>
          <w:pgMar w:top="1588" w:right="1418" w:bottom="1134" w:left="1418" w:header="851" w:footer="992" w:gutter="0"/>
          <w:cols w:space="720" w:num="1"/>
          <w:titlePg/>
          <w:docGrid w:type="lines" w:linePitch="312" w:charSpace="0"/>
        </w:sectPr>
      </w:pPr>
    </w:p>
    <w:p>
      <w:pPr>
        <w:rPr>
          <w:rFonts w:hint="eastAsia" w:ascii="宋体" w:hAnsi="宋体" w:cs="宋体"/>
          <w:color w:val="000000"/>
          <w:sz w:val="24"/>
          <w:szCs w:val="24"/>
        </w:rPr>
      </w:pPr>
    </w:p>
    <w:p>
      <w:pPr>
        <w:pStyle w:val="4"/>
        <w:jc w:val="left"/>
        <w:rPr>
          <w:rFonts w:hint="eastAsia" w:ascii="宋体" w:hAnsi="宋体" w:cs="宋体"/>
          <w:spacing w:val="8"/>
          <w:sz w:val="24"/>
          <w:szCs w:val="24"/>
          <w14:textOutline w14:w="5791" w14:cap="flat" w14:cmpd="sng" w14:algn="ctr">
            <w14:solidFill>
              <w14:srgbClr w14:val="000000"/>
            </w14:solidFill>
            <w14:prstDash w14:val="solid"/>
            <w14:miter w14:val="0"/>
          </w14:textOutline>
        </w:rPr>
      </w:pPr>
      <w:r>
        <w:rPr>
          <w:rFonts w:hint="eastAsia" w:ascii="宋体" w:hAnsi="宋体" w:cs="宋体"/>
          <w:color w:val="000000"/>
          <w:sz w:val="24"/>
          <w:szCs w:val="24"/>
        </w:rPr>
        <w:t xml:space="preserve">附件9 </w:t>
      </w:r>
      <w:r>
        <w:rPr>
          <w:rFonts w:ascii="宋体" w:hAnsi="宋体" w:cs="宋体"/>
          <w:spacing w:val="13"/>
          <w:sz w:val="24"/>
          <w:szCs w:val="24"/>
          <w14:textOutline w14:w="5791" w14:cap="flat" w14:cmpd="sng" w14:algn="ctr">
            <w14:solidFill>
              <w14:srgbClr w14:val="000000"/>
            </w14:solidFill>
            <w14:prstDash w14:val="solid"/>
            <w14:miter w14:val="0"/>
          </w14:textOutline>
        </w:rPr>
        <w:t>设</w:t>
      </w:r>
      <w:r>
        <w:rPr>
          <w:rFonts w:ascii="宋体" w:hAnsi="宋体" w:cs="宋体"/>
          <w:spacing w:val="8"/>
          <w:sz w:val="24"/>
          <w:szCs w:val="24"/>
          <w14:textOutline w14:w="5791" w14:cap="flat" w14:cmpd="sng" w14:algn="ctr">
            <w14:solidFill>
              <w14:srgbClr w14:val="000000"/>
            </w14:solidFill>
            <w14:prstDash w14:val="solid"/>
            <w14:miter w14:val="0"/>
          </w14:textOutline>
        </w:rPr>
        <w:t>备分项报价表</w:t>
      </w:r>
    </w:p>
    <w:p>
      <w:pPr>
        <w:pStyle w:val="5"/>
      </w:pPr>
      <w:r>
        <w:rPr>
          <w:rFonts w:ascii="宋体" w:hAnsi="宋体" w:eastAsia="宋体" w:cs="宋体"/>
          <w:spacing w:val="-9"/>
          <w:sz w:val="24"/>
          <w:szCs w:val="24"/>
          <w14:textOutline w14:w="4356" w14:cap="flat" w14:cmpd="sng" w14:algn="ctr">
            <w14:solidFill>
              <w14:srgbClr w14:val="000000"/>
            </w14:solidFill>
            <w14:prstDash w14:val="solid"/>
            <w14:miter w14:val="0"/>
          </w14:textOutline>
        </w:rPr>
        <w:t>表</w:t>
      </w:r>
      <w:r>
        <w:rPr>
          <w:rFonts w:ascii="宋体" w:hAnsi="宋体" w:eastAsia="宋体" w:cs="宋体"/>
          <w:spacing w:val="-7"/>
          <w:sz w:val="24"/>
          <w:szCs w:val="24"/>
        </w:rPr>
        <w:t xml:space="preserve"> </w:t>
      </w:r>
      <w:r>
        <w:rPr>
          <w:rFonts w:hint="eastAsia" w:ascii="宋体" w:hAnsi="宋体" w:eastAsia="宋体" w:cs="宋体"/>
          <w:spacing w:val="-7"/>
          <w:sz w:val="24"/>
          <w:szCs w:val="24"/>
          <w14:textOutline w14:w="4356" w14:cap="flat" w14:cmpd="sng" w14:algn="ctr">
            <w14:solidFill>
              <w14:srgbClr w14:val="000000"/>
            </w14:solidFill>
            <w14:prstDash w14:val="solid"/>
            <w14:miter w14:val="0"/>
          </w14:textOutline>
        </w:rPr>
        <w:t>9</w:t>
      </w:r>
      <w:r>
        <w:rPr>
          <w:rFonts w:ascii="宋体" w:hAnsi="宋体" w:eastAsia="宋体" w:cs="宋体"/>
          <w:spacing w:val="-7"/>
          <w:sz w:val="24"/>
          <w:szCs w:val="24"/>
          <w14:textOutline w14:w="4356" w14:cap="flat" w14:cmpd="sng" w14:algn="ctr">
            <w14:solidFill>
              <w14:srgbClr w14:val="000000"/>
            </w14:solidFill>
            <w14:prstDash w14:val="solid"/>
            <w14:miter w14:val="0"/>
          </w14:textOutline>
        </w:rPr>
        <w:t>-1</w:t>
      </w:r>
    </w:p>
    <w:p>
      <w:pPr>
        <w:keepNext/>
        <w:keepLines/>
        <w:spacing w:line="400" w:lineRule="exact"/>
        <w:jc w:val="center"/>
        <w:rPr>
          <w:rFonts w:hint="eastAsia" w:ascii="宋体" w:hAnsi="宋体" w:eastAsia="宋体" w:cs="Times New Roman"/>
          <w:b/>
          <w:bCs/>
          <w:sz w:val="24"/>
          <w:szCs w:val="24"/>
        </w:rPr>
      </w:pPr>
      <w:r>
        <w:rPr>
          <w:rFonts w:ascii="宋体" w:hAnsi="宋体" w:eastAsia="宋体" w:cs="宋体"/>
          <w:spacing w:val="13"/>
          <w:sz w:val="24"/>
          <w:szCs w:val="24"/>
          <w14:textOutline w14:w="5791" w14:cap="flat" w14:cmpd="sng" w14:algn="ctr">
            <w14:solidFill>
              <w14:srgbClr w14:val="000000"/>
            </w14:solidFill>
            <w14:prstDash w14:val="solid"/>
            <w14:miter w14:val="0"/>
          </w14:textOutline>
        </w:rPr>
        <w:t>设</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备分项报价表</w:t>
      </w:r>
    </w:p>
    <w:p>
      <w:pPr>
        <w:spacing w:before="52" w:line="221" w:lineRule="auto"/>
        <w:ind w:left="9"/>
        <w:jc w:val="right"/>
        <w:rPr>
          <w:rFonts w:hint="eastAsia" w:ascii="宋体" w:hAnsi="宋体" w:eastAsia="宋体" w:cs="Times New Roman"/>
          <w:b/>
          <w:bCs/>
          <w:sz w:val="24"/>
          <w:szCs w:val="24"/>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共</w:t>
      </w:r>
      <w:r>
        <w:rPr>
          <w:rFonts w:hint="eastAsia" w:ascii="宋体" w:hAnsi="宋体" w:eastAsia="宋体" w:cs="宋体"/>
          <w:szCs w:val="21"/>
          <w14:textOutline w14:w="3835" w14:cap="flat" w14:cmpd="sng" w14:algn="ctr">
            <w14:solidFill>
              <w14:srgbClr w14:val="000000"/>
            </w14:solidFill>
            <w14:prstDash w14:val="solid"/>
            <w14:miter w14:val="0"/>
          </w14:textOutline>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tbl>
      <w:tblPr>
        <w:tblStyle w:val="133"/>
        <w:tblW w:w="5005" w:type="pct"/>
        <w:tblInd w:w="0"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autofit"/>
        <w:tblCellMar>
          <w:top w:w="0" w:type="dxa"/>
          <w:left w:w="0" w:type="dxa"/>
          <w:bottom w:w="0" w:type="dxa"/>
          <w:right w:w="0" w:type="dxa"/>
        </w:tblCellMar>
      </w:tblPr>
      <w:tblGrid>
        <w:gridCol w:w="943"/>
        <w:gridCol w:w="1657"/>
        <w:gridCol w:w="2420"/>
        <w:gridCol w:w="891"/>
        <w:gridCol w:w="793"/>
        <w:gridCol w:w="2028"/>
        <w:gridCol w:w="1624"/>
        <w:gridCol w:w="2969"/>
        <w:gridCol w:w="675"/>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14" w:hRule="atLeast"/>
        </w:trPr>
        <w:tc>
          <w:tcPr>
            <w:tcW w:w="337" w:type="pct"/>
          </w:tcPr>
          <w:p>
            <w:pPr>
              <w:spacing w:before="97" w:line="186" w:lineRule="auto"/>
              <w:jc w:val="center"/>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86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318"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283"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724" w:type="pct"/>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577" w:type="pct"/>
            <w:tcBorders>
              <w:righ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1060" w:type="pct"/>
            <w:tcBorders>
              <w:left w:val="single" w:color="000000" w:sz="4" w:space="0"/>
            </w:tcBorders>
          </w:tcPr>
          <w:p>
            <w:pPr>
              <w:spacing w:before="97" w:line="186"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241" w:type="pct"/>
          </w:tcPr>
          <w:p>
            <w:pPr>
              <w:spacing w:before="99" w:line="183" w:lineRule="auto"/>
              <w:ind w:firstLine="420" w:firstLineChars="200"/>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337"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592"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货物名称</w:t>
            </w:r>
          </w:p>
        </w:tc>
        <w:tc>
          <w:tcPr>
            <w:tcW w:w="86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型号和规格</w:t>
            </w:r>
            <w:r>
              <w:rPr>
                <w:rFonts w:hint="eastAsia" w:ascii="宋体" w:hAnsi="宋体" w:eastAsia="宋体" w:cs="宋体"/>
                <w:b/>
                <w:bCs/>
                <w:color w:val="000000"/>
                <w:kern w:val="0"/>
                <w:sz w:val="18"/>
                <w:szCs w:val="18"/>
                <w:lang w:bidi="ar"/>
              </w:rPr>
              <w:t>（吨位-跨度-高度）</w:t>
            </w:r>
          </w:p>
        </w:tc>
        <w:tc>
          <w:tcPr>
            <w:tcW w:w="318"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283"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724"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原产地和制造商名称</w:t>
            </w:r>
          </w:p>
        </w:tc>
        <w:tc>
          <w:tcPr>
            <w:tcW w:w="577" w:type="pct"/>
            <w:tcBorders>
              <w:righ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060" w:type="pct"/>
            <w:tcBorders>
              <w:left w:val="single" w:color="000000" w:sz="4" w:space="0"/>
            </w:tcBorders>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总价[5×7]（不含税）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41" w:type="pct"/>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5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cs="宋体"/>
                <w:sz w:val="24"/>
                <w:szCs w:val="24"/>
              </w:rPr>
            </w:pPr>
          </w:p>
        </w:tc>
        <w:tc>
          <w:tcPr>
            <w:tcW w:w="283" w:type="pct"/>
            <w:vAlign w:val="center"/>
          </w:tcPr>
          <w:p>
            <w:pPr>
              <w:widowControl/>
              <w:jc w:val="center"/>
              <w:textAlignment w:val="center"/>
              <w:rPr>
                <w:rFonts w:hint="eastAsia" w:ascii="宋体" w:hAnsi="宋体" w:eastAsia="宋体" w:cs="宋体"/>
                <w:sz w:val="24"/>
                <w:szCs w:val="24"/>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2</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40"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3</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05"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4</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37"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5</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vAlign w:val="center"/>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6</w:t>
            </w:r>
          </w:p>
        </w:tc>
        <w:tc>
          <w:tcPr>
            <w:tcW w:w="592" w:type="pct"/>
            <w:vAlign w:val="center"/>
          </w:tcPr>
          <w:p>
            <w:pPr>
              <w:widowControl/>
              <w:jc w:val="center"/>
              <w:textAlignment w:val="center"/>
              <w:rPr>
                <w:rFonts w:hint="eastAsia" w:ascii="宋体" w:hAnsi="宋体" w:eastAsia="宋体" w:cs="宋体"/>
                <w:color w:val="000000"/>
                <w:kern w:val="0"/>
                <w:sz w:val="20"/>
                <w:szCs w:val="20"/>
                <w:lang w:bidi="ar"/>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4"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7</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3"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8</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9</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10</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11</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0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12</w:t>
            </w:r>
          </w:p>
        </w:tc>
        <w:tc>
          <w:tcPr>
            <w:tcW w:w="592" w:type="pct"/>
            <w:vAlign w:val="center"/>
          </w:tcPr>
          <w:p>
            <w:pPr>
              <w:widowControl/>
              <w:jc w:val="center"/>
              <w:textAlignment w:val="center"/>
              <w:rPr>
                <w:rFonts w:hint="eastAsia" w:ascii="宋体" w:hAnsi="宋体" w:eastAsia="宋体" w:cs="宋体"/>
                <w:color w:val="000000"/>
                <w:kern w:val="0"/>
                <w:sz w:val="18"/>
                <w:szCs w:val="18"/>
                <w:lang w:bidi="ar"/>
              </w:rPr>
            </w:pPr>
          </w:p>
        </w:tc>
        <w:tc>
          <w:tcPr>
            <w:tcW w:w="864" w:type="pct"/>
            <w:vAlign w:val="center"/>
          </w:tcPr>
          <w:p>
            <w:pPr>
              <w:widowControl/>
              <w:jc w:val="center"/>
              <w:textAlignment w:val="center"/>
              <w:rPr>
                <w:rFonts w:hint="eastAsia" w:ascii="宋体" w:hAnsi="宋体" w:eastAsia="宋体" w:cs="宋体"/>
                <w:color w:val="000000"/>
                <w:kern w:val="0"/>
                <w:sz w:val="20"/>
                <w:szCs w:val="20"/>
                <w:lang w:bidi="ar"/>
              </w:rPr>
            </w:pPr>
          </w:p>
        </w:tc>
        <w:tc>
          <w:tcPr>
            <w:tcW w:w="318" w:type="pct"/>
            <w:vAlign w:val="center"/>
          </w:tcPr>
          <w:p>
            <w:pPr>
              <w:widowControl/>
              <w:jc w:val="center"/>
              <w:textAlignment w:val="center"/>
              <w:rPr>
                <w:rFonts w:hint="eastAsia" w:ascii="宋体" w:hAnsi="宋体" w:eastAsia="宋体" w:cs="宋体"/>
                <w:color w:val="000000"/>
                <w:kern w:val="0"/>
                <w:sz w:val="20"/>
                <w:szCs w:val="20"/>
                <w:lang w:bidi="ar"/>
              </w:rPr>
            </w:pPr>
          </w:p>
        </w:tc>
        <w:tc>
          <w:tcPr>
            <w:tcW w:w="283" w:type="pct"/>
            <w:vAlign w:val="center"/>
          </w:tcPr>
          <w:p>
            <w:pPr>
              <w:widowControl/>
              <w:jc w:val="center"/>
              <w:textAlignment w:val="center"/>
              <w:rPr>
                <w:rFonts w:hint="eastAsia" w:ascii="宋体" w:hAnsi="宋体" w:eastAsia="宋体" w:cs="宋体"/>
                <w:color w:val="000000"/>
                <w:kern w:val="0"/>
                <w:sz w:val="20"/>
                <w:szCs w:val="20"/>
                <w:lang w:bidi="ar"/>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519" w:hRule="atLeast"/>
        </w:trPr>
        <w:tc>
          <w:tcPr>
            <w:tcW w:w="337" w:type="pct"/>
          </w:tcPr>
          <w:p>
            <w:pPr>
              <w:pStyle w:val="130"/>
              <w:spacing w:before="60" w:after="60" w:line="240" w:lineRule="auto"/>
              <w:jc w:val="center"/>
              <w:rPr>
                <w:rFonts w:hint="eastAsia" w:ascii="宋体" w:hAnsi="宋体" w:eastAsia="宋体" w:cs="宋体"/>
                <w:szCs w:val="21"/>
                <w14:textOutline w14:w="3835" w14:cap="flat" w14:cmpd="sng" w14:algn="ctr">
                  <w14:solidFill>
                    <w14:srgbClr w14:val="000000"/>
                  </w14:solidFill>
                  <w14:prstDash w14:val="solid"/>
                  <w14:miter w14:val="0"/>
                </w14:textOutline>
              </w:rPr>
            </w:pPr>
            <w:r>
              <w:rPr>
                <w:rFonts w:hint="eastAsia" w:ascii="宋体" w:hAnsi="宋体" w:eastAsia="宋体" w:cs="宋体"/>
                <w:szCs w:val="21"/>
                <w14:textOutline w14:w="3835" w14:cap="flat" w14:cmpd="sng" w14:algn="ctr">
                  <w14:solidFill>
                    <w14:srgbClr w14:val="000000"/>
                  </w14:solidFill>
                  <w14:prstDash w14:val="solid"/>
                  <w14:miter w14:val="0"/>
                </w14:textOutline>
              </w:rPr>
              <w:t>13</w:t>
            </w:r>
          </w:p>
        </w:tc>
        <w:tc>
          <w:tcPr>
            <w:tcW w:w="592" w:type="pct"/>
            <w:vAlign w:val="center"/>
          </w:tcPr>
          <w:p>
            <w:pPr>
              <w:widowControl/>
              <w:jc w:val="center"/>
              <w:textAlignment w:val="center"/>
              <w:rPr>
                <w:rFonts w:hint="eastAsia" w:ascii="宋体" w:hAnsi="宋体" w:eastAsia="宋体" w:cs="宋体"/>
                <w:sz w:val="18"/>
                <w:szCs w:val="18"/>
              </w:rPr>
            </w:pPr>
          </w:p>
        </w:tc>
        <w:tc>
          <w:tcPr>
            <w:tcW w:w="864" w:type="pct"/>
            <w:vAlign w:val="center"/>
          </w:tcPr>
          <w:p>
            <w:pPr>
              <w:widowControl/>
              <w:jc w:val="center"/>
              <w:textAlignment w:val="center"/>
              <w:rPr>
                <w:rFonts w:hint="eastAsia" w:ascii="宋体" w:hAnsi="宋体" w:eastAsia="宋体" w:cs="宋体"/>
                <w:sz w:val="18"/>
                <w:szCs w:val="18"/>
              </w:rPr>
            </w:pPr>
          </w:p>
        </w:tc>
        <w:tc>
          <w:tcPr>
            <w:tcW w:w="318" w:type="pct"/>
            <w:vAlign w:val="center"/>
          </w:tcPr>
          <w:p>
            <w:pPr>
              <w:widowControl/>
              <w:jc w:val="center"/>
              <w:textAlignment w:val="center"/>
              <w:rPr>
                <w:rFonts w:hint="eastAsia" w:ascii="宋体" w:hAnsi="宋体" w:eastAsia="宋体"/>
                <w:szCs w:val="21"/>
              </w:rPr>
            </w:pPr>
          </w:p>
        </w:tc>
        <w:tc>
          <w:tcPr>
            <w:tcW w:w="283" w:type="pct"/>
            <w:vAlign w:val="center"/>
          </w:tcPr>
          <w:p>
            <w:pPr>
              <w:widowControl/>
              <w:jc w:val="center"/>
              <w:textAlignment w:val="center"/>
              <w:rPr>
                <w:rFonts w:hint="eastAsia" w:ascii="宋体" w:hAnsi="宋体" w:eastAsia="宋体"/>
                <w:szCs w:val="21"/>
              </w:rPr>
            </w:pPr>
          </w:p>
        </w:tc>
        <w:tc>
          <w:tcPr>
            <w:tcW w:w="724" w:type="pct"/>
          </w:tcPr>
          <w:p>
            <w:pPr>
              <w:jc w:val="center"/>
              <w:rPr>
                <w:rFonts w:hint="eastAsia" w:ascii="Arial"/>
              </w:rPr>
            </w:pPr>
          </w:p>
        </w:tc>
        <w:tc>
          <w:tcPr>
            <w:tcW w:w="577" w:type="pct"/>
            <w:tcBorders>
              <w:right w:val="single" w:color="000000" w:sz="4" w:space="0"/>
            </w:tcBorders>
          </w:tcPr>
          <w:p>
            <w:pPr>
              <w:jc w:val="center"/>
              <w:rPr>
                <w:rFonts w:hint="eastAsia" w:ascii="Arial"/>
              </w:rPr>
            </w:pPr>
          </w:p>
        </w:tc>
        <w:tc>
          <w:tcPr>
            <w:tcW w:w="1060" w:type="pct"/>
            <w:tcBorders>
              <w:left w:val="single" w:color="000000" w:sz="4" w:space="0"/>
            </w:tcBorders>
          </w:tcPr>
          <w:p>
            <w:pPr>
              <w:rPr>
                <w:rFonts w:hint="eastAsia" w:ascii="Arial"/>
              </w:rPr>
            </w:pPr>
          </w:p>
        </w:tc>
        <w:tc>
          <w:tcPr>
            <w:tcW w:w="241" w:type="pct"/>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9" w:hRule="atLeast"/>
        </w:trPr>
        <w:tc>
          <w:tcPr>
            <w:tcW w:w="3698" w:type="pct"/>
            <w:gridSpan w:val="7"/>
            <w:vAlign w:val="center"/>
          </w:tcPr>
          <w:p>
            <w:pPr>
              <w:jc w:val="center"/>
              <w:rPr>
                <w:rFonts w:hint="eastAsia" w:ascii="宋体" w:hAnsi="宋体" w:eastAsia="宋体" w:cs="宋体"/>
                <w:spacing w:val="-6"/>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060" w:type="pct"/>
            <w:tcBorders>
              <w:left w:val="single" w:color="000000" w:sz="4" w:space="0"/>
            </w:tcBorders>
            <w:vAlign w:val="center"/>
          </w:tcPr>
          <w:p>
            <w:pPr>
              <w:jc w:val="center"/>
              <w:rPr>
                <w:rFonts w:hint="eastAsia" w:ascii="Arial"/>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c>
          <w:tcPr>
            <w:tcW w:w="241" w:type="pct"/>
          </w:tcPr>
          <w:p>
            <w:pPr>
              <w:rPr>
                <w:rFonts w:hint="eastAsia" w:ascii="Arial"/>
              </w:rPr>
            </w:pPr>
          </w:p>
        </w:tc>
      </w:tr>
    </w:tbl>
    <w:p>
      <w:pPr>
        <w:spacing w:before="58" w:line="219" w:lineRule="auto"/>
        <w:ind w:left="8"/>
        <w:rPr>
          <w:rFonts w:hint="eastAsia" w:ascii="宋体" w:hAnsi="宋体" w:eastAsia="宋体" w:cs="宋体"/>
          <w:szCs w:val="21"/>
        </w:rPr>
      </w:pPr>
      <w:r>
        <w:rPr>
          <w:rFonts w:ascii="宋体" w:hAnsi="宋体" w:eastAsia="宋体" w:cs="宋体"/>
          <w:spacing w:val="-8"/>
          <w:szCs w:val="21"/>
        </w:rPr>
        <w:t>注：</w:t>
      </w:r>
      <w:r>
        <w:rPr>
          <w:rFonts w:hint="eastAsia" w:ascii="宋体" w:hAnsi="宋体" w:eastAsia="宋体" w:cs="宋体"/>
          <w:spacing w:val="-8"/>
          <w:szCs w:val="21"/>
        </w:rPr>
        <w:t xml:space="preserve"> </w:t>
      </w:r>
      <w:r>
        <w:rPr>
          <w:rFonts w:ascii="宋体" w:hAnsi="宋体" w:eastAsia="宋体" w:cs="宋体"/>
          <w:spacing w:val="-8"/>
          <w:szCs w:val="21"/>
        </w:rPr>
        <w:t>1.以上</w:t>
      </w:r>
      <w:r>
        <w:rPr>
          <w:rFonts w:ascii="宋体" w:hAnsi="宋体" w:eastAsia="宋体" w:cs="宋体"/>
          <w:spacing w:val="-5"/>
          <w:szCs w:val="21"/>
        </w:rPr>
        <w:t>是</w:t>
      </w:r>
      <w:r>
        <w:rPr>
          <w:rFonts w:ascii="宋体" w:hAnsi="宋体" w:eastAsia="宋体" w:cs="宋体"/>
          <w:spacing w:val="-4"/>
          <w:szCs w:val="21"/>
        </w:rPr>
        <w:t>各单体设备分项报价应包括的内容， 但不限于此，表中“总价合计”构成主机价格的一部分。</w:t>
      </w:r>
    </w:p>
    <w:p>
      <w:pPr>
        <w:spacing w:before="78" w:line="219" w:lineRule="auto"/>
        <w:ind w:left="431"/>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计算的结果与总价不一致，以单价为准修正总价。</w:t>
      </w:r>
    </w:p>
    <w:p>
      <w:pPr>
        <w:spacing w:before="85" w:line="198" w:lineRule="auto"/>
        <w:ind w:left="432"/>
        <w:rPr>
          <w:rFonts w:hint="eastAsia"/>
        </w:rPr>
      </w:pPr>
      <w:r>
        <w:rPr>
          <w:rFonts w:ascii="宋体" w:hAnsi="宋体" w:eastAsia="宋体" w:cs="宋体"/>
          <w:spacing w:val="-4"/>
          <w:szCs w:val="21"/>
        </w:rPr>
        <w:t>3.此分项报价，仅是为</w:t>
      </w:r>
      <w:r>
        <w:rPr>
          <w:rFonts w:ascii="宋体" w:hAnsi="宋体" w:eastAsia="宋体" w:cs="宋体"/>
          <w:spacing w:val="-2"/>
          <w:szCs w:val="21"/>
        </w:rPr>
        <w:t>了方便招标人对投标文件进行分析比较，不作为限制订立合同的条件</w:t>
      </w:r>
      <w:r>
        <w:rPr>
          <w:rFonts w:ascii="宋体" w:hAnsi="宋体" w:eastAsia="宋体" w:cs="宋体"/>
          <w:spacing w:val="-2"/>
          <w:sz w:val="24"/>
          <w:szCs w:val="24"/>
        </w:rPr>
        <w:t>。</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left="431"/>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78" w:line="219" w:lineRule="auto"/>
        <w:ind w:left="431"/>
        <w:rPr>
          <w:rFonts w:hint="eastAsia" w:ascii="宋体" w:hAnsi="宋体" w:eastAsia="宋体" w:cs="宋体"/>
          <w:spacing w:val="-6"/>
          <w:szCs w:val="21"/>
          <w:highlight w:val="yellow"/>
        </w:rPr>
      </w:pPr>
      <w:r>
        <w:rPr>
          <w:rFonts w:hint="eastAsia" w:ascii="宋体" w:hAnsi="宋体" w:eastAsia="宋体" w:cs="宋体"/>
          <w:spacing w:val="-6"/>
          <w:szCs w:val="21"/>
          <w:highlight w:val="yellow"/>
        </w:rPr>
        <w:t>7.投标人可按照实际配置据实调整并细化，但禁止简化分项清单。</w:t>
      </w:r>
    </w:p>
    <w:p>
      <w:pPr>
        <w:pStyle w:val="29"/>
        <w:rPr>
          <w:rFonts w:hint="eastAsia"/>
        </w:rPr>
        <w:sectPr>
          <w:footerReference r:id="rId26" w:type="default"/>
          <w:pgSz w:w="16841" w:h="11907" w:orient="landscape"/>
          <w:pgMar w:top="400" w:right="1387" w:bottom="1168" w:left="1473" w:header="0" w:footer="990" w:gutter="0"/>
          <w:cols w:equalWidth="0" w:num="1">
            <w:col w:w="13980"/>
          </w:cols>
        </w:sectPr>
      </w:pPr>
      <w:r>
        <w:rPr>
          <w:rFonts w:hint="eastAsia"/>
        </w:rPr>
        <w:t xml:space="preserve"> </w:t>
      </w:r>
    </w:p>
    <w:p>
      <w:pPr>
        <w:spacing w:before="85" w:line="198" w:lineRule="auto"/>
        <w:ind w:left="432"/>
        <w:rPr>
          <w:rFonts w:hint="eastAsia" w:ascii="宋体" w:hAnsi="宋体" w:eastAsia="宋体" w:cs="宋体"/>
          <w:spacing w:val="-4"/>
          <w:sz w:val="24"/>
          <w:szCs w:val="24"/>
        </w:rPr>
      </w:pPr>
      <w:r>
        <w:rPr>
          <w:rFonts w:hint="eastAsia" w:ascii="宋体" w:hAnsi="宋体" w:eastAsia="宋体" w:cs="宋体"/>
          <w:spacing w:val="-4"/>
          <w:sz w:val="24"/>
          <w:szCs w:val="24"/>
        </w:rPr>
        <w:t>投标人(章)：</w:t>
      </w:r>
    </w:p>
    <w:p>
      <w:pPr>
        <w:spacing w:line="14" w:lineRule="auto"/>
        <w:rPr>
          <w:rFonts w:hint="eastAsia" w:ascii="宋体" w:hAnsi="宋体" w:eastAsia="宋体" w:cs="宋体"/>
          <w:sz w:val="24"/>
          <w:szCs w:val="24"/>
        </w:rPr>
      </w:pPr>
      <w:r>
        <w:rPr>
          <w:rFonts w:hint="eastAsia" w:ascii="宋体" w:hAnsi="宋体" w:eastAsia="宋体" w:cs="宋体"/>
          <w:sz w:val="24"/>
          <w:szCs w:val="24"/>
        </w:rPr>
        <w:br w:type="column"/>
      </w:r>
    </w:p>
    <w:p>
      <w:pPr>
        <w:spacing w:before="40" w:line="186" w:lineRule="auto"/>
        <w:rPr>
          <w:rFonts w:hint="eastAsia" w:ascii="宋体" w:hAnsi="宋体" w:eastAsia="宋体" w:cs="宋体"/>
          <w:spacing w:val="-2"/>
          <w:sz w:val="24"/>
          <w:szCs w:val="24"/>
        </w:rPr>
      </w:pPr>
      <w:r>
        <w:rPr>
          <w:rFonts w:hint="eastAsia" w:ascii="宋体" w:hAnsi="宋体" w:eastAsia="宋体" w:cs="宋体"/>
          <w:spacing w:val="-2"/>
          <w:sz w:val="24"/>
          <w:szCs w:val="24"/>
        </w:rPr>
        <w:t>授权代表(签字)：</w:t>
      </w:r>
      <w:r>
        <w:rPr>
          <w:rFonts w:hint="eastAsia" w:ascii="宋体" w:hAnsi="宋体" w:eastAsia="宋体" w:cs="宋体"/>
          <w:spacing w:val="4"/>
          <w:sz w:val="24"/>
          <w:szCs w:val="24"/>
        </w:rPr>
        <w:t xml:space="preserve"> </w:t>
      </w:r>
      <w:r>
        <w:rPr>
          <w:rFonts w:hint="eastAsia" w:ascii="宋体" w:hAnsi="宋体" w:eastAsia="宋体" w:cs="宋体"/>
          <w:spacing w:val="3"/>
          <w:sz w:val="24"/>
          <w:szCs w:val="24"/>
        </w:rPr>
        <w:t xml:space="preserve">                         </w:t>
      </w:r>
      <w:r>
        <w:rPr>
          <w:rFonts w:hint="eastAsia" w:ascii="宋体" w:hAnsi="宋体" w:eastAsia="宋体" w:cs="宋体"/>
          <w:spacing w:val="-2"/>
          <w:sz w:val="24"/>
          <w:szCs w:val="24"/>
        </w:rPr>
        <w:t>年    月    日</w:t>
      </w:r>
    </w:p>
    <w:p>
      <w:pPr>
        <w:rPr>
          <w:rFonts w:hint="eastAsia" w:ascii="宋体" w:hAnsi="宋体" w:eastAsia="宋体" w:cs="宋体"/>
          <w:sz w:val="24"/>
          <w:szCs w:val="24"/>
        </w:rPr>
        <w:sectPr>
          <w:type w:val="continuous"/>
          <w:pgSz w:w="16841" w:h="11907"/>
          <w:pgMar w:top="400" w:right="1387" w:bottom="1168" w:left="1473" w:header="0" w:footer="990" w:gutter="0"/>
          <w:cols w:equalWidth="0" w:num="2">
            <w:col w:w="4757" w:space="100"/>
            <w:col w:w="9124"/>
          </w:cols>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9-2</w:t>
      </w:r>
    </w:p>
    <w:p>
      <w:pPr>
        <w:spacing w:before="186" w:line="224" w:lineRule="auto"/>
        <w:ind w:left="5342"/>
        <w:rPr>
          <w:rFonts w:hint="eastAsia" w:ascii="宋体" w:hAnsi="宋体" w:eastAsia="宋体" w:cs="宋体"/>
          <w:sz w:val="24"/>
          <w:szCs w:val="24"/>
        </w:rPr>
      </w:pPr>
      <w:r>
        <w:rPr>
          <w:rFonts w:ascii="宋体" w:hAnsi="宋体" w:eastAsia="宋体" w:cs="宋体"/>
          <w:spacing w:val="16"/>
          <w:sz w:val="24"/>
          <w:szCs w:val="24"/>
          <w14:textOutline w14:w="5791" w14:cap="flat" w14:cmpd="sng" w14:algn="ctr">
            <w14:solidFill>
              <w14:srgbClr w14:val="000000"/>
            </w14:solidFill>
            <w14:prstDash w14:val="solid"/>
            <w14:miter w14:val="0"/>
          </w14:textOutline>
        </w:rPr>
        <w:t>运</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输及服务分项报价表</w:t>
      </w:r>
    </w:p>
    <w:p>
      <w:pPr>
        <w:spacing w:before="132" w:line="221" w:lineRule="auto"/>
        <w:ind w:left="310"/>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343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99"/>
        <w:gridCol w:w="3530"/>
        <w:gridCol w:w="2159"/>
        <w:gridCol w:w="2186"/>
        <w:gridCol w:w="2596"/>
        <w:gridCol w:w="2164"/>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70" w:hRule="atLeast"/>
        </w:trPr>
        <w:tc>
          <w:tcPr>
            <w:tcW w:w="799" w:type="dxa"/>
            <w:vMerge w:val="restart"/>
            <w:tcBorders>
              <w:bottom w:val="nil"/>
            </w:tcBorders>
          </w:tcPr>
          <w:p>
            <w:pPr>
              <w:spacing w:line="296" w:lineRule="auto"/>
              <w:rPr>
                <w:rFonts w:hint="eastAsia" w:ascii="Arial"/>
              </w:rPr>
            </w:pPr>
          </w:p>
          <w:p>
            <w:pPr>
              <w:spacing w:before="68" w:line="222" w:lineRule="auto"/>
              <w:ind w:left="194"/>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530" w:type="dxa"/>
            <w:vMerge w:val="restart"/>
            <w:tcBorders>
              <w:bottom w:val="nil"/>
            </w:tcBorders>
          </w:tcPr>
          <w:p>
            <w:pPr>
              <w:spacing w:line="295" w:lineRule="auto"/>
              <w:rPr>
                <w:rFonts w:hint="eastAsia" w:ascii="Arial"/>
              </w:rPr>
            </w:pPr>
          </w:p>
          <w:p>
            <w:pPr>
              <w:spacing w:before="68" w:line="221" w:lineRule="auto"/>
              <w:ind w:left="147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2159" w:type="dxa"/>
          </w:tcPr>
          <w:p>
            <w:pPr>
              <w:spacing w:before="130" w:line="221" w:lineRule="auto"/>
              <w:ind w:left="766"/>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数  量</w:t>
            </w:r>
          </w:p>
        </w:tc>
        <w:tc>
          <w:tcPr>
            <w:tcW w:w="218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单价(元)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596" w:type="dxa"/>
          </w:tcPr>
          <w:p>
            <w:pPr>
              <w:spacing w:before="131" w:line="219"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（不含税）</w:t>
            </w:r>
          </w:p>
        </w:tc>
        <w:tc>
          <w:tcPr>
            <w:tcW w:w="2164" w:type="dxa"/>
          </w:tcPr>
          <w:p>
            <w:pPr>
              <w:spacing w:before="130" w:line="222" w:lineRule="auto"/>
              <w:ind w:left="770"/>
              <w:rPr>
                <w:rFonts w:hint="eastAsia" w:ascii="宋体" w:hAnsi="宋体" w:eastAsia="宋体" w:cs="宋体"/>
                <w:szCs w:val="21"/>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65" w:hRule="atLeast"/>
        </w:trPr>
        <w:tc>
          <w:tcPr>
            <w:tcW w:w="799" w:type="dxa"/>
            <w:vMerge w:val="continue"/>
            <w:tcBorders>
              <w:top w:val="nil"/>
            </w:tcBorders>
          </w:tcPr>
          <w:p>
            <w:pPr>
              <w:rPr>
                <w:rFonts w:hint="eastAsia" w:ascii="Arial"/>
              </w:rPr>
            </w:pPr>
          </w:p>
        </w:tc>
        <w:tc>
          <w:tcPr>
            <w:tcW w:w="3530" w:type="dxa"/>
            <w:vMerge w:val="continue"/>
            <w:tcBorders>
              <w:top w:val="nil"/>
            </w:tcBorders>
          </w:tcPr>
          <w:p>
            <w:pPr>
              <w:rPr>
                <w:rFonts w:hint="eastAsia" w:ascii="Arial"/>
              </w:rPr>
            </w:pPr>
          </w:p>
        </w:tc>
        <w:tc>
          <w:tcPr>
            <w:tcW w:w="2159" w:type="dxa"/>
          </w:tcPr>
          <w:p>
            <w:pPr>
              <w:spacing w:before="160" w:line="186" w:lineRule="auto"/>
              <w:ind w:left="1044"/>
              <w:rPr>
                <w:rFonts w:hint="eastAsia" w:ascii="宋体" w:hAnsi="宋体" w:eastAsia="宋体" w:cs="宋体"/>
                <w:szCs w:val="21"/>
              </w:rPr>
            </w:pPr>
            <w:r>
              <w:rPr>
                <w:rFonts w:ascii="宋体" w:hAnsi="宋体" w:eastAsia="宋体" w:cs="宋体"/>
                <w:szCs w:val="21"/>
              </w:rPr>
              <w:t>1</w:t>
            </w:r>
          </w:p>
        </w:tc>
        <w:tc>
          <w:tcPr>
            <w:tcW w:w="2186" w:type="dxa"/>
          </w:tcPr>
          <w:p>
            <w:pPr>
              <w:spacing w:before="161" w:line="185" w:lineRule="auto"/>
              <w:ind w:left="1047"/>
              <w:rPr>
                <w:rFonts w:hint="eastAsia" w:ascii="宋体" w:hAnsi="宋体" w:eastAsia="宋体" w:cs="宋体"/>
                <w:szCs w:val="21"/>
              </w:rPr>
            </w:pPr>
            <w:r>
              <w:rPr>
                <w:rFonts w:ascii="宋体" w:hAnsi="宋体" w:eastAsia="宋体" w:cs="宋体"/>
                <w:szCs w:val="21"/>
              </w:rPr>
              <w:t>2</w:t>
            </w:r>
          </w:p>
        </w:tc>
        <w:tc>
          <w:tcPr>
            <w:tcW w:w="2596" w:type="dxa"/>
          </w:tcPr>
          <w:p>
            <w:pPr>
              <w:spacing w:before="126" w:line="223" w:lineRule="auto"/>
              <w:ind w:left="835"/>
              <w:rPr>
                <w:rFonts w:hint="eastAsia" w:ascii="宋体" w:hAnsi="宋体" w:eastAsia="宋体" w:cs="宋体"/>
                <w:szCs w:val="21"/>
              </w:rPr>
            </w:pPr>
            <w:r>
              <w:rPr>
                <w:rFonts w:ascii="宋体" w:hAnsi="宋体" w:eastAsia="宋体" w:cs="宋体"/>
                <w:spacing w:val="-2"/>
                <w:szCs w:val="21"/>
              </w:rPr>
              <w:t>3 (1</w:t>
            </w:r>
            <w:r>
              <w:rPr>
                <w:rFonts w:ascii="宋体" w:hAnsi="宋体" w:eastAsia="宋体" w:cs="宋体"/>
                <w:spacing w:val="-1"/>
                <w:szCs w:val="21"/>
              </w:rPr>
              <w:t>×2)</w:t>
            </w:r>
          </w:p>
        </w:tc>
        <w:tc>
          <w:tcPr>
            <w:tcW w:w="2164" w:type="dxa"/>
          </w:tcPr>
          <w:p>
            <w:pPr>
              <w:spacing w:before="161" w:line="185" w:lineRule="auto"/>
              <w:ind w:left="1031"/>
              <w:rPr>
                <w:rFonts w:hint="eastAsia" w:ascii="宋体" w:hAnsi="宋体" w:eastAsia="宋体" w:cs="宋体"/>
                <w:szCs w:val="21"/>
              </w:rPr>
            </w:pPr>
            <w:r>
              <w:rPr>
                <w:rFonts w:ascii="宋体" w:hAnsi="宋体" w:eastAsia="宋体" w:cs="宋体"/>
                <w:szCs w:val="21"/>
              </w:rPr>
              <w:t>4</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4" w:line="185" w:lineRule="auto"/>
              <w:ind w:left="353"/>
              <w:rPr>
                <w:rFonts w:hint="eastAsia" w:ascii="宋体" w:hAnsi="宋体" w:eastAsia="宋体" w:cs="宋体"/>
                <w:szCs w:val="21"/>
              </w:rPr>
            </w:pPr>
            <w:r>
              <w:rPr>
                <w:rFonts w:hint="eastAsia" w:ascii="宋体" w:hAnsi="宋体" w:eastAsia="宋体" w:cs="宋体"/>
                <w:szCs w:val="21"/>
              </w:rPr>
              <w:t>1</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包</w:t>
            </w:r>
            <w:r>
              <w:rPr>
                <w:rFonts w:ascii="宋体" w:hAnsi="宋体" w:eastAsia="宋体" w:cs="宋体"/>
                <w:spacing w:val="-1"/>
                <w:szCs w:val="21"/>
              </w:rPr>
              <w:t>装费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5" w:line="183" w:lineRule="auto"/>
              <w:ind w:left="355"/>
              <w:rPr>
                <w:rFonts w:hint="eastAsia" w:ascii="宋体" w:hAnsi="宋体" w:eastAsia="宋体" w:cs="宋体"/>
                <w:szCs w:val="21"/>
              </w:rPr>
            </w:pPr>
            <w:r>
              <w:rPr>
                <w:rFonts w:hint="eastAsia" w:ascii="宋体" w:hAnsi="宋体" w:eastAsia="宋体" w:cs="宋体"/>
                <w:szCs w:val="21"/>
              </w:rPr>
              <w:t>2</w:t>
            </w:r>
          </w:p>
        </w:tc>
        <w:tc>
          <w:tcPr>
            <w:tcW w:w="3530" w:type="dxa"/>
          </w:tcPr>
          <w:p>
            <w:pPr>
              <w:spacing w:before="209" w:line="221" w:lineRule="auto"/>
              <w:ind w:left="1450"/>
              <w:rPr>
                <w:rFonts w:hint="eastAsia" w:ascii="宋体" w:hAnsi="宋体" w:eastAsia="宋体" w:cs="宋体"/>
                <w:szCs w:val="21"/>
              </w:rPr>
            </w:pPr>
            <w:r>
              <w:rPr>
                <w:rFonts w:ascii="宋体" w:hAnsi="宋体" w:eastAsia="宋体" w:cs="宋体"/>
                <w:spacing w:val="-2"/>
                <w:szCs w:val="21"/>
              </w:rPr>
              <w:t>运</w:t>
            </w:r>
            <w:r>
              <w:rPr>
                <w:rFonts w:ascii="宋体" w:hAnsi="宋体" w:eastAsia="宋体" w:cs="宋体"/>
                <w:spacing w:val="-1"/>
                <w:szCs w:val="21"/>
              </w:rPr>
              <w:t>输费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restart"/>
            <w:tcBorders>
              <w:bottom w:val="nil"/>
            </w:tcBorders>
          </w:tcPr>
          <w:p>
            <w:pPr>
              <w:spacing w:line="295" w:lineRule="auto"/>
              <w:rPr>
                <w:rFonts w:hint="eastAsia" w:ascii="Arial"/>
              </w:rPr>
            </w:pPr>
          </w:p>
          <w:p>
            <w:pPr>
              <w:spacing w:before="68" w:line="300" w:lineRule="auto"/>
              <w:ind w:left="873" w:right="133" w:hanging="734"/>
              <w:rPr>
                <w:rFonts w:hint="eastAsia" w:ascii="宋体" w:hAnsi="宋体" w:eastAsia="宋体" w:cs="宋体"/>
                <w:szCs w:val="21"/>
              </w:rPr>
            </w:pPr>
            <w:r>
              <w:rPr>
                <w:rFonts w:ascii="宋体" w:hAnsi="宋体" w:eastAsia="宋体" w:cs="宋体"/>
                <w:spacing w:val="-1"/>
                <w:szCs w:val="21"/>
              </w:rPr>
              <w:t>运输方式及</w:t>
            </w:r>
            <w:r>
              <w:rPr>
                <w:rFonts w:ascii="宋体" w:hAnsi="宋体" w:eastAsia="宋体" w:cs="宋体"/>
                <w:szCs w:val="21"/>
              </w:rPr>
              <w:t xml:space="preserve">运输起止 </w:t>
            </w:r>
            <w:r>
              <w:rPr>
                <w:rFonts w:ascii="宋体" w:hAnsi="宋体" w:eastAsia="宋体" w:cs="宋体"/>
                <w:spacing w:val="-2"/>
                <w:szCs w:val="21"/>
              </w:rPr>
              <w:t>地</w:t>
            </w:r>
            <w:r>
              <w:rPr>
                <w:rFonts w:ascii="宋体" w:hAnsi="宋体" w:eastAsia="宋体" w:cs="宋体"/>
                <w:spacing w:val="-1"/>
                <w:szCs w:val="21"/>
              </w:rPr>
              <w:t>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1" w:hRule="atLeast"/>
        </w:trPr>
        <w:tc>
          <w:tcPr>
            <w:tcW w:w="799" w:type="dxa"/>
          </w:tcPr>
          <w:p>
            <w:pPr>
              <w:spacing w:before="248" w:line="185" w:lineRule="auto"/>
              <w:ind w:left="350"/>
              <w:rPr>
                <w:rFonts w:hint="eastAsia" w:ascii="宋体" w:hAnsi="宋体" w:eastAsia="宋体" w:cs="宋体"/>
                <w:szCs w:val="21"/>
              </w:rPr>
            </w:pPr>
            <w:r>
              <w:rPr>
                <w:rFonts w:hint="eastAsia" w:ascii="宋体" w:hAnsi="宋体" w:eastAsia="宋体" w:cs="宋体"/>
                <w:szCs w:val="21"/>
              </w:rPr>
              <w:t>3</w:t>
            </w:r>
          </w:p>
        </w:tc>
        <w:tc>
          <w:tcPr>
            <w:tcW w:w="3530" w:type="dxa"/>
          </w:tcPr>
          <w:p>
            <w:pPr>
              <w:spacing w:before="212" w:line="221" w:lineRule="auto"/>
              <w:ind w:left="1241"/>
              <w:rPr>
                <w:rFonts w:hint="eastAsia" w:ascii="宋体" w:hAnsi="宋体" w:eastAsia="宋体" w:cs="宋体"/>
                <w:szCs w:val="21"/>
              </w:rPr>
            </w:pPr>
            <w:r>
              <w:rPr>
                <w:rFonts w:ascii="宋体" w:hAnsi="宋体" w:eastAsia="宋体" w:cs="宋体"/>
                <w:spacing w:val="-1"/>
                <w:szCs w:val="21"/>
              </w:rPr>
              <w:t>运输保险费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vMerge w:val="continue"/>
            <w:tcBorders>
              <w:top w:val="nil"/>
            </w:tcBorders>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2" w:lineRule="auto"/>
              <w:ind w:left="355"/>
              <w:rPr>
                <w:rFonts w:hint="eastAsia" w:ascii="宋体" w:hAnsi="宋体" w:eastAsia="宋体" w:cs="宋体"/>
                <w:szCs w:val="21"/>
              </w:rPr>
            </w:pPr>
            <w:r>
              <w:rPr>
                <w:rFonts w:hint="eastAsia" w:ascii="宋体" w:hAnsi="宋体" w:eastAsia="宋体" w:cs="宋体"/>
                <w:szCs w:val="21"/>
              </w:rPr>
              <w:t>4</w:t>
            </w:r>
          </w:p>
        </w:tc>
        <w:tc>
          <w:tcPr>
            <w:tcW w:w="3530" w:type="dxa"/>
          </w:tcPr>
          <w:p>
            <w:pPr>
              <w:spacing w:before="210" w:line="221" w:lineRule="auto"/>
              <w:ind w:left="1450"/>
              <w:rPr>
                <w:rFonts w:hint="eastAsia" w:ascii="宋体" w:hAnsi="宋体" w:eastAsia="宋体" w:cs="宋体"/>
                <w:szCs w:val="21"/>
              </w:rPr>
            </w:pPr>
            <w:r>
              <w:rPr>
                <w:rFonts w:ascii="宋体" w:hAnsi="宋体" w:eastAsia="宋体" w:cs="宋体"/>
                <w:spacing w:val="-2"/>
                <w:szCs w:val="21"/>
              </w:rPr>
              <w:t>装</w:t>
            </w:r>
            <w:r>
              <w:rPr>
                <w:rFonts w:ascii="宋体" w:hAnsi="宋体" w:eastAsia="宋体" w:cs="宋体"/>
                <w:spacing w:val="-1"/>
                <w:szCs w:val="21"/>
              </w:rPr>
              <w:t>卸费</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7"/>
              <w:rPr>
                <w:rFonts w:hint="eastAsia" w:ascii="宋体" w:hAnsi="宋体" w:eastAsia="宋体" w:cs="宋体"/>
                <w:szCs w:val="21"/>
              </w:rPr>
            </w:pPr>
            <w:r>
              <w:rPr>
                <w:rFonts w:ascii="宋体" w:hAnsi="宋体" w:eastAsia="宋体" w:cs="宋体"/>
                <w:spacing w:val="-2"/>
                <w:szCs w:val="21"/>
              </w:rPr>
              <w:t>发生</w:t>
            </w:r>
            <w:r>
              <w:rPr>
                <w:rFonts w:ascii="宋体" w:hAnsi="宋体" w:eastAsia="宋体" w:cs="宋体"/>
                <w:spacing w:val="-1"/>
                <w:szCs w:val="21"/>
              </w:rPr>
              <w:t>费用地点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8" w:hRule="atLeast"/>
        </w:trPr>
        <w:tc>
          <w:tcPr>
            <w:tcW w:w="799" w:type="dxa"/>
          </w:tcPr>
          <w:p>
            <w:pPr>
              <w:spacing w:before="247" w:line="183" w:lineRule="auto"/>
              <w:ind w:left="352"/>
              <w:rPr>
                <w:rFonts w:hint="eastAsia" w:ascii="宋体" w:hAnsi="宋体" w:eastAsia="宋体" w:cs="宋体"/>
                <w:szCs w:val="21"/>
              </w:rPr>
            </w:pPr>
            <w:r>
              <w:rPr>
                <w:rFonts w:hint="eastAsia" w:ascii="宋体" w:hAnsi="宋体" w:eastAsia="宋体" w:cs="宋体"/>
                <w:szCs w:val="21"/>
              </w:rPr>
              <w:t>5</w:t>
            </w:r>
          </w:p>
        </w:tc>
        <w:tc>
          <w:tcPr>
            <w:tcW w:w="3530" w:type="dxa"/>
          </w:tcPr>
          <w:p>
            <w:pPr>
              <w:spacing w:before="211" w:line="221" w:lineRule="auto"/>
              <w:ind w:left="1557"/>
              <w:rPr>
                <w:rFonts w:hint="eastAsia" w:ascii="宋体" w:hAnsi="宋体" w:eastAsia="宋体" w:cs="宋体"/>
                <w:szCs w:val="21"/>
              </w:rPr>
            </w:pPr>
            <w:r>
              <w:rPr>
                <w:rFonts w:ascii="宋体" w:hAnsi="宋体" w:eastAsia="宋体" w:cs="宋体"/>
                <w:spacing w:val="-2"/>
                <w:szCs w:val="21"/>
              </w:rPr>
              <w:t>其他</w:t>
            </w:r>
          </w:p>
        </w:tc>
        <w:tc>
          <w:tcPr>
            <w:tcW w:w="2159" w:type="dxa"/>
          </w:tcPr>
          <w:p>
            <w:pPr>
              <w:rPr>
                <w:rFonts w:hint="eastAsia" w:ascii="Arial"/>
              </w:rPr>
            </w:pPr>
          </w:p>
        </w:tc>
        <w:tc>
          <w:tcPr>
            <w:tcW w:w="2186" w:type="dxa"/>
          </w:tcPr>
          <w:p>
            <w:pPr>
              <w:rPr>
                <w:rFonts w:hint="eastAsia" w:ascii="Arial"/>
              </w:rPr>
            </w:pPr>
          </w:p>
        </w:tc>
        <w:tc>
          <w:tcPr>
            <w:tcW w:w="2596" w:type="dxa"/>
          </w:tcPr>
          <w:p>
            <w:pPr>
              <w:rPr>
                <w:rFonts w:hint="eastAsia" w:ascii="Arial"/>
              </w:rPr>
            </w:pPr>
          </w:p>
        </w:tc>
        <w:tc>
          <w:tcPr>
            <w:tcW w:w="2164" w:type="dxa"/>
          </w:tcPr>
          <w:p>
            <w:pPr>
              <w:spacing w:before="210" w:line="221" w:lineRule="auto"/>
              <w:ind w:left="456"/>
              <w:rPr>
                <w:rFonts w:hint="eastAsia" w:ascii="宋体" w:hAnsi="宋体" w:eastAsia="宋体" w:cs="宋体"/>
                <w:szCs w:val="21"/>
              </w:rPr>
            </w:pPr>
            <w:r>
              <w:rPr>
                <w:rFonts w:ascii="宋体" w:hAnsi="宋体" w:eastAsia="宋体" w:cs="宋体"/>
                <w:spacing w:val="-2"/>
                <w:szCs w:val="21"/>
              </w:rPr>
              <w:t>说明</w:t>
            </w:r>
            <w:r>
              <w:rPr>
                <w:rFonts w:ascii="宋体" w:hAnsi="宋体" w:eastAsia="宋体" w:cs="宋体"/>
                <w:spacing w:val="-1"/>
                <w:szCs w:val="21"/>
              </w:rPr>
              <w:t>具体内容</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33" w:hRule="atLeast"/>
        </w:trPr>
        <w:tc>
          <w:tcPr>
            <w:tcW w:w="8674" w:type="dxa"/>
            <w:gridSpan w:val="4"/>
          </w:tcPr>
          <w:p>
            <w:pPr>
              <w:spacing w:before="211" w:line="219" w:lineRule="auto"/>
              <w:ind w:left="3008"/>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4760" w:type="dxa"/>
            <w:gridSpan w:val="2"/>
          </w:tcPr>
          <w:p>
            <w:pPr>
              <w:spacing w:before="211" w:line="219" w:lineRule="auto"/>
              <w:ind w:firstLine="211" w:firstLineChars="100"/>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59" w:line="219" w:lineRule="auto"/>
        <w:ind w:left="211"/>
        <w:rPr>
          <w:rFonts w:hint="eastAsia" w:ascii="宋体" w:hAnsi="宋体" w:eastAsia="宋体" w:cs="宋体"/>
          <w:szCs w:val="21"/>
        </w:rPr>
      </w:pPr>
      <w:r>
        <w:rPr>
          <w:rFonts w:ascii="宋体" w:hAnsi="宋体" w:eastAsia="宋体" w:cs="宋体"/>
          <w:spacing w:val="-10"/>
          <w:szCs w:val="21"/>
        </w:rPr>
        <w:t>注：</w:t>
      </w:r>
      <w:r>
        <w:rPr>
          <w:rFonts w:hint="eastAsia" w:ascii="宋体" w:hAnsi="宋体" w:eastAsia="宋体" w:cs="宋体"/>
          <w:spacing w:val="-10"/>
          <w:szCs w:val="21"/>
        </w:rPr>
        <w:t xml:space="preserve"> </w:t>
      </w:r>
      <w:r>
        <w:rPr>
          <w:rFonts w:ascii="宋体" w:hAnsi="宋体" w:eastAsia="宋体" w:cs="宋体"/>
          <w:spacing w:val="-5"/>
          <w:szCs w:val="21"/>
        </w:rPr>
        <w:t>1.投标人需另附页给出价格的详细说明。</w:t>
      </w:r>
    </w:p>
    <w:p>
      <w:pPr>
        <w:spacing w:before="77"/>
        <w:ind w:left="633"/>
        <w:rPr>
          <w:rFonts w:hint="eastAsia" w:ascii="宋体" w:hAnsi="宋体" w:eastAsia="宋体" w:cs="宋体"/>
          <w:szCs w:val="21"/>
        </w:rPr>
      </w:pPr>
      <w:r>
        <w:rPr>
          <w:rFonts w:ascii="宋体" w:hAnsi="宋体" w:eastAsia="宋体" w:cs="宋体"/>
          <w:spacing w:val="-1"/>
          <w:szCs w:val="21"/>
        </w:rPr>
        <w:t>2.如果按单价计算的结果与总价不一致，以单</w:t>
      </w:r>
      <w:r>
        <w:rPr>
          <w:rFonts w:ascii="宋体" w:hAnsi="宋体" w:eastAsia="宋体" w:cs="宋体"/>
          <w:szCs w:val="21"/>
        </w:rPr>
        <w:t>价为准修正总价。</w:t>
      </w:r>
    </w:p>
    <w:p>
      <w:pPr>
        <w:spacing w:before="64" w:line="198" w:lineRule="auto"/>
        <w:ind w:firstLine="606" w:firstLineChars="300"/>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594" w:firstLineChars="3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594" w:firstLineChars="300"/>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6"/>
          <w:szCs w:val="21"/>
        </w:rPr>
        <w:t>6.因填写不规范造成废标及终止招标的，责任由投标人自负。</w:t>
      </w:r>
    </w:p>
    <w:p>
      <w:pPr>
        <w:spacing w:before="140" w:line="220" w:lineRule="auto"/>
        <w:ind w:left="2" w:firstLine="464" w:firstLineChars="200"/>
        <w:rPr>
          <w:rFonts w:hint="eastAsia" w:ascii="宋体" w:hAnsi="宋体" w:eastAsia="宋体" w:cs="宋体"/>
          <w:spacing w:val="-2"/>
          <w:sz w:val="24"/>
          <w:szCs w:val="24"/>
        </w:rPr>
      </w:pPr>
      <w:r>
        <w:rPr>
          <w:rFonts w:ascii="宋体" w:hAnsi="宋体" w:eastAsia="宋体" w:cs="宋体"/>
          <w:spacing w:val="-4"/>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 授权代表(签字)：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年  月  日</w:t>
      </w:r>
    </w:p>
    <w:p>
      <w:pPr>
        <w:rPr>
          <w:rFonts w:hint="eastAsia"/>
          <w:sz w:val="24"/>
          <w:szCs w:val="24"/>
        </w:rPr>
        <w:sectPr>
          <w:footerReference r:id="rId27" w:type="default"/>
          <w:pgSz w:w="16841" w:h="11907"/>
          <w:pgMar w:top="400" w:right="1699" w:bottom="1184" w:left="1481"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9-3</w:t>
      </w:r>
    </w:p>
    <w:p>
      <w:pPr>
        <w:spacing w:before="104" w:line="224" w:lineRule="auto"/>
        <w:ind w:left="5024"/>
        <w:rPr>
          <w:rFonts w:hint="eastAsia" w:ascii="宋体" w:hAnsi="宋体" w:eastAsia="宋体" w:cs="宋体"/>
          <w:sz w:val="31"/>
          <w:szCs w:val="31"/>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技术服务和培训分项报价</w:t>
      </w:r>
      <w:r>
        <w:rPr>
          <w:rFonts w:ascii="宋体" w:hAnsi="宋体" w:eastAsia="宋体" w:cs="宋体"/>
          <w:spacing w:val="9"/>
          <w:sz w:val="24"/>
          <w:szCs w:val="24"/>
          <w14:textOutline w14:w="5791" w14:cap="flat" w14:cmpd="sng" w14:algn="ctr">
            <w14:solidFill>
              <w14:srgbClr w14:val="000000"/>
            </w14:solidFill>
            <w14:prstDash w14:val="solid"/>
            <w14:miter w14:val="0"/>
          </w14:textOutline>
        </w:rPr>
        <w:t>表</w:t>
      </w:r>
    </w:p>
    <w:p>
      <w:pPr>
        <w:spacing w:before="134" w:line="221" w:lineRule="auto"/>
        <w:ind w:left="212"/>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rPr>
          <w:rFonts w:hint="eastAsia"/>
        </w:rPr>
      </w:pPr>
    </w:p>
    <w:p>
      <w:pPr>
        <w:spacing w:line="20" w:lineRule="exact"/>
        <w:rPr>
          <w:rFonts w:hint="eastAsia"/>
        </w:rPr>
      </w:pPr>
    </w:p>
    <w:tbl>
      <w:tblPr>
        <w:tblStyle w:val="133"/>
        <w:tblW w:w="13514" w:type="dxa"/>
        <w:tblInd w:w="222"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710"/>
        <w:gridCol w:w="3625"/>
        <w:gridCol w:w="1126"/>
        <w:gridCol w:w="1138"/>
        <w:gridCol w:w="1138"/>
        <w:gridCol w:w="2449"/>
        <w:gridCol w:w="3328"/>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7" w:hRule="atLeast"/>
        </w:trPr>
        <w:tc>
          <w:tcPr>
            <w:tcW w:w="71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3625"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内       容</w:t>
            </w:r>
          </w:p>
        </w:tc>
        <w:tc>
          <w:tcPr>
            <w:tcW w:w="112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单价(元)（不含税）</w:t>
            </w:r>
          </w:p>
        </w:tc>
        <w:tc>
          <w:tcPr>
            <w:tcW w:w="113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2449"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价格(元)（不含税）</w:t>
            </w:r>
          </w:p>
        </w:tc>
        <w:tc>
          <w:tcPr>
            <w:tcW w:w="332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详 细 说 明</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9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现场</w:t>
            </w:r>
            <w:r>
              <w:rPr>
                <w:rFonts w:hint="eastAsia" w:ascii="宋体" w:hAnsi="宋体" w:eastAsia="宋体" w:cs="宋体"/>
                <w:spacing w:val="-1"/>
                <w:szCs w:val="21"/>
              </w:rPr>
              <w:t>安装调试费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0"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1"/>
                <w:szCs w:val="21"/>
              </w:rPr>
              <w:t>性能考核验</w:t>
            </w:r>
            <w:r>
              <w:rPr>
                <w:rFonts w:ascii="宋体" w:hAnsi="宋体" w:eastAsia="宋体" w:cs="宋体"/>
                <w:szCs w:val="21"/>
              </w:rPr>
              <w:t>收</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278"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3625" w:type="dxa"/>
            <w:vAlign w:val="center"/>
          </w:tcPr>
          <w:p>
            <w:pPr>
              <w:spacing w:before="266" w:line="221" w:lineRule="auto"/>
              <w:jc w:val="center"/>
              <w:rPr>
                <w:rFonts w:hint="eastAsia" w:ascii="宋体" w:hAnsi="宋体" w:eastAsia="宋体" w:cs="宋体"/>
                <w:szCs w:val="21"/>
              </w:rPr>
            </w:pPr>
            <w:r>
              <w:rPr>
                <w:rFonts w:ascii="宋体" w:hAnsi="宋体" w:eastAsia="宋体" w:cs="宋体"/>
                <w:spacing w:val="-2"/>
                <w:szCs w:val="21"/>
              </w:rPr>
              <w:t>培</w:t>
            </w:r>
            <w:r>
              <w:rPr>
                <w:rFonts w:ascii="宋体" w:hAnsi="宋体" w:eastAsia="宋体" w:cs="宋体"/>
                <w:spacing w:val="-1"/>
                <w:szCs w:val="21"/>
              </w:rPr>
              <w:t>训费</w:t>
            </w:r>
          </w:p>
        </w:tc>
        <w:tc>
          <w:tcPr>
            <w:tcW w:w="1126" w:type="dxa"/>
            <w:vAlign w:val="center"/>
          </w:tcPr>
          <w:p>
            <w:pPr>
              <w:spacing w:before="266" w:line="221" w:lineRule="auto"/>
              <w:jc w:val="center"/>
              <w:rPr>
                <w:rFonts w:hint="eastAsia" w:ascii="宋体" w:hAnsi="宋体" w:eastAsia="宋体" w:cs="宋体"/>
                <w:spacing w:val="-2"/>
                <w:szCs w:val="21"/>
              </w:rPr>
            </w:pPr>
            <w:r>
              <w:rPr>
                <w:rFonts w:ascii="宋体" w:hAnsi="宋体" w:eastAsia="宋体" w:cs="宋体"/>
                <w:spacing w:val="-1"/>
                <w:szCs w:val="21"/>
              </w:rPr>
              <w:t>人</w:t>
            </w:r>
            <w:r>
              <w:rPr>
                <w:rFonts w:hint="eastAsia" w:ascii="宋体" w:hAnsi="宋体" w:eastAsia="宋体" w:cs="宋体"/>
                <w:spacing w:val="-1"/>
                <w:szCs w:val="21"/>
              </w:rPr>
              <w:t>·</w:t>
            </w:r>
            <w:r>
              <w:rPr>
                <w:rFonts w:ascii="宋体" w:hAnsi="宋体" w:eastAsia="宋体" w:cs="宋体"/>
                <w:spacing w:val="-1"/>
                <w:szCs w:val="21"/>
              </w:rPr>
              <w:t>天</w:t>
            </w: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23" w:hRule="atLeast"/>
        </w:trPr>
        <w:tc>
          <w:tcPr>
            <w:tcW w:w="71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3625" w:type="dxa"/>
            <w:vAlign w:val="center"/>
          </w:tcPr>
          <w:p>
            <w:pPr>
              <w:spacing w:before="268" w:line="221" w:lineRule="auto"/>
              <w:jc w:val="center"/>
              <w:rPr>
                <w:rFonts w:hint="eastAsia" w:ascii="宋体" w:hAnsi="宋体" w:eastAsia="宋体" w:cs="宋体"/>
                <w:szCs w:val="21"/>
              </w:rPr>
            </w:pPr>
            <w:r>
              <w:rPr>
                <w:rFonts w:ascii="宋体" w:hAnsi="宋体" w:eastAsia="宋体" w:cs="宋体"/>
                <w:spacing w:val="15"/>
                <w:szCs w:val="21"/>
              </w:rPr>
              <w:t>其</w:t>
            </w:r>
            <w:r>
              <w:rPr>
                <w:rFonts w:ascii="宋体" w:hAnsi="宋体" w:eastAsia="宋体" w:cs="宋体"/>
                <w:spacing w:val="12"/>
                <w:szCs w:val="21"/>
              </w:rPr>
              <w:t>它(列出明细)</w:t>
            </w:r>
          </w:p>
        </w:tc>
        <w:tc>
          <w:tcPr>
            <w:tcW w:w="1126" w:type="dxa"/>
            <w:vAlign w:val="center"/>
          </w:tcPr>
          <w:p>
            <w:pPr>
              <w:spacing w:before="266" w:line="221" w:lineRule="auto"/>
              <w:jc w:val="center"/>
              <w:rPr>
                <w:rFonts w:hint="eastAsia" w:ascii="宋体" w:hAnsi="宋体" w:eastAsia="宋体" w:cs="宋体"/>
                <w:spacing w:val="-2"/>
                <w:szCs w:val="21"/>
              </w:rPr>
            </w:pPr>
          </w:p>
        </w:tc>
        <w:tc>
          <w:tcPr>
            <w:tcW w:w="1138" w:type="dxa"/>
            <w:vAlign w:val="center"/>
          </w:tcPr>
          <w:p>
            <w:pPr>
              <w:spacing w:before="266" w:line="221" w:lineRule="auto"/>
              <w:jc w:val="center"/>
              <w:rPr>
                <w:rFonts w:hint="eastAsia" w:ascii="宋体" w:hAnsi="宋体" w:eastAsia="宋体" w:cs="宋体"/>
                <w:spacing w:val="-2"/>
                <w:szCs w:val="21"/>
              </w:rPr>
            </w:pPr>
          </w:p>
        </w:tc>
        <w:tc>
          <w:tcPr>
            <w:tcW w:w="1138" w:type="dxa"/>
          </w:tcPr>
          <w:p>
            <w:pPr>
              <w:spacing w:before="266" w:line="221" w:lineRule="auto"/>
              <w:jc w:val="center"/>
              <w:rPr>
                <w:rFonts w:hint="eastAsia" w:ascii="宋体" w:hAnsi="宋体" w:eastAsia="宋体" w:cs="宋体"/>
                <w:spacing w:val="-2"/>
                <w:szCs w:val="21"/>
              </w:rPr>
            </w:pPr>
          </w:p>
        </w:tc>
        <w:tc>
          <w:tcPr>
            <w:tcW w:w="2449" w:type="dxa"/>
          </w:tcPr>
          <w:p>
            <w:pPr>
              <w:rPr>
                <w:rFonts w:hint="eastAsia" w:ascii="Arial"/>
              </w:rPr>
            </w:pPr>
          </w:p>
        </w:tc>
        <w:tc>
          <w:tcPr>
            <w:tcW w:w="332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(可另附页)</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34" w:hRule="atLeast"/>
        </w:trPr>
        <w:tc>
          <w:tcPr>
            <w:tcW w:w="433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 xml:space="preserve">总价合计列入价格汇总表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9</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5</w:t>
            </w:r>
          </w:p>
        </w:tc>
        <w:tc>
          <w:tcPr>
            <w:tcW w:w="1126"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1138" w:type="dxa"/>
            <w:tcBorders>
              <w:right w:val="nil"/>
            </w:tcBorders>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p>
        </w:tc>
        <w:tc>
          <w:tcPr>
            <w:tcW w:w="2449"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28" w:type="dxa"/>
            <w:tcBorders>
              <w:lef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元</w:t>
            </w:r>
          </w:p>
        </w:tc>
      </w:tr>
    </w:tbl>
    <w:p>
      <w:pPr>
        <w:spacing w:before="78" w:line="224" w:lineRule="auto"/>
        <w:ind w:firstLine="178" w:firstLineChars="100"/>
        <w:rPr>
          <w:rFonts w:hint="eastAsia" w:ascii="宋体" w:hAnsi="宋体" w:eastAsia="宋体" w:cs="宋体"/>
          <w:spacing w:val="-8"/>
          <w:szCs w:val="21"/>
        </w:rPr>
      </w:pPr>
      <w:r>
        <w:rPr>
          <w:rFonts w:ascii="宋体" w:hAnsi="宋体" w:eastAsia="宋体" w:cs="宋体"/>
          <w:spacing w:val="-16"/>
          <w:szCs w:val="21"/>
        </w:rPr>
        <w:t>注</w:t>
      </w:r>
      <w:r>
        <w:rPr>
          <w:rFonts w:ascii="宋体" w:hAnsi="宋体" w:eastAsia="宋体" w:cs="宋体"/>
          <w:spacing w:val="-8"/>
          <w:szCs w:val="21"/>
        </w:rPr>
        <w:t xml:space="preserve">： </w:t>
      </w:r>
      <w:r>
        <w:rPr>
          <w:rFonts w:hint="eastAsia" w:ascii="宋体" w:hAnsi="宋体" w:eastAsia="宋体" w:cs="宋体"/>
          <w:spacing w:val="-8"/>
          <w:szCs w:val="21"/>
        </w:rPr>
        <w:t xml:space="preserve">  </w:t>
      </w:r>
      <w:r>
        <w:rPr>
          <w:rFonts w:ascii="宋体" w:hAnsi="宋体" w:eastAsia="宋体" w:cs="宋体"/>
          <w:spacing w:val="-8"/>
          <w:szCs w:val="21"/>
        </w:rPr>
        <w:t>1.投标人需给出价格的详细说明。</w:t>
      </w:r>
    </w:p>
    <w:p>
      <w:pPr>
        <w:spacing w:before="75" w:line="219" w:lineRule="auto"/>
        <w:ind w:left="409" w:firstLine="396" w:firstLineChars="200"/>
        <w:rPr>
          <w:rFonts w:hint="eastAsia"/>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35" w:line="239" w:lineRule="auto"/>
        <w:ind w:firstLine="824" w:firstLineChars="400"/>
        <w:rPr>
          <w:rFonts w:hint="eastAsia" w:ascii="宋体" w:hAnsi="宋体" w:eastAsia="宋体" w:cs="宋体"/>
          <w:szCs w:val="21"/>
        </w:rPr>
      </w:pPr>
      <w:r>
        <w:rPr>
          <w:rFonts w:hint="eastAsia" w:ascii="宋体" w:hAnsi="宋体" w:eastAsia="宋体" w:cs="宋体"/>
          <w:spacing w:val="-2"/>
          <w:szCs w:val="21"/>
        </w:rPr>
        <w:t>3</w:t>
      </w:r>
      <w:r>
        <w:rPr>
          <w:rFonts w:ascii="宋体" w:hAnsi="宋体" w:eastAsia="宋体" w:cs="宋体"/>
          <w:spacing w:val="-2"/>
          <w:szCs w:val="21"/>
        </w:rPr>
        <w:t>.此分项</w:t>
      </w:r>
      <w:r>
        <w:rPr>
          <w:rFonts w:ascii="宋体" w:hAnsi="宋体" w:eastAsia="宋体" w:cs="宋体"/>
          <w:spacing w:val="-1"/>
          <w:szCs w:val="21"/>
        </w:rPr>
        <w:t>报价，仅是为了方便招标人对投标文件进行比较，不作为限制订立合同的条件。</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792" w:firstLineChars="4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rPr>
          <w:rFonts w:hint="eastAsia"/>
        </w:rPr>
      </w:pPr>
    </w:p>
    <w:p>
      <w:pPr>
        <w:pStyle w:val="22"/>
      </w:pPr>
    </w:p>
    <w:p>
      <w:pPr>
        <w:spacing w:before="35" w:line="239" w:lineRule="auto"/>
        <w:ind w:left="724"/>
        <w:rPr>
          <w:rFonts w:hint="eastAsia" w:ascii="宋体" w:hAnsi="宋体" w:eastAsia="宋体" w:cs="宋体"/>
          <w:spacing w:val="-1"/>
          <w:sz w:val="24"/>
          <w:szCs w:val="24"/>
        </w:rPr>
      </w:pPr>
      <w:r>
        <w:rPr>
          <w:rFonts w:ascii="宋体" w:hAnsi="宋体" w:eastAsia="宋体" w:cs="宋体"/>
          <w:spacing w:val="-2"/>
          <w:sz w:val="24"/>
          <w:szCs w:val="24"/>
        </w:rPr>
        <w:t>投标人(章)：</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1"/>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1"/>
          <w:sz w:val="24"/>
          <w:szCs w:val="24"/>
        </w:rPr>
        <w:t>年  月  日</w:t>
      </w:r>
    </w:p>
    <w:p>
      <w:pPr>
        <w:spacing w:before="35" w:line="239" w:lineRule="auto"/>
        <w:ind w:left="724"/>
        <w:rPr>
          <w:rFonts w:hint="eastAsia" w:ascii="宋体" w:hAnsi="宋体" w:eastAsia="宋体" w:cs="宋体"/>
          <w:spacing w:val="-1"/>
          <w:sz w:val="24"/>
          <w:szCs w:val="24"/>
        </w:rPr>
        <w:sectPr>
          <w:footerReference r:id="rId28" w:type="default"/>
          <w:pgSz w:w="16841" w:h="11907"/>
          <w:pgMar w:top="400" w:right="1699" w:bottom="1184" w:left="1481" w:header="0" w:footer="1022" w:gutter="0"/>
          <w:cols w:space="720" w:num="1"/>
        </w:sectPr>
      </w:pPr>
    </w:p>
    <w:p>
      <w:pPr>
        <w:pStyle w:val="5"/>
        <w:jc w:val="left"/>
        <w:rPr>
          <w:rFonts w:hint="eastAsia" w:ascii="宋体" w:hAnsi="宋体" w:eastAsia="宋体" w:cs="宋体"/>
          <w:sz w:val="24"/>
          <w:szCs w:val="24"/>
        </w:rPr>
      </w:pPr>
      <w:r>
        <w:rPr>
          <w:rFonts w:ascii="宋体" w:hAnsi="宋体" w:eastAsia="宋体" w:cs="宋体"/>
          <w:spacing w:val="-10"/>
          <w:sz w:val="24"/>
          <w:szCs w:val="24"/>
          <w14:textOutline w14:w="3835" w14:cap="flat" w14:cmpd="sng" w14:algn="ctr">
            <w14:solidFill>
              <w14:srgbClr w14:val="000000"/>
            </w14:solidFill>
            <w14:prstDash w14:val="solid"/>
            <w14:miter w14:val="0"/>
          </w14:textOutline>
        </w:rPr>
        <w:t>表</w:t>
      </w:r>
      <w:r>
        <w:rPr>
          <w:rFonts w:ascii="宋体" w:hAnsi="宋体" w:eastAsia="宋体" w:cs="宋体"/>
          <w:spacing w:val="-9"/>
          <w:sz w:val="24"/>
          <w:szCs w:val="24"/>
        </w:rPr>
        <w:t xml:space="preserve"> </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9</w:t>
      </w:r>
      <w:r>
        <w:rPr>
          <w:rFonts w:ascii="宋体" w:hAnsi="宋体" w:eastAsia="宋体" w:cs="宋体"/>
          <w:spacing w:val="-9"/>
          <w:sz w:val="24"/>
          <w:szCs w:val="24"/>
          <w14:textOutline w14:w="3835" w14:cap="flat" w14:cmpd="sng" w14:algn="ctr">
            <w14:solidFill>
              <w14:srgbClr w14:val="000000"/>
            </w14:solidFill>
            <w14:prstDash w14:val="solid"/>
            <w14:miter w14:val="0"/>
          </w14:textOutline>
        </w:rPr>
        <w:t>-</w:t>
      </w:r>
      <w:r>
        <w:rPr>
          <w:rFonts w:hint="eastAsia" w:ascii="宋体" w:hAnsi="宋体" w:eastAsia="宋体" w:cs="宋体"/>
          <w:spacing w:val="-9"/>
          <w:sz w:val="24"/>
          <w:szCs w:val="24"/>
          <w14:textOutline w14:w="3835" w14:cap="flat" w14:cmpd="sng" w14:algn="ctr">
            <w14:solidFill>
              <w14:srgbClr w14:val="000000"/>
            </w14:solidFill>
            <w14:prstDash w14:val="solid"/>
            <w14:miter w14:val="0"/>
          </w14:textOutline>
        </w:rPr>
        <w:t>4</w:t>
      </w:r>
    </w:p>
    <w:p>
      <w:pPr>
        <w:spacing w:before="125" w:line="294" w:lineRule="auto"/>
        <w:ind w:left="6150" w:right="1626" w:hanging="4500"/>
        <w:rPr>
          <w:rFonts w:hint="eastAsia" w:ascii="宋体" w:hAnsi="宋体" w:eastAsia="宋体" w:cs="宋体"/>
          <w:sz w:val="24"/>
          <w:szCs w:val="24"/>
        </w:rPr>
      </w:pPr>
      <w:r>
        <w:rPr>
          <w:rFonts w:ascii="宋体" w:hAnsi="宋体" w:eastAsia="宋体" w:cs="宋体"/>
          <w:spacing w:val="10"/>
          <w:sz w:val="24"/>
          <w:szCs w:val="24"/>
          <w14:textOutline w14:w="5791" w14:cap="flat" w14:cmpd="sng" w14:algn="ctr">
            <w14:solidFill>
              <w14:srgbClr w14:val="000000"/>
            </w14:solidFill>
            <w14:prstDash w14:val="solid"/>
            <w14:miter w14:val="0"/>
          </w14:textOutline>
        </w:rPr>
        <w:t>随机标准附件及易损件、备品备件、专用工具、专用检测仪器仪表</w:t>
      </w:r>
      <w:r>
        <w:rPr>
          <w:rFonts w:ascii="宋体" w:hAnsi="宋体" w:eastAsia="宋体" w:cs="宋体"/>
          <w:sz w:val="24"/>
          <w:szCs w:val="24"/>
        </w:rPr>
        <w:t xml:space="preserve"> </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分项报价</w:t>
      </w:r>
      <w:r>
        <w:rPr>
          <w:rFonts w:ascii="宋体" w:hAnsi="宋体" w:eastAsia="宋体" w:cs="宋体"/>
          <w:spacing w:val="7"/>
          <w:sz w:val="24"/>
          <w:szCs w:val="24"/>
          <w14:textOutline w14:w="5791" w14:cap="flat" w14:cmpd="sng" w14:algn="ctr">
            <w14:solidFill>
              <w14:srgbClr w14:val="000000"/>
            </w14:solidFill>
            <w14:prstDash w14:val="solid"/>
            <w14:miter w14:val="0"/>
          </w14:textOutline>
        </w:rPr>
        <w:t>表</w:t>
      </w:r>
    </w:p>
    <w:p>
      <w:pPr>
        <w:spacing w:line="220" w:lineRule="auto"/>
        <w:ind w:left="1"/>
        <w:jc w:val="right"/>
        <w:rPr>
          <w:rFonts w:hint="eastAsia" w:ascii="宋体" w:hAnsi="宋体" w:eastAsia="宋体" w:cs="宋体"/>
          <w:szCs w:val="21"/>
        </w:rPr>
      </w:pPr>
      <w:r>
        <w:rPr>
          <w:rFonts w:ascii="宋体" w:hAnsi="宋体" w:eastAsia="宋体" w:cs="宋体"/>
          <w:spacing w:val="-1"/>
          <w:szCs w:val="21"/>
        </w:rPr>
        <w:t xml:space="preserve">                                          </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72" w:lineRule="exact"/>
        <w:rPr>
          <w:rFonts w:hint="eastAsia"/>
        </w:rPr>
      </w:pPr>
    </w:p>
    <w:tbl>
      <w:tblPr>
        <w:tblStyle w:val="133"/>
        <w:tblW w:w="14928" w:type="dxa"/>
        <w:tblInd w:w="21"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878"/>
        <w:gridCol w:w="1500"/>
        <w:gridCol w:w="1616"/>
        <w:gridCol w:w="1500"/>
        <w:gridCol w:w="1500"/>
        <w:gridCol w:w="1584"/>
        <w:gridCol w:w="1483"/>
        <w:gridCol w:w="2133"/>
        <w:gridCol w:w="1117"/>
        <w:gridCol w:w="1617"/>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36" w:hRule="atLeast"/>
        </w:trPr>
        <w:tc>
          <w:tcPr>
            <w:tcW w:w="878" w:type="dxa"/>
          </w:tcPr>
          <w:p>
            <w:pPr>
              <w:spacing w:before="100" w:line="186" w:lineRule="auto"/>
              <w:ind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1</w:t>
            </w:r>
          </w:p>
        </w:tc>
        <w:tc>
          <w:tcPr>
            <w:tcW w:w="1500" w:type="dxa"/>
          </w:tcPr>
          <w:p>
            <w:pPr>
              <w:spacing w:before="101" w:line="185"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2</w:t>
            </w:r>
          </w:p>
        </w:tc>
        <w:tc>
          <w:tcPr>
            <w:tcW w:w="1616" w:type="dxa"/>
          </w:tcPr>
          <w:p>
            <w:pPr>
              <w:spacing w:before="102" w:line="183" w:lineRule="auto"/>
              <w:ind w:firstLine="840" w:firstLineChars="4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3</w:t>
            </w:r>
          </w:p>
        </w:tc>
        <w:tc>
          <w:tcPr>
            <w:tcW w:w="1500" w:type="dxa"/>
          </w:tcPr>
          <w:p>
            <w:pPr>
              <w:spacing w:before="101" w:line="185" w:lineRule="auto"/>
              <w:ind w:left="371"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4</w:t>
            </w:r>
          </w:p>
        </w:tc>
        <w:tc>
          <w:tcPr>
            <w:tcW w:w="1500"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5</w:t>
            </w:r>
          </w:p>
        </w:tc>
        <w:tc>
          <w:tcPr>
            <w:tcW w:w="1584" w:type="dxa"/>
          </w:tcPr>
          <w:p>
            <w:pPr>
              <w:spacing w:before="102" w:line="183" w:lineRule="auto"/>
              <w:ind w:left="585" w:firstLine="210" w:firstLineChars="1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6</w:t>
            </w:r>
          </w:p>
        </w:tc>
        <w:tc>
          <w:tcPr>
            <w:tcW w:w="1483" w:type="dxa"/>
          </w:tcPr>
          <w:p>
            <w:pPr>
              <w:spacing w:before="103" w:line="182" w:lineRule="auto"/>
              <w:ind w:firstLine="630" w:firstLineChars="3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7</w:t>
            </w:r>
          </w:p>
        </w:tc>
        <w:tc>
          <w:tcPr>
            <w:tcW w:w="2133" w:type="dxa"/>
          </w:tcPr>
          <w:p>
            <w:pPr>
              <w:spacing w:before="102" w:line="183" w:lineRule="auto"/>
              <w:ind w:left="516" w:firstLine="420" w:firstLineChars="200"/>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8</w:t>
            </w:r>
          </w:p>
        </w:tc>
        <w:tc>
          <w:tcPr>
            <w:tcW w:w="1117" w:type="dxa"/>
          </w:tcPr>
          <w:p>
            <w:pPr>
              <w:spacing w:before="102" w:line="183" w:lineRule="auto"/>
              <w:ind w:left="515"/>
              <w:rPr>
                <w:rFonts w:hint="eastAsia" w:ascii="宋体" w:hAnsi="宋体" w:eastAsia="宋体" w:cs="宋体"/>
                <w:szCs w:val="21"/>
              </w:rPr>
            </w:pPr>
            <w:r>
              <w:rPr>
                <w:rFonts w:ascii="宋体" w:hAnsi="宋体" w:eastAsia="宋体" w:cs="宋体"/>
                <w:szCs w:val="21"/>
                <w14:textOutline w14:w="3835" w14:cap="flat" w14:cmpd="sng" w14:algn="ctr">
                  <w14:solidFill>
                    <w14:srgbClr w14:val="000000"/>
                  </w14:solidFill>
                  <w14:prstDash w14:val="solid"/>
                  <w14:miter w14:val="0"/>
                </w14:textOutline>
              </w:rPr>
              <w:t>9</w:t>
            </w:r>
          </w:p>
        </w:tc>
        <w:tc>
          <w:tcPr>
            <w:tcW w:w="1617" w:type="dxa"/>
          </w:tcPr>
          <w:p>
            <w:pPr>
              <w:spacing w:before="102" w:line="183" w:lineRule="auto"/>
              <w:ind w:left="515"/>
              <w:rPr>
                <w:rFonts w:hint="eastAsia" w:ascii="宋体" w:hAnsi="宋体" w:eastAsia="宋体" w:cs="宋体"/>
                <w:szCs w:val="21"/>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19" w:hRule="atLeast"/>
        </w:trPr>
        <w:tc>
          <w:tcPr>
            <w:tcW w:w="878"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序号</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备件或</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工具名称</w:t>
            </w:r>
          </w:p>
        </w:tc>
        <w:tc>
          <w:tcPr>
            <w:tcW w:w="1616"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型号和</w:t>
            </w:r>
            <w:r>
              <w:rPr>
                <w:rFonts w:ascii="宋体" w:hAnsi="宋体" w:eastAsia="宋体" w:cs="宋体"/>
                <w:spacing w:val="-1"/>
                <w:szCs w:val="21"/>
                <w14:textOutline w14:w="3835" w14:cap="flat" w14:cmpd="sng" w14:algn="ctr">
                  <w14:solidFill>
                    <w14:srgbClr w14:val="000000"/>
                  </w14:solidFill>
                  <w14:prstDash w14:val="solid"/>
                  <w14:miter w14:val="0"/>
                </w14:textOutline>
              </w:rPr>
              <w:t>规格</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单位</w:t>
            </w:r>
          </w:p>
        </w:tc>
        <w:tc>
          <w:tcPr>
            <w:tcW w:w="1500"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数量</w:t>
            </w:r>
          </w:p>
        </w:tc>
        <w:tc>
          <w:tcPr>
            <w:tcW w:w="1584"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原产地和</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制造商</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名称</w:t>
            </w:r>
          </w:p>
        </w:tc>
        <w:tc>
          <w:tcPr>
            <w:tcW w:w="148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单价（不含税）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2133"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4×6]（不含税）</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(元)</w:t>
            </w:r>
          </w:p>
        </w:tc>
        <w:tc>
          <w:tcPr>
            <w:tcW w:w="11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更换</w:t>
            </w:r>
          </w:p>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周期</w:t>
            </w:r>
          </w:p>
        </w:tc>
        <w:tc>
          <w:tcPr>
            <w:tcW w:w="1617" w:type="dxa"/>
            <w:vAlign w:val="center"/>
          </w:tcPr>
          <w:p>
            <w:pPr>
              <w:spacing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备</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1</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6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2</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497"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3</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346"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4</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5</w:t>
            </w:r>
          </w:p>
        </w:tc>
        <w:tc>
          <w:tcPr>
            <w:tcW w:w="1500" w:type="dxa"/>
            <w:vAlign w:val="center"/>
          </w:tcPr>
          <w:p>
            <w:pPr>
              <w:jc w:val="center"/>
              <w:rPr>
                <w:rFonts w:hint="eastAsia" w:ascii="宋体" w:hAnsi="宋体" w:eastAsia="宋体" w:cs="宋体"/>
                <w:spacing w:val="-1"/>
                <w:szCs w:val="21"/>
              </w:rPr>
            </w:pP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18" w:hRule="atLeast"/>
        </w:trPr>
        <w:tc>
          <w:tcPr>
            <w:tcW w:w="878"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6</w:t>
            </w:r>
          </w:p>
        </w:tc>
        <w:tc>
          <w:tcPr>
            <w:tcW w:w="1500" w:type="dxa"/>
            <w:vAlign w:val="center"/>
          </w:tcPr>
          <w:p>
            <w:pPr>
              <w:jc w:val="center"/>
              <w:rPr>
                <w:rFonts w:hint="eastAsia" w:ascii="宋体" w:hAnsi="宋体" w:eastAsia="宋体" w:cs="宋体"/>
                <w:spacing w:val="-1"/>
                <w:szCs w:val="21"/>
              </w:rPr>
            </w:pPr>
            <w:r>
              <w:rPr>
                <w:rFonts w:hint="eastAsia" w:ascii="宋体" w:hAnsi="宋体" w:eastAsia="宋体" w:cs="宋体"/>
                <w:spacing w:val="-1"/>
                <w:szCs w:val="21"/>
              </w:rPr>
              <w:t>其它(列出明细)</w:t>
            </w:r>
          </w:p>
        </w:tc>
        <w:tc>
          <w:tcPr>
            <w:tcW w:w="1616" w:type="dxa"/>
          </w:tcPr>
          <w:p>
            <w:pPr>
              <w:rPr>
                <w:rFonts w:hint="eastAsia" w:ascii="Arial"/>
              </w:rPr>
            </w:pPr>
          </w:p>
        </w:tc>
        <w:tc>
          <w:tcPr>
            <w:tcW w:w="1500" w:type="dxa"/>
            <w:vAlign w:val="center"/>
          </w:tcPr>
          <w:p>
            <w:pPr>
              <w:rPr>
                <w:rFonts w:hint="eastAsia" w:ascii="Arial"/>
              </w:rPr>
            </w:pPr>
          </w:p>
        </w:tc>
        <w:tc>
          <w:tcPr>
            <w:tcW w:w="1500" w:type="dxa"/>
            <w:vAlign w:val="center"/>
          </w:tcPr>
          <w:p>
            <w:pPr>
              <w:jc w:val="center"/>
              <w:rPr>
                <w:rFonts w:hint="eastAsia" w:ascii="宋体" w:hAnsi="宋体" w:eastAsia="宋体" w:cs="宋体"/>
                <w:spacing w:val="-1"/>
                <w:szCs w:val="21"/>
              </w:rPr>
            </w:pPr>
          </w:p>
        </w:tc>
        <w:tc>
          <w:tcPr>
            <w:tcW w:w="1584" w:type="dxa"/>
          </w:tcPr>
          <w:p>
            <w:pPr>
              <w:rPr>
                <w:rFonts w:hint="eastAsia" w:ascii="Arial"/>
              </w:rPr>
            </w:pPr>
          </w:p>
        </w:tc>
        <w:tc>
          <w:tcPr>
            <w:tcW w:w="1483" w:type="dxa"/>
          </w:tcPr>
          <w:p>
            <w:pPr>
              <w:rPr>
                <w:rFonts w:hint="eastAsia" w:ascii="Arial"/>
              </w:rPr>
            </w:pPr>
          </w:p>
        </w:tc>
        <w:tc>
          <w:tcPr>
            <w:tcW w:w="2133" w:type="dxa"/>
          </w:tcPr>
          <w:p>
            <w:pPr>
              <w:rPr>
                <w:rFonts w:hint="eastAsia" w:ascii="Arial"/>
              </w:rPr>
            </w:pPr>
          </w:p>
        </w:tc>
        <w:tc>
          <w:tcPr>
            <w:tcW w:w="1117" w:type="dxa"/>
          </w:tcPr>
          <w:p>
            <w:pPr>
              <w:rPr>
                <w:rFonts w:hint="eastAsia" w:ascii="Arial"/>
              </w:rPr>
            </w:pPr>
          </w:p>
        </w:tc>
        <w:tc>
          <w:tcPr>
            <w:tcW w:w="1617"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623" w:hRule="atLeast"/>
        </w:trPr>
        <w:tc>
          <w:tcPr>
            <w:tcW w:w="8578" w:type="dxa"/>
            <w:gridSpan w:val="6"/>
          </w:tcPr>
          <w:p>
            <w:pPr>
              <w:spacing w:before="207" w:line="219" w:lineRule="auto"/>
              <w:ind w:left="3416"/>
              <w:rPr>
                <w:rFonts w:hint="eastAsia" w:ascii="宋体" w:hAnsi="宋体" w:eastAsia="宋体" w:cs="宋体"/>
                <w:szCs w:val="21"/>
              </w:rPr>
            </w:pPr>
            <w:r>
              <w:rPr>
                <w:rFonts w:ascii="宋体" w:hAnsi="宋体" w:eastAsia="宋体" w:cs="宋体"/>
                <w:spacing w:val="-6"/>
                <w:szCs w:val="21"/>
              </w:rPr>
              <w:t>总</w:t>
            </w:r>
            <w:r>
              <w:rPr>
                <w:rFonts w:ascii="宋体" w:hAnsi="宋体" w:eastAsia="宋体" w:cs="宋体"/>
                <w:spacing w:val="-4"/>
                <w:szCs w:val="21"/>
              </w:rPr>
              <w:t xml:space="preserve">价合计列入价格汇总表 </w:t>
            </w:r>
            <w:r>
              <w:rPr>
                <w:rFonts w:hint="eastAsia" w:ascii="宋体" w:hAnsi="宋体" w:eastAsia="宋体" w:cs="宋体"/>
                <w:spacing w:val="-4"/>
                <w:szCs w:val="21"/>
              </w:rPr>
              <w:t>9</w:t>
            </w:r>
            <w:r>
              <w:rPr>
                <w:rFonts w:ascii="宋体" w:hAnsi="宋体" w:eastAsia="宋体" w:cs="宋体"/>
                <w:spacing w:val="-4"/>
                <w:szCs w:val="21"/>
              </w:rPr>
              <w:t>-</w:t>
            </w:r>
            <w:r>
              <w:rPr>
                <w:rFonts w:hint="eastAsia" w:ascii="宋体" w:hAnsi="宋体" w:eastAsia="宋体" w:cs="宋体"/>
                <w:spacing w:val="-4"/>
                <w:szCs w:val="21"/>
              </w:rPr>
              <w:t>5</w:t>
            </w:r>
          </w:p>
        </w:tc>
        <w:tc>
          <w:tcPr>
            <w:tcW w:w="1483" w:type="dxa"/>
          </w:tcPr>
          <w:p>
            <w:pPr>
              <w:spacing w:before="207" w:line="219" w:lineRule="auto"/>
              <w:ind w:left="3416"/>
              <w:rPr>
                <w:rFonts w:hint="eastAsia" w:ascii="宋体" w:hAnsi="宋体" w:eastAsia="宋体" w:cs="宋体"/>
                <w:spacing w:val="-6"/>
                <w:szCs w:val="21"/>
              </w:rPr>
            </w:pPr>
          </w:p>
        </w:tc>
        <w:tc>
          <w:tcPr>
            <w:tcW w:w="4867" w:type="dxa"/>
            <w:gridSpan w:val="3"/>
          </w:tcPr>
          <w:p>
            <w:pPr>
              <w:spacing w:before="207" w:line="219" w:lineRule="auto"/>
              <w:jc w:val="left"/>
              <w:rPr>
                <w:rFonts w:hint="eastAsia" w:ascii="宋体" w:hAnsi="宋体" w:eastAsia="宋体" w:cs="宋体"/>
                <w:szCs w:val="21"/>
              </w:rPr>
            </w:pPr>
            <w:r>
              <w:rPr>
                <w:rFonts w:ascii="宋体" w:hAnsi="宋体" w:eastAsia="宋体" w:cs="宋体"/>
                <w:b/>
                <w:bCs/>
                <w:szCs w:val="21"/>
              </w:rPr>
              <w:t>总价合计</w:t>
            </w:r>
            <w:r>
              <w:rPr>
                <w:rFonts w:hint="eastAsia" w:ascii="宋体" w:hAnsi="宋体" w:eastAsia="宋体" w:cs="宋体"/>
                <w:b/>
                <w:bCs/>
                <w:szCs w:val="21"/>
              </w:rPr>
              <w:t>（不含税）</w:t>
            </w:r>
            <w:r>
              <w:rPr>
                <w:rFonts w:ascii="宋体" w:hAnsi="宋体" w:eastAsia="宋体" w:cs="宋体"/>
                <w:b/>
                <w:bCs/>
                <w:szCs w:val="21"/>
              </w:rPr>
              <w:t>￥    元</w:t>
            </w:r>
          </w:p>
        </w:tc>
      </w:tr>
    </w:tbl>
    <w:p>
      <w:pPr>
        <w:spacing w:before="69" w:line="219" w:lineRule="auto"/>
        <w:rPr>
          <w:rFonts w:hint="eastAsia" w:ascii="宋体" w:hAnsi="宋体" w:eastAsia="宋体" w:cs="宋体"/>
          <w:szCs w:val="21"/>
        </w:rPr>
      </w:pPr>
      <w:r>
        <w:rPr>
          <w:rFonts w:ascii="宋体" w:hAnsi="宋体" w:eastAsia="宋体" w:cs="宋体"/>
          <w:spacing w:val="-3"/>
          <w:szCs w:val="21"/>
        </w:rPr>
        <w:t>注：1.本表须详细列出质保期内全部随机备品备件和专用工具等的详细价格</w:t>
      </w:r>
      <w:r>
        <w:rPr>
          <w:rFonts w:ascii="宋体" w:hAnsi="宋体" w:eastAsia="宋体" w:cs="宋体"/>
          <w:spacing w:val="-1"/>
          <w:szCs w:val="21"/>
        </w:rPr>
        <w:t>。</w:t>
      </w:r>
    </w:p>
    <w:p>
      <w:pPr>
        <w:spacing w:before="75" w:line="219" w:lineRule="auto"/>
        <w:ind w:left="409"/>
        <w:rPr>
          <w:rFonts w:hint="eastAsia" w:ascii="宋体" w:hAnsi="宋体" w:eastAsia="宋体" w:cs="宋体"/>
          <w:szCs w:val="21"/>
        </w:rPr>
      </w:pPr>
      <w:r>
        <w:rPr>
          <w:rFonts w:ascii="宋体" w:hAnsi="宋体" w:eastAsia="宋体" w:cs="宋体"/>
          <w:spacing w:val="-6"/>
          <w:szCs w:val="21"/>
        </w:rPr>
        <w:t>2.如果按单</w:t>
      </w:r>
      <w:r>
        <w:rPr>
          <w:rFonts w:ascii="宋体" w:hAnsi="宋体" w:eastAsia="宋体" w:cs="宋体"/>
          <w:spacing w:val="-5"/>
          <w:szCs w:val="21"/>
        </w:rPr>
        <w:t>价</w:t>
      </w:r>
      <w:r>
        <w:rPr>
          <w:rFonts w:ascii="宋体" w:hAnsi="宋体" w:eastAsia="宋体" w:cs="宋体"/>
          <w:spacing w:val="-3"/>
          <w:szCs w:val="21"/>
        </w:rPr>
        <w:t>计算的结果与总价不一致， 以单价为准修正总价。</w:t>
      </w:r>
    </w:p>
    <w:p>
      <w:pPr>
        <w:spacing w:before="87" w:line="198" w:lineRule="auto"/>
        <w:ind w:left="411"/>
        <w:rPr>
          <w:rFonts w:hint="eastAsia" w:ascii="宋体" w:hAnsi="宋体" w:eastAsia="宋体" w:cs="宋体"/>
          <w:sz w:val="24"/>
          <w:szCs w:val="24"/>
        </w:rPr>
      </w:pPr>
      <w:r>
        <w:rPr>
          <w:rFonts w:ascii="宋体" w:hAnsi="宋体" w:eastAsia="宋体" w:cs="宋体"/>
          <w:spacing w:val="-4"/>
          <w:szCs w:val="21"/>
        </w:rPr>
        <w:t>3.此分项报价， 仅是为了方</w:t>
      </w:r>
      <w:r>
        <w:rPr>
          <w:rFonts w:ascii="宋体" w:hAnsi="宋体" w:eastAsia="宋体" w:cs="宋体"/>
          <w:spacing w:val="-2"/>
          <w:szCs w:val="21"/>
        </w:rPr>
        <w:t>便招标人对投标文件进行比较，不作为限制订立合同的条件</w:t>
      </w:r>
      <w:r>
        <w:rPr>
          <w:rFonts w:ascii="宋体" w:hAnsi="宋体" w:eastAsia="宋体" w:cs="宋体"/>
          <w:spacing w:val="-2"/>
          <w:sz w:val="24"/>
          <w:szCs w:val="24"/>
        </w:rPr>
        <w:t>。</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4.如上表中的有关费用投标人免费提供，请注明“免费”字样。</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5.该明细表所有信息均为必填项，不得删减，价格部分不得合并，可细化可增加。</w:t>
      </w:r>
    </w:p>
    <w:p>
      <w:pPr>
        <w:spacing w:before="78" w:line="219" w:lineRule="auto"/>
        <w:ind w:firstLine="396" w:firstLineChars="200"/>
        <w:rPr>
          <w:rFonts w:hint="eastAsia" w:ascii="宋体" w:hAnsi="宋体" w:eastAsia="宋体" w:cs="宋体"/>
          <w:spacing w:val="-6"/>
          <w:szCs w:val="21"/>
        </w:rPr>
      </w:pPr>
      <w:r>
        <w:rPr>
          <w:rFonts w:hint="eastAsia" w:ascii="宋体" w:hAnsi="宋体" w:eastAsia="宋体" w:cs="宋体"/>
          <w:spacing w:val="-6"/>
          <w:szCs w:val="21"/>
        </w:rPr>
        <w:t>6.因填写不规范造成废标及终止招标的，责任由投标人自负。</w:t>
      </w: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140" w:line="220" w:lineRule="auto"/>
        <w:ind w:left="215"/>
        <w:rPr>
          <w:rFonts w:hint="eastAsia" w:ascii="宋体" w:hAnsi="宋体" w:eastAsia="宋体" w:cs="宋体"/>
          <w:spacing w:val="6"/>
          <w:szCs w:val="21"/>
          <w14:textOutline w14:w="3835" w14:cap="flat" w14:cmpd="sng" w14:algn="ctr">
            <w14:solidFill>
              <w14:srgbClr w14:val="000000"/>
            </w14:solidFill>
            <w14:prstDash w14:val="solid"/>
            <w14:miter w14:val="0"/>
          </w14:textOutline>
        </w:rPr>
      </w:pPr>
    </w:p>
    <w:p>
      <w:pPr>
        <w:spacing w:before="87" w:line="198" w:lineRule="auto"/>
        <w:ind w:left="411"/>
        <w:rPr>
          <w:rFonts w:hint="eastAsia" w:ascii="宋体" w:hAnsi="宋体" w:eastAsia="宋体" w:cs="宋体"/>
          <w:spacing w:val="-2"/>
          <w:sz w:val="24"/>
          <w:szCs w:val="24"/>
        </w:r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4"/>
          <w:sz w:val="24"/>
          <w:szCs w:val="24"/>
        </w:rPr>
        <w:t xml:space="preserve"> </w:t>
      </w:r>
      <w:r>
        <w:rPr>
          <w:rFonts w:ascii="宋体" w:hAnsi="宋体" w:eastAsia="宋体" w:cs="宋体"/>
          <w:spacing w:val="3"/>
          <w:sz w:val="24"/>
          <w:szCs w:val="24"/>
        </w:rPr>
        <w:t xml:space="preserve">  </w:t>
      </w:r>
      <w:r>
        <w:rPr>
          <w:rFonts w:ascii="宋体" w:hAnsi="宋体" w:eastAsia="宋体" w:cs="宋体"/>
          <w:spacing w:val="3"/>
          <w:szCs w:val="21"/>
        </w:rPr>
        <w:t xml:space="preserve">                      </w:t>
      </w:r>
      <w:r>
        <w:rPr>
          <w:rFonts w:ascii="宋体" w:hAnsi="宋体" w:eastAsia="宋体" w:cs="宋体"/>
          <w:spacing w:val="-2"/>
          <w:sz w:val="24"/>
          <w:szCs w:val="24"/>
        </w:rPr>
        <w:t xml:space="preserve">授权代表(签字)：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年  月  日</w:t>
      </w:r>
    </w:p>
    <w:p>
      <w:pPr>
        <w:spacing w:before="87" w:line="198" w:lineRule="auto"/>
        <w:ind w:left="411"/>
        <w:rPr>
          <w:rFonts w:hint="eastAsia" w:ascii="宋体" w:hAnsi="宋体" w:eastAsia="宋体" w:cs="宋体"/>
          <w:spacing w:val="-2"/>
          <w:sz w:val="24"/>
          <w:szCs w:val="24"/>
        </w:rPr>
        <w:sectPr>
          <w:footerReference r:id="rId29" w:type="default"/>
          <w:pgSz w:w="16841" w:h="11907"/>
          <w:pgMar w:top="400" w:right="1500" w:bottom="1184" w:left="1480" w:header="0" w:footer="1022" w:gutter="0"/>
          <w:cols w:space="720" w:num="1"/>
        </w:sectPr>
      </w:pPr>
    </w:p>
    <w:p>
      <w:pPr>
        <w:pStyle w:val="5"/>
        <w:jc w:val="left"/>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pPr>
      <w:r>
        <w:rPr>
          <w:rFonts w:hint="eastAsia" w:ascii="宋体" w:hAnsi="宋体" w:eastAsia="宋体" w:cs="宋体"/>
          <w:spacing w:val="-10"/>
          <w:sz w:val="24"/>
          <w:szCs w:val="24"/>
          <w14:textOutline w14:w="3835" w14:cap="flat" w14:cmpd="sng" w14:algn="ctr">
            <w14:solidFill>
              <w14:srgbClr w14:val="000000"/>
            </w14:solidFill>
            <w14:prstDash w14:val="solid"/>
            <w14:miter w14:val="0"/>
          </w14:textOutline>
        </w:rPr>
        <w:t>表 9-5</w:t>
      </w:r>
    </w:p>
    <w:p>
      <w:pPr>
        <w:spacing w:before="253" w:line="224" w:lineRule="auto"/>
        <w:ind w:left="6488"/>
        <w:rPr>
          <w:rFonts w:hint="eastAsia" w:ascii="宋体" w:hAnsi="宋体" w:eastAsia="宋体" w:cs="宋体"/>
          <w:sz w:val="31"/>
          <w:szCs w:val="31"/>
        </w:rPr>
      </w:pPr>
      <w:r>
        <w:rPr>
          <w:rFonts w:ascii="宋体" w:hAnsi="宋体" w:eastAsia="宋体" w:cs="宋体"/>
          <w:spacing w:val="9"/>
          <w:sz w:val="24"/>
          <w:szCs w:val="24"/>
          <w14:textOutline w14:w="5791" w14:cap="flat" w14:cmpd="sng" w14:algn="ctr">
            <w14:solidFill>
              <w14:srgbClr w14:val="000000"/>
            </w14:solidFill>
            <w14:prstDash w14:val="solid"/>
            <w14:miter w14:val="0"/>
          </w14:textOutline>
        </w:rPr>
        <w:t>价</w:t>
      </w:r>
      <w:r>
        <w:rPr>
          <w:rFonts w:ascii="宋体" w:hAnsi="宋体" w:eastAsia="宋体" w:cs="宋体"/>
          <w:spacing w:val="8"/>
          <w:sz w:val="24"/>
          <w:szCs w:val="24"/>
          <w14:textOutline w14:w="5791" w14:cap="flat" w14:cmpd="sng" w14:algn="ctr">
            <w14:solidFill>
              <w14:srgbClr w14:val="000000"/>
            </w14:solidFill>
            <w14:prstDash w14:val="solid"/>
            <w14:miter w14:val="0"/>
          </w14:textOutline>
        </w:rPr>
        <w:t>格汇总表</w:t>
      </w:r>
    </w:p>
    <w:p>
      <w:pPr>
        <w:spacing w:before="24" w:line="221" w:lineRule="auto"/>
        <w:ind w:left="211" w:firstLine="2310" w:firstLineChars="1100"/>
        <w:jc w:val="right"/>
        <w:rPr>
          <w:rFonts w:hint="eastAsia" w:ascii="宋体" w:hAnsi="宋体" w:eastAsia="宋体" w:cs="宋体"/>
          <w:szCs w:val="21"/>
        </w:rPr>
      </w:pP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第</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页共</w:t>
      </w:r>
      <w:r>
        <w:rPr>
          <w:rFonts w:ascii="宋体" w:hAnsi="宋体" w:eastAsia="宋体" w:cs="宋体"/>
          <w:szCs w:val="21"/>
        </w:rPr>
        <w:t xml:space="preserve">   </w:t>
      </w:r>
      <w:r>
        <w:rPr>
          <w:rFonts w:ascii="宋体" w:hAnsi="宋体" w:eastAsia="宋体" w:cs="宋体"/>
          <w:szCs w:val="21"/>
          <w14:textOutline w14:w="3835" w14:cap="flat" w14:cmpd="sng" w14:algn="ctr">
            <w14:solidFill>
              <w14:srgbClr w14:val="000000"/>
            </w14:solidFill>
            <w14:prstDash w14:val="solid"/>
            <w14:miter w14:val="0"/>
          </w14:textOutline>
        </w:rPr>
        <w:t>页</w:t>
      </w:r>
    </w:p>
    <w:p>
      <w:pPr>
        <w:spacing w:line="127" w:lineRule="exact"/>
        <w:rPr>
          <w:rFonts w:hint="eastAsia"/>
        </w:rPr>
      </w:pPr>
    </w:p>
    <w:tbl>
      <w:tblPr>
        <w:tblStyle w:val="133"/>
        <w:tblW w:w="13561" w:type="dxa"/>
        <w:tblInd w:w="498" w:type="dxa"/>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Layout w:type="fixed"/>
        <w:tblCellMar>
          <w:top w:w="0" w:type="dxa"/>
          <w:left w:w="0" w:type="dxa"/>
          <w:bottom w:w="0" w:type="dxa"/>
          <w:right w:w="0" w:type="dxa"/>
        </w:tblCellMar>
      </w:tblPr>
      <w:tblGrid>
        <w:gridCol w:w="1080"/>
        <w:gridCol w:w="5765"/>
        <w:gridCol w:w="3354"/>
        <w:gridCol w:w="3362"/>
      </w:tblGrid>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276" w:line="222" w:lineRule="auto"/>
              <w:ind w:left="334"/>
              <w:rPr>
                <w:rFonts w:hint="eastAsia" w:ascii="宋体" w:hAnsi="宋体" w:eastAsia="宋体" w:cs="宋体"/>
                <w:szCs w:val="21"/>
              </w:rPr>
            </w:pPr>
            <w:r>
              <w:rPr>
                <w:rFonts w:ascii="宋体" w:hAnsi="宋体" w:eastAsia="宋体" w:cs="宋体"/>
                <w:spacing w:val="-2"/>
                <w:szCs w:val="21"/>
              </w:rPr>
              <w:t>序</w:t>
            </w:r>
            <w:r>
              <w:rPr>
                <w:rFonts w:ascii="宋体" w:hAnsi="宋体" w:eastAsia="宋体" w:cs="宋体"/>
                <w:spacing w:val="-1"/>
                <w:szCs w:val="21"/>
              </w:rPr>
              <w:t>号</w:t>
            </w:r>
          </w:p>
        </w:tc>
        <w:tc>
          <w:tcPr>
            <w:tcW w:w="5765" w:type="dxa"/>
          </w:tcPr>
          <w:p>
            <w:pPr>
              <w:spacing w:before="276" w:line="221" w:lineRule="auto"/>
              <w:ind w:left="2544"/>
              <w:rPr>
                <w:rFonts w:hint="eastAsia" w:ascii="宋体" w:hAnsi="宋体" w:eastAsia="宋体" w:cs="宋体"/>
                <w:szCs w:val="21"/>
              </w:rPr>
            </w:pPr>
            <w:r>
              <w:rPr>
                <w:rFonts w:ascii="宋体" w:hAnsi="宋体" w:eastAsia="宋体" w:cs="宋体"/>
                <w:spacing w:val="-6"/>
                <w:szCs w:val="21"/>
              </w:rPr>
              <w:t>内</w:t>
            </w:r>
            <w:r>
              <w:rPr>
                <w:rFonts w:ascii="宋体" w:hAnsi="宋体" w:eastAsia="宋体" w:cs="宋体"/>
                <w:spacing w:val="-4"/>
                <w:szCs w:val="21"/>
              </w:rPr>
              <w:t xml:space="preserve">   容</w:t>
            </w:r>
          </w:p>
        </w:tc>
        <w:tc>
          <w:tcPr>
            <w:tcW w:w="3354" w:type="dxa"/>
          </w:tcPr>
          <w:p>
            <w:pPr>
              <w:spacing w:before="276" w:line="219" w:lineRule="auto"/>
              <w:jc w:val="center"/>
              <w:rPr>
                <w:rFonts w:hint="eastAsia" w:ascii="宋体" w:hAnsi="宋体" w:eastAsia="宋体" w:cs="宋体"/>
                <w:szCs w:val="21"/>
              </w:rPr>
            </w:pPr>
            <w:r>
              <w:rPr>
                <w:rFonts w:ascii="宋体" w:hAnsi="宋体" w:eastAsia="宋体" w:cs="宋体"/>
                <w:spacing w:val="18"/>
                <w:szCs w:val="21"/>
              </w:rPr>
              <w:t>总</w:t>
            </w:r>
            <w:r>
              <w:rPr>
                <w:rFonts w:ascii="宋体" w:hAnsi="宋体" w:eastAsia="宋体" w:cs="宋体"/>
                <w:spacing w:val="14"/>
                <w:szCs w:val="21"/>
              </w:rPr>
              <w:t>价(元)</w:t>
            </w:r>
            <w:r>
              <w:rPr>
                <w:rFonts w:hint="eastAsia" w:ascii="宋体" w:hAnsi="宋体" w:eastAsia="宋体" w:cs="宋体"/>
                <w:spacing w:val="-3"/>
                <w:szCs w:val="21"/>
                <w14:textOutline w14:w="3835" w14:cap="flat" w14:cmpd="sng" w14:algn="ctr">
                  <w14:solidFill>
                    <w14:srgbClr w14:val="000000"/>
                  </w14:solidFill>
                  <w14:prstDash w14:val="solid"/>
                  <w14:miter w14:val="0"/>
                </w14:textOutline>
              </w:rPr>
              <w:t>（不含税）</w:t>
            </w:r>
          </w:p>
        </w:tc>
        <w:tc>
          <w:tcPr>
            <w:tcW w:w="3362" w:type="dxa"/>
          </w:tcPr>
          <w:p>
            <w:pPr>
              <w:spacing w:before="276" w:line="222" w:lineRule="auto"/>
              <w:ind w:left="1215"/>
              <w:rPr>
                <w:rFonts w:hint="eastAsia" w:ascii="宋体" w:hAnsi="宋体" w:eastAsia="宋体" w:cs="宋体"/>
                <w:szCs w:val="21"/>
              </w:rPr>
            </w:pPr>
            <w:r>
              <w:rPr>
                <w:rFonts w:ascii="宋体" w:hAnsi="宋体" w:eastAsia="宋体" w:cs="宋体"/>
                <w:spacing w:val="-1"/>
                <w:szCs w:val="21"/>
              </w:rPr>
              <w:t>备</w:t>
            </w:r>
            <w:r>
              <w:rPr>
                <w:rFonts w:ascii="宋体" w:hAnsi="宋体" w:eastAsia="宋体" w:cs="宋体"/>
                <w:szCs w:val="21"/>
              </w:rPr>
              <w:t xml:space="preserve">     注</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5" w:hRule="atLeast"/>
        </w:trPr>
        <w:tc>
          <w:tcPr>
            <w:tcW w:w="1080" w:type="dxa"/>
          </w:tcPr>
          <w:p>
            <w:pPr>
              <w:spacing w:before="309" w:line="186" w:lineRule="auto"/>
              <w:ind w:left="508"/>
              <w:rPr>
                <w:rFonts w:hint="eastAsia" w:ascii="宋体" w:hAnsi="宋体" w:eastAsia="宋体" w:cs="宋体"/>
                <w:szCs w:val="21"/>
              </w:rPr>
            </w:pPr>
            <w:r>
              <w:rPr>
                <w:rFonts w:ascii="宋体" w:hAnsi="宋体" w:eastAsia="宋体" w:cs="宋体"/>
                <w:szCs w:val="21"/>
              </w:rPr>
              <w:t>1</w:t>
            </w:r>
          </w:p>
        </w:tc>
        <w:tc>
          <w:tcPr>
            <w:tcW w:w="5765" w:type="dxa"/>
          </w:tcPr>
          <w:p>
            <w:pPr>
              <w:spacing w:before="275" w:line="222" w:lineRule="auto"/>
              <w:ind w:left="2378"/>
              <w:rPr>
                <w:rFonts w:hint="eastAsia" w:ascii="宋体" w:hAnsi="宋体" w:eastAsia="宋体" w:cs="宋体"/>
                <w:szCs w:val="21"/>
              </w:rPr>
            </w:pPr>
            <w:r>
              <w:rPr>
                <w:rFonts w:ascii="宋体" w:hAnsi="宋体" w:eastAsia="宋体" w:cs="宋体"/>
                <w:spacing w:val="-17"/>
                <w:szCs w:val="21"/>
              </w:rPr>
              <w:t>表</w:t>
            </w:r>
            <w:r>
              <w:rPr>
                <w:rFonts w:ascii="宋体" w:hAnsi="宋体" w:eastAsia="宋体" w:cs="宋体"/>
                <w:spacing w:val="-11"/>
                <w:szCs w:val="21"/>
              </w:rPr>
              <w:t xml:space="preserve"> </w:t>
            </w:r>
            <w:r>
              <w:rPr>
                <w:rFonts w:hint="eastAsia" w:ascii="Times New Roman" w:hAnsi="Times New Roman" w:eastAsia="宋体" w:cs="Times New Roman"/>
                <w:spacing w:val="-11"/>
                <w:szCs w:val="21"/>
              </w:rPr>
              <w:t>9</w:t>
            </w:r>
            <w:r>
              <w:rPr>
                <w:rFonts w:ascii="Times New Roman" w:hAnsi="Times New Roman" w:eastAsia="Times New Roman" w:cs="Times New Roman"/>
                <w:spacing w:val="-11"/>
                <w:szCs w:val="21"/>
              </w:rPr>
              <w:t xml:space="preserve">- 1 </w:t>
            </w:r>
            <w:r>
              <w:rPr>
                <w:rFonts w:ascii="宋体" w:hAnsi="宋体" w:eastAsia="宋体" w:cs="宋体"/>
                <w:spacing w:val="-11"/>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3" w:hRule="atLeast"/>
        </w:trPr>
        <w:tc>
          <w:tcPr>
            <w:tcW w:w="1080" w:type="dxa"/>
          </w:tcPr>
          <w:p>
            <w:pPr>
              <w:spacing w:before="299" w:line="185" w:lineRule="auto"/>
              <w:ind w:left="495"/>
              <w:rPr>
                <w:rFonts w:hint="eastAsia" w:ascii="宋体" w:hAnsi="宋体" w:eastAsia="宋体" w:cs="宋体"/>
                <w:szCs w:val="21"/>
              </w:rPr>
            </w:pPr>
            <w:r>
              <w:rPr>
                <w:rFonts w:ascii="宋体" w:hAnsi="宋体" w:eastAsia="宋体" w:cs="宋体"/>
                <w:szCs w:val="21"/>
              </w:rPr>
              <w:t>2</w:t>
            </w:r>
          </w:p>
        </w:tc>
        <w:tc>
          <w:tcPr>
            <w:tcW w:w="5765" w:type="dxa"/>
          </w:tcPr>
          <w:p>
            <w:pPr>
              <w:spacing w:before="263"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-2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2" w:hRule="atLeast"/>
        </w:trPr>
        <w:tc>
          <w:tcPr>
            <w:tcW w:w="1080" w:type="dxa"/>
          </w:tcPr>
          <w:p>
            <w:pPr>
              <w:rPr>
                <w:rFonts w:hint="eastAsia" w:ascii="Arial"/>
              </w:rPr>
            </w:pPr>
          </w:p>
          <w:p>
            <w:pPr>
              <w:spacing w:before="68" w:line="183" w:lineRule="auto"/>
              <w:ind w:left="497"/>
              <w:rPr>
                <w:rFonts w:hint="eastAsia" w:ascii="宋体" w:hAnsi="宋体" w:eastAsia="宋体" w:cs="宋体"/>
                <w:szCs w:val="21"/>
              </w:rPr>
            </w:pPr>
            <w:r>
              <w:rPr>
                <w:rFonts w:ascii="宋体" w:hAnsi="宋体" w:eastAsia="宋体" w:cs="宋体"/>
                <w:szCs w:val="21"/>
              </w:rPr>
              <w:t>3</w:t>
            </w:r>
          </w:p>
        </w:tc>
        <w:tc>
          <w:tcPr>
            <w:tcW w:w="5765" w:type="dxa"/>
          </w:tcPr>
          <w:p>
            <w:pPr>
              <w:spacing w:before="274"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-3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41" w:hRule="atLeast"/>
        </w:trPr>
        <w:tc>
          <w:tcPr>
            <w:tcW w:w="1080" w:type="dxa"/>
          </w:tcPr>
          <w:p>
            <w:pPr>
              <w:spacing w:before="300" w:line="185" w:lineRule="auto"/>
              <w:ind w:left="492"/>
              <w:rPr>
                <w:rFonts w:hint="eastAsia" w:ascii="宋体" w:hAnsi="宋体" w:eastAsia="宋体" w:cs="宋体"/>
                <w:szCs w:val="21"/>
              </w:rPr>
            </w:pPr>
            <w:r>
              <w:rPr>
                <w:rFonts w:ascii="宋体" w:hAnsi="宋体" w:eastAsia="宋体" w:cs="宋体"/>
                <w:szCs w:val="21"/>
              </w:rPr>
              <w:t>4</w:t>
            </w:r>
          </w:p>
        </w:tc>
        <w:tc>
          <w:tcPr>
            <w:tcW w:w="5765" w:type="dxa"/>
          </w:tcPr>
          <w:p>
            <w:pPr>
              <w:spacing w:before="265" w:line="222" w:lineRule="auto"/>
              <w:ind w:left="2378"/>
              <w:rPr>
                <w:rFonts w:hint="eastAsia" w:ascii="宋体" w:hAnsi="宋体" w:eastAsia="宋体" w:cs="宋体"/>
                <w:szCs w:val="21"/>
              </w:rPr>
            </w:pPr>
            <w:r>
              <w:rPr>
                <w:rFonts w:ascii="宋体" w:hAnsi="宋体" w:eastAsia="宋体" w:cs="宋体"/>
                <w:spacing w:val="-11"/>
                <w:szCs w:val="21"/>
              </w:rPr>
              <w:t>表</w:t>
            </w:r>
            <w:r>
              <w:rPr>
                <w:rFonts w:ascii="宋体" w:hAnsi="宋体" w:eastAsia="宋体" w:cs="宋体"/>
                <w:spacing w:val="-6"/>
                <w:szCs w:val="21"/>
              </w:rPr>
              <w:t xml:space="preserve"> </w:t>
            </w:r>
            <w:r>
              <w:rPr>
                <w:rFonts w:hint="eastAsia" w:ascii="Times New Roman" w:hAnsi="Times New Roman" w:eastAsia="宋体" w:cs="Times New Roman"/>
                <w:spacing w:val="-6"/>
                <w:szCs w:val="21"/>
              </w:rPr>
              <w:t>9</w:t>
            </w:r>
            <w:r>
              <w:rPr>
                <w:rFonts w:ascii="Times New Roman" w:hAnsi="Times New Roman" w:eastAsia="Times New Roman" w:cs="Times New Roman"/>
                <w:spacing w:val="-6"/>
                <w:szCs w:val="21"/>
              </w:rPr>
              <w:t xml:space="preserve">-4 </w:t>
            </w:r>
            <w:r>
              <w:rPr>
                <w:rFonts w:ascii="宋体" w:hAnsi="宋体" w:eastAsia="宋体" w:cs="宋体"/>
                <w:spacing w:val="-6"/>
                <w:szCs w:val="21"/>
              </w:rPr>
              <w:t>总计</w:t>
            </w:r>
          </w:p>
        </w:tc>
        <w:tc>
          <w:tcPr>
            <w:tcW w:w="3354" w:type="dxa"/>
          </w:tcPr>
          <w:p>
            <w:pPr>
              <w:rPr>
                <w:rFonts w:hint="eastAsia" w:ascii="Arial"/>
              </w:rPr>
            </w:pPr>
          </w:p>
        </w:tc>
        <w:tc>
          <w:tcPr>
            <w:tcW w:w="3362" w:type="dxa"/>
          </w:tcPr>
          <w:p>
            <w:pPr>
              <w:rPr>
                <w:rFonts w:hint="eastAsia" w:ascii="Arial"/>
              </w:rPr>
            </w:pP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（不含税）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p>
        </w:tc>
      </w:tr>
      <w:tr>
        <w:tblPrEx>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CellMar>
            <w:top w:w="0" w:type="dxa"/>
            <w:left w:w="0" w:type="dxa"/>
            <w:bottom w:w="0" w:type="dxa"/>
            <w:right w:w="0" w:type="dxa"/>
          </w:tblCellMar>
        </w:tblPrEx>
        <w:trPr>
          <w:trHeight w:val="760" w:hRule="atLeast"/>
        </w:trPr>
        <w:tc>
          <w:tcPr>
            <w:tcW w:w="6845" w:type="dxa"/>
            <w:gridSpan w:val="2"/>
          </w:tcPr>
          <w:p>
            <w:pPr>
              <w:spacing w:before="266" w:line="221" w:lineRule="auto"/>
              <w:jc w:val="center"/>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总价合计(列入投标货物数量及价目表 )</w:t>
            </w:r>
          </w:p>
        </w:tc>
        <w:tc>
          <w:tcPr>
            <w:tcW w:w="3354" w:type="dxa"/>
            <w:tcBorders>
              <w:right w:val="nil"/>
            </w:tcBorders>
          </w:tcPr>
          <w:p>
            <w:pPr>
              <w:spacing w:before="266" w:line="221" w:lineRule="auto"/>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总价合计</w:t>
            </w:r>
            <w:r>
              <w:rPr>
                <w:rFonts w:hint="eastAsia" w:ascii="宋体" w:hAnsi="宋体" w:eastAsia="宋体" w:cs="宋体"/>
                <w:b/>
                <w:bCs/>
                <w:spacing w:val="-3"/>
                <w:szCs w:val="21"/>
              </w:rPr>
              <w:t>（含税）</w:t>
            </w:r>
            <w:r>
              <w:rPr>
                <w:rFonts w:ascii="宋体" w:hAnsi="宋体" w:eastAsia="宋体" w:cs="宋体"/>
                <w:spacing w:val="-1"/>
                <w:szCs w:val="21"/>
                <w14:textOutline w14:w="3835" w14:cap="flat" w14:cmpd="sng" w14:algn="ctr">
                  <w14:solidFill>
                    <w14:srgbClr w14:val="000000"/>
                  </w14:solidFill>
                  <w14:prstDash w14:val="solid"/>
                  <w14:miter w14:val="0"/>
                </w14:textOutline>
              </w:rPr>
              <w:t>￥</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w:t>
            </w:r>
          </w:p>
        </w:tc>
        <w:tc>
          <w:tcPr>
            <w:tcW w:w="3362" w:type="dxa"/>
            <w:tcBorders>
              <w:left w:val="nil"/>
            </w:tcBorders>
          </w:tcPr>
          <w:p>
            <w:pPr>
              <w:spacing w:before="266" w:line="221" w:lineRule="auto"/>
              <w:ind w:firstLine="416" w:firstLineChars="200"/>
              <w:jc w:val="left"/>
              <w:rPr>
                <w:rFonts w:hint="eastAsia" w:ascii="宋体" w:hAnsi="宋体" w:eastAsia="宋体" w:cs="宋体"/>
                <w:spacing w:val="-1"/>
                <w:szCs w:val="21"/>
                <w14:textOutline w14:w="3835" w14:cap="flat" w14:cmpd="sng" w14:algn="ctr">
                  <w14:solidFill>
                    <w14:srgbClr w14:val="000000"/>
                  </w14:solidFill>
                  <w14:prstDash w14:val="solid"/>
                  <w14:miter w14:val="0"/>
                </w14:textOutline>
              </w:rPr>
            </w:pPr>
            <w:r>
              <w:rPr>
                <w:rFonts w:ascii="宋体" w:hAnsi="宋体" w:eastAsia="宋体" w:cs="宋体"/>
                <w:spacing w:val="-1"/>
                <w:szCs w:val="21"/>
                <w14:textOutline w14:w="3835" w14:cap="flat" w14:cmpd="sng" w14:algn="ctr">
                  <w14:solidFill>
                    <w14:srgbClr w14:val="000000"/>
                  </w14:solidFill>
                  <w14:prstDash w14:val="solid"/>
                  <w14:miter w14:val="0"/>
                </w14:textOutline>
              </w:rPr>
              <w:t>元</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 xml:space="preserve"> （税率：</w:t>
            </w:r>
            <w:r>
              <w:rPr>
                <w:rFonts w:hint="eastAsia" w:ascii="宋体" w:hAnsi="宋体" w:eastAsia="宋体" w:cs="宋体"/>
                <w:spacing w:val="-1"/>
                <w:szCs w:val="21"/>
                <w:u w:val="single"/>
                <w14:textOutline w14:w="3835" w14:cap="flat" w14:cmpd="sng" w14:algn="ctr">
                  <w14:solidFill>
                    <w14:srgbClr w14:val="000000"/>
                  </w14:solidFill>
                  <w14:prstDash w14:val="solid"/>
                  <w14:miter w14:val="0"/>
                </w14:textOutline>
              </w:rPr>
              <w:t xml:space="preserve">   </w:t>
            </w:r>
            <w:r>
              <w:rPr>
                <w:rFonts w:hint="eastAsia" w:ascii="宋体" w:hAnsi="宋体" w:eastAsia="宋体" w:cs="宋体"/>
                <w:spacing w:val="-1"/>
                <w:szCs w:val="21"/>
                <w14:textOutline w14:w="3835" w14:cap="flat" w14:cmpd="sng" w14:algn="ctr">
                  <w14:solidFill>
                    <w14:srgbClr w14:val="000000"/>
                  </w14:solidFill>
                  <w14:prstDash w14:val="solid"/>
                  <w14:miter w14:val="0"/>
                </w14:textOutline>
              </w:rPr>
              <w:t>%）</w:t>
            </w:r>
          </w:p>
        </w:tc>
      </w:tr>
    </w:tbl>
    <w:p>
      <w:pPr>
        <w:spacing w:line="291" w:lineRule="auto"/>
        <w:rPr>
          <w:rFonts w:hint="eastAsia" w:ascii="Arial"/>
        </w:rPr>
      </w:pPr>
    </w:p>
    <w:p>
      <w:pPr>
        <w:spacing w:before="78" w:line="198" w:lineRule="auto"/>
        <w:ind w:left="211" w:firstLine="202" w:firstLineChars="100"/>
        <w:rPr>
          <w:rFonts w:hint="eastAsia" w:ascii="宋体" w:hAnsi="宋体" w:eastAsia="宋体" w:cs="宋体"/>
          <w:sz w:val="24"/>
          <w:szCs w:val="24"/>
        </w:rPr>
      </w:pPr>
      <w:r>
        <w:rPr>
          <w:rFonts w:ascii="宋体" w:hAnsi="宋体" w:eastAsia="宋体" w:cs="宋体"/>
          <w:spacing w:val="-4"/>
          <w:szCs w:val="21"/>
        </w:rPr>
        <w:t xml:space="preserve">注： </w:t>
      </w:r>
      <w:r>
        <w:rPr>
          <w:rFonts w:hint="eastAsia" w:ascii="宋体" w:hAnsi="宋体" w:eastAsia="宋体" w:cs="宋体"/>
          <w:spacing w:val="-4"/>
          <w:szCs w:val="21"/>
        </w:rPr>
        <w:t xml:space="preserve"> </w:t>
      </w:r>
      <w:r>
        <w:rPr>
          <w:rFonts w:ascii="宋体" w:hAnsi="宋体" w:eastAsia="宋体" w:cs="宋体"/>
          <w:spacing w:val="-4"/>
          <w:szCs w:val="21"/>
        </w:rPr>
        <w:t>1.此表格中的总价合</w:t>
      </w:r>
      <w:r>
        <w:rPr>
          <w:rFonts w:ascii="宋体" w:hAnsi="宋体" w:eastAsia="宋体" w:cs="宋体"/>
          <w:spacing w:val="-2"/>
          <w:szCs w:val="21"/>
        </w:rPr>
        <w:t>计应与“投标货物数量及价目表”及开标一览表的价格一致</w:t>
      </w:r>
      <w:r>
        <w:rPr>
          <w:rFonts w:ascii="宋体" w:hAnsi="宋体" w:eastAsia="宋体" w:cs="宋体"/>
          <w:spacing w:val="-2"/>
          <w:sz w:val="24"/>
          <w:szCs w:val="24"/>
        </w:rPr>
        <w:t>。</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2.该明细表所有信息均为必填项，不得删减，价格部分不得合并，可细化可增加。</w:t>
      </w:r>
    </w:p>
    <w:p>
      <w:pPr>
        <w:spacing w:before="78" w:line="219" w:lineRule="auto"/>
        <w:ind w:firstLine="990" w:firstLineChars="500"/>
        <w:rPr>
          <w:rFonts w:hint="eastAsia" w:ascii="宋体" w:hAnsi="宋体" w:eastAsia="宋体" w:cs="宋体"/>
          <w:spacing w:val="-6"/>
          <w:szCs w:val="21"/>
        </w:rPr>
      </w:pPr>
      <w:r>
        <w:rPr>
          <w:rFonts w:hint="eastAsia" w:ascii="宋体" w:hAnsi="宋体" w:eastAsia="宋体" w:cs="宋体"/>
          <w:spacing w:val="-6"/>
          <w:szCs w:val="21"/>
        </w:rPr>
        <w:t>3.因填写不规范造成废标及终止招标的，责任由投标人自负。</w:t>
      </w:r>
    </w:p>
    <w:p>
      <w:pPr>
        <w:pStyle w:val="22"/>
      </w:pPr>
    </w:p>
    <w:p>
      <w:pPr>
        <w:pStyle w:val="22"/>
      </w:pPr>
    </w:p>
    <w:p>
      <w:pPr>
        <w:spacing w:before="140" w:line="220" w:lineRule="auto"/>
        <w:ind w:left="2" w:firstLine="464" w:firstLineChars="200"/>
        <w:rPr>
          <w:rFonts w:hint="eastAsia" w:ascii="宋体" w:hAnsi="宋体" w:eastAsia="宋体" w:cs="宋体"/>
          <w:spacing w:val="-2"/>
          <w:szCs w:val="21"/>
        </w:rPr>
        <w:sectPr>
          <w:footerReference r:id="rId30" w:type="default"/>
          <w:pgSz w:w="16841" w:h="11907"/>
          <w:pgMar w:top="400" w:right="1699" w:bottom="1168" w:left="1481" w:header="0" w:footer="990" w:gutter="0"/>
          <w:cols w:equalWidth="0" w:num="1">
            <w:col w:w="13660"/>
          </w:cols>
        </w:sectPr>
      </w:pPr>
      <w:r>
        <w:rPr>
          <w:rFonts w:ascii="宋体" w:hAnsi="宋体" w:eastAsia="宋体" w:cs="宋体"/>
          <w:spacing w:val="-4"/>
          <w:sz w:val="24"/>
          <w:szCs w:val="24"/>
        </w:rPr>
        <w:t xml:space="preserve">投标人(章)： </w:t>
      </w:r>
      <w:r>
        <w:rPr>
          <w:rFonts w:ascii="宋体" w:hAnsi="宋体" w:eastAsia="宋体" w:cs="宋体"/>
          <w:spacing w:val="6"/>
          <w:sz w:val="24"/>
          <w:szCs w:val="24"/>
        </w:rPr>
        <w:t xml:space="preserve"> </w:t>
      </w:r>
      <w:r>
        <w:rPr>
          <w:rFonts w:ascii="宋体" w:hAnsi="宋体" w:eastAsia="宋体" w:cs="宋体"/>
          <w:spacing w:val="6"/>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 授权代表(签字)：</w:t>
      </w:r>
      <w:r>
        <w:rPr>
          <w:rFonts w:ascii="宋体" w:hAnsi="宋体" w:eastAsia="宋体" w:cs="宋体"/>
          <w:spacing w:val="-2"/>
          <w:szCs w:val="21"/>
        </w:rPr>
        <w:t xml:space="preserve">     </w:t>
      </w:r>
      <w:r>
        <w:rPr>
          <w:rFonts w:ascii="宋体" w:hAnsi="宋体" w:eastAsia="宋体" w:cs="宋体"/>
          <w:spacing w:val="3"/>
          <w:szCs w:val="21"/>
        </w:rPr>
        <w:t xml:space="preserve">                       </w:t>
      </w:r>
      <w:r>
        <w:rPr>
          <w:rFonts w:ascii="宋体" w:hAnsi="宋体" w:eastAsia="宋体" w:cs="宋体"/>
          <w:spacing w:val="3"/>
          <w:sz w:val="24"/>
          <w:szCs w:val="24"/>
        </w:rPr>
        <w:t xml:space="preserve">  </w:t>
      </w:r>
      <w:r>
        <w:rPr>
          <w:rFonts w:ascii="宋体" w:hAnsi="宋体" w:eastAsia="宋体" w:cs="宋体"/>
          <w:spacing w:val="-2"/>
          <w:sz w:val="24"/>
          <w:szCs w:val="24"/>
        </w:rPr>
        <w:t xml:space="preserve">年  月  </w:t>
      </w:r>
      <w:r>
        <w:rPr>
          <w:rFonts w:hint="eastAsia" w:ascii="宋体" w:hAnsi="宋体" w:eastAsia="宋体" w:cs="宋体"/>
          <w:spacing w:val="-2"/>
          <w:sz w:val="24"/>
          <w:szCs w:val="24"/>
        </w:rPr>
        <w:t>日</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附件10</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商务条款偏离表</w:t>
      </w:r>
    </w:p>
    <w:p>
      <w:pPr>
        <w:rPr>
          <w:rFonts w:hint="default" w:ascii="Calibri" w:hAnsi="Calibri" w:eastAsia="宋体" w:cs="Times New Roman"/>
          <w:szCs w:val="20"/>
          <w:lang w:val="en-US" w:eastAsia="zh-CN"/>
        </w:rPr>
      </w:pPr>
      <w:r>
        <w:rPr>
          <w:rFonts w:hAnsi="宋体" w:eastAsia="宋体" w:cs="宋体"/>
          <w:spacing w:val="-10"/>
          <w:sz w:val="24"/>
          <w:szCs w:val="24"/>
        </w:rPr>
        <w:t>项</w:t>
      </w:r>
      <w:r>
        <w:rPr>
          <w:rFonts w:hAnsi="宋体" w:eastAsia="宋体" w:cs="宋体"/>
          <w:spacing w:val="-9"/>
          <w:sz w:val="24"/>
          <w:szCs w:val="24"/>
        </w:rPr>
        <w:t>目</w:t>
      </w:r>
      <w:r>
        <w:rPr>
          <w:rFonts w:hAnsi="宋体" w:eastAsia="宋体" w:cs="宋体"/>
          <w:spacing w:val="-5"/>
          <w:sz w:val="24"/>
          <w:szCs w:val="24"/>
        </w:rPr>
        <w:t>名称：</w:t>
      </w:r>
      <w:r>
        <w:rPr>
          <w:rFonts w:hint="eastAsia" w:ascii="宋体" w:hAnsi="宋体" w:eastAsia="宋体" w:cs="宋体"/>
          <w:sz w:val="24"/>
          <w:u w:val="single"/>
          <w:lang w:val="en-US" w:eastAsia="zh-CN"/>
        </w:rPr>
        <w:t xml:space="preserve">                           </w:t>
      </w:r>
    </w:p>
    <w:tbl>
      <w:tblPr>
        <w:tblStyle w:val="41"/>
        <w:tblW w:w="9056" w:type="dxa"/>
        <w:tblInd w:w="0" w:type="dxa"/>
        <w:tblBorders>
          <w:top w:val="single" w:color="auto" w:sz="4" w:space="0"/>
          <w:left w:val="single" w:color="auto" w:sz="4" w:space="0"/>
          <w:bottom w:val="single" w:color="auto" w:sz="4" w:space="0"/>
          <w:right w:val="single" w:color="auto" w:sz="4" w:space="0"/>
          <w:insideH w:val="none" w:color="auto" w:sz="0" w:space="0"/>
          <w:insideV w:val="none" w:color="auto" w:sz="0" w:space="0"/>
        </w:tblBorders>
        <w:tblLayout w:type="fixed"/>
        <w:tblCellMar>
          <w:top w:w="0" w:type="dxa"/>
          <w:left w:w="108" w:type="dxa"/>
          <w:bottom w:w="0" w:type="dxa"/>
          <w:right w:w="108" w:type="dxa"/>
        </w:tblCellMar>
      </w:tblPr>
      <w:tblGrid>
        <w:gridCol w:w="1651"/>
        <w:gridCol w:w="2875"/>
        <w:gridCol w:w="2885"/>
        <w:gridCol w:w="1645"/>
      </w:tblGrid>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项目</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招标文件要求</w:t>
            </w: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响应规格</w:t>
            </w: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是否偏离</w:t>
            </w:r>
          </w:p>
          <w:p>
            <w:pPr>
              <w:jc w:val="center"/>
              <w:rPr>
                <w:rFonts w:ascii="Times New Roman" w:hAnsi="Times New Roman" w:eastAsia="宋体" w:cs="Times New Roman"/>
                <w:b/>
                <w:szCs w:val="20"/>
              </w:rPr>
            </w:pPr>
            <w:r>
              <w:rPr>
                <w:rFonts w:hint="eastAsia" w:ascii="宋体" w:hAnsi="宋体" w:eastAsia="宋体" w:cs="宋体"/>
                <w:b/>
                <w:szCs w:val="20"/>
              </w:rPr>
              <w:t>（提供说明）</w:t>
            </w: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质保期</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交货时间及地点</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付款条件</w:t>
            </w:r>
          </w:p>
        </w:tc>
        <w:tc>
          <w:tcPr>
            <w:tcW w:w="287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售后技术服务要求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1"/>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1"/>
              </w:rPr>
            </w:pPr>
          </w:p>
          <w:p>
            <w:pPr>
              <w:jc w:val="center"/>
              <w:rPr>
                <w:rFonts w:ascii="Times New Roman" w:hAnsi="Times New Roman" w:eastAsia="宋体" w:cs="Times New Roman"/>
                <w:b/>
                <w:szCs w:val="20"/>
              </w:rPr>
            </w:pPr>
          </w:p>
        </w:tc>
      </w:tr>
      <w:tr>
        <w:tblPrEx>
          <w:tblBorders>
            <w:top w:val="single" w:color="auto" w:sz="4" w:space="0"/>
            <w:left w:val="single" w:color="auto" w:sz="4" w:space="0"/>
            <w:bottom w:val="single" w:color="auto" w:sz="4" w:space="0"/>
            <w:right w:val="single" w:color="auto" w:sz="4" w:space="0"/>
            <w:insideH w:val="none" w:color="auto" w:sz="0" w:space="0"/>
            <w:insideV w:val="none" w:color="auto" w:sz="0" w:space="0"/>
          </w:tblBorders>
          <w:tblCellMar>
            <w:top w:w="0" w:type="dxa"/>
            <w:left w:w="108" w:type="dxa"/>
            <w:bottom w:w="0" w:type="dxa"/>
            <w:right w:w="108" w:type="dxa"/>
          </w:tblCellMar>
        </w:tblPrEx>
        <w:trPr>
          <w:trHeight w:val="567" w:hRule="atLeast"/>
        </w:trPr>
        <w:tc>
          <w:tcPr>
            <w:tcW w:w="1651" w:type="dxa"/>
            <w:tcBorders>
              <w:top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r>
              <w:rPr>
                <w:rFonts w:hint="eastAsia" w:ascii="宋体" w:hAnsi="宋体" w:eastAsia="宋体" w:cs="宋体"/>
                <w:b/>
                <w:szCs w:val="20"/>
              </w:rPr>
              <w:t>备品备件及耗材等要求</w:t>
            </w:r>
          </w:p>
        </w:tc>
        <w:tc>
          <w:tcPr>
            <w:tcW w:w="287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2885" w:type="dxa"/>
            <w:tcBorders>
              <w:top w:val="single" w:color="auto" w:sz="4" w:space="0"/>
              <w:left w:val="single" w:color="auto" w:sz="4" w:space="0"/>
              <w:bottom w:val="single" w:color="auto" w:sz="4" w:space="0"/>
              <w:right w:val="single" w:color="auto" w:sz="4" w:space="0"/>
            </w:tcBorders>
            <w:vAlign w:val="center"/>
          </w:tcPr>
          <w:p>
            <w:pPr>
              <w:jc w:val="center"/>
              <w:rPr>
                <w:rFonts w:ascii="Times New Roman" w:hAnsi="Times New Roman" w:eastAsia="宋体" w:cs="Times New Roman"/>
                <w:b/>
                <w:szCs w:val="20"/>
              </w:rPr>
            </w:pPr>
          </w:p>
        </w:tc>
        <w:tc>
          <w:tcPr>
            <w:tcW w:w="1645" w:type="dxa"/>
            <w:tcBorders>
              <w:top w:val="single" w:color="auto" w:sz="4" w:space="0"/>
              <w:left w:val="single" w:color="auto" w:sz="4" w:space="0"/>
              <w:bottom w:val="single" w:color="auto" w:sz="4" w:space="0"/>
            </w:tcBorders>
            <w:vAlign w:val="center"/>
          </w:tcPr>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注：为避免歧义，无偏离也应要提报该表，并注明“无”字。如无该表则即使在其它部分已反映，将也被视为“无偏离”。</w:t>
      </w:r>
    </w:p>
    <w:p>
      <w:pPr>
        <w:rPr>
          <w:rFonts w:ascii="宋体" w:hAnsi="Calibri" w:eastAsia="宋体" w:cs="Times New Roman"/>
          <w:szCs w:val="20"/>
        </w:rPr>
      </w:pPr>
    </w:p>
    <w:p>
      <w:pPr>
        <w:rPr>
          <w:rFonts w:ascii="宋体" w:hAnsi="Calibri" w:eastAsia="宋体" w:cs="宋体"/>
          <w:b/>
          <w:bCs/>
          <w:color w:val="000000"/>
          <w:sz w:val="28"/>
          <w:szCs w:val="20"/>
        </w:rPr>
        <w:sectPr>
          <w:pgSz w:w="11906" w:h="16838"/>
          <w:pgMar w:top="1588" w:right="1418" w:bottom="1134" w:left="1418" w:header="851" w:footer="992" w:gutter="0"/>
          <w:cols w:space="720" w:num="1"/>
          <w:titlePg/>
          <w:docGrid w:type="lines" w:linePitch="312" w:charSpace="0"/>
        </w:sectPr>
      </w:pPr>
    </w:p>
    <w:p>
      <w:pPr>
        <w:spacing w:before="110" w:line="227" w:lineRule="auto"/>
        <w:ind w:left="29"/>
        <w:outlineLvl w:val="2"/>
        <w:rPr>
          <w:rFonts w:hint="eastAsia" w:ascii="宋体" w:hAnsi="宋体" w:eastAsia="宋体" w:cs="宋体"/>
          <w:sz w:val="24"/>
          <w:szCs w:val="24"/>
        </w:rPr>
      </w:pPr>
      <w:r>
        <w:rPr>
          <w:rFonts w:hint="eastAsia" w:ascii="Times New Roman" w:hAnsi="Times New Roman" w:eastAsia="宋体" w:cs="Times New Roman"/>
          <w:b/>
          <w:bCs/>
          <w:color w:val="000000"/>
          <w:sz w:val="24"/>
          <w:szCs w:val="24"/>
        </w:rPr>
        <w:t>附件11 投标人承诺</w:t>
      </w:r>
    </w:p>
    <w:p>
      <w:pPr>
        <w:spacing w:line="272" w:lineRule="auto"/>
        <w:rPr>
          <w:rFonts w:hint="eastAsia" w:ascii="Arial"/>
        </w:rPr>
      </w:pPr>
    </w:p>
    <w:p>
      <w:pPr>
        <w:spacing w:before="75" w:line="228" w:lineRule="auto"/>
        <w:ind w:left="134"/>
        <w:rPr>
          <w:rFonts w:hint="default" w:ascii="宋体" w:hAnsi="宋体" w:eastAsia="宋体" w:cs="宋体"/>
          <w:sz w:val="24"/>
          <w:szCs w:val="24"/>
          <w:lang w:val="en-US" w:eastAsia="zh-CN"/>
        </w:rPr>
      </w:pPr>
      <w:r>
        <w:rPr>
          <w:rFonts w:ascii="宋体" w:hAnsi="宋体" w:eastAsia="宋体" w:cs="宋体"/>
          <w:spacing w:val="-10"/>
          <w:sz w:val="24"/>
          <w:szCs w:val="24"/>
        </w:rPr>
        <w:t>项</w:t>
      </w:r>
      <w:r>
        <w:rPr>
          <w:rFonts w:ascii="宋体" w:hAnsi="宋体" w:eastAsia="宋体" w:cs="宋体"/>
          <w:spacing w:val="-9"/>
          <w:sz w:val="24"/>
          <w:szCs w:val="24"/>
        </w:rPr>
        <w:t>目</w:t>
      </w:r>
      <w:r>
        <w:rPr>
          <w:rFonts w:ascii="宋体" w:hAnsi="宋体" w:eastAsia="宋体" w:cs="宋体"/>
          <w:spacing w:val="-5"/>
          <w:sz w:val="24"/>
          <w:szCs w:val="24"/>
        </w:rPr>
        <w:t>名称：</w:t>
      </w:r>
      <w:r>
        <w:rPr>
          <w:rFonts w:hint="eastAsia" w:ascii="宋体" w:hAnsi="宋体" w:eastAsia="宋体" w:cs="宋体"/>
          <w:sz w:val="24"/>
          <w:u w:val="single"/>
          <w:lang w:val="en-US" w:eastAsia="zh-CN"/>
        </w:rPr>
        <w:t xml:space="preserve">                              </w:t>
      </w:r>
    </w:p>
    <w:p>
      <w:pPr>
        <w:spacing w:before="306" w:line="227" w:lineRule="auto"/>
        <w:ind w:left="205"/>
        <w:rPr>
          <w:rFonts w:hint="eastAsia" w:ascii="宋体" w:hAnsi="宋体" w:eastAsia="宋体" w:cs="宋体"/>
          <w:sz w:val="24"/>
          <w:szCs w:val="24"/>
        </w:rPr>
      </w:pPr>
      <w:r>
        <w:rPr>
          <w:rFonts w:ascii="宋体" w:hAnsi="宋体" w:eastAsia="宋体" w:cs="宋体"/>
          <w:spacing w:val="-4"/>
          <w:sz w:val="24"/>
          <w:szCs w:val="24"/>
        </w:rPr>
        <w:t xml:space="preserve">日期： </w:t>
      </w:r>
      <w:r>
        <w:rPr>
          <w:rFonts w:ascii="宋体" w:hAnsi="宋体" w:eastAsia="宋体" w:cs="宋体"/>
          <w:spacing w:val="-2"/>
          <w:sz w:val="24"/>
          <w:szCs w:val="24"/>
        </w:rPr>
        <w:t xml:space="preserve">   年   月   日</w:t>
      </w:r>
    </w:p>
    <w:p>
      <w:pPr>
        <w:rPr>
          <w:rFonts w:hint="eastAsia"/>
        </w:rPr>
      </w:pPr>
    </w:p>
    <w:p>
      <w:pPr>
        <w:spacing w:line="109" w:lineRule="exact"/>
        <w:rPr>
          <w:rFonts w:hint="eastAsia"/>
        </w:rPr>
      </w:pPr>
    </w:p>
    <w:tbl>
      <w:tblPr>
        <w:tblStyle w:val="133"/>
        <w:tblW w:w="9289" w:type="dxa"/>
        <w:tblInd w:w="2" w:type="dxa"/>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Layout w:type="fixed"/>
        <w:tblCellMar>
          <w:top w:w="0" w:type="dxa"/>
          <w:left w:w="0" w:type="dxa"/>
          <w:bottom w:w="0" w:type="dxa"/>
          <w:right w:w="0" w:type="dxa"/>
        </w:tblCellMar>
      </w:tblPr>
      <w:tblGrid>
        <w:gridCol w:w="9289"/>
      </w:tblGrid>
      <w:tr>
        <w:tblPrEx>
          <w:tblBorders>
            <w:top w:val="single" w:color="000000" w:sz="2" w:space="0"/>
            <w:left w:val="single" w:color="000000" w:sz="2" w:space="0"/>
            <w:bottom w:val="single" w:color="000000" w:sz="2" w:space="0"/>
            <w:right w:val="single" w:color="000000" w:sz="2" w:space="0"/>
            <w:insideH w:val="none" w:color="auto" w:sz="0" w:space="0"/>
            <w:insideV w:val="none" w:color="auto" w:sz="0" w:space="0"/>
          </w:tblBorders>
          <w:tblCellMar>
            <w:top w:w="0" w:type="dxa"/>
            <w:left w:w="0" w:type="dxa"/>
            <w:bottom w:w="0" w:type="dxa"/>
            <w:right w:w="0" w:type="dxa"/>
          </w:tblCellMar>
        </w:tblPrEx>
        <w:trPr>
          <w:trHeight w:val="4186" w:hRule="atLeast"/>
        </w:trPr>
        <w:tc>
          <w:tcPr>
            <w:tcW w:w="9289" w:type="dxa"/>
          </w:tcPr>
          <w:p>
            <w:pPr>
              <w:spacing w:before="52" w:line="227" w:lineRule="auto"/>
              <w:ind w:left="128"/>
              <w:rPr>
                <w:rFonts w:hint="eastAsia" w:ascii="宋体" w:hAnsi="宋体" w:eastAsia="宋体" w:cs="宋体"/>
                <w:sz w:val="24"/>
                <w:szCs w:val="24"/>
              </w:rPr>
            </w:pPr>
            <w:r>
              <w:rPr>
                <w:rFonts w:ascii="宋体" w:hAnsi="宋体" w:eastAsia="宋体" w:cs="宋体"/>
                <w:spacing w:val="5"/>
                <w:sz w:val="24"/>
                <w:szCs w:val="24"/>
              </w:rPr>
              <w:t>投</w:t>
            </w:r>
            <w:r>
              <w:rPr>
                <w:rFonts w:ascii="宋体" w:hAnsi="宋体" w:eastAsia="宋体" w:cs="宋体"/>
                <w:spacing w:val="3"/>
                <w:sz w:val="24"/>
                <w:szCs w:val="24"/>
              </w:rPr>
              <w:t>标人承诺：</w:t>
            </w:r>
          </w:p>
          <w:p>
            <w:pPr>
              <w:spacing w:before="48" w:line="391" w:lineRule="auto"/>
              <w:ind w:left="125" w:right="115" w:firstLine="491"/>
              <w:rPr>
                <w:rFonts w:hint="eastAsia" w:ascii="宋体" w:hAnsi="宋体" w:eastAsia="宋体" w:cs="宋体"/>
                <w:sz w:val="23"/>
                <w:szCs w:val="23"/>
              </w:rPr>
            </w:pPr>
            <w:r>
              <w:rPr>
                <w:rFonts w:ascii="宋体" w:hAnsi="宋体" w:eastAsia="宋体" w:cs="宋体"/>
                <w:spacing w:val="38"/>
                <w:sz w:val="24"/>
                <w:szCs w:val="24"/>
              </w:rPr>
              <w:t>我</w:t>
            </w:r>
            <w:r>
              <w:rPr>
                <w:rFonts w:ascii="宋体" w:hAnsi="宋体" w:eastAsia="宋体" w:cs="宋体"/>
                <w:spacing w:val="21"/>
                <w:sz w:val="24"/>
                <w:szCs w:val="24"/>
              </w:rPr>
              <w:t>公司承诺遵守贵公司由于招标人公司政策变化引起的随时终止项目的要求并</w:t>
            </w:r>
            <w:r>
              <w:rPr>
                <w:rFonts w:ascii="宋体" w:hAnsi="宋体" w:eastAsia="宋体" w:cs="宋体"/>
                <w:spacing w:val="12"/>
                <w:sz w:val="24"/>
                <w:szCs w:val="24"/>
              </w:rPr>
              <w:t>承</w:t>
            </w:r>
            <w:r>
              <w:rPr>
                <w:rFonts w:ascii="宋体" w:hAnsi="宋体" w:eastAsia="宋体" w:cs="宋体"/>
                <w:spacing w:val="6"/>
                <w:sz w:val="24"/>
                <w:szCs w:val="24"/>
              </w:rPr>
              <w:t>担由此带来的一切损失</w:t>
            </w:r>
            <w:r>
              <w:rPr>
                <w:rFonts w:ascii="宋体" w:hAnsi="宋体" w:eastAsia="宋体" w:cs="宋体"/>
                <w:spacing w:val="6"/>
                <w:sz w:val="23"/>
                <w:szCs w:val="23"/>
              </w:rPr>
              <w:t>。</w:t>
            </w:r>
          </w:p>
        </w:tc>
      </w:tr>
    </w:tbl>
    <w:p>
      <w:pPr>
        <w:keepNext/>
        <w:keepLines/>
        <w:rPr>
          <w:rFonts w:ascii="Times New Roman" w:hAnsi="Times New Roman" w:eastAsia="宋体" w:cs="Times New Roman"/>
          <w:b/>
          <w:bCs/>
          <w:color w:val="000000"/>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ascii="宋体" w:hAnsi="宋体" w:eastAsia="宋体" w:cs="宋体"/>
          <w:spacing w:val="-2"/>
          <w:sz w:val="24"/>
          <w:szCs w:val="24"/>
        </w:rPr>
      </w:pPr>
    </w:p>
    <w:p>
      <w:pPr>
        <w:spacing w:before="75" w:line="227" w:lineRule="auto"/>
        <w:ind w:left="135"/>
        <w:rPr>
          <w:rFonts w:hint="eastAsia" w:eastAsia="宋体"/>
          <w:sz w:val="24"/>
          <w:szCs w:val="24"/>
        </w:rPr>
        <w:sectPr>
          <w:footerReference r:id="rId31" w:type="default"/>
          <w:pgSz w:w="11906" w:h="16839"/>
          <w:pgMar w:top="1431" w:right="1417" w:bottom="1179" w:left="1304" w:header="850" w:footer="992" w:gutter="0"/>
          <w:cols w:space="720" w:num="1"/>
        </w:sectPr>
      </w:pPr>
      <w:r>
        <w:rPr>
          <w:rFonts w:ascii="宋体" w:hAnsi="宋体" w:eastAsia="宋体" w:cs="宋体"/>
          <w:spacing w:val="-2"/>
          <w:sz w:val="24"/>
          <w:szCs w:val="24"/>
        </w:rPr>
        <w:t>投标人名称 (盖章)：                法定代表人或授权代表(签字</w:t>
      </w:r>
      <w:r>
        <w:rPr>
          <w:rFonts w:ascii="宋体" w:hAnsi="宋体" w:eastAsia="宋体" w:cs="宋体"/>
          <w:sz w:val="24"/>
          <w:szCs w:val="24"/>
        </w:rPr>
        <w:t>)</w:t>
      </w:r>
      <w:r>
        <w:rPr>
          <w:rFonts w:hint="eastAsia" w:ascii="宋体" w:hAnsi="宋体" w:eastAsia="宋体" w:cs="宋体"/>
          <w:sz w:val="24"/>
          <w:szCs w:val="24"/>
        </w:rPr>
        <w:t>：</w:t>
      </w:r>
    </w:p>
    <w:p>
      <w:pPr>
        <w:keepNext/>
        <w:keepLines/>
        <w:outlineLvl w:val="2"/>
        <w:rPr>
          <w:rFonts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附件12</w:t>
      </w:r>
      <w:r>
        <w:rPr>
          <w:rFonts w:ascii="Times New Roman" w:hAnsi="Times New Roman" w:eastAsia="宋体" w:cs="Times New Roman"/>
          <w:b/>
          <w:bCs/>
          <w:color w:val="000000"/>
          <w:sz w:val="24"/>
          <w:szCs w:val="24"/>
        </w:rPr>
        <w:t xml:space="preserve"> </w:t>
      </w:r>
      <w:r>
        <w:rPr>
          <w:rFonts w:hint="eastAsia" w:ascii="Times New Roman" w:hAnsi="Times New Roman" w:eastAsia="宋体" w:cs="Times New Roman"/>
          <w:b/>
          <w:bCs/>
          <w:color w:val="000000"/>
          <w:sz w:val="24"/>
          <w:szCs w:val="24"/>
        </w:rPr>
        <w:t>服务承诺函</w:t>
      </w:r>
    </w:p>
    <w:p>
      <w:pPr>
        <w:spacing w:line="240" w:lineRule="exact"/>
        <w:jc w:val="center"/>
        <w:rPr>
          <w:rFonts w:ascii="宋体" w:hAnsi="Calibri" w:eastAsia="宋体" w:cs="Times New Roman"/>
          <w:b/>
          <w:bCs/>
          <w:sz w:val="36"/>
          <w:szCs w:val="20"/>
        </w:rPr>
      </w:pPr>
    </w:p>
    <w:p>
      <w:pPr>
        <w:spacing w:line="360" w:lineRule="auto"/>
        <w:rPr>
          <w:rFonts w:hint="default" w:ascii="宋体" w:hAnsi="Calibri" w:eastAsia="宋体" w:cs="Times New Roman"/>
          <w:sz w:val="24"/>
          <w:szCs w:val="20"/>
          <w:lang w:val="en-US" w:eastAsia="zh-CN"/>
        </w:rPr>
      </w:pPr>
      <w:r>
        <w:rPr>
          <w:rFonts w:hint="eastAsia" w:ascii="宋体" w:hAnsi="宋体" w:eastAsia="宋体" w:cs="Times New Roman"/>
          <w:sz w:val="24"/>
          <w:szCs w:val="20"/>
        </w:rPr>
        <w:t>项目名称：</w:t>
      </w:r>
      <w:r>
        <w:rPr>
          <w:rFonts w:hint="eastAsia" w:ascii="宋体" w:hAnsi="宋体" w:eastAsia="宋体" w:cs="宋体"/>
          <w:sz w:val="24"/>
          <w:u w:val="single"/>
          <w:lang w:val="en-US" w:eastAsia="zh-CN"/>
        </w:rPr>
        <w:t xml:space="preserve">                                  </w:t>
      </w:r>
    </w:p>
    <w:p>
      <w:pPr>
        <w:spacing w:line="360" w:lineRule="auto"/>
        <w:rPr>
          <w:rFonts w:ascii="宋体" w:hAnsi="Calibri" w:eastAsia="宋体" w:cs="Times New Roman"/>
          <w:b/>
          <w:bCs/>
          <w:sz w:val="24"/>
          <w:szCs w:val="20"/>
          <w:highlight w:val="none"/>
        </w:rPr>
      </w:pPr>
      <w:r>
        <w:rPr>
          <w:rFonts w:hint="eastAsia" w:ascii="宋体" w:hAnsi="宋体" w:eastAsia="宋体" w:cs="Times New Roman"/>
          <w:b/>
          <w:bCs/>
          <w:sz w:val="24"/>
          <w:szCs w:val="20"/>
        </w:rPr>
        <w:t>中国重汽集</w:t>
      </w:r>
      <w:r>
        <w:rPr>
          <w:rFonts w:hint="eastAsia" w:ascii="宋体" w:hAnsi="宋体" w:eastAsia="宋体" w:cs="Times New Roman"/>
          <w:b/>
          <w:bCs/>
          <w:sz w:val="24"/>
          <w:szCs w:val="20"/>
          <w:highlight w:val="none"/>
        </w:rPr>
        <w:t>团济南动力有限公司：</w:t>
      </w:r>
    </w:p>
    <w:p>
      <w:pPr>
        <w:spacing w:line="360" w:lineRule="auto"/>
        <w:ind w:firstLine="480"/>
        <w:rPr>
          <w:rFonts w:ascii="宋体" w:hAnsi="Calibri" w:eastAsia="宋体" w:cs="Times New Roman"/>
          <w:sz w:val="24"/>
          <w:szCs w:val="20"/>
        </w:rPr>
      </w:pPr>
      <w:r>
        <w:rPr>
          <w:rFonts w:hint="eastAsia" w:ascii="宋体" w:hAnsi="宋体" w:eastAsia="宋体" w:cs="Times New Roman"/>
          <w:sz w:val="24"/>
          <w:szCs w:val="20"/>
          <w:highlight w:val="none"/>
        </w:rPr>
        <w:t>我代表（投标人名称）对中标</w:t>
      </w:r>
      <w:r>
        <w:rPr>
          <w:rFonts w:hint="eastAsia" w:ascii="宋体" w:hAnsi="宋体" w:eastAsia="宋体" w:cs="Times New Roman"/>
          <w:sz w:val="24"/>
          <w:szCs w:val="20"/>
        </w:rPr>
        <w:t>合同产品的服务作如下承诺：</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r>
        <w:rPr>
          <w:rFonts w:ascii="宋体" w:hAnsi="宋体" w:eastAsia="宋体" w:cs="Times New Roman"/>
          <w:sz w:val="24"/>
          <w:szCs w:val="20"/>
          <w:u w:val="single"/>
        </w:rPr>
        <w:t xml:space="preserve">                                                                       </w:t>
      </w:r>
    </w:p>
    <w:p>
      <w:pPr>
        <w:spacing w:line="360" w:lineRule="auto"/>
        <w:ind w:firstLine="480" w:firstLineChars="200"/>
        <w:rPr>
          <w:rFonts w:hint="eastAsia" w:ascii="宋体" w:hAnsi="宋体" w:eastAsia="宋体" w:cs="Times New Roman"/>
          <w:sz w:val="24"/>
          <w:szCs w:val="20"/>
          <w:u w:val="single"/>
        </w:rPr>
      </w:pP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投标人：（盖章）</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法定代表人（委托代理人）：（签字）</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日</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期：</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年</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月</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w:t>
      </w:r>
    </w:p>
    <w:p>
      <w:pPr>
        <w:rPr>
          <w:rFonts w:ascii="宋体" w:hAnsi="Calibri" w:eastAsia="宋体" w:cs="宋体"/>
          <w:b/>
          <w:bCs/>
          <w:color w:val="000000"/>
          <w:sz w:val="28"/>
          <w:szCs w:val="20"/>
        </w:rPr>
      </w:pPr>
    </w:p>
    <w:p>
      <w:pPr>
        <w:pStyle w:val="22"/>
        <w:rPr>
          <w:rFonts w:hAnsi="Calibri" w:eastAsia="宋体" w:cs="宋体"/>
          <w:b/>
          <w:bCs/>
          <w:color w:val="000000"/>
          <w:sz w:val="28"/>
          <w:szCs w:val="20"/>
        </w:rPr>
      </w:pPr>
    </w:p>
    <w:p>
      <w:pPr>
        <w:rPr>
          <w:rFonts w:ascii="宋体" w:hAnsi="Calibri" w:eastAsia="宋体" w:cs="宋体"/>
          <w:b/>
          <w:bCs/>
          <w:color w:val="000000"/>
          <w:sz w:val="28"/>
          <w:szCs w:val="20"/>
        </w:rPr>
      </w:pPr>
    </w:p>
    <w:p>
      <w:pPr>
        <w:outlineLvl w:val="2"/>
        <w:rPr>
          <w:rFonts w:ascii="Calibri" w:hAnsi="Calibri" w:eastAsia="宋体" w:cs="Times New Roman"/>
          <w:szCs w:val="20"/>
        </w:rPr>
      </w:pPr>
      <w:r>
        <w:rPr>
          <w:rFonts w:ascii="Calibri" w:hAnsi="Calibri" w:eastAsia="宋体" w:cs="Times New Roman"/>
          <w:szCs w:val="20"/>
        </w:rPr>
        <w:br w:type="page"/>
      </w:r>
      <w:r>
        <w:rPr>
          <w:rFonts w:hint="eastAsia" w:ascii="Times New Roman" w:hAnsi="Times New Roman" w:eastAsia="宋体" w:cs="Times New Roman"/>
          <w:b/>
          <w:bCs/>
          <w:color w:val="000000"/>
          <w:sz w:val="24"/>
          <w:szCs w:val="24"/>
        </w:rPr>
        <w:t>附件13 投标文件封面及封口格式</w:t>
      </w:r>
    </w:p>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封面格式：</w:t>
      </w:r>
    </w:p>
    <w:tbl>
      <w:tblPr>
        <w:tblStyle w:val="41"/>
        <w:tblW w:w="9060" w:type="dxa"/>
        <w:tblInd w:w="0"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108" w:type="dxa"/>
          <w:bottom w:w="0" w:type="dxa"/>
          <w:right w:w="108" w:type="dxa"/>
        </w:tblCellMar>
      </w:tblPr>
      <w:tblGrid>
        <w:gridCol w:w="906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c>
          <w:tcPr>
            <w:tcW w:w="9060" w:type="dxa"/>
          </w:tcPr>
          <w:p>
            <w:pPr>
              <w:jc w:val="center"/>
              <w:rPr>
                <w:rFonts w:ascii="Times New Roman" w:hAnsi="Times New Roman" w:eastAsia="宋体" w:cs="Times New Roman"/>
                <w:b/>
                <w:szCs w:val="20"/>
              </w:rPr>
            </w:pPr>
          </w:p>
          <w:p>
            <w:pPr>
              <w:jc w:val="center"/>
              <w:rPr>
                <w:rFonts w:ascii="宋体" w:hAnsi="Times New Roman" w:eastAsia="宋体" w:cs="宋体"/>
                <w:b/>
                <w:sz w:val="30"/>
                <w:szCs w:val="30"/>
              </w:rPr>
            </w:pPr>
            <w:r>
              <w:rPr>
                <w:rFonts w:hint="eastAsia" w:ascii="宋体" w:hAnsi="宋体" w:eastAsia="宋体" w:cs="宋体"/>
                <w:b/>
                <w:sz w:val="30"/>
                <w:szCs w:val="30"/>
              </w:rPr>
              <w:t>技术</w:t>
            </w:r>
            <w:r>
              <w:rPr>
                <w:rFonts w:ascii="宋体" w:hAnsi="宋体" w:eastAsia="宋体" w:cs="宋体"/>
                <w:b/>
                <w:sz w:val="30"/>
                <w:szCs w:val="30"/>
              </w:rPr>
              <w:t>/</w:t>
            </w:r>
            <w:r>
              <w:rPr>
                <w:rFonts w:hint="eastAsia" w:ascii="宋体" w:hAnsi="宋体" w:eastAsia="宋体" w:cs="宋体"/>
                <w:b/>
                <w:sz w:val="30"/>
                <w:szCs w:val="30"/>
              </w:rPr>
              <w:t>资质</w:t>
            </w:r>
            <w:r>
              <w:rPr>
                <w:rFonts w:ascii="宋体" w:hAnsi="宋体" w:eastAsia="宋体" w:cs="宋体"/>
                <w:b/>
                <w:sz w:val="30"/>
                <w:szCs w:val="30"/>
              </w:rPr>
              <w:t>/</w:t>
            </w:r>
            <w:r>
              <w:rPr>
                <w:rFonts w:hint="eastAsia" w:ascii="宋体" w:hAnsi="宋体" w:eastAsia="宋体" w:cs="宋体"/>
                <w:b/>
                <w:sz w:val="30"/>
                <w:szCs w:val="30"/>
              </w:rPr>
              <w:t>商务文件</w:t>
            </w:r>
          </w:p>
          <w:p>
            <w:pPr>
              <w:rPr>
                <w:rFonts w:ascii="Times New Roman" w:hAnsi="Times New Roman" w:eastAsia="等线" w:cs="Times New Roman"/>
                <w:b/>
                <w:sz w:val="30"/>
                <w:szCs w:val="30"/>
              </w:rPr>
            </w:pPr>
          </w:p>
          <w:p>
            <w:pPr>
              <w:jc w:val="center"/>
              <w:rPr>
                <w:rFonts w:ascii="Times New Roman" w:hAnsi="Times New Roman" w:eastAsia="宋体" w:cs="Times New Roman"/>
                <w:b/>
                <w:sz w:val="30"/>
                <w:szCs w:val="30"/>
              </w:rPr>
            </w:pPr>
            <w:r>
              <w:rPr>
                <w:rFonts w:hint="eastAsia" w:ascii="宋体" w:hAnsi="宋体" w:eastAsia="宋体" w:cs="宋体"/>
                <w:b/>
                <w:sz w:val="30"/>
                <w:szCs w:val="30"/>
              </w:rPr>
              <w:t>（</w:t>
            </w:r>
            <w:r>
              <w:rPr>
                <w:rFonts w:ascii="等线" w:hAnsi="等线" w:eastAsia="等线" w:cs="Times New Roman"/>
                <w:b/>
                <w:sz w:val="30"/>
                <w:szCs w:val="30"/>
              </w:rPr>
              <w:t>1</w:t>
            </w:r>
            <w:r>
              <w:rPr>
                <w:rFonts w:hint="eastAsia" w:ascii="宋体" w:hAnsi="宋体" w:eastAsia="宋体" w:cs="宋体"/>
                <w:b/>
                <w:sz w:val="30"/>
                <w:szCs w:val="30"/>
              </w:rPr>
              <w:t>正本</w:t>
            </w:r>
            <w:r>
              <w:rPr>
                <w:rFonts w:hint="eastAsia" w:ascii="宋体" w:hAnsi="宋体" w:eastAsia="宋体" w:cs="宋体"/>
                <w:b/>
                <w:sz w:val="30"/>
                <w:szCs w:val="30"/>
                <w:lang w:eastAsia="zh-CN"/>
              </w:rPr>
              <w:t>、</w:t>
            </w:r>
            <w:r>
              <w:rPr>
                <w:rFonts w:hint="eastAsia" w:ascii="宋体" w:hAnsi="宋体" w:eastAsia="宋体" w:cs="宋体"/>
                <w:b/>
                <w:sz w:val="30"/>
                <w:szCs w:val="30"/>
                <w:lang w:val="en-US" w:eastAsia="zh-CN"/>
              </w:rPr>
              <w:t>2副本</w:t>
            </w:r>
            <w:r>
              <w:rPr>
                <w:rFonts w:hint="eastAsia" w:ascii="宋体" w:hAnsi="宋体" w:eastAsia="宋体" w:cs="宋体"/>
                <w:b/>
                <w:sz w:val="30"/>
                <w:szCs w:val="30"/>
              </w:rPr>
              <w:t>）</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p>
            <w:pPr>
              <w:jc w:val="center"/>
              <w:rPr>
                <w:rFonts w:hint="default" w:ascii="宋体" w:hAnsi="宋体" w:eastAsia="宋体" w:cs="宋体"/>
                <w:b/>
                <w:szCs w:val="20"/>
                <w:lang w:val="en-US" w:eastAsia="zh-CN"/>
              </w:rPr>
            </w:pPr>
            <w:r>
              <w:rPr>
                <w:rFonts w:hint="eastAsia" w:ascii="宋体" w:hAnsi="宋体" w:eastAsia="宋体" w:cs="宋体"/>
                <w:b/>
                <w:szCs w:val="20"/>
              </w:rPr>
              <w:t>项目名称：</w:t>
            </w:r>
            <w:r>
              <w:rPr>
                <w:rFonts w:hint="eastAsia" w:ascii="宋体" w:hAnsi="宋体" w:eastAsia="宋体" w:cs="宋体"/>
                <w:b/>
                <w:bCs/>
                <w:szCs w:val="20"/>
                <w:u w:val="single"/>
                <w:lang w:val="en-US" w:eastAsia="zh-CN"/>
              </w:rPr>
              <w:t xml:space="preserve">                            </w:t>
            </w:r>
          </w:p>
          <w:p>
            <w:pPr>
              <w:jc w:val="center"/>
              <w:rPr>
                <w:rFonts w:ascii="Times New Roman" w:hAnsi="Times New Roman" w:eastAsia="宋体" w:cs="Times New Roman"/>
                <w:b/>
                <w:szCs w:val="20"/>
              </w:rPr>
            </w:pPr>
            <w:r>
              <w:rPr>
                <w:rFonts w:hint="eastAsia" w:ascii="宋体" w:hAnsi="宋体" w:eastAsia="宋体" w:cs="宋体"/>
                <w:b/>
                <w:szCs w:val="20"/>
              </w:rPr>
              <w:t>投标人名称（公章）：</w:t>
            </w:r>
          </w:p>
          <w:p>
            <w:pPr>
              <w:jc w:val="center"/>
              <w:rPr>
                <w:rFonts w:ascii="Times New Roman" w:hAnsi="Times New Roman" w:eastAsia="宋体" w:cs="Times New Roman"/>
                <w:b/>
                <w:szCs w:val="20"/>
              </w:rPr>
            </w:pPr>
            <w:r>
              <w:rPr>
                <w:rFonts w:hint="eastAsia" w:ascii="宋体" w:hAnsi="宋体" w:eastAsia="宋体" w:cs="宋体"/>
                <w:b/>
                <w:szCs w:val="20"/>
              </w:rPr>
              <w:t>地址：</w:t>
            </w:r>
          </w:p>
          <w:p>
            <w:pPr>
              <w:jc w:val="center"/>
              <w:rPr>
                <w:rFonts w:ascii="Times New Roman" w:hAnsi="Times New Roman" w:eastAsia="宋体" w:cs="Times New Roman"/>
                <w:b/>
                <w:szCs w:val="20"/>
              </w:rPr>
            </w:pPr>
            <w:r>
              <w:rPr>
                <w:rFonts w:hint="eastAsia" w:ascii="宋体" w:hAnsi="宋体" w:eastAsia="宋体" w:cs="宋体"/>
                <w:b/>
                <w:szCs w:val="20"/>
              </w:rPr>
              <w:t>授权代表电话：</w:t>
            </w:r>
          </w:p>
          <w:p>
            <w:pPr>
              <w:jc w:val="center"/>
              <w:rPr>
                <w:rFonts w:ascii="Times New Roman" w:hAnsi="Times New Roman" w:eastAsia="宋体" w:cs="Times New Roman"/>
                <w:b/>
                <w:szCs w:val="20"/>
              </w:rPr>
            </w:pPr>
            <w:r>
              <w:rPr>
                <w:rFonts w:hint="eastAsia" w:ascii="宋体" w:hAnsi="宋体" w:eastAsia="宋体" w:cs="宋体"/>
                <w:b/>
                <w:szCs w:val="20"/>
              </w:rPr>
              <w:t>传真：</w:t>
            </w:r>
          </w:p>
          <w:p>
            <w:pPr>
              <w:jc w:val="center"/>
              <w:rPr>
                <w:rFonts w:ascii="Times New Roman" w:hAnsi="Times New Roman" w:eastAsia="宋体" w:cs="Times New Roman"/>
                <w:b/>
                <w:szCs w:val="20"/>
              </w:rPr>
            </w:pPr>
          </w:p>
          <w:p>
            <w:pPr>
              <w:jc w:val="center"/>
              <w:rPr>
                <w:rFonts w:ascii="Times New Roman" w:hAnsi="Times New Roman" w:eastAsia="宋体" w:cs="Times New Roman"/>
                <w:b/>
                <w:szCs w:val="20"/>
              </w:rPr>
            </w:pPr>
          </w:p>
        </w:tc>
      </w:tr>
    </w:tbl>
    <w:p>
      <w:pPr>
        <w:spacing w:line="360" w:lineRule="auto"/>
        <w:ind w:firstLine="480" w:firstLineChars="200"/>
        <w:rPr>
          <w:rFonts w:hint="eastAsia" w:ascii="宋体" w:hAnsi="宋体" w:eastAsia="宋体" w:cs="Times New Roman"/>
          <w:color w:val="000000"/>
          <w:sz w:val="24"/>
          <w:szCs w:val="24"/>
        </w:rPr>
      </w:pPr>
      <w:r>
        <w:rPr>
          <w:rFonts w:hint="eastAsia" w:ascii="宋体" w:hAnsi="宋体" w:eastAsia="宋体" w:cs="Times New Roman"/>
          <w:color w:val="000000"/>
          <w:sz w:val="24"/>
          <w:szCs w:val="24"/>
        </w:rPr>
        <w:t>投标人名称：</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授权代表签字：</w:t>
      </w:r>
      <w:r>
        <w:rPr>
          <w:rFonts w:ascii="宋体" w:hAnsi="宋体" w:eastAsia="宋体" w:cs="Times New Roman"/>
          <w:color w:val="000000"/>
          <w:sz w:val="24"/>
          <w:szCs w:val="24"/>
        </w:rPr>
        <w:t xml:space="preserve">                  </w:t>
      </w:r>
      <w:r>
        <w:rPr>
          <w:rFonts w:hint="eastAsia" w:ascii="宋体" w:hAnsi="宋体" w:eastAsia="宋体" w:cs="Times New Roman"/>
          <w:color w:val="000000"/>
          <w:sz w:val="24"/>
          <w:szCs w:val="24"/>
        </w:rPr>
        <w:t>日期：</w:t>
      </w:r>
    </w:p>
    <w:p>
      <w:pPr>
        <w:pStyle w:val="22"/>
      </w:pPr>
    </w:p>
    <w:p>
      <w:pPr>
        <w:jc w:val="right"/>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asciiTheme="minorEastAsia" w:hAnsiTheme="minorEastAsia" w:cstheme="minorEastAsia"/>
          <w:sz w:val="20"/>
          <w:szCs w:val="20"/>
        </w:rPr>
      </w:pPr>
    </w:p>
    <w:p>
      <w:pPr>
        <w:pStyle w:val="29"/>
        <w:rPr>
          <w:rFonts w:hint="eastAsia" w:asciiTheme="minorEastAsia" w:hAnsiTheme="minorEastAsia" w:cstheme="minorEastAsia"/>
          <w:sz w:val="20"/>
          <w:szCs w:val="20"/>
        </w:rPr>
      </w:pPr>
    </w:p>
    <w:p>
      <w:pPr>
        <w:rPr>
          <w:rFonts w:hint="eastAsia"/>
        </w:rPr>
      </w:pPr>
      <w:r>
        <w:br w:type="page"/>
      </w:r>
    </w:p>
    <w:p>
      <w:pPr>
        <w:pStyle w:val="29"/>
        <w:rPr>
          <w:rFonts w:hint="eastAsia"/>
        </w:rPr>
        <w:sectPr>
          <w:headerReference r:id="rId33" w:type="first"/>
          <w:footerReference r:id="rId35" w:type="first"/>
          <w:headerReference r:id="rId32" w:type="default"/>
          <w:footerReference r:id="rId34" w:type="default"/>
          <w:pgSz w:w="11906" w:h="16838"/>
          <w:pgMar w:top="1588" w:right="1418" w:bottom="1134" w:left="1418" w:header="851" w:footer="992" w:gutter="0"/>
          <w:cols w:space="720" w:num="1"/>
          <w:titlePg/>
          <w:docGrid w:type="lines" w:linePitch="312" w:charSpace="0"/>
        </w:sectPr>
      </w:pPr>
    </w:p>
    <w:p>
      <w:pPr>
        <w:outlineLvl w:val="2"/>
        <w:rPr>
          <w:rFonts w:hint="eastAsia"/>
          <w:highlight w:val="yellow"/>
        </w:rPr>
      </w:pPr>
      <w:r>
        <w:rPr>
          <w:rFonts w:hint="eastAsia" w:ascii="Times New Roman" w:hAnsi="Times New Roman" w:eastAsia="宋体" w:cs="Times New Roman"/>
          <w:b/>
          <w:bCs/>
          <w:color w:val="000000"/>
          <w:sz w:val="24"/>
          <w:szCs w:val="24"/>
          <w:highlight w:val="yellow"/>
        </w:rPr>
        <w:t>附件14技术标评分标准</w:t>
      </w:r>
    </w:p>
    <w:p>
      <w:pPr>
        <w:jc w:val="right"/>
        <w:rPr>
          <w:rFonts w:hint="eastAsia" w:asciiTheme="minorEastAsia" w:hAnsiTheme="minorEastAsia" w:cstheme="minorEastAsia"/>
          <w:sz w:val="20"/>
          <w:szCs w:val="20"/>
        </w:rPr>
      </w:pPr>
    </w:p>
    <w:p>
      <w:pPr>
        <w:rPr>
          <w:rFonts w:hint="eastAsia"/>
        </w:rPr>
        <w:sectPr>
          <w:pgSz w:w="16838" w:h="11906" w:orient="landscape"/>
          <w:pgMar w:top="720" w:right="720" w:bottom="720" w:left="720" w:header="851" w:footer="992" w:gutter="0"/>
          <w:cols w:space="720" w:num="1"/>
          <w:titlePg/>
          <w:docGrid w:type="lines" w:linePitch="312" w:charSpace="0"/>
        </w:sectPr>
      </w:pPr>
    </w:p>
    <w:p>
      <w:pPr>
        <w:outlineLvl w:val="2"/>
        <w:rPr>
          <w:rFonts w:hint="eastAsia" w:ascii="Times New Roman" w:hAnsi="Times New Roman" w:eastAsia="宋体" w:cs="Times New Roman"/>
          <w:b/>
          <w:bCs/>
          <w:color w:val="000000"/>
          <w:sz w:val="24"/>
          <w:szCs w:val="24"/>
        </w:rPr>
      </w:pPr>
      <w:r>
        <w:rPr>
          <w:rFonts w:hint="eastAsia" w:ascii="Times New Roman" w:hAnsi="Times New Roman" w:eastAsia="宋体" w:cs="Times New Roman"/>
          <w:b/>
          <w:bCs/>
          <w:color w:val="000000"/>
          <w:sz w:val="24"/>
          <w:szCs w:val="24"/>
        </w:rPr>
        <w:t>附件15 SRM非生产供应商注册操作手册</w:t>
      </w:r>
    </w:p>
    <w:p>
      <w:pPr>
        <w:pStyle w:val="22"/>
        <w:rPr>
          <w:rFonts w:eastAsia="宋体"/>
        </w:rPr>
      </w:pP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浏览器中输入地址;</w:t>
      </w:r>
    </w:p>
    <w:p>
      <w:pPr>
        <w:adjustRightInd w:val="0"/>
        <w:snapToGrid w:val="0"/>
        <w:spacing w:line="360" w:lineRule="auto"/>
        <w:jc w:val="left"/>
        <w:rPr>
          <w:rFonts w:hint="eastAsia" w:ascii="宋体" w:hAnsi="宋体" w:eastAsia="宋体" w:cs="宋体"/>
          <w:sz w:val="24"/>
          <w:szCs w:val="24"/>
        </w:rPr>
      </w:pPr>
      <w:r>
        <w:fldChar w:fldCharType="begin"/>
      </w:r>
      <w:r>
        <w:instrText xml:space="preserve"> HYPERLINK "http://ecaitong.sinotruk.com:8012/" \l "/login" \t "dlt" </w:instrText>
      </w:r>
      <w:r>
        <w:fldChar w:fldCharType="separate"/>
      </w:r>
      <w:r>
        <w:rPr>
          <w:rFonts w:ascii="宋体" w:hAnsi="宋体" w:eastAsia="宋体" w:cs="宋体"/>
          <w:sz w:val="24"/>
          <w:szCs w:val="24"/>
        </w:rPr>
        <w:t>http</w:t>
      </w:r>
      <w:r>
        <w:rPr>
          <w:rFonts w:hint="eastAsia" w:ascii="宋体" w:hAnsi="宋体" w:eastAsia="宋体" w:cs="宋体"/>
          <w:sz w:val="24"/>
          <w:szCs w:val="24"/>
        </w:rPr>
        <w:t>s</w:t>
      </w:r>
      <w:r>
        <w:rPr>
          <w:rFonts w:ascii="宋体" w:hAnsi="宋体" w:eastAsia="宋体" w:cs="宋体"/>
          <w:sz w:val="24"/>
          <w:szCs w:val="24"/>
        </w:rPr>
        <w:t>://ecaitong.sinotruk.com:8012/#/login</w:t>
      </w:r>
      <w:r>
        <w:rPr>
          <w:rFonts w:ascii="宋体" w:hAnsi="宋体" w:eastAsia="宋体" w:cs="宋体"/>
          <w:sz w:val="24"/>
          <w:szCs w:val="24"/>
        </w:rPr>
        <w:fldChar w:fldCharType="end"/>
      </w:r>
    </w:p>
    <w:p>
      <w:pPr>
        <w:adjustRightInd w:val="0"/>
        <w:snapToGrid w:val="0"/>
        <w:spacing w:line="360" w:lineRule="auto"/>
        <w:jc w:val="left"/>
        <w:rPr>
          <w:rFonts w:hint="eastAsia" w:ascii="宋体" w:hAnsi="宋体" w:eastAsia="宋体" w:cs="宋体"/>
          <w:sz w:val="24"/>
          <w:szCs w:val="24"/>
        </w:rPr>
      </w:pPr>
      <w:r>
        <w:rPr>
          <w:rFonts w:ascii="宋体" w:hAnsi="宋体" w:eastAsia="宋体" w:cs="宋体"/>
          <w:sz w:val="24"/>
          <w:szCs w:val="24"/>
        </w:rPr>
        <w:t>1.点击立即注册</w:t>
      </w:r>
    </w:p>
    <w:p>
      <w:pPr>
        <w:snapToGrid w:val="0"/>
        <w:spacing w:line="312" w:lineRule="auto"/>
        <w:rPr>
          <w:rFonts w:hint="eastAsia"/>
        </w:rPr>
      </w:pPr>
      <w:r>
        <w:drawing>
          <wp:inline distT="0" distB="0" distL="0" distR="0">
            <wp:extent cx="5760085" cy="2933065"/>
            <wp:effectExtent l="0" t="0" r="12065" b="635"/>
            <wp:docPr id="46" name="picture" descr="descript"/>
            <wp:cNvGraphicFramePr/>
            <a:graphic xmlns:a="http://schemas.openxmlformats.org/drawingml/2006/main">
              <a:graphicData uri="http://schemas.openxmlformats.org/drawingml/2006/picture">
                <pic:pic xmlns:pic="http://schemas.openxmlformats.org/drawingml/2006/picture">
                  <pic:nvPicPr>
                    <pic:cNvPr id="46" name="picture" descr="descript"/>
                    <pic:cNvPicPr/>
                  </pic:nvPicPr>
                  <pic:blipFill>
                    <a:blip r:embed="rId41"/>
                    <a:stretch>
                      <a:fillRect/>
                    </a:stretch>
                  </pic:blipFill>
                  <pic:spPr>
                    <a:xfrm>
                      <a:off x="0" y="0"/>
                      <a:ext cx="5760085" cy="293337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2.</w:t>
      </w:r>
      <w:r>
        <w:rPr>
          <w:rFonts w:ascii="宋体" w:hAnsi="宋体" w:eastAsia="宋体" w:cs="宋体"/>
          <w:color w:val="000000"/>
          <w:sz w:val="24"/>
          <w:szCs w:val="28"/>
        </w:rPr>
        <w:t>填写手机号码（没有注册过的）</w:t>
      </w:r>
    </w:p>
    <w:p>
      <w:pPr>
        <w:snapToGrid w:val="0"/>
        <w:spacing w:line="312" w:lineRule="auto"/>
        <w:rPr>
          <w:rFonts w:hint="eastAsia"/>
        </w:rPr>
      </w:pPr>
      <w:r>
        <w:drawing>
          <wp:inline distT="0" distB="0" distL="0" distR="0">
            <wp:extent cx="5760085" cy="2766695"/>
            <wp:effectExtent l="0" t="0" r="12065" b="14605"/>
            <wp:docPr id="805516479" name="picture" descr="descript"/>
            <wp:cNvGraphicFramePr/>
            <a:graphic xmlns:a="http://schemas.openxmlformats.org/drawingml/2006/main">
              <a:graphicData uri="http://schemas.openxmlformats.org/drawingml/2006/picture">
                <pic:pic xmlns:pic="http://schemas.openxmlformats.org/drawingml/2006/picture">
                  <pic:nvPicPr>
                    <pic:cNvPr id="805516479" name="picture" descr="descript"/>
                    <pic:cNvPicPr/>
                  </pic:nvPicPr>
                  <pic:blipFill>
                    <a:blip r:embed="rId42"/>
                    <a:stretch>
                      <a:fillRect/>
                    </a:stretch>
                  </pic:blipFill>
                  <pic:spPr>
                    <a:xfrm>
                      <a:off x="0" y="0"/>
                      <a:ext cx="5760085" cy="2766707"/>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3.</w:t>
      </w:r>
      <w:r>
        <w:rPr>
          <w:rFonts w:ascii="宋体" w:hAnsi="宋体" w:eastAsia="宋体" w:cs="宋体"/>
          <w:color w:val="000000"/>
          <w:sz w:val="24"/>
          <w:szCs w:val="28"/>
        </w:rPr>
        <w:t>注册成功登录这个手机号码的账号进入系统，点击供应商注册</w:t>
      </w:r>
    </w:p>
    <w:p>
      <w:pPr>
        <w:snapToGrid w:val="0"/>
        <w:spacing w:line="312" w:lineRule="auto"/>
        <w:rPr>
          <w:rFonts w:hint="eastAsia"/>
        </w:rPr>
      </w:pPr>
      <w:r>
        <w:drawing>
          <wp:inline distT="0" distB="0" distL="0" distR="0">
            <wp:extent cx="5760085" cy="2869565"/>
            <wp:effectExtent l="0" t="0" r="12065" b="6985"/>
            <wp:docPr id="2072493777" name="picture" descr="descript"/>
            <wp:cNvGraphicFramePr/>
            <a:graphic xmlns:a="http://schemas.openxmlformats.org/drawingml/2006/main">
              <a:graphicData uri="http://schemas.openxmlformats.org/drawingml/2006/picture">
                <pic:pic xmlns:pic="http://schemas.openxmlformats.org/drawingml/2006/picture">
                  <pic:nvPicPr>
                    <pic:cNvPr id="2072493777" name="picture" descr="descript"/>
                    <pic:cNvPicPr/>
                  </pic:nvPicPr>
                  <pic:blipFill>
                    <a:blip r:embed="rId43"/>
                    <a:stretch>
                      <a:fillRect/>
                    </a:stretch>
                  </pic:blipFill>
                  <pic:spPr>
                    <a:xfrm>
                      <a:off x="0" y="0"/>
                      <a:ext cx="5760085" cy="2870054"/>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color w:val="000000"/>
          <w:sz w:val="24"/>
          <w:szCs w:val="28"/>
        </w:rPr>
        <w:t>4.</w:t>
      </w:r>
      <w:r>
        <w:rPr>
          <w:rFonts w:ascii="宋体" w:hAnsi="宋体" w:eastAsia="宋体" w:cs="宋体"/>
          <w:color w:val="000000"/>
          <w:sz w:val="24"/>
          <w:szCs w:val="28"/>
        </w:rPr>
        <w:t>点击新增</w:t>
      </w:r>
    </w:p>
    <w:p>
      <w:pPr>
        <w:snapToGrid w:val="0"/>
        <w:spacing w:line="312" w:lineRule="auto"/>
        <w:rPr>
          <w:rFonts w:hint="eastAsia"/>
        </w:rPr>
      </w:pPr>
      <w:r>
        <w:drawing>
          <wp:inline distT="0" distB="0" distL="0" distR="0">
            <wp:extent cx="5760085" cy="2853055"/>
            <wp:effectExtent l="0" t="0" r="12065" b="4445"/>
            <wp:docPr id="1803919858" name="picture" descr="descript"/>
            <wp:cNvGraphicFramePr/>
            <a:graphic xmlns:a="http://schemas.openxmlformats.org/drawingml/2006/main">
              <a:graphicData uri="http://schemas.openxmlformats.org/drawingml/2006/picture">
                <pic:pic xmlns:pic="http://schemas.openxmlformats.org/drawingml/2006/picture">
                  <pic:nvPicPr>
                    <pic:cNvPr id="1803919858" name="picture" descr="descript"/>
                    <pic:cNvPicPr/>
                  </pic:nvPicPr>
                  <pic:blipFill>
                    <a:blip r:embed="rId44"/>
                    <a:stretch>
                      <a:fillRect/>
                    </a:stretch>
                  </pic:blipFill>
                  <pic:spPr>
                    <a:xfrm>
                      <a:off x="0" y="0"/>
                      <a:ext cx="5760085" cy="2853375"/>
                    </a:xfrm>
                    <a:prstGeom prst="rect">
                      <a:avLst/>
                    </a:prstGeom>
                  </pic:spPr>
                </pic:pic>
              </a:graphicData>
            </a:graphic>
          </wp:inline>
        </w:drawing>
      </w:r>
    </w:p>
    <w:p>
      <w:pPr>
        <w:spacing w:line="360" w:lineRule="auto"/>
        <w:rPr>
          <w:rFonts w:hint="eastAsia" w:ascii="宋体" w:hAnsi="宋体" w:eastAsia="宋体" w:cs="宋体"/>
          <w:sz w:val="24"/>
          <w:szCs w:val="28"/>
        </w:rPr>
      </w:pPr>
      <w:r>
        <w:rPr>
          <w:rFonts w:hint="eastAsia" w:ascii="宋体" w:hAnsi="宋体" w:eastAsia="宋体" w:cs="宋体"/>
          <w:sz w:val="24"/>
          <w:szCs w:val="28"/>
        </w:rPr>
        <w:t>5</w:t>
      </w:r>
      <w:r>
        <w:rPr>
          <w:rFonts w:hint="eastAsia" w:ascii="宋体" w:hAnsi="宋体" w:eastAsia="宋体" w:cs="宋体"/>
          <w:color w:val="000000"/>
          <w:sz w:val="24"/>
          <w:szCs w:val="28"/>
        </w:rPr>
        <w:t>.</w:t>
      </w:r>
      <w:r>
        <w:rPr>
          <w:rFonts w:ascii="宋体" w:hAnsi="宋体" w:eastAsia="宋体" w:cs="宋体"/>
          <w:color w:val="000000"/>
          <w:sz w:val="24"/>
          <w:szCs w:val="28"/>
        </w:rPr>
        <w:t>按要求填写所有信息，注意非生产类要填写合作单位，最后提交审批</w:t>
      </w:r>
    </w:p>
    <w:p>
      <w:pPr>
        <w:rPr>
          <w:rFonts w:hint="eastAsia" w:ascii="宋体" w:hAnsi="宋体" w:eastAsia="宋体" w:cs="宋体"/>
          <w:b/>
          <w:bCs/>
        </w:rPr>
      </w:pPr>
      <w:r>
        <w:rPr>
          <w:rFonts w:hint="eastAsia" w:ascii="宋体" w:hAnsi="宋体" w:eastAsia="宋体" w:cs="宋体"/>
          <w:b/>
          <w:bCs/>
        </w:rPr>
        <w:t>审批通过后，注意记录本单位的“供应商代码”，代码用于登录系统后应标。登录信息如下：</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pStyle w:val="22"/>
      </w:pPr>
    </w:p>
    <w:p>
      <w:pPr>
        <w:rPr>
          <w:rFonts w:hint="eastAsia"/>
        </w:rPr>
      </w:pPr>
      <w:r>
        <w:drawing>
          <wp:inline distT="0" distB="0" distL="0" distR="0">
            <wp:extent cx="5760085" cy="2809875"/>
            <wp:effectExtent l="0" t="0" r="12065" b="9525"/>
            <wp:docPr id="691112378" name="picture" descr="descript"/>
            <wp:cNvGraphicFramePr/>
            <a:graphic xmlns:a="http://schemas.openxmlformats.org/drawingml/2006/main">
              <a:graphicData uri="http://schemas.openxmlformats.org/drawingml/2006/picture">
                <pic:pic xmlns:pic="http://schemas.openxmlformats.org/drawingml/2006/picture">
                  <pic:nvPicPr>
                    <pic:cNvPr id="691112378" name="picture" descr="descript"/>
                    <pic:cNvPicPr/>
                  </pic:nvPicPr>
                  <pic:blipFill>
                    <a:blip r:embed="rId45"/>
                    <a:stretch>
                      <a:fillRect/>
                    </a:stretch>
                  </pic:blipFill>
                  <pic:spPr>
                    <a:xfrm>
                      <a:off x="0" y="0"/>
                      <a:ext cx="5760085" cy="2810122"/>
                    </a:xfrm>
                    <a:prstGeom prst="rect">
                      <a:avLst/>
                    </a:prstGeom>
                  </pic:spPr>
                </pic:pic>
              </a:graphicData>
            </a:graphic>
          </wp:inline>
        </w:drawing>
      </w:r>
    </w:p>
    <w:p>
      <w:pPr>
        <w:pStyle w:val="22"/>
      </w:pPr>
      <w:r>
        <w:drawing>
          <wp:inline distT="0" distB="0" distL="0" distR="0">
            <wp:extent cx="5760085" cy="2820035"/>
            <wp:effectExtent l="0" t="0" r="12065" b="18415"/>
            <wp:docPr id="1582350176" name="picture" descr="descript"/>
            <wp:cNvGraphicFramePr/>
            <a:graphic xmlns:a="http://schemas.openxmlformats.org/drawingml/2006/main">
              <a:graphicData uri="http://schemas.openxmlformats.org/drawingml/2006/picture">
                <pic:pic xmlns:pic="http://schemas.openxmlformats.org/drawingml/2006/picture">
                  <pic:nvPicPr>
                    <pic:cNvPr id="1582350176" name="picture" descr="descript"/>
                    <pic:cNvPicPr/>
                  </pic:nvPicPr>
                  <pic:blipFill>
                    <a:blip r:embed="rId46"/>
                    <a:stretch>
                      <a:fillRect/>
                    </a:stretch>
                  </pic:blipFill>
                  <pic:spPr>
                    <a:xfrm>
                      <a:off x="0" y="0"/>
                      <a:ext cx="5760085" cy="2820042"/>
                    </a:xfrm>
                    <a:prstGeom prst="rect">
                      <a:avLst/>
                    </a:prstGeom>
                  </pic:spPr>
                </pic:pic>
              </a:graphicData>
            </a:graphic>
          </wp:inline>
        </w:drawing>
      </w:r>
    </w:p>
    <w:p>
      <w:pPr>
        <w:pStyle w:val="22"/>
      </w:pP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注：</w:t>
      </w:r>
    </w:p>
    <w:p>
      <w:pPr>
        <w:rPr>
          <w:rFonts w:hint="eastAsia" w:ascii="宋体" w:hAnsi="宋体" w:eastAsia="宋体" w:cs="宋体"/>
          <w:b/>
          <w:bCs/>
          <w:color w:val="000000"/>
          <w:sz w:val="24"/>
          <w:szCs w:val="28"/>
          <w:highlight w:val="yellow"/>
        </w:rPr>
      </w:pPr>
      <w:r>
        <w:rPr>
          <w:rFonts w:hint="eastAsia" w:ascii="宋体" w:hAnsi="宋体" w:eastAsia="宋体" w:cs="宋体"/>
          <w:b/>
          <w:bCs/>
          <w:color w:val="000000"/>
          <w:sz w:val="24"/>
          <w:szCs w:val="28"/>
          <w:highlight w:val="yellow"/>
        </w:rPr>
        <w:t>1.“项目名称”和“采购形式编号”见投标须知前附表1.1；</w:t>
      </w:r>
    </w:p>
    <w:p>
      <w:pPr>
        <w:pStyle w:val="22"/>
        <w:rPr>
          <w:rFonts w:eastAsia="宋体"/>
        </w:rPr>
        <w:sectPr>
          <w:pgSz w:w="11906" w:h="16838"/>
          <w:pgMar w:top="1588" w:right="1418" w:bottom="1134" w:left="1418" w:header="851" w:footer="992" w:gutter="0"/>
          <w:cols w:space="720" w:num="1"/>
          <w:titlePg/>
          <w:docGrid w:type="lines" w:linePitch="312" w:charSpace="0"/>
        </w:sectPr>
      </w:pPr>
      <w:r>
        <w:rPr>
          <w:rFonts w:hint="eastAsia" w:hAnsi="宋体" w:eastAsia="宋体" w:cs="宋体"/>
          <w:b/>
          <w:bCs/>
          <w:color w:val="000000"/>
          <w:sz w:val="24"/>
          <w:szCs w:val="28"/>
          <w:highlight w:val="yellow"/>
        </w:rPr>
        <w:t>2.配套能力“供货类别”选“直管单位非生产招标→工艺设备→工艺设备”，业务主管部门为“工艺研究院”。</w:t>
      </w:r>
    </w:p>
    <w:p>
      <w:pPr>
        <w:pStyle w:val="22"/>
        <w:outlineLvl w:val="2"/>
        <w:rPr>
          <w:rFonts w:hint="eastAsia" w:hAnsi="宋体" w:eastAsia="宋体" w:cs="Times New Roman"/>
          <w:b/>
          <w:color w:val="000000"/>
          <w:sz w:val="24"/>
          <w:szCs w:val="24"/>
        </w:rPr>
      </w:pPr>
      <w:r>
        <w:rPr>
          <w:rFonts w:hint="eastAsia" w:hAnsi="宋体" w:eastAsia="宋体" w:cs="宋体"/>
          <w:b/>
          <w:bCs/>
          <w:color w:val="000000"/>
          <w:sz w:val="24"/>
          <w:szCs w:val="24"/>
        </w:rPr>
        <w:t xml:space="preserve">附件16 </w:t>
      </w:r>
      <w:r>
        <w:rPr>
          <w:rFonts w:hint="eastAsia" w:hAnsi="宋体" w:eastAsia="宋体" w:cs="Times New Roman"/>
          <w:b/>
          <w:color w:val="000000"/>
          <w:sz w:val="24"/>
          <w:szCs w:val="24"/>
        </w:rPr>
        <w:t>SRM系统供应商用户手册</w:t>
      </w:r>
    </w:p>
    <w:p>
      <w:pPr>
        <w:spacing w:line="360" w:lineRule="auto"/>
        <w:rPr>
          <w:rStyle w:val="49"/>
          <w:rFonts w:hint="eastAsia" w:ascii="宋体" w:hAnsi="宋体" w:eastAsia="宋体" w:cs="宋体"/>
          <w:sz w:val="24"/>
          <w:szCs w:val="24"/>
        </w:rPr>
      </w:pPr>
      <w:r>
        <w:rPr>
          <w:rFonts w:hint="eastAsia" w:ascii="宋体" w:hAnsi="宋体" w:eastAsia="宋体" w:cs="宋体"/>
          <w:color w:val="000000"/>
          <w:sz w:val="24"/>
          <w:szCs w:val="24"/>
        </w:rPr>
        <w:t>系统网址：</w:t>
      </w:r>
      <w:r>
        <w:fldChar w:fldCharType="begin"/>
      </w:r>
      <w:r>
        <w:instrText xml:space="preserve"> HYPERLINK "http://ecaitong.sinotruk.com:8012/" \t "dlt" </w:instrText>
      </w:r>
      <w:r>
        <w:fldChar w:fldCharType="separate"/>
      </w:r>
      <w:r>
        <w:rPr>
          <w:rStyle w:val="49"/>
          <w:rFonts w:hint="eastAsia" w:ascii="宋体" w:hAnsi="宋体" w:eastAsia="宋体" w:cs="宋体"/>
          <w:sz w:val="24"/>
          <w:szCs w:val="24"/>
        </w:rPr>
        <w:t>http://ecaitong.sinotruk.com:8012/</w:t>
      </w:r>
      <w:r>
        <w:rPr>
          <w:rStyle w:val="49"/>
          <w:rFonts w:hint="eastAsia" w:ascii="宋体" w:hAnsi="宋体" w:eastAsia="宋体" w:cs="宋体"/>
          <w:sz w:val="24"/>
          <w:szCs w:val="24"/>
        </w:rPr>
        <w:fldChar w:fldCharType="end"/>
      </w:r>
      <w:r>
        <w:rPr>
          <w:rStyle w:val="49"/>
          <w:rFonts w:hint="eastAsia" w:ascii="宋体" w:hAnsi="宋体" w:eastAsia="宋体" w:cs="宋体"/>
          <w:sz w:val="24"/>
          <w:szCs w:val="24"/>
        </w:rPr>
        <w:t>（以下内容可能非最新版本，仅供参考，请登录系统网址后，点检查看最新版供应商手册）</w:t>
      </w:r>
    </w:p>
    <w:p>
      <w:pPr>
        <w:spacing w:line="360" w:lineRule="auto"/>
        <w:rPr>
          <w:rFonts w:hint="eastAsia" w:ascii="宋体" w:hAnsi="宋体" w:eastAsia="宋体" w:cs="宋体"/>
          <w:sz w:val="24"/>
          <w:szCs w:val="24"/>
        </w:rPr>
      </w:pPr>
      <w:r>
        <mc:AlternateContent>
          <mc:Choice Requires="wps">
            <w:drawing>
              <wp:anchor distT="0" distB="0" distL="114300" distR="114300" simplePos="0" relativeHeight="251671552" behindDoc="0" locked="0" layoutInCell="1" allowOverlap="1">
                <wp:simplePos x="0" y="0"/>
                <wp:positionH relativeFrom="column">
                  <wp:posOffset>1597025</wp:posOffset>
                </wp:positionH>
                <wp:positionV relativeFrom="paragraph">
                  <wp:posOffset>3650615</wp:posOffset>
                </wp:positionV>
                <wp:extent cx="2153920" cy="321945"/>
                <wp:effectExtent l="6350" t="6350" r="11430" b="14605"/>
                <wp:wrapNone/>
                <wp:docPr id="1850028354" name="流程图: 过程 1850028354"/>
                <wp:cNvGraphicFramePr/>
                <a:graphic xmlns:a="http://schemas.openxmlformats.org/drawingml/2006/main">
                  <a:graphicData uri="http://schemas.microsoft.com/office/word/2010/wordprocessingShape">
                    <wps:wsp>
                      <wps:cNvSpPr/>
                      <wps:spPr>
                        <a:xfrm>
                          <a:off x="2497455" y="5451475"/>
                          <a:ext cx="2153920" cy="321945"/>
                        </a:xfrm>
                        <a:prstGeom prst="flowChartProcess">
                          <a:avLst/>
                        </a:prstGeom>
                        <a:solidFill>
                          <a:srgbClr val="FA3A14">
                            <a:alpha val="38000"/>
                          </a:srgbClr>
                        </a:solidFill>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noAutofit/>
                      </wps:bodyPr>
                    </wps:wsp>
                  </a:graphicData>
                </a:graphic>
              </wp:anchor>
            </w:drawing>
          </mc:Choice>
          <mc:Fallback>
            <w:pict>
              <v:shape id="_x0000_s1026" o:spid="_x0000_s1026" o:spt="109" type="#_x0000_t109" style="position:absolute;left:0pt;margin-left:125.75pt;margin-top:287.45pt;height:25.35pt;width:169.6pt;z-index:251671552;v-text-anchor:middle;mso-width-relative:page;mso-height-relative:page;" fillcolor="#FA3A14" filled="t" stroked="t" coordsize="21600,21600" o:gfxdata="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">
                <v:fill on="t" opacity="24903f" focussize="0,0"/>
                <v:stroke weight="1pt" color="#41719C [3204]" miterlimit="8" joinstyle="miter"/>
                <v:imagedata o:title=""/>
                <o:lock v:ext="edit" aspectratio="f"/>
              </v:shape>
            </w:pict>
          </mc:Fallback>
        </mc:AlternateContent>
      </w:r>
      <w:r>
        <w:drawing>
          <wp:inline distT="0" distB="0" distL="114300" distR="114300">
            <wp:extent cx="4067175" cy="4876800"/>
            <wp:effectExtent l="0" t="0" r="9525" b="0"/>
            <wp:docPr id="125049509"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5049509" name="图片 1"/>
                    <pic:cNvPicPr>
                      <a:picLocks noChangeAspect="1"/>
                    </pic:cNvPicPr>
                  </pic:nvPicPr>
                  <pic:blipFill>
                    <a:blip r:embed="rId47"/>
                    <a:stretch>
                      <a:fillRect/>
                    </a:stretch>
                  </pic:blipFill>
                  <pic:spPr>
                    <a:xfrm>
                      <a:off x="0" y="0"/>
                      <a:ext cx="4067175" cy="4876800"/>
                    </a:xfrm>
                    <a:prstGeom prst="rect">
                      <a:avLst/>
                    </a:prstGeom>
                    <a:noFill/>
                    <a:ln>
                      <a:noFill/>
                    </a:ln>
                  </pic:spPr>
                </pic:pic>
              </a:graphicData>
            </a:graphic>
          </wp:inline>
        </w:drawing>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用 户 名：gys+供应商代码（</w:t>
      </w:r>
      <w:r>
        <w:rPr>
          <w:rFonts w:hint="eastAsia" w:ascii="宋体" w:hAnsi="宋体" w:eastAsia="宋体" w:cs="宋体"/>
          <w:color w:val="FF0000"/>
          <w:sz w:val="24"/>
          <w:szCs w:val="24"/>
        </w:rPr>
        <w:t>注意：注册完毕后，用户名不要用手机号登录</w:t>
      </w:r>
      <w:r>
        <w:rPr>
          <w:rFonts w:hint="eastAsia" w:ascii="宋体" w:hAnsi="宋体" w:eastAsia="宋体" w:cs="宋体"/>
          <w:color w:val="000000"/>
          <w:sz w:val="24"/>
          <w:szCs w:val="24"/>
        </w:rPr>
        <w:t>）</w:t>
      </w:r>
    </w:p>
    <w:p>
      <w:pPr>
        <w:spacing w:line="360" w:lineRule="auto"/>
        <w:rPr>
          <w:rFonts w:hint="eastAsia" w:ascii="宋体" w:hAnsi="宋体" w:eastAsia="宋体" w:cs="宋体"/>
          <w:sz w:val="24"/>
          <w:szCs w:val="24"/>
        </w:rPr>
      </w:pPr>
      <w:r>
        <w:rPr>
          <w:rFonts w:hint="eastAsia" w:ascii="宋体" w:hAnsi="宋体" w:eastAsia="宋体" w:cs="宋体"/>
          <w:color w:val="000000"/>
          <w:sz w:val="24"/>
          <w:szCs w:val="24"/>
        </w:rPr>
        <w:t>初始密码：</w:t>
      </w:r>
      <w:r>
        <w:rPr>
          <w:rFonts w:hint="eastAsia" w:ascii="宋体" w:hAnsi="宋体" w:eastAsia="宋体" w:cs="宋体"/>
          <w:color w:val="000000"/>
          <w:sz w:val="24"/>
          <w:szCs w:val="24"/>
          <w:highlight w:val="yellow"/>
        </w:rPr>
        <w:t>scm@2022（注册成功后，请立即修改密码）</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1.供应商应标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供应商应标</w:t>
      </w:r>
    </w:p>
    <w:p>
      <w:pPr>
        <w:spacing w:line="360" w:lineRule="auto"/>
        <w:rPr>
          <w:rFonts w:hint="eastAsia" w:ascii="宋体" w:hAnsi="宋体" w:eastAsia="宋体" w:cs="宋体"/>
          <w:color w:val="000000"/>
          <w:sz w:val="24"/>
          <w:szCs w:val="24"/>
        </w:rPr>
      </w:pPr>
      <w:r>
        <w:rPr>
          <w:rFonts w:ascii="宋体" w:hAnsi="宋体" w:eastAsia="宋体" w:cs="宋体"/>
          <w:color w:val="000000"/>
          <w:sz w:val="24"/>
          <w:szCs w:val="24"/>
        </w:rPr>
        <w:t>点击应标，上传文件之后点击提交。</w:t>
      </w:r>
    </w:p>
    <w:p>
      <w:pPr>
        <w:rPr>
          <w:rFonts w:hint="eastAsia"/>
        </w:rPr>
      </w:pPr>
      <w:r>
        <w:drawing>
          <wp:inline distT="0" distB="0" distL="0" distR="0">
            <wp:extent cx="5760085" cy="2269490"/>
            <wp:effectExtent l="0" t="0" r="12065" b="16510"/>
            <wp:docPr id="1202065992" name="picture" descr="descript"/>
            <wp:cNvGraphicFramePr/>
            <a:graphic xmlns:a="http://schemas.openxmlformats.org/drawingml/2006/main">
              <a:graphicData uri="http://schemas.openxmlformats.org/drawingml/2006/picture">
                <pic:pic xmlns:pic="http://schemas.openxmlformats.org/drawingml/2006/picture">
                  <pic:nvPicPr>
                    <pic:cNvPr id="1202065992" name="picture" descr="descript"/>
                    <pic:cNvPicPr/>
                  </pic:nvPicPr>
                  <pic:blipFill>
                    <a:blip r:embed="rId48"/>
                    <a:stretch>
                      <a:fillRect/>
                    </a:stretch>
                  </pic:blipFill>
                  <pic:spPr>
                    <a:xfrm>
                      <a:off x="0" y="0"/>
                      <a:ext cx="5760085" cy="2269864"/>
                    </a:xfrm>
                    <a:prstGeom prst="rect">
                      <a:avLst/>
                    </a:prstGeom>
                  </pic:spPr>
                </pic:pic>
              </a:graphicData>
            </a:graphic>
          </wp:inline>
        </w:drawing>
      </w:r>
    </w:p>
    <w:p>
      <w:pPr>
        <w:rPr>
          <w:rFonts w:hint="eastAsia"/>
        </w:rPr>
      </w:pP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2.供应商投标</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供应商投标</w:t>
      </w:r>
    </w:p>
    <w:p>
      <w:pPr>
        <w:rPr>
          <w:rFonts w:hint="eastAsia" w:ascii="宋体" w:hAnsi="宋体" w:eastAsia="宋体" w:cs="宋体"/>
          <w:color w:val="000000"/>
        </w:rPr>
      </w:pPr>
      <w:r>
        <w:rPr>
          <w:rFonts w:ascii="宋体" w:hAnsi="宋体" w:eastAsia="宋体" w:cs="宋体"/>
          <w:color w:val="000000"/>
        </w:rPr>
        <w:drawing>
          <wp:inline distT="0" distB="0" distL="0" distR="0">
            <wp:extent cx="5760085" cy="2125345"/>
            <wp:effectExtent l="0" t="0" r="12065" b="8255"/>
            <wp:docPr id="1694182917" name="picture" descr="descript"/>
            <wp:cNvGraphicFramePr/>
            <a:graphic xmlns:a="http://schemas.openxmlformats.org/drawingml/2006/main">
              <a:graphicData uri="http://schemas.openxmlformats.org/drawingml/2006/picture">
                <pic:pic xmlns:pic="http://schemas.openxmlformats.org/drawingml/2006/picture">
                  <pic:nvPicPr>
                    <pic:cNvPr id="1694182917" name="picture" descr="descript"/>
                    <pic:cNvPicPr/>
                  </pic:nvPicPr>
                  <pic:blipFill>
                    <a:blip r:embed="rId49"/>
                    <a:stretch>
                      <a:fillRect/>
                    </a:stretch>
                  </pic:blipFill>
                  <pic:spPr>
                    <a:xfrm>
                      <a:off x="0" y="0"/>
                      <a:ext cx="5760085" cy="2125673"/>
                    </a:xfrm>
                    <a:prstGeom prst="rect">
                      <a:avLst/>
                    </a:prstGeom>
                  </pic:spPr>
                </pic:pic>
              </a:graphicData>
            </a:graphic>
          </wp:inline>
        </w:drawing>
      </w:r>
    </w:p>
    <w:p>
      <w:pPr>
        <w:spacing w:line="360" w:lineRule="auto"/>
        <w:rPr>
          <w:rFonts w:hint="eastAsia" w:ascii="宋体" w:hAnsi="宋体" w:eastAsia="宋体" w:cs="宋体"/>
          <w:color w:val="000000"/>
          <w:sz w:val="24"/>
          <w:szCs w:val="28"/>
        </w:rPr>
      </w:pPr>
      <w:r>
        <w:rPr>
          <w:rFonts w:ascii="宋体" w:hAnsi="宋体" w:eastAsia="宋体" w:cs="宋体"/>
          <w:color w:val="000000"/>
          <w:sz w:val="24"/>
          <w:szCs w:val="28"/>
        </w:rPr>
        <w:t>点击投标按钮，进入详情页，输入投标报价并上传相应的附件。</w:t>
      </w:r>
    </w:p>
    <w:p>
      <w:pPr>
        <w:rPr>
          <w:rFonts w:hint="eastAsia"/>
          <w:b/>
          <w:bCs/>
          <w:highlight w:val="yellow"/>
        </w:rPr>
      </w:pPr>
      <w:r>
        <w:rPr>
          <w:rFonts w:hint="eastAsia" w:ascii="宋体" w:hAnsi="宋体" w:eastAsia="宋体" w:cs="宋体"/>
          <w:b/>
          <w:bCs/>
          <w:color w:val="000000"/>
          <w:sz w:val="24"/>
          <w:szCs w:val="28"/>
          <w:highlight w:val="yellow"/>
        </w:rPr>
        <w:t>注意：系统内的投标报价单位为“万元”，如开标现场发现填错报价，即直接淘汰</w:t>
      </w:r>
      <w:r>
        <w:rPr>
          <w:rFonts w:ascii="宋体" w:hAnsi="宋体" w:eastAsia="宋体" w:cs="宋体"/>
          <w:b/>
          <w:bCs/>
          <w:color w:val="000000"/>
          <w:sz w:val="24"/>
          <w:szCs w:val="28"/>
          <w:highlight w:val="yellow"/>
        </w:rPr>
        <w:t>。</w:t>
      </w:r>
    </w:p>
    <w:p>
      <w:pPr>
        <w:pStyle w:val="22"/>
      </w:pPr>
    </w:p>
    <w:p>
      <w:pPr>
        <w:ind w:left="425" w:hanging="425"/>
        <w:rPr>
          <w:rFonts w:eastAsia="Arial" w:cs="Arial"/>
          <w:color w:val="000000"/>
        </w:rPr>
      </w:pPr>
      <w:r>
        <w:rPr>
          <w:rFonts w:eastAsia="Arial" w:cs="Arial"/>
          <w:color w:val="000000"/>
        </w:rPr>
        <w:drawing>
          <wp:inline distT="0" distB="0" distL="0" distR="0">
            <wp:extent cx="5490210" cy="2668905"/>
            <wp:effectExtent l="0" t="0" r="15240" b="17145"/>
            <wp:docPr id="1832461942" name="picture" descr="descript"/>
            <wp:cNvGraphicFramePr/>
            <a:graphic xmlns:a="http://schemas.openxmlformats.org/drawingml/2006/main">
              <a:graphicData uri="http://schemas.openxmlformats.org/drawingml/2006/picture">
                <pic:pic xmlns:pic="http://schemas.openxmlformats.org/drawingml/2006/picture">
                  <pic:nvPicPr>
                    <pic:cNvPr id="1832461942" name="picture" descr="descript"/>
                    <pic:cNvPicPr/>
                  </pic:nvPicPr>
                  <pic:blipFill>
                    <a:blip r:embed="rId50"/>
                    <a:stretch>
                      <a:fillRect/>
                    </a:stretch>
                  </pic:blipFill>
                  <pic:spPr>
                    <a:xfrm>
                      <a:off x="0" y="0"/>
                      <a:ext cx="5490210" cy="2669498"/>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3.供应商技术标澄清函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供应商技术标澄清函</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点击编辑按钮进入系统，</w:t>
      </w:r>
      <w:r>
        <w:rPr>
          <w:rFonts w:hint="eastAsia" w:ascii="宋体" w:hAnsi="宋体" w:eastAsia="宋体" w:cs="宋体"/>
          <w:color w:val="000000"/>
          <w:sz w:val="24"/>
          <w:szCs w:val="24"/>
        </w:rPr>
        <w:t>编辑</w:t>
      </w:r>
      <w:r>
        <w:rPr>
          <w:rFonts w:ascii="宋体" w:hAnsi="宋体" w:eastAsia="宋体" w:cs="宋体"/>
          <w:color w:val="000000"/>
          <w:sz w:val="24"/>
          <w:szCs w:val="24"/>
        </w:rPr>
        <w:t>技术标澄清函</w:t>
      </w:r>
      <w:r>
        <w:rPr>
          <w:rFonts w:hint="eastAsia" w:ascii="宋体" w:hAnsi="宋体" w:eastAsia="宋体" w:cs="宋体"/>
          <w:color w:val="000000"/>
          <w:sz w:val="24"/>
          <w:szCs w:val="24"/>
        </w:rPr>
        <w:t>最后填写授权代表姓名及电话</w:t>
      </w:r>
      <w:r>
        <w:rPr>
          <w:rFonts w:ascii="宋体" w:hAnsi="宋体" w:eastAsia="宋体" w:cs="宋体"/>
          <w:color w:val="000000"/>
          <w:sz w:val="24"/>
          <w:szCs w:val="24"/>
        </w:rPr>
        <w:t>。</w:t>
      </w:r>
    </w:p>
    <w:p>
      <w:pPr>
        <w:spacing w:line="360" w:lineRule="auto"/>
        <w:rPr>
          <w:rFonts w:ascii="Arial" w:hAnsi="Arial" w:eastAsia="Arial" w:cs="Arial"/>
          <w:color w:val="000000"/>
          <w:sz w:val="28"/>
        </w:rPr>
      </w:pPr>
      <w:r>
        <w:rPr>
          <w:rFonts w:ascii="宋体" w:hAnsi="宋体" w:eastAsia="宋体" w:cs="宋体"/>
          <w:color w:val="000000"/>
          <w:sz w:val="24"/>
          <w:szCs w:val="24"/>
        </w:rPr>
        <w:t>开标之后所有投标的供应商都可编辑提交，技术标入围之后</w:t>
      </w:r>
      <w:r>
        <w:rPr>
          <w:rFonts w:hint="eastAsia" w:ascii="宋体" w:hAnsi="宋体" w:eastAsia="宋体" w:cs="宋体"/>
          <w:color w:val="000000"/>
          <w:sz w:val="24"/>
          <w:szCs w:val="24"/>
        </w:rPr>
        <w:t xml:space="preserve"> </w:t>
      </w:r>
      <w:r>
        <w:rPr>
          <w:rFonts w:ascii="宋体" w:hAnsi="宋体" w:eastAsia="宋体" w:cs="宋体"/>
          <w:color w:val="000000"/>
          <w:sz w:val="24"/>
          <w:szCs w:val="24"/>
        </w:rPr>
        <w:t>都不可编辑</w:t>
      </w:r>
      <w:r>
        <w:rPr>
          <w:rFonts w:ascii="Arial" w:hAnsi="Arial" w:eastAsia="Arial" w:cs="Arial"/>
          <w:color w:val="000000"/>
          <w:sz w:val="28"/>
        </w:rPr>
        <w:drawing>
          <wp:inline distT="0" distB="0" distL="0" distR="0">
            <wp:extent cx="5490210" cy="1992630"/>
            <wp:effectExtent l="0" t="0" r="15240" b="7620"/>
            <wp:docPr id="288263468" name="picture" descr="descript"/>
            <wp:cNvGraphicFramePr/>
            <a:graphic xmlns:a="http://schemas.openxmlformats.org/drawingml/2006/main">
              <a:graphicData uri="http://schemas.openxmlformats.org/drawingml/2006/picture">
                <pic:pic xmlns:pic="http://schemas.openxmlformats.org/drawingml/2006/picture">
                  <pic:nvPicPr>
                    <pic:cNvPr id="288263468" name="picture" descr="descript"/>
                    <pic:cNvPicPr/>
                  </pic:nvPicPr>
                  <pic:blipFill>
                    <a:blip r:embed="rId51"/>
                    <a:stretch>
                      <a:fillRect/>
                    </a:stretch>
                  </pic:blipFill>
                  <pic:spPr>
                    <a:xfrm>
                      <a:off x="0" y="0"/>
                      <a:ext cx="5490210" cy="1992743"/>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4.供应商报价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点击报价按钮进入报价详情界面，请在此轮报价起止时间内报价，否则无法报价。</w:t>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5.供应商澄清报价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供应商澄清报价</w:t>
      </w:r>
    </w:p>
    <w:p>
      <w:pPr>
        <w:spacing w:line="360" w:lineRule="auto"/>
        <w:rPr>
          <w:rFonts w:hint="eastAsia" w:ascii="宋体" w:hAnsi="宋体" w:eastAsia="宋体" w:cs="宋体"/>
          <w:sz w:val="24"/>
          <w:szCs w:val="24"/>
        </w:rPr>
      </w:pPr>
      <w:r>
        <w:rPr>
          <w:rFonts w:ascii="宋体" w:hAnsi="宋体" w:eastAsia="宋体" w:cs="宋体"/>
          <w:color w:val="000000"/>
          <w:sz w:val="24"/>
          <w:szCs w:val="24"/>
        </w:rPr>
        <w:t>招标发起人接收建议价的同时会给供应商发送澄清报价，供应商在此界面进行澄清报价，点击编辑按钮进入澄清报价详细界面，输入价格并</w:t>
      </w:r>
      <w:r>
        <w:rPr>
          <w:rFonts w:hint="eastAsia" w:ascii="宋体" w:hAnsi="宋体" w:eastAsia="宋体" w:cs="宋体"/>
          <w:color w:val="000000"/>
          <w:sz w:val="24"/>
          <w:szCs w:val="24"/>
        </w:rPr>
        <w:t>填写商务澄清内容（最后填写授权代表姓名、电话）</w:t>
      </w:r>
      <w:r>
        <w:rPr>
          <w:rFonts w:ascii="宋体" w:hAnsi="宋体" w:eastAsia="宋体" w:cs="宋体"/>
          <w:color w:val="000000"/>
          <w:sz w:val="24"/>
          <w:szCs w:val="24"/>
        </w:rPr>
        <w:t>，之后点击提交。</w:t>
      </w:r>
    </w:p>
    <w:p>
      <w:pPr>
        <w:ind w:left="425" w:hanging="425"/>
        <w:rPr>
          <w:rFonts w:eastAsia="Arial" w:cs="Arial"/>
          <w:color w:val="000000"/>
        </w:rPr>
      </w:pPr>
      <w:r>
        <w:rPr>
          <w:rFonts w:eastAsia="Arial" w:cs="Arial"/>
          <w:color w:val="000000"/>
        </w:rPr>
        <w:drawing>
          <wp:inline distT="0" distB="0" distL="0" distR="0">
            <wp:extent cx="5490210" cy="2544445"/>
            <wp:effectExtent l="0" t="0" r="15240" b="8255"/>
            <wp:docPr id="1521484921" name="picture" descr="descript"/>
            <wp:cNvGraphicFramePr/>
            <a:graphic xmlns:a="http://schemas.openxmlformats.org/drawingml/2006/main">
              <a:graphicData uri="http://schemas.openxmlformats.org/drawingml/2006/picture">
                <pic:pic xmlns:pic="http://schemas.openxmlformats.org/drawingml/2006/picture">
                  <pic:nvPicPr>
                    <pic:cNvPr id="1521484921" name="picture" descr="descript"/>
                    <pic:cNvPicPr/>
                  </pic:nvPicPr>
                  <pic:blipFill>
                    <a:blip r:embed="rId52"/>
                    <a:stretch>
                      <a:fillRect/>
                    </a:stretch>
                  </pic:blipFill>
                  <pic:spPr>
                    <a:xfrm>
                      <a:off x="0" y="0"/>
                      <a:ext cx="5490210" cy="2544669"/>
                    </a:xfrm>
                    <a:prstGeom prst="rect">
                      <a:avLst/>
                    </a:prstGeom>
                  </pic:spPr>
                </pic:pic>
              </a:graphicData>
            </a:graphic>
          </wp:inline>
        </w:drawing>
      </w:r>
    </w:p>
    <w:p>
      <w:pPr>
        <w:spacing w:line="360" w:lineRule="auto"/>
        <w:rPr>
          <w:rFonts w:hint="eastAsia" w:ascii="宋体" w:hAnsi="宋体" w:eastAsia="宋体" w:cs="宋体"/>
          <w:b/>
          <w:bCs/>
          <w:color w:val="000000"/>
          <w:sz w:val="24"/>
          <w:szCs w:val="24"/>
        </w:rPr>
      </w:pPr>
      <w:r>
        <w:rPr>
          <w:rFonts w:hint="eastAsia" w:ascii="宋体" w:hAnsi="宋体" w:eastAsia="宋体" w:cs="宋体"/>
          <w:b/>
          <w:bCs/>
          <w:color w:val="000000"/>
          <w:sz w:val="24"/>
          <w:szCs w:val="24"/>
        </w:rPr>
        <w:t>6.供应商查看中标通知</w:t>
      </w:r>
    </w:p>
    <w:p>
      <w:pPr>
        <w:spacing w:line="360" w:lineRule="auto"/>
        <w:rPr>
          <w:rFonts w:hint="eastAsia" w:ascii="宋体" w:hAnsi="宋体" w:eastAsia="宋体" w:cs="宋体"/>
          <w:sz w:val="24"/>
          <w:szCs w:val="24"/>
        </w:rPr>
      </w:pPr>
      <w:r>
        <w:rPr>
          <w:rFonts w:ascii="宋体" w:hAnsi="宋体" w:eastAsia="宋体" w:cs="宋体"/>
          <w:color w:val="000000"/>
          <w:sz w:val="24"/>
          <w:szCs w:val="24"/>
        </w:rPr>
        <w:t>路径：招投标中心</w:t>
      </w:r>
      <w:r>
        <w:rPr>
          <w:rFonts w:hint="eastAsia" w:ascii="宋体" w:hAnsi="宋体" w:eastAsia="宋体" w:cs="宋体"/>
          <w:color w:val="000000"/>
          <w:sz w:val="24"/>
          <w:szCs w:val="24"/>
        </w:rPr>
        <w:t>-</w:t>
      </w:r>
      <w:r>
        <w:rPr>
          <w:rFonts w:ascii="宋体" w:hAnsi="宋体" w:eastAsia="宋体" w:cs="宋体"/>
          <w:color w:val="000000"/>
          <w:sz w:val="24"/>
          <w:szCs w:val="24"/>
        </w:rPr>
        <w:t>非生产类招投标</w:t>
      </w:r>
      <w:r>
        <w:rPr>
          <w:rFonts w:hint="eastAsia" w:ascii="宋体" w:hAnsi="宋体" w:eastAsia="宋体" w:cs="宋体"/>
          <w:color w:val="000000"/>
          <w:sz w:val="24"/>
          <w:szCs w:val="24"/>
        </w:rPr>
        <w:t>-</w:t>
      </w:r>
      <w:r>
        <w:rPr>
          <w:rFonts w:ascii="宋体" w:hAnsi="宋体" w:eastAsia="宋体" w:cs="宋体"/>
          <w:color w:val="000000"/>
          <w:sz w:val="24"/>
          <w:szCs w:val="24"/>
        </w:rPr>
        <w:t>中标项目</w:t>
      </w:r>
    </w:p>
    <w:p>
      <w:pPr>
        <w:spacing w:line="360" w:lineRule="auto"/>
        <w:rPr>
          <w:rFonts w:hint="eastAsia" w:ascii="宋体" w:hAnsi="宋体" w:eastAsia="宋体" w:cs="宋体"/>
          <w:sz w:val="24"/>
          <w:szCs w:val="24"/>
        </w:rPr>
      </w:pPr>
      <w:r>
        <w:rPr>
          <w:rFonts w:ascii="宋体" w:hAnsi="宋体" w:eastAsia="宋体" w:cs="宋体"/>
          <w:color w:val="000000"/>
          <w:sz w:val="24"/>
          <w:szCs w:val="24"/>
        </w:rPr>
        <w:t>点击查看进入查看中标项目详情</w:t>
      </w:r>
    </w:p>
    <w:p>
      <w:r>
        <w:drawing>
          <wp:inline distT="0" distB="0" distL="0" distR="0">
            <wp:extent cx="5760085" cy="1956435"/>
            <wp:effectExtent l="0" t="0" r="12065" b="5715"/>
            <wp:docPr id="189766182" name="picture" descr="descript"/>
            <wp:cNvGraphicFramePr/>
            <a:graphic xmlns:a="http://schemas.openxmlformats.org/drawingml/2006/main">
              <a:graphicData uri="http://schemas.openxmlformats.org/drawingml/2006/picture">
                <pic:pic xmlns:pic="http://schemas.openxmlformats.org/drawingml/2006/picture">
                  <pic:nvPicPr>
                    <pic:cNvPr id="189766182" name="picture" descr="descript"/>
                    <pic:cNvPicPr/>
                  </pic:nvPicPr>
                  <pic:blipFill>
                    <a:blip r:embed="rId53"/>
                    <a:stretch>
                      <a:fillRect/>
                    </a:stretch>
                  </pic:blipFill>
                  <pic:spPr>
                    <a:xfrm>
                      <a:off x="0" y="0"/>
                      <a:ext cx="5760085" cy="1956600"/>
                    </a:xfrm>
                    <a:prstGeom prst="rect">
                      <a:avLst/>
                    </a:prstGeom>
                  </pic:spPr>
                </pic:pic>
              </a:graphicData>
            </a:graphic>
          </wp:inline>
        </w:drawing>
      </w:r>
    </w:p>
    <w:p>
      <w:pPr>
        <w:pStyle w:val="22"/>
        <w:outlineLvl w:val="2"/>
        <w:rPr>
          <w:rFonts w:hint="eastAsia" w:hAnsi="宋体" w:eastAsia="宋体" w:cs="Times New Roman"/>
          <w:b/>
          <w:color w:val="000000"/>
          <w:sz w:val="24"/>
          <w:szCs w:val="24"/>
          <w:lang w:val="en-US" w:eastAsia="zh-CN"/>
        </w:rPr>
      </w:pPr>
      <w:r>
        <w:rPr>
          <w:rFonts w:hint="eastAsia" w:hAnsi="宋体" w:eastAsia="宋体" w:cs="宋体"/>
          <w:b/>
          <w:bCs/>
          <w:color w:val="000000"/>
          <w:sz w:val="24"/>
          <w:szCs w:val="24"/>
        </w:rPr>
        <w:t>附件1</w:t>
      </w:r>
      <w:r>
        <w:rPr>
          <w:rFonts w:hint="eastAsia" w:hAnsi="宋体" w:eastAsia="宋体" w:cs="宋体"/>
          <w:b/>
          <w:bCs/>
          <w:color w:val="000000"/>
          <w:sz w:val="24"/>
          <w:szCs w:val="24"/>
          <w:lang w:val="en-US" w:eastAsia="zh-CN"/>
        </w:rPr>
        <w:t>7</w:t>
      </w:r>
      <w:r>
        <w:rPr>
          <w:rFonts w:hint="eastAsia" w:hAnsi="宋体" w:eastAsia="宋体" w:cs="宋体"/>
          <w:b/>
          <w:bCs/>
          <w:color w:val="000000"/>
          <w:sz w:val="24"/>
          <w:szCs w:val="24"/>
        </w:rPr>
        <w:t xml:space="preserve"> </w:t>
      </w:r>
      <w:r>
        <w:rPr>
          <w:rFonts w:hint="eastAsia" w:hAnsi="宋体" w:eastAsia="宋体" w:cs="Times New Roman"/>
          <w:b/>
          <w:color w:val="000000"/>
          <w:sz w:val="24"/>
          <w:szCs w:val="24"/>
        </w:rPr>
        <w:t>SRM系统供应商</w:t>
      </w:r>
      <w:r>
        <w:rPr>
          <w:rFonts w:hint="eastAsia" w:hAnsi="宋体" w:eastAsia="宋体" w:cs="Times New Roman"/>
          <w:b/>
          <w:color w:val="000000"/>
          <w:sz w:val="24"/>
          <w:szCs w:val="24"/>
          <w:lang w:val="en-US" w:eastAsia="zh-CN"/>
        </w:rPr>
        <w:t>近三年数据更新</w:t>
      </w:r>
    </w:p>
    <w:p>
      <w:pPr>
        <w:pStyle w:val="22"/>
        <w:outlineLvl w:val="2"/>
      </w:pPr>
      <w:r>
        <w:drawing>
          <wp:inline distT="0" distB="0" distL="114300" distR="114300">
            <wp:extent cx="5749290" cy="2501265"/>
            <wp:effectExtent l="0" t="0" r="3810" b="635"/>
            <wp:docPr id="2"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1"/>
                    <pic:cNvPicPr>
                      <a:picLocks noChangeAspect="1"/>
                    </pic:cNvPicPr>
                  </pic:nvPicPr>
                  <pic:blipFill>
                    <a:blip r:embed="rId54"/>
                    <a:stretch>
                      <a:fillRect/>
                    </a:stretch>
                  </pic:blipFill>
                  <pic:spPr>
                    <a:xfrm>
                      <a:off x="0" y="0"/>
                      <a:ext cx="5749290" cy="2501265"/>
                    </a:xfrm>
                    <a:prstGeom prst="rect">
                      <a:avLst/>
                    </a:prstGeom>
                    <a:noFill/>
                    <a:ln>
                      <a:noFill/>
                    </a:ln>
                  </pic:spPr>
                </pic:pic>
              </a:graphicData>
            </a:graphic>
          </wp:inline>
        </w:drawing>
      </w:r>
    </w:p>
    <w:p>
      <w:pPr>
        <w:pStyle w:val="22"/>
        <w:outlineLvl w:val="2"/>
      </w:pPr>
      <w:r>
        <w:drawing>
          <wp:inline distT="0" distB="0" distL="114300" distR="114300">
            <wp:extent cx="5746750" cy="3303270"/>
            <wp:effectExtent l="0" t="0" r="6350" b="11430"/>
            <wp:docPr id="3"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2"/>
                    <pic:cNvPicPr>
                      <a:picLocks noChangeAspect="1"/>
                    </pic:cNvPicPr>
                  </pic:nvPicPr>
                  <pic:blipFill>
                    <a:blip r:embed="rId55"/>
                    <a:stretch>
                      <a:fillRect/>
                    </a:stretch>
                  </pic:blipFill>
                  <pic:spPr>
                    <a:xfrm>
                      <a:off x="0" y="0"/>
                      <a:ext cx="5746750" cy="3303270"/>
                    </a:xfrm>
                    <a:prstGeom prst="rect">
                      <a:avLst/>
                    </a:prstGeom>
                    <a:noFill/>
                    <a:ln>
                      <a:noFill/>
                    </a:ln>
                  </pic:spPr>
                </pic:pic>
              </a:graphicData>
            </a:graphic>
          </wp:inline>
        </w:drawing>
      </w:r>
    </w:p>
    <w:p>
      <w:pPr>
        <w:pStyle w:val="22"/>
        <w:outlineLvl w:val="2"/>
        <w:rPr>
          <w:rFonts w:hint="default"/>
          <w:lang w:val="en-US" w:eastAsia="zh-CN"/>
        </w:rPr>
      </w:pPr>
      <w:r>
        <w:drawing>
          <wp:inline distT="0" distB="0" distL="114300" distR="114300">
            <wp:extent cx="5742940" cy="2099310"/>
            <wp:effectExtent l="0" t="0" r="10160" b="8890"/>
            <wp:docPr id="4" name="图片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3"/>
                    <pic:cNvPicPr>
                      <a:picLocks noChangeAspect="1"/>
                    </pic:cNvPicPr>
                  </pic:nvPicPr>
                  <pic:blipFill>
                    <a:blip r:embed="rId56"/>
                    <a:stretch>
                      <a:fillRect/>
                    </a:stretch>
                  </pic:blipFill>
                  <pic:spPr>
                    <a:xfrm>
                      <a:off x="0" y="0"/>
                      <a:ext cx="5742940" cy="2099310"/>
                    </a:xfrm>
                    <a:prstGeom prst="rect">
                      <a:avLst/>
                    </a:prstGeom>
                    <a:noFill/>
                    <a:ln>
                      <a:noFill/>
                    </a:ln>
                  </pic:spPr>
                </pic:pic>
              </a:graphicData>
            </a:graphic>
          </wp:inline>
        </w:drawing>
      </w:r>
      <w:r>
        <w:drawing>
          <wp:inline distT="0" distB="0" distL="114300" distR="114300">
            <wp:extent cx="5742940" cy="2925445"/>
            <wp:effectExtent l="0" t="0" r="10160" b="8255"/>
            <wp:docPr id="5" name="图片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4"/>
                    <pic:cNvPicPr>
                      <a:picLocks noChangeAspect="1"/>
                    </pic:cNvPicPr>
                  </pic:nvPicPr>
                  <pic:blipFill>
                    <a:blip r:embed="rId57"/>
                    <a:stretch>
                      <a:fillRect/>
                    </a:stretch>
                  </pic:blipFill>
                  <pic:spPr>
                    <a:xfrm>
                      <a:off x="0" y="0"/>
                      <a:ext cx="5742940" cy="2925445"/>
                    </a:xfrm>
                    <a:prstGeom prst="rect">
                      <a:avLst/>
                    </a:prstGeom>
                    <a:noFill/>
                    <a:ln>
                      <a:noFill/>
                    </a:ln>
                  </pic:spPr>
                </pic:pic>
              </a:graphicData>
            </a:graphic>
          </wp:inline>
        </w:drawing>
      </w:r>
    </w:p>
    <w:p/>
    <w:p>
      <w:pPr>
        <w:rPr>
          <w:rFonts w:hint="eastAsia"/>
        </w:rPr>
      </w:pPr>
    </w:p>
    <w:bookmarkEnd w:id="57"/>
    <w:bookmarkEnd w:id="58"/>
    <w:bookmarkEnd w:id="59"/>
    <w:bookmarkEnd w:id="60"/>
    <w:bookmarkEnd w:id="61"/>
    <w:bookmarkEnd w:id="62"/>
    <w:bookmarkEnd w:id="63"/>
    <w:bookmarkEnd w:id="64"/>
    <w:bookmarkEnd w:id="65"/>
    <w:bookmarkEnd w:id="66"/>
    <w:bookmarkEnd w:id="67"/>
    <w:bookmarkEnd w:id="68"/>
    <w:bookmarkEnd w:id="69"/>
    <w:bookmarkEnd w:id="70"/>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bookmarkEnd w:id="92"/>
    <w:bookmarkEnd w:id="93"/>
    <w:bookmarkEnd w:id="94"/>
    <w:p>
      <w:pPr>
        <w:rPr>
          <w:rFonts w:hint="eastAsia" w:ascii="仿宋_GB2312" w:hAnsi="仿宋_GB2312" w:eastAsia="仿宋_GB2312" w:cs="仿宋_GB2312"/>
        </w:rPr>
      </w:pPr>
    </w:p>
    <w:p>
      <w:pPr>
        <w:rPr>
          <w:rFonts w:hint="eastAsia" w:ascii="仿宋_GB2312" w:hAnsi="仿宋_GB2312" w:eastAsia="仿宋_GB2312" w:cs="仿宋_GB2312"/>
        </w:rPr>
      </w:pPr>
    </w:p>
    <w:p>
      <w:pPr>
        <w:rPr>
          <w:rFonts w:hint="eastAsia" w:ascii="仿宋_GB2312" w:hAnsi="仿宋_GB2312" w:eastAsia="仿宋_GB2312" w:cs="仿宋_GB2312"/>
        </w:rPr>
      </w:pPr>
    </w:p>
    <w:sectPr>
      <w:headerReference r:id="rId37" w:type="first"/>
      <w:footerReference r:id="rId39" w:type="first"/>
      <w:headerReference r:id="rId36" w:type="default"/>
      <w:footerReference r:id="rId38" w:type="default"/>
      <w:pgSz w:w="11906" w:h="16838"/>
      <w:pgMar w:top="1588" w:right="1418" w:bottom="1134" w:left="1418" w:header="851" w:footer="992" w:gutter="0"/>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新宋体">
    <w:panose1 w:val="02010609030101010101"/>
    <w:charset w:val="86"/>
    <w:family w:val="modern"/>
    <w:pitch w:val="default"/>
    <w:sig w:usb0="00000203" w:usb1="288F0000" w:usb2="00000006" w:usb3="00000000" w:csb0="00040001" w:csb1="00000000"/>
  </w:font>
  <w:font w:name="仿宋_GB2312">
    <w:panose1 w:val="02010609030101010101"/>
    <w:charset w:val="86"/>
    <w:family w:val="auto"/>
    <w:pitch w:val="default"/>
    <w:sig w:usb0="00000001" w:usb1="080E0000" w:usb2="00000000" w:usb3="00000000" w:csb0="00040000" w:csb1="00000000"/>
  </w:font>
  <w:font w:name="Microsoft YaHei UI">
    <w:panose1 w:val="020B0503020204020204"/>
    <w:charset w:val="86"/>
    <w:family w:val="swiss"/>
    <w:pitch w:val="default"/>
    <w:sig w:usb0="80000287" w:usb1="2ACF3C50" w:usb2="00000016" w:usb3="00000000" w:csb0="0004001F" w:csb1="00000000"/>
  </w:font>
  <w:font w:name="等线 Light">
    <w:panose1 w:val="02010600030101010101"/>
    <w:charset w:val="86"/>
    <w:family w:val="auto"/>
    <w:pitch w:val="default"/>
    <w:sig w:usb0="A00002BF" w:usb1="38CF7CFA" w:usb2="00000016" w:usb3="00000000" w:csb0="0004000F" w:csb1="00000000"/>
  </w:font>
  <w:font w:name="Verdana">
    <w:panose1 w:val="020B0604030504040204"/>
    <w:charset w:val="00"/>
    <w:family w:val="swiss"/>
    <w:pitch w:val="default"/>
    <w:sig w:usb0="A00006FF" w:usb1="4000205B" w:usb2="00000010" w:usb3="00000000" w:csb0="2000019F" w:csb1="00000000"/>
  </w:font>
  <w:font w:name="楷体_GB2312">
    <w:panose1 w:val="02010609030101010101"/>
    <w:charset w:val="86"/>
    <w:family w:val="modern"/>
    <w:pitch w:val="default"/>
    <w:sig w:usb0="00000001" w:usb1="080E0000" w:usb2="00000000" w:usb3="00000000" w:csb0="00040000" w:csb1="00000000"/>
  </w:font>
  <w:font w:name="Calibri Light">
    <w:panose1 w:val="020F0302020204030204"/>
    <w:charset w:val="00"/>
    <w:family w:val="swiss"/>
    <w:pitch w:val="default"/>
    <w:sig w:usb0="E4002EFF" w:usb1="C000247B" w:usb2="00000009" w:usb3="00000000" w:csb0="200001FF" w:csb1="00000000"/>
  </w:font>
  <w:font w:name="Cordia New">
    <w:altName w:val="Microsoft Sans Serif"/>
    <w:panose1 w:val="020B0304020202020204"/>
    <w:charset w:val="DE"/>
    <w:family w:val="swiss"/>
    <w:pitch w:val="default"/>
    <w:sig w:usb0="00000000" w:usb1="00000000" w:usb2="00000000" w:usb3="00000000" w:csb0="00010001" w:csb1="00000000"/>
  </w:font>
  <w:font w:name="文鼎大标宋简">
    <w:altName w:val="宋体"/>
    <w:panose1 w:val="00000000000000000000"/>
    <w:charset w:val="86"/>
    <w:family w:val="modern"/>
    <w:pitch w:val="default"/>
    <w:sig w:usb0="00000000" w:usb1="00000000" w:usb2="00000010" w:usb3="00000000" w:csb0="00040000" w:csb1="00000000"/>
  </w:font>
  <w:font w:name="华文中宋">
    <w:panose1 w:val="02010600040101010101"/>
    <w:charset w:val="86"/>
    <w:family w:val="auto"/>
    <w:pitch w:val="default"/>
    <w:sig w:usb0="00000287" w:usb1="080F0000" w:usb2="00000000" w:usb3="00000000" w:csb0="0004009F" w:csb1="DFD70000"/>
  </w:font>
  <w:font w:name="华文仿宋">
    <w:altName w:val="仿宋"/>
    <w:panose1 w:val="02010600040101010101"/>
    <w:charset w:val="86"/>
    <w:family w:val="auto"/>
    <w:pitch w:val="default"/>
    <w:sig w:usb0="00000000" w:usb1="00000000" w:usb2="00000000" w:usb3="00000000" w:csb0="0004009F" w:csb1="DFD70000"/>
  </w:font>
  <w:font w:name="仿宋">
    <w:panose1 w:val="02010609060101010101"/>
    <w:charset w:val="86"/>
    <w:family w:val="modern"/>
    <w:pitch w:val="default"/>
    <w:sig w:usb0="800002BF" w:usb1="38CF7CFA" w:usb2="00000016" w:usb3="00000000" w:csb0="00040001" w:csb1="00000000"/>
  </w:font>
  <w:font w:name="方正小标宋简体">
    <w:altName w:val="黑体"/>
    <w:panose1 w:val="02000000000000000000"/>
    <w:charset w:val="86"/>
    <w:family w:val="auto"/>
    <w:pitch w:val="default"/>
    <w:sig w:usb0="00000000" w:usb1="00000000" w:usb2="00000012" w:usb3="00000000" w:csb0="00040001" w:csb1="00000000"/>
  </w:font>
  <w:font w:name="Wingdings 2">
    <w:panose1 w:val="05020102010507070707"/>
    <w:charset w:val="02"/>
    <w:family w:val="roman"/>
    <w:pitch w:val="default"/>
    <w:sig w:usb0="00000000" w:usb1="00000000" w:usb2="00000000" w:usb3="00000000" w:csb0="80000000" w:csb1="00000000"/>
  </w:font>
  <w:font w:name="微软雅黑">
    <w:panose1 w:val="020B0503020204020204"/>
    <w:charset w:val="86"/>
    <w:family w:val="auto"/>
    <w:pitch w:val="default"/>
    <w:sig w:usb0="80000287" w:usb1="2ACF3C50" w:usb2="00000016" w:usb3="00000000" w:csb0="0004001F" w:csb1="00000000"/>
  </w:font>
  <w:font w:name="Tahoma">
    <w:panose1 w:val="020B0604030504040204"/>
    <w:charset w:val="00"/>
    <w:family w:val="auto"/>
    <w:pitch w:val="default"/>
    <w:sig w:usb0="E1002EFF" w:usb1="C000605B" w:usb2="00000029" w:usb3="00000000" w:csb0="200101FF" w:csb1="2028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both"/>
      <w:rPr>
        <w:rFonts w:hint="eastAsia"/>
      </w:rPr>
    </w:pPr>
  </w:p>
  <w:p>
    <w:pPr>
      <w:pStyle w:val="27"/>
      <w:jc w:val="center"/>
      <w:rPr>
        <w:rFonts w:hint="eastAsia"/>
      </w:rPr>
    </w:pPr>
    <w:r>
      <mc:AlternateContent>
        <mc:Choice Requires="wps">
          <w:drawing>
            <wp:anchor distT="0" distB="0" distL="114300" distR="114300" simplePos="0" relativeHeight="251663360" behindDoc="0" locked="0" layoutInCell="1" allowOverlap="1">
              <wp:simplePos x="0" y="0"/>
              <wp:positionH relativeFrom="margin">
                <wp:align>center</wp:align>
              </wp:positionH>
              <wp:positionV relativeFrom="paragraph">
                <wp:posOffset>0</wp:posOffset>
              </wp:positionV>
              <wp:extent cx="1828800" cy="1828800"/>
              <wp:effectExtent l="0" t="0" r="0" b="0"/>
              <wp:wrapNone/>
              <wp:docPr id="43" name="文本框 4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336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uduMM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o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HuduM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w:t>
                    </w:r>
                    <w:r>
                      <w:fldChar w:fldCharType="end"/>
                    </w:r>
                  </w:p>
                </w:txbxContent>
              </v:textbox>
            </v:shape>
          </w:pict>
        </mc:Fallback>
      </mc:AlternateContent>
    </w:r>
  </w:p>
  <w:p>
    <w:pPr>
      <w:pStyle w:val="27"/>
      <w:rPr>
        <w:rFonts w:hint="eastAsia"/>
      </w:rPr>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7456" behindDoc="0" locked="0" layoutInCell="1" allowOverlap="1">
              <wp:simplePos x="0" y="0"/>
              <wp:positionH relativeFrom="margin">
                <wp:align>center</wp:align>
              </wp:positionH>
              <wp:positionV relativeFrom="paragraph">
                <wp:posOffset>0</wp:posOffset>
              </wp:positionV>
              <wp:extent cx="1828800" cy="1828800"/>
              <wp:effectExtent l="0" t="0" r="0" b="0"/>
              <wp:wrapNone/>
              <wp:docPr id="13" name="文本框 13"/>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745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ILIsws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1dvx+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MgsizC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56</w:t>
                    </w:r>
                    <w:r>
                      <w:rPr>
                        <w:rFonts w:hint="eastAsia"/>
                        <w:sz w:val="18"/>
                      </w:rPr>
                      <w:fldChar w:fldCharType="end"/>
                    </w:r>
                  </w:p>
                </w:txbxContent>
              </v:textbox>
            </v:shape>
          </w:pict>
        </mc:Fallback>
      </mc:AlternateContent>
    </w:r>
  </w:p>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1734432258" name="文本框 173443225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59</w:t>
                    </w:r>
                    <w:r>
                      <w:rPr>
                        <w:rFonts w:hint="eastAsia"/>
                        <w:sz w:val="18"/>
                      </w:rPr>
                      <w:fldChar w:fldCharType="end"/>
                    </w:r>
                  </w:p>
                </w:txbxContent>
              </v:textbox>
            </v:shape>
          </w:pict>
        </mc:Fallback>
      </mc:AlternateContent>
    </w: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9504" behindDoc="0" locked="0" layoutInCell="1" allowOverlap="1">
              <wp:simplePos x="0" y="0"/>
              <wp:positionH relativeFrom="margin">
                <wp:align>center</wp:align>
              </wp:positionH>
              <wp:positionV relativeFrom="paragraph">
                <wp:posOffset>0</wp:posOffset>
              </wp:positionV>
              <wp:extent cx="1828800" cy="1828800"/>
              <wp:effectExtent l="0" t="0" r="0" b="0"/>
              <wp:wrapNone/>
              <wp:docPr id="16" name="文本框 1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950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7dk1WKwIAAFcEAAAOAAAAAAAAAAEAIAAAAB8BAABkcnMvZTJvRG9jLnhtbFBLBQYAAAAABgAG&#10;AFkBAAC8BQ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58</w:t>
                    </w:r>
                    <w:r>
                      <w:rPr>
                        <w:rFonts w:hint="eastAsia"/>
                        <w:sz w:val="18"/>
                      </w:rPr>
                      <w:fldChar w:fldCharType="end"/>
                    </w:r>
                  </w:p>
                </w:txbxContent>
              </v:textbox>
            </v:shape>
          </w:pict>
        </mc:Fallback>
      </mc:AlternateContent>
    </w:r>
  </w:p>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2336" behindDoc="0" locked="0" layoutInCell="1" allowOverlap="1">
              <wp:simplePos x="0" y="0"/>
              <wp:positionH relativeFrom="margin">
                <wp:align>center</wp:align>
              </wp:positionH>
              <wp:positionV relativeFrom="paragraph">
                <wp:posOffset>0</wp:posOffset>
              </wp:positionV>
              <wp:extent cx="1828800" cy="1828800"/>
              <wp:effectExtent l="0" t="0" r="0" b="0"/>
              <wp:wrapNone/>
              <wp:docPr id="34" name="文本框 3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233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EQaAL0tAgAAVwQAAA4AAABkcnMvZTJvRG9jLnhtbK1UzY7TMBC+I/EO&#10;lu80aRd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pkQzhYqfvn87&#10;/fh1+vmV4AwCtdbPEPdgERm6t6ZD2wznHoeRd1c5Fb9gROCHvMeLvKILhMdL08l0msPF4Rs2wM8e&#10;r1vnwzthFIlGQR3ql2Rlh40PfegQErNps26kTDWUmrQFvb56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EQaAL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0528" behindDoc="0" locked="0" layoutInCell="1" allowOverlap="1">
              <wp:simplePos x="0" y="0"/>
              <wp:positionH relativeFrom="margin">
                <wp:align>center</wp:align>
              </wp:positionH>
              <wp:positionV relativeFrom="paragraph">
                <wp:posOffset>0</wp:posOffset>
              </wp:positionV>
              <wp:extent cx="1828800" cy="1828800"/>
              <wp:effectExtent l="0" t="0" r="0" b="0"/>
              <wp:wrapNone/>
              <wp:docPr id="32" name="文本框 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052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Wxmuc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PWxmuc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60</w:t>
                    </w:r>
                    <w:r>
                      <w:rPr>
                        <w:rFonts w:hint="eastAsia"/>
                        <w:sz w:val="18"/>
                      </w:rPr>
                      <w:fldChar w:fldCharType="end"/>
                    </w:r>
                  </w:p>
                </w:txbxContent>
              </v:textbox>
            </v:shape>
          </w:pict>
        </mc:Fallback>
      </mc:AlternateContent>
    </w: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4384" behindDoc="0" locked="0" layoutInCell="1" allowOverlap="1">
              <wp:simplePos x="0" y="0"/>
              <wp:positionH relativeFrom="margin">
                <wp:align>center</wp:align>
              </wp:positionH>
              <wp:positionV relativeFrom="paragraph">
                <wp:posOffset>0</wp:posOffset>
              </wp:positionV>
              <wp:extent cx="1828800" cy="1828800"/>
              <wp:effectExtent l="0" t="0" r="0" b="0"/>
              <wp:wrapNone/>
              <wp:docPr id="36" name="文本框 3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438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BSBpj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2576" behindDoc="0" locked="0" layoutInCell="1" allowOverlap="1">
              <wp:simplePos x="0" y="0"/>
              <wp:positionH relativeFrom="margin">
                <wp:align>center</wp:align>
              </wp:positionH>
              <wp:positionV relativeFrom="paragraph">
                <wp:posOffset>0</wp:posOffset>
              </wp:positionV>
              <wp:extent cx="1828800" cy="1828800"/>
              <wp:effectExtent l="0" t="0" r="0" b="0"/>
              <wp:wrapNone/>
              <wp:docPr id="35" name="文本框 3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257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OxXU/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62</w:t>
                    </w:r>
                    <w:r>
                      <w:rPr>
                        <w:rFonts w:hint="eastAsia"/>
                        <w:sz w:val="18"/>
                      </w:rPr>
                      <w:fldChar w:fldCharType="end"/>
                    </w:r>
                  </w:p>
                </w:txbxContent>
              </v:textbox>
            </v:shape>
          </w:pict>
        </mc:Fallback>
      </mc:AlternateContent>
    </w:r>
  </w:p>
</w:ftr>
</file>

<file path=word/footer1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8480" behindDoc="0" locked="0" layoutInCell="1" allowOverlap="1">
              <wp:simplePos x="0" y="0"/>
              <wp:positionH relativeFrom="margin">
                <wp:align>center</wp:align>
              </wp:positionH>
              <wp:positionV relativeFrom="paragraph">
                <wp:posOffset>0</wp:posOffset>
              </wp:positionV>
              <wp:extent cx="1828800" cy="1828800"/>
              <wp:effectExtent l="0" t="0" r="0" b="0"/>
              <wp:wrapNone/>
              <wp:docPr id="38" name="文本框 3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848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CZNNQgtAgAAVwQAAA4AAABkcnMvZTJvRG9jLnhtbK1UzY7TMBC+I/EO&#10;lu80bVes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CZNNQ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21</w:t>
                    </w:r>
                    <w:r>
                      <w:rPr>
                        <w:rFonts w:hint="eastAsia"/>
                        <w:sz w:val="18"/>
                      </w:rPr>
                      <w:fldChar w:fldCharType="end"/>
                    </w:r>
                  </w:p>
                </w:txbxContent>
              </v:textbox>
            </v:shape>
          </w:pict>
        </mc:Fallback>
      </mc:AlternateContent>
    </w:r>
  </w:p>
</w:ftr>
</file>

<file path=word/footer1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37" name="文本框 3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zM9X0tAgAAVwQAAA4AAABkcnMvZTJvRG9jLnhtbK1UzY7TMBC+I/EO&#10;lu80aVcs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LzM9X0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64</w:t>
                    </w:r>
                    <w:r>
                      <w:rPr>
                        <w:rFonts w:hint="eastAsia"/>
                        <w:sz w:val="18"/>
                      </w:rPr>
                      <w:fldChar w:fldCharType="end"/>
                    </w:r>
                  </w:p>
                </w:txbxContent>
              </v:textbox>
            </v:shape>
          </w:pict>
        </mc:Fallback>
      </mc:AlternateContent>
    </w:r>
  </w:p>
</w:ftr>
</file>

<file path=word/footer1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66"/>
      <w:rPr>
        <w:rFonts w:hint="eastAsia" w:ascii="宋体" w:hAnsi="宋体" w:eastAsia="宋体" w:cs="宋体"/>
        <w:sz w:val="18"/>
        <w:szCs w:val="18"/>
      </w:rPr>
    </w:pPr>
    <w:r>
      <w:rPr>
        <w:sz w:val="18"/>
      </w:rPr>
      <mc:AlternateContent>
        <mc:Choice Requires="wps">
          <w:drawing>
            <wp:anchor distT="0" distB="0" distL="114300" distR="114300" simplePos="0" relativeHeight="251677696" behindDoc="0" locked="0" layoutInCell="1" allowOverlap="1">
              <wp:simplePos x="0" y="0"/>
              <wp:positionH relativeFrom="margin">
                <wp:align>center</wp:align>
              </wp:positionH>
              <wp:positionV relativeFrom="paragraph">
                <wp:posOffset>0</wp:posOffset>
              </wp:positionV>
              <wp:extent cx="1828800" cy="1828800"/>
              <wp:effectExtent l="0" t="0" r="0" b="0"/>
              <wp:wrapNone/>
              <wp:docPr id="39" name="文本框 39"/>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769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4AZkgtAgAAVwQAAA4AAABkcnMvZTJvRG9jLnhtbK1UzY7TMBC+I/EO&#10;lu80aVesSt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69oUQzhYqfvn87&#10;/fh1+vmV4AwCtdbPEPdgERm6t6ZD2wznHoeRd1c5Fb9gROCHvMeLvKILhMdL08l0msPF4Rs2wM8e&#10;r1vnwzthFIlGQR3ql2Rlh40PfegQErNps26kTDWUmrQFvb56n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I4AZkg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56</w:t>
                    </w:r>
                    <w:r>
                      <w:fldChar w:fldCharType="end"/>
                    </w: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65408" behindDoc="0" locked="0" layoutInCell="1" allowOverlap="1">
              <wp:simplePos x="0" y="0"/>
              <wp:positionH relativeFrom="margin">
                <wp:align>center</wp:align>
              </wp:positionH>
              <wp:positionV relativeFrom="paragraph">
                <wp:posOffset>0</wp:posOffset>
              </wp:positionV>
              <wp:extent cx="1828800" cy="1828800"/>
              <wp:effectExtent l="0" t="0" r="0" b="0"/>
              <wp:wrapNone/>
              <wp:docPr id="44" name="文本框 4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540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J7cdktAgAAVwQAAA4AAABkcnMvZTJvRG9jLnhtbK1UzY7TMBC+I/EO&#10;lu80aVlW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l5dUaKZQsVP37+d&#10;fvw6/fxKcAaBWutniHuwiAzdW9OhbYZzj8PIu6ucil8wIvBD3uNFXtEFwuOl6WQ6zeHi8A0b4GeP&#10;163z4Z0wikSjoA71S7Kyw8aHPnQIidm0WTdSphpKTdqCXr9+k6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J7cd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9</w:t>
                    </w:r>
                    <w:r>
                      <w:fldChar w:fldCharType="end"/>
                    </w:r>
                  </w:p>
                </w:txbxContent>
              </v:textbox>
            </v:shape>
          </w:pict>
        </mc:Fallback>
      </mc:AlternateContent>
    </w:r>
  </w:p>
</w:ftr>
</file>

<file path=word/footer2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0768" behindDoc="0" locked="0" layoutInCell="1" allowOverlap="1">
              <wp:simplePos x="0" y="0"/>
              <wp:positionH relativeFrom="margin">
                <wp:align>center</wp:align>
              </wp:positionH>
              <wp:positionV relativeFrom="paragraph">
                <wp:posOffset>0</wp:posOffset>
              </wp:positionV>
              <wp:extent cx="1828800" cy="1828800"/>
              <wp:effectExtent l="0" t="0" r="0" b="0"/>
              <wp:wrapNone/>
              <wp:docPr id="40" name="文本框 4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57</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076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NLTQMs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BJJopVPz04/vp&#10;58Pp1zeCMwjUWj9D3L1FZOjemQ5tM5x7HEbeXeVU/IIRgR9Yx4u8oguEx0vTyXSaw8XhGzbAzx6v&#10;W+fDe2EUiUZBHeqXZGWHjQ996BASs2mzbqRMNZSatAW9ev02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0tNAy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57</w:t>
                    </w:r>
                    <w:r>
                      <w:fldChar w:fldCharType="end"/>
                    </w:r>
                  </w:p>
                </w:txbxContent>
              </v:textbox>
            </v:shape>
          </w:pict>
        </mc:Fallback>
      </mc:AlternateContent>
    </w:r>
  </w:p>
</w:ftr>
</file>

<file path=word/footer2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4"/>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1792" behindDoc="0" locked="0" layoutInCell="1" allowOverlap="1">
              <wp:simplePos x="0" y="0"/>
              <wp:positionH relativeFrom="margin">
                <wp:align>center</wp:align>
              </wp:positionH>
              <wp:positionV relativeFrom="paragraph">
                <wp:posOffset>0</wp:posOffset>
              </wp:positionV>
              <wp:extent cx="1828800" cy="1828800"/>
              <wp:effectExtent l="0" t="0" r="0" b="0"/>
              <wp:wrapNone/>
              <wp:docPr id="42" name="文本框 4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58</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179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NPQ64MtAgAAVwQAAA4AAABkcnMvZTJvRG9jLnhtbK1UzY7TMBC+I/EO&#10;lu80aYFV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ZUKKZQsVPP76f&#10;fj6cfn0jOINArfUzxN1bRIbunenQNsO5x2Hk3VVOxS8YEfgh7/Eir+gC4fHSdDKd5nBx+IYN8LPH&#10;69b58F4YRaJRUIf6JVnZYeNDHzqExGzarBspUw2lJm1Br16/z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NPQ64M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58</w:t>
                    </w:r>
                    <w:r>
                      <w:fldChar w:fldCharType="end"/>
                    </w:r>
                  </w:p>
                </w:txbxContent>
              </v:textbox>
            </v:shape>
          </w:pict>
        </mc:Fallback>
      </mc:AlternateContent>
    </w:r>
  </w:p>
</w:ftr>
</file>

<file path=word/footer2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8" w:lineRule="auto"/>
      <w:ind w:left="6855"/>
      <w:rPr>
        <w:rFonts w:ascii="Times New Roman" w:hAnsi="Times New Roman" w:eastAsia="Times New Roman" w:cs="Times New Roman"/>
        <w:sz w:val="18"/>
        <w:szCs w:val="18"/>
      </w:rPr>
    </w:pPr>
    <w:r>
      <w:rPr>
        <w:sz w:val="18"/>
      </w:rPr>
      <mc:AlternateContent>
        <mc:Choice Requires="wps">
          <w:drawing>
            <wp:anchor distT="0" distB="0" distL="114300" distR="114300" simplePos="0" relativeHeight="251682816" behindDoc="0" locked="0" layoutInCell="1" allowOverlap="1">
              <wp:simplePos x="0" y="0"/>
              <wp:positionH relativeFrom="margin">
                <wp:align>center</wp:align>
              </wp:positionH>
              <wp:positionV relativeFrom="paragraph">
                <wp:posOffset>0</wp:posOffset>
              </wp:positionV>
              <wp:extent cx="1828800" cy="1828800"/>
              <wp:effectExtent l="0" t="0" r="0" b="0"/>
              <wp:wrapNone/>
              <wp:docPr id="651154327" name="文本框 6511543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59</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2816;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m8vJf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59</w:t>
                    </w:r>
                    <w:r>
                      <w:fldChar w:fldCharType="end"/>
                    </w:r>
                  </w:p>
                </w:txbxContent>
              </v:textbox>
            </v:shape>
          </w:pict>
        </mc:Fallback>
      </mc:AlternateContent>
    </w:r>
  </w:p>
</w:ftr>
</file>

<file path=word/footer2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82" w:lineRule="auto"/>
      <w:ind w:left="6857"/>
      <w:rPr>
        <w:rFonts w:hint="eastAsia" w:ascii="宋体" w:hAnsi="宋体" w:eastAsia="宋体" w:cs="宋体"/>
        <w:sz w:val="18"/>
        <w:szCs w:val="18"/>
      </w:rPr>
    </w:pPr>
    <w:r>
      <w:rPr>
        <w:sz w:val="18"/>
      </w:rPr>
      <mc:AlternateContent>
        <mc:Choice Requires="wps">
          <w:drawing>
            <wp:anchor distT="0" distB="0" distL="114300" distR="114300" simplePos="0" relativeHeight="251683840" behindDoc="0" locked="0" layoutInCell="1" allowOverlap="1">
              <wp:simplePos x="0" y="0"/>
              <wp:positionH relativeFrom="margin">
                <wp:align>center</wp:align>
              </wp:positionH>
              <wp:positionV relativeFrom="paragraph">
                <wp:posOffset>0</wp:posOffset>
              </wp:positionV>
              <wp:extent cx="1828800" cy="1828800"/>
              <wp:effectExtent l="0" t="0" r="0" b="0"/>
              <wp:wrapNone/>
              <wp:docPr id="721444860" name="文本框 72144486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60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384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DseP1dNAIAAGU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60</w:t>
                    </w:r>
                    <w:r>
                      <w:fldChar w:fldCharType="end"/>
                    </w:r>
                  </w:p>
                </w:txbxContent>
              </v:textbox>
            </v:shape>
          </w:pict>
        </mc:Fallback>
      </mc:AlternateContent>
    </w:r>
  </w:p>
</w:ftr>
</file>

<file path=word/footer2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79" w:lineRule="auto"/>
      <w:ind w:left="6868"/>
      <w:rPr>
        <w:rFonts w:hint="eastAsia" w:ascii="宋体" w:hAnsi="宋体" w:eastAsia="宋体" w:cs="宋体"/>
        <w:sz w:val="17"/>
        <w:szCs w:val="17"/>
      </w:rPr>
    </w:pPr>
    <w:r>
      <w:rPr>
        <w:sz w:val="17"/>
      </w:rPr>
      <mc:AlternateContent>
        <mc:Choice Requires="wps">
          <w:drawing>
            <wp:anchor distT="0" distB="0" distL="114300" distR="114300" simplePos="0" relativeHeight="251675648" behindDoc="0" locked="0" layoutInCell="1" allowOverlap="1">
              <wp:simplePos x="0" y="0"/>
              <wp:positionH relativeFrom="margin">
                <wp:align>center</wp:align>
              </wp:positionH>
              <wp:positionV relativeFrom="paragraph">
                <wp:posOffset>0</wp:posOffset>
              </wp:positionV>
              <wp:extent cx="1828800" cy="1828800"/>
              <wp:effectExtent l="0" t="0" r="0" b="0"/>
              <wp:wrapNone/>
              <wp:docPr id="1697217802" name="文本框 169721780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564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6672" behindDoc="0" locked="0" layoutInCell="1" allowOverlap="1">
              <wp:simplePos x="0" y="0"/>
              <wp:positionH relativeFrom="margin">
                <wp:align>center</wp:align>
              </wp:positionH>
              <wp:positionV relativeFrom="paragraph">
                <wp:posOffset>0</wp:posOffset>
              </wp:positionV>
              <wp:extent cx="1828800" cy="1828800"/>
              <wp:effectExtent l="0" t="0" r="0" b="0"/>
              <wp:wrapNone/>
              <wp:docPr id="75" name="文本框 7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73</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667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DK5hCotAgAAVwQAAA4AAABkcnMvZTJvRG9jLnhtbK1UzY7TMBC+I/EO&#10;lu80adEu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DK5hCo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73</w:t>
                    </w:r>
                    <w:r>
                      <w:fldChar w:fldCharType="end"/>
                    </w:r>
                  </w:p>
                </w:txbxContent>
              </v:textbox>
            </v:shape>
          </w:pict>
        </mc:Fallback>
      </mc:AlternateContent>
    </w:r>
  </w:p>
</w:ftr>
</file>

<file path=word/footer2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92" name="文本框 9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edr/gtAgAAVwQAAA4AAABkcnMvZTJvRG9jLnhtbK1UzY7TMBC+I/EO&#10;lu80aRGrUj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Gedr/gtAgAAVwQAAA4AAAAAAAAAAQAgAAAAHwEAAGRycy9lMm9Eb2MueG1sUEsFBgAAAAAG&#10;AAYAWQEAAL4FA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72</w:t>
                    </w:r>
                    <w:r>
                      <w:rPr>
                        <w:rFonts w:hint="eastAsia"/>
                        <w:sz w:val="18"/>
                      </w:rPr>
                      <w:fldChar w:fldCharType="end"/>
                    </w:r>
                  </w:p>
                </w:txbxContent>
              </v:textbox>
            </v:shape>
          </w:pict>
        </mc:Fallback>
      </mc:AlternateContent>
    </w:r>
  </w:p>
</w:ftr>
</file>

<file path=word/footer2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spacing w:line="194" w:lineRule="auto"/>
      <w:rPr>
        <w:rFonts w:hint="eastAsia" w:ascii="等线" w:hAnsi="等线" w:eastAsia="等线" w:cs="等线"/>
        <w:sz w:val="17"/>
        <w:szCs w:val="17"/>
      </w:rPr>
    </w:pPr>
    <w:r>
      <w:rPr>
        <w:sz w:val="17"/>
      </w:rPr>
      <mc:AlternateContent>
        <mc:Choice Requires="wps">
          <w:drawing>
            <wp:anchor distT="0" distB="0" distL="114300" distR="114300" simplePos="0" relativeHeight="251678720" behindDoc="0" locked="0" layoutInCell="1" allowOverlap="1">
              <wp:simplePos x="0" y="0"/>
              <wp:positionH relativeFrom="margin">
                <wp:align>center</wp:align>
              </wp:positionH>
              <wp:positionV relativeFrom="paragraph">
                <wp:posOffset>0</wp:posOffset>
              </wp:positionV>
              <wp:extent cx="1828800" cy="1828800"/>
              <wp:effectExtent l="0" t="0" r="0" b="0"/>
              <wp:wrapNone/>
              <wp:docPr id="67" name="文本框 6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71</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872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9VpvciwCAABXBAAADgAAAAAAAAABACAAAAAfAQAAZHJzL2Uyb0RvYy54bWxQSwUGAAAAAAYA&#10;BgBZAQAAvQ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71</w:t>
                    </w:r>
                    <w:r>
                      <w:fldChar w:fldCharType="end"/>
                    </w:r>
                  </w:p>
                </w:txbxContent>
              </v:textbox>
            </v:shape>
          </w:pict>
        </mc:Fallback>
      </mc:AlternateContent>
    </w:r>
  </w:p>
</w:ftr>
</file>

<file path=word/footer2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mc:AlternateContent>
        <mc:Choice Requires="wps">
          <w:drawing>
            <wp:anchor distT="0" distB="0" distL="114300" distR="114300" simplePos="0" relativeHeight="25167974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 name="文本框 6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70</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974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70</w:t>
                    </w:r>
                    <w:r>
                      <w:fldChar w:fldCharType="end"/>
                    </w:r>
                  </w:p>
                </w:txbxContent>
              </v:textbox>
            </v:shape>
          </w:pict>
        </mc:Fallback>
      </mc:AlternateContent>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right"/>
      <w:rPr>
        <w:rFonts w:hint="eastAsia"/>
      </w:rPr>
    </w:pPr>
    <w:r>
      <mc:AlternateContent>
        <mc:Choice Requires="wps">
          <w:drawing>
            <wp:anchor distT="0" distB="0" distL="114300" distR="114300" simplePos="0" relativeHeight="251666432" behindDoc="0" locked="0" layoutInCell="1" allowOverlap="1">
              <wp:simplePos x="0" y="0"/>
              <wp:positionH relativeFrom="margin">
                <wp:align>center</wp:align>
              </wp:positionH>
              <wp:positionV relativeFrom="paragraph">
                <wp:posOffset>0</wp:posOffset>
              </wp:positionV>
              <wp:extent cx="1828800" cy="1828800"/>
              <wp:effectExtent l="0" t="0" r="0" b="0"/>
              <wp:wrapNone/>
              <wp:docPr id="45" name="文本框 4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6432;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15</w:t>
                    </w:r>
                    <w:r>
                      <w:fldChar w:fldCharType="end"/>
                    </w:r>
                  </w:p>
                </w:txbxContent>
              </v:textbox>
            </v:shape>
          </w:pict>
        </mc:Fallback>
      </mc:AlternateContent>
    </w: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w:rPr>
        <w:rFonts w:hint="eastAsia"/>
      </w:rPr>
      <mc:AlternateContent>
        <mc:Choice Requires="wps">
          <w:drawing>
            <wp:anchor distT="0" distB="0" distL="114300" distR="114300" simplePos="0" relativeHeight="251673600" behindDoc="0" locked="0" layoutInCell="1" allowOverlap="1">
              <wp:simplePos x="0" y="0"/>
              <wp:positionH relativeFrom="margin">
                <wp:align>center</wp:align>
              </wp:positionH>
              <wp:positionV relativeFrom="paragraph">
                <wp:posOffset>0</wp:posOffset>
              </wp:positionV>
              <wp:extent cx="1828800" cy="1828800"/>
              <wp:effectExtent l="0" t="0" r="0" b="0"/>
              <wp:wrapNone/>
              <wp:docPr id="8" name="文本框 8"/>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7"/>
                            <w:rPr>
                              <w:rFonts w:hint="eastAsia"/>
                            </w:rPr>
                          </w:pPr>
                          <w:r>
                            <w:fldChar w:fldCharType="begin"/>
                          </w:r>
                          <w:r>
                            <w:instrText xml:space="preserve"> PAGE  \* MERGEFORMAT </w:instrText>
                          </w:r>
                          <w:r>
                            <w:fldChar w:fldCharType="separate"/>
                          </w:r>
                          <w:r>
                            <w:t>- 19 -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3600;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CxzxesMQIAAGMEAAAOAAAAAAAAAAEAIAAAAB8BAABkcnMvZTJvRG9jLnhtbFBLBQYA&#10;AAAABgAGAFkBAADC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- 19 -</w:t>
                    </w:r>
                    <w:r>
                      <w:fldChar w:fldCharType="end"/>
                    </w:r>
                  </w:p>
                </w:txbxContent>
              </v:textbox>
            </v:shape>
          </w:pict>
        </mc:Fallback>
      </mc:AlternateConten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jc w:val="center"/>
      <w:rPr>
        <w:rFonts w:hint="eastAsia"/>
      </w:rPr>
    </w:pPr>
    <w:r>
      <w:rPr>
        <w:rFonts w:hint="eastAsia"/>
      </w:rPr>
      <mc:AlternateContent>
        <mc:Choice Requires="wps">
          <w:drawing>
            <wp:anchor distT="0" distB="0" distL="114300" distR="114300" simplePos="0" relativeHeight="251674624" behindDoc="0" locked="0" layoutInCell="1" allowOverlap="1">
              <wp:simplePos x="0" y="0"/>
              <wp:positionH relativeFrom="margin">
                <wp:align>center</wp:align>
              </wp:positionH>
              <wp:positionV relativeFrom="paragraph">
                <wp:posOffset>0</wp:posOffset>
              </wp:positionV>
              <wp:extent cx="1828800" cy="1828800"/>
              <wp:effectExtent l="0" t="0" r="0" b="0"/>
              <wp:wrapNone/>
              <wp:docPr id="14" name="文本框 14"/>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a:effectLst/>
                    </wps:spPr>
                    <wps:txbx>
                      <w:txbxContent>
                        <w:p>
                          <w:pPr>
                            <w:pStyle w:val="27"/>
                            <w:rPr>
                              <w:rFonts w:hint="eastAsia"/>
                            </w:rPr>
                          </w:pPr>
                          <w:r>
                            <w:fldChar w:fldCharType="begin"/>
                          </w:r>
                          <w:r>
                            <w:instrText xml:space="preserve"> PAGE  \* MERGEFORMAT </w:instrText>
                          </w:r>
                          <w:r>
                            <w:fldChar w:fldCharType="separate"/>
                          </w:r>
                          <w:r>
                            <w:t>- 18 -</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7462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- 18 -</w:t>
                    </w:r>
                    <w:r>
                      <w:fldChar w:fldCharType="end"/>
                    </w:r>
                  </w:p>
                </w:txbxContent>
              </v:textbox>
            </v:shape>
          </w:pict>
        </mc:Fallback>
      </mc:AlternateContent>
    </w:r>
  </w:p>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tabs>
        <w:tab w:val="right" w:pos="8306"/>
      </w:tabs>
      <w:snapToGrid w:val="0"/>
      <w:jc w:val="center"/>
      <w:rPr>
        <w:rFonts w:ascii="Calibri" w:hAnsi="Calibri" w:eastAsia="宋体" w:cs="Times New Roman"/>
        <w:kern w:val="0"/>
        <w:sz w:val="18"/>
        <w:szCs w:val="18"/>
      </w:rPr>
    </w:pPr>
    <w:r>
      <w:rPr>
        <w:sz w:val="18"/>
      </w:rPr>
      <mc:AlternateContent>
        <mc:Choice Requires="wps">
          <w:drawing>
            <wp:anchor distT="0" distB="0" distL="114300" distR="114300" simplePos="0" relativeHeight="251684864" behindDoc="0" locked="0" layoutInCell="1" allowOverlap="1">
              <wp:simplePos x="0" y="0"/>
              <wp:positionH relativeFrom="margin">
                <wp:align>center</wp:align>
              </wp:positionH>
              <wp:positionV relativeFrom="paragraph">
                <wp:posOffset>0</wp:posOffset>
              </wp:positionV>
              <wp:extent cx="1828800" cy="1828800"/>
              <wp:effectExtent l="0" t="0" r="0" b="0"/>
              <wp:wrapNone/>
              <wp:docPr id="98879132" name="文本框 98879132"/>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16</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848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16</w:t>
                    </w:r>
                    <w:r>
                      <w:fldChar w:fldCharType="end"/>
                    </w:r>
                  </w:p>
                </w:txbxContent>
              </v:textbox>
            </v:shape>
          </w:pict>
        </mc:Fallback>
      </mc:AlternateContent>
    </w: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tabs>
        <w:tab w:val="clear" w:pos="4153"/>
      </w:tabs>
      <w:jc w:val="center"/>
      <w:rPr>
        <w:rFonts w:hint="eastAsia"/>
      </w:rPr>
    </w:pPr>
    <w: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682310190" name="文本框 682310190"/>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pStyle w:val="27"/>
                            <w:rPr>
                              <w:rFonts w:hint="eastAsia"/>
                            </w:rPr>
                          </w:pPr>
                          <w:r>
                            <w:fldChar w:fldCharType="begin"/>
                          </w:r>
                          <w:r>
                            <w:instrText xml:space="preserve"> PAGE  \* MERGEFORMAT </w:instrText>
                          </w:r>
                          <w:r>
                            <w:fldChar w:fldCharType="separate"/>
                          </w:r>
                          <w:r>
                            <w:t>55</w:t>
                          </w:r>
                          <w: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KgdbTMzAgAAZQQAAA4AAAAAAAAAAQAgAAAAHwEAAGRycy9lMm9Eb2MueG1sUEsF&#10;BgAAAAAGAAYAWQEAAMQFAAAAAA==&#10;">
              <v:fill on="f" focussize="0,0"/>
              <v:stroke on="f" weight="0.5pt"/>
              <v:imagedata o:title=""/>
              <o:lock v:ext="edit" aspectratio="f"/>
              <v:textbox inset="0mm,0mm,0mm,0mm" style="mso-fit-shape-to-text:t;">
                <w:txbxContent>
                  <w:p>
                    <w:pPr>
                      <w:pStyle w:val="27"/>
                      <w:rPr>
                        <w:rFonts w:hint="eastAsia"/>
                      </w:rPr>
                    </w:pPr>
                    <w:r>
                      <w:fldChar w:fldCharType="begin"/>
                    </w:r>
                    <w:r>
                      <w:instrText xml:space="preserve"> PAGE  \* MERGEFORMAT </w:instrText>
                    </w:r>
                    <w:r>
                      <w:fldChar w:fldCharType="separate"/>
                    </w:r>
                    <w:r>
                      <w:t>55</w:t>
                    </w:r>
                    <w:r>
                      <w:fldChar w:fldCharType="end"/>
                    </w:r>
                  </w:p>
                </w:txbxContent>
              </v:textbox>
            </v:shape>
          </w:pict>
        </mc:Fallback>
      </mc:AlternateContent>
    </w: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7"/>
      <w:rPr>
        <w:rFonts w:hint="eastAsia"/>
      </w:rPr>
    </w:pPr>
    <w: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15" name="文本框 15"/>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wps:txbx>
                    <wps:bodyPr rot="0" spcFirstLastPara="0" vertOverflow="overflow" horzOverflow="overflow" vert="horz" wrap="none" lIns="0" tIns="0" rIns="0" bIns="0" numCol="1" spcCol="0" rtlCol="0" fromWordArt="0" anchor="t" anchorCtr="0" forceAA="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">
              <v:fill on="f" focussize="0,0"/>
              <v:stroke on="f" weight="0.5pt"/>
              <v:imagedata o:title=""/>
              <o:lock v:ext="edit" aspectratio="f"/>
              <v:textbox inset="0mm,0mm,0mm,0mm" style="mso-fit-shape-to-text:t;">
                <w:txbxContent>
                  <w:p>
                    <w:pPr>
                      <w:snapToGrid w:val="0"/>
                      <w:rPr>
                        <w:rFonts w:hint="eastAsia"/>
                        <w:sz w:val="18"/>
                      </w:rPr>
                    </w:pPr>
                    <w:r>
                      <w:rPr>
                        <w:rFonts w:hint="eastAsia"/>
                        <w:sz w:val="18"/>
                      </w:rPr>
                      <w:fldChar w:fldCharType="begin"/>
                    </w:r>
                    <w:r>
                      <w:rPr>
                        <w:rFonts w:hint="eastAsia"/>
                        <w:sz w:val="18"/>
                      </w:rPr>
                      <w:instrText xml:space="preserve"> PAGE  \* MERGEFORMAT </w:instrText>
                    </w:r>
                    <w:r>
                      <w:rPr>
                        <w:rFonts w:hint="eastAsia"/>
                        <w:sz w:val="18"/>
                      </w:rPr>
                      <w:fldChar w:fldCharType="separate"/>
                    </w:r>
                    <w:r>
                      <w:rPr>
                        <w:sz w:val="18"/>
                      </w:rPr>
                      <w:t>57</w:t>
                    </w:r>
                    <w:r>
                      <w:rPr>
                        <w:rFonts w:hint="eastAsia"/>
                        <w:sz w:val="18"/>
                      </w:rPr>
                      <w:fldChar w:fldCharType="end"/>
                    </w:r>
                  </w:p>
                </w:txbxContent>
              </v:textbox>
            </v:shape>
          </w:pict>
        </mc:Fallback>
      </mc:AlternateContent>
    </w: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0"/>
      </w:pBdr>
      <w:rPr>
        <w:rFonts w:hint="eastAsia"/>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single" w:color="auto" w:sz="12" w:space="9"/>
      </w:pBdr>
      <w:jc w:val="both"/>
      <w:rPr>
        <w:rFonts w:hint="eastAsia"/>
      </w:rPr>
    </w:pPr>
    <w:r>
      <w:drawing>
        <wp:inline distT="0" distB="0" distL="114300" distR="114300">
          <wp:extent cx="1428750" cy="342900"/>
          <wp:effectExtent l="0" t="0" r="0" b="0"/>
          <wp:docPr id="1" name="图片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pic:cNvPicPr>
                    <a:picLocks noChangeAspect="1"/>
                  </pic:cNvPicPr>
                </pic:nvPicPr>
                <pic:blipFill>
                  <a:blip r:embed="rId1"/>
                  <a:stretch>
                    <a:fillRect/>
                  </a:stretch>
                </pic:blipFill>
                <pic:spPr>
                  <a:xfrm>
                    <a:off x="0" y="0"/>
                    <a:ext cx="1428750" cy="342900"/>
                  </a:xfrm>
                  <a:prstGeom prst="rect">
                    <a:avLst/>
                  </a:prstGeom>
                  <a:noFill/>
                  <a:ln w="9525">
                    <a:noFill/>
                  </a:ln>
                </pic:spPr>
              </pic:pic>
            </a:graphicData>
          </a:graphic>
        </wp:inline>
      </w:drawing>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Bdr>
        <w:bottom w:val="none" w:color="auto" w:sz="0" w:space="1"/>
      </w:pBdr>
      <w:tabs>
        <w:tab w:val="center" w:pos="4153"/>
        <w:tab w:val="right" w:pos="8306"/>
      </w:tabs>
      <w:snapToGrid w:val="0"/>
      <w:jc w:val="center"/>
      <w:rPr>
        <w:rFonts w:ascii="Calibri" w:hAnsi="Calibri" w:eastAsia="宋体" w:cs="Times New Roman"/>
        <w:kern w:val="0"/>
        <w:sz w:val="18"/>
        <w:szCs w:val="18"/>
      </w:rP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pBdr>
        <w:bottom w:val="none" w:color="auto" w:sz="0" w:space="1"/>
      </w:pBdr>
      <w:rPr>
        <w:rFonts w:hint="eastAsia"/>
      </w:rPr>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p>
    <w:pPr>
      <w:pStyle w:val="28"/>
      <w:rPr>
        <w:rFonts w:hint="eastAsia"/>
      </w:rP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8"/>
      <w:rPr>
        <w:rFonts w:hint="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D146FCA9"/>
    <w:multiLevelType w:val="singleLevel"/>
    <w:tmpl w:val="D146FCA9"/>
    <w:lvl w:ilvl="0" w:tentative="0">
      <w:start w:val="4"/>
      <w:numFmt w:val="chineseCounting"/>
      <w:suff w:val="space"/>
      <w:lvlText w:val="第%1部分"/>
      <w:lvlJc w:val="left"/>
      <w:rPr>
        <w:rFonts w:hint="eastAsia"/>
      </w:rPr>
    </w:lvl>
  </w:abstractNum>
  <w:abstractNum w:abstractNumId="1">
    <w:nsid w:val="D8EE4D1B"/>
    <w:multiLevelType w:val="singleLevel"/>
    <w:tmpl w:val="D8EE4D1B"/>
    <w:lvl w:ilvl="0" w:tentative="0">
      <w:start w:val="1"/>
      <w:numFmt w:val="bullet"/>
      <w:lvlText w:val=""/>
      <w:lvlJc w:val="left"/>
      <w:pPr>
        <w:ind w:left="420" w:hanging="420"/>
      </w:pPr>
      <w:rPr>
        <w:rFonts w:hint="default" w:ascii="Wingdings" w:hAnsi="Wingdings"/>
      </w:rPr>
    </w:lvl>
  </w:abstractNum>
  <w:abstractNum w:abstractNumId="2">
    <w:nsid w:val="01A16563"/>
    <w:multiLevelType w:val="singleLevel"/>
    <w:tmpl w:val="01A16563"/>
    <w:lvl w:ilvl="0" w:tentative="0">
      <w:start w:val="1"/>
      <w:numFmt w:val="bullet"/>
      <w:lvlText w:val=""/>
      <w:lvlJc w:val="left"/>
      <w:pPr>
        <w:ind w:left="420" w:hanging="420"/>
      </w:pPr>
      <w:rPr>
        <w:rFonts w:hint="default" w:ascii="Wingdings" w:hAnsi="Wingdings"/>
      </w:rPr>
    </w:lvl>
  </w:abstractNum>
  <w:abstractNum w:abstractNumId="3">
    <w:nsid w:val="210163F6"/>
    <w:multiLevelType w:val="multilevel"/>
    <w:tmpl w:val="210163F6"/>
    <w:lvl w:ilvl="0" w:tentative="0">
      <w:start w:val="1"/>
      <w:numFmt w:val="lowerLetter"/>
      <w:lvlText w:val="%1)"/>
      <w:lvlJc w:val="left"/>
      <w:pPr>
        <w:ind w:left="902" w:hanging="420"/>
      </w:pPr>
      <w:rPr>
        <w:rFonts w:cs="Times New Roman"/>
      </w:rPr>
    </w:lvl>
    <w:lvl w:ilvl="1" w:tentative="0">
      <w:start w:val="1"/>
      <w:numFmt w:val="lowerLetter"/>
      <w:lvlText w:val="%2)"/>
      <w:lvlJc w:val="left"/>
      <w:pPr>
        <w:ind w:left="1322" w:hanging="420"/>
      </w:pPr>
      <w:rPr>
        <w:rFonts w:cs="Times New Roman"/>
      </w:rPr>
    </w:lvl>
    <w:lvl w:ilvl="2" w:tentative="0">
      <w:start w:val="1"/>
      <w:numFmt w:val="lowerRoman"/>
      <w:lvlText w:val="%3."/>
      <w:lvlJc w:val="right"/>
      <w:pPr>
        <w:ind w:left="1742" w:hanging="420"/>
      </w:pPr>
      <w:rPr>
        <w:rFonts w:cs="Times New Roman"/>
      </w:rPr>
    </w:lvl>
    <w:lvl w:ilvl="3" w:tentative="0">
      <w:start w:val="1"/>
      <w:numFmt w:val="decimal"/>
      <w:lvlText w:val="%4."/>
      <w:lvlJc w:val="left"/>
      <w:pPr>
        <w:ind w:left="2162" w:hanging="420"/>
      </w:pPr>
      <w:rPr>
        <w:rFonts w:cs="Times New Roman"/>
      </w:rPr>
    </w:lvl>
    <w:lvl w:ilvl="4" w:tentative="0">
      <w:start w:val="1"/>
      <w:numFmt w:val="lowerLetter"/>
      <w:lvlText w:val="%5)"/>
      <w:lvlJc w:val="left"/>
      <w:pPr>
        <w:ind w:left="2582" w:hanging="420"/>
      </w:pPr>
      <w:rPr>
        <w:rFonts w:cs="Times New Roman"/>
      </w:rPr>
    </w:lvl>
    <w:lvl w:ilvl="5" w:tentative="0">
      <w:start w:val="1"/>
      <w:numFmt w:val="lowerRoman"/>
      <w:lvlText w:val="%6."/>
      <w:lvlJc w:val="right"/>
      <w:pPr>
        <w:ind w:left="3002" w:hanging="420"/>
      </w:pPr>
      <w:rPr>
        <w:rFonts w:cs="Times New Roman"/>
      </w:rPr>
    </w:lvl>
    <w:lvl w:ilvl="6" w:tentative="0">
      <w:start w:val="1"/>
      <w:numFmt w:val="decimal"/>
      <w:lvlText w:val="%7."/>
      <w:lvlJc w:val="left"/>
      <w:pPr>
        <w:ind w:left="3422" w:hanging="420"/>
      </w:pPr>
      <w:rPr>
        <w:rFonts w:cs="Times New Roman"/>
      </w:rPr>
    </w:lvl>
    <w:lvl w:ilvl="7" w:tentative="0">
      <w:start w:val="1"/>
      <w:numFmt w:val="lowerLetter"/>
      <w:lvlText w:val="%8)"/>
      <w:lvlJc w:val="left"/>
      <w:pPr>
        <w:ind w:left="3842" w:hanging="420"/>
      </w:pPr>
      <w:rPr>
        <w:rFonts w:cs="Times New Roman"/>
      </w:rPr>
    </w:lvl>
    <w:lvl w:ilvl="8" w:tentative="0">
      <w:start w:val="1"/>
      <w:numFmt w:val="lowerRoman"/>
      <w:lvlText w:val="%9."/>
      <w:lvlJc w:val="right"/>
      <w:pPr>
        <w:ind w:left="4262" w:hanging="420"/>
      </w:pPr>
      <w:rPr>
        <w:rFonts w:cs="Times New Roman"/>
      </w:rPr>
    </w:lvl>
  </w:abstractNum>
  <w:abstractNum w:abstractNumId="4">
    <w:nsid w:val="2E05F77B"/>
    <w:multiLevelType w:val="singleLevel"/>
    <w:tmpl w:val="2E05F77B"/>
    <w:lvl w:ilvl="0" w:tentative="0">
      <w:start w:val="1"/>
      <w:numFmt w:val="bullet"/>
      <w:lvlText w:val=""/>
      <w:lvlJc w:val="left"/>
      <w:pPr>
        <w:ind w:left="420" w:hanging="420"/>
      </w:pPr>
      <w:rPr>
        <w:rFonts w:hint="default" w:ascii="Wingdings" w:hAnsi="Wingdings"/>
      </w:rPr>
    </w:lvl>
  </w:abstractNum>
  <w:abstractNum w:abstractNumId="5">
    <w:nsid w:val="44B30171"/>
    <w:multiLevelType w:val="singleLevel"/>
    <w:tmpl w:val="44B30171"/>
    <w:lvl w:ilvl="0" w:tentative="0">
      <w:start w:val="1"/>
      <w:numFmt w:val="bullet"/>
      <w:lvlText w:val=""/>
      <w:lvlJc w:val="left"/>
      <w:pPr>
        <w:ind w:left="420" w:hanging="420"/>
      </w:pPr>
      <w:rPr>
        <w:rFonts w:hint="default" w:ascii="Wingdings" w:hAnsi="Wingdings"/>
      </w:rPr>
    </w:lvl>
  </w:abstractNum>
  <w:abstractNum w:abstractNumId="6">
    <w:nsid w:val="57ACA206"/>
    <w:multiLevelType w:val="singleLevel"/>
    <w:tmpl w:val="57ACA206"/>
    <w:lvl w:ilvl="0" w:tentative="0">
      <w:start w:val="1"/>
      <w:numFmt w:val="chineseCountingThousand"/>
      <w:lvlText w:val="%1、"/>
      <w:lvlJc w:val="left"/>
      <w:pPr>
        <w:ind w:left="420" w:hanging="420"/>
      </w:pPr>
      <w:rPr>
        <w:rFonts w:hint="eastAsia"/>
      </w:rPr>
    </w:lvl>
  </w:abstractNum>
  <w:abstractNum w:abstractNumId="7">
    <w:nsid w:val="646260FA"/>
    <w:multiLevelType w:val="multilevel"/>
    <w:tmpl w:val="646260FA"/>
    <w:lvl w:ilvl="0" w:tentative="0">
      <w:start w:val="1"/>
      <w:numFmt w:val="decimal"/>
      <w:pStyle w:val="140"/>
      <w:suff w:val="nothing"/>
      <w:lvlText w:val="表%1　"/>
      <w:lvlJc w:val="left"/>
      <w:pPr>
        <w:ind w:left="0" w:firstLine="0"/>
      </w:pPr>
      <w:rPr>
        <w:rFonts w:hint="eastAsia" w:ascii="黑体" w:hAnsi="Times New Roman" w:eastAsia="黑体"/>
        <w:b w:val="0"/>
        <w:i w:val="0"/>
        <w:color w:val="000000"/>
        <w:sz w:val="21"/>
        <w:lang w:val="en-US"/>
      </w:rPr>
    </w:lvl>
    <w:lvl w:ilvl="1" w:tentative="0">
      <w:start w:val="1"/>
      <w:numFmt w:val="decimal"/>
      <w:lvlText w:val="%1.%2"/>
      <w:lvlJc w:val="left"/>
      <w:pPr>
        <w:tabs>
          <w:tab w:val="left" w:pos="992"/>
        </w:tabs>
        <w:ind w:left="992" w:hanging="567"/>
      </w:pPr>
      <w:rPr>
        <w:rFonts w:hint="eastAsia"/>
      </w:rPr>
    </w:lvl>
    <w:lvl w:ilvl="2" w:tentative="0">
      <w:start w:val="1"/>
      <w:numFmt w:val="decimal"/>
      <w:lvlText w:val="%1.%2.%3"/>
      <w:lvlJc w:val="left"/>
      <w:pPr>
        <w:tabs>
          <w:tab w:val="left" w:pos="1418"/>
        </w:tabs>
        <w:ind w:left="1418" w:hanging="567"/>
      </w:pPr>
      <w:rPr>
        <w:rFonts w:hint="eastAsia"/>
      </w:rPr>
    </w:lvl>
    <w:lvl w:ilvl="3" w:tentative="0">
      <w:start w:val="1"/>
      <w:numFmt w:val="decimal"/>
      <w:lvlText w:val="%1.%2.%3.%4"/>
      <w:lvlJc w:val="left"/>
      <w:pPr>
        <w:tabs>
          <w:tab w:val="left" w:pos="1984"/>
        </w:tabs>
        <w:ind w:left="1984" w:hanging="708"/>
      </w:pPr>
      <w:rPr>
        <w:rFonts w:hint="eastAsia"/>
      </w:rPr>
    </w:lvl>
    <w:lvl w:ilvl="4" w:tentative="0">
      <w:start w:val="1"/>
      <w:numFmt w:val="decimal"/>
      <w:lvlText w:val="%1.%2.%3.%4.%5"/>
      <w:lvlJc w:val="left"/>
      <w:pPr>
        <w:tabs>
          <w:tab w:val="left" w:pos="2551"/>
        </w:tabs>
        <w:ind w:left="2551" w:hanging="850"/>
      </w:pPr>
      <w:rPr>
        <w:rFonts w:hint="eastAsia"/>
      </w:rPr>
    </w:lvl>
    <w:lvl w:ilvl="5" w:tentative="0">
      <w:start w:val="1"/>
      <w:numFmt w:val="decimal"/>
      <w:lvlText w:val="%1.%2.%3.%4.%5.%6"/>
      <w:lvlJc w:val="left"/>
      <w:pPr>
        <w:tabs>
          <w:tab w:val="left" w:pos="3260"/>
        </w:tabs>
        <w:ind w:left="3260" w:hanging="1134"/>
      </w:pPr>
      <w:rPr>
        <w:rFonts w:hint="eastAsia"/>
      </w:rPr>
    </w:lvl>
    <w:lvl w:ilvl="6" w:tentative="0">
      <w:start w:val="1"/>
      <w:numFmt w:val="decimal"/>
      <w:lvlText w:val="%1.%2.%3.%4.%5.%6.%7"/>
      <w:lvlJc w:val="left"/>
      <w:pPr>
        <w:tabs>
          <w:tab w:val="left" w:pos="3827"/>
        </w:tabs>
        <w:ind w:left="3827" w:hanging="1276"/>
      </w:pPr>
      <w:rPr>
        <w:rFonts w:hint="eastAsia"/>
      </w:rPr>
    </w:lvl>
    <w:lvl w:ilvl="7" w:tentative="0">
      <w:start w:val="1"/>
      <w:numFmt w:val="decimal"/>
      <w:lvlText w:val="%1.%2.%3.%4.%5.%6.%7.%8"/>
      <w:lvlJc w:val="left"/>
      <w:pPr>
        <w:tabs>
          <w:tab w:val="left" w:pos="4394"/>
        </w:tabs>
        <w:ind w:left="4394" w:hanging="1418"/>
      </w:pPr>
      <w:rPr>
        <w:rFonts w:hint="eastAsia"/>
      </w:rPr>
    </w:lvl>
    <w:lvl w:ilvl="8" w:tentative="0">
      <w:start w:val="1"/>
      <w:numFmt w:val="decimal"/>
      <w:lvlText w:val="%1.%2.%3.%4.%5.%6.%7.%8.%9"/>
      <w:lvlJc w:val="left"/>
      <w:pPr>
        <w:tabs>
          <w:tab w:val="left" w:pos="5102"/>
        </w:tabs>
        <w:ind w:left="5102" w:hanging="1700"/>
      </w:pPr>
      <w:rPr>
        <w:rFonts w:hint="eastAsia"/>
      </w:rPr>
    </w:lvl>
  </w:abstractNum>
  <w:abstractNum w:abstractNumId="8">
    <w:nsid w:val="6E8C6948"/>
    <w:multiLevelType w:val="singleLevel"/>
    <w:tmpl w:val="6E8C6948"/>
    <w:lvl w:ilvl="0" w:tentative="0">
      <w:start w:val="1"/>
      <w:numFmt w:val="chineseCounting"/>
      <w:suff w:val="space"/>
      <w:lvlText w:val="第%1部分"/>
      <w:lvlJc w:val="left"/>
      <w:rPr>
        <w:rFonts w:hint="eastAsia"/>
      </w:rPr>
    </w:lvl>
  </w:abstractNum>
  <w:abstractNum w:abstractNumId="9">
    <w:nsid w:val="7A612DE2"/>
    <w:multiLevelType w:val="singleLevel"/>
    <w:tmpl w:val="7A612DE2"/>
    <w:lvl w:ilvl="0" w:tentative="0">
      <w:start w:val="2"/>
      <w:numFmt w:val="decimal"/>
      <w:lvlText w:val="%1."/>
      <w:lvlJc w:val="left"/>
      <w:pPr>
        <w:tabs>
          <w:tab w:val="left" w:pos="312"/>
        </w:tabs>
      </w:pPr>
    </w:lvl>
  </w:abstractNum>
  <w:num w:numId="1">
    <w:abstractNumId w:val="7"/>
  </w:num>
  <w:num w:numId="2">
    <w:abstractNumId w:val="8"/>
  </w:num>
  <w:num w:numId="3">
    <w:abstractNumId w:val="9"/>
  </w:num>
  <w:num w:numId="4">
    <w:abstractNumId w:val="3"/>
  </w:num>
  <w:num w:numId="5">
    <w:abstractNumId w:val="2"/>
  </w:num>
  <w:num w:numId="6">
    <w:abstractNumId w:val="5"/>
  </w:num>
  <w:num w:numId="7">
    <w:abstractNumId w:val="1"/>
  </w:num>
  <w:num w:numId="8">
    <w:abstractNumId w:val="4"/>
  </w:num>
  <w:num w:numId="9">
    <w:abstractNumId w:val="0"/>
  </w:num>
  <w:num w:numId="1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WM4YzFjOWU0Nzg0NmRkMzI1ZDk2YmYxNGU0NmE0YTUifQ=="/>
    <w:docVar w:name="KSO_WPS_MARK_KEY" w:val="5ec1ab8f-2730-43b1-a770-54aa6eb65cb0"/>
  </w:docVars>
  <w:rsids>
    <w:rsidRoot w:val="0056018A"/>
    <w:rsid w:val="000139F5"/>
    <w:rsid w:val="00022B06"/>
    <w:rsid w:val="00030855"/>
    <w:rsid w:val="00036836"/>
    <w:rsid w:val="000418DB"/>
    <w:rsid w:val="0005777A"/>
    <w:rsid w:val="000651D6"/>
    <w:rsid w:val="00065382"/>
    <w:rsid w:val="00071B0F"/>
    <w:rsid w:val="0007785F"/>
    <w:rsid w:val="00080223"/>
    <w:rsid w:val="000A5309"/>
    <w:rsid w:val="000D6A51"/>
    <w:rsid w:val="000F45A3"/>
    <w:rsid w:val="00106A5D"/>
    <w:rsid w:val="0013049E"/>
    <w:rsid w:val="00153D39"/>
    <w:rsid w:val="0016789A"/>
    <w:rsid w:val="00196498"/>
    <w:rsid w:val="00197621"/>
    <w:rsid w:val="001C1EE3"/>
    <w:rsid w:val="001C5318"/>
    <w:rsid w:val="001C713C"/>
    <w:rsid w:val="001D75B9"/>
    <w:rsid w:val="001F6A87"/>
    <w:rsid w:val="00200F05"/>
    <w:rsid w:val="00207258"/>
    <w:rsid w:val="00220056"/>
    <w:rsid w:val="00220E50"/>
    <w:rsid w:val="002348B7"/>
    <w:rsid w:val="002626ED"/>
    <w:rsid w:val="00265A40"/>
    <w:rsid w:val="00275DD4"/>
    <w:rsid w:val="00282FDE"/>
    <w:rsid w:val="0029130A"/>
    <w:rsid w:val="00297E59"/>
    <w:rsid w:val="002A792F"/>
    <w:rsid w:val="002E5C56"/>
    <w:rsid w:val="00331987"/>
    <w:rsid w:val="003546BA"/>
    <w:rsid w:val="00380F1F"/>
    <w:rsid w:val="003A4540"/>
    <w:rsid w:val="003B4D7D"/>
    <w:rsid w:val="003E0AB3"/>
    <w:rsid w:val="00401C42"/>
    <w:rsid w:val="004076DE"/>
    <w:rsid w:val="004142E3"/>
    <w:rsid w:val="00460AFB"/>
    <w:rsid w:val="00470130"/>
    <w:rsid w:val="00483B0A"/>
    <w:rsid w:val="00487A38"/>
    <w:rsid w:val="00495476"/>
    <w:rsid w:val="004B5126"/>
    <w:rsid w:val="004C33AB"/>
    <w:rsid w:val="004C647F"/>
    <w:rsid w:val="004D450A"/>
    <w:rsid w:val="004F661E"/>
    <w:rsid w:val="004F7838"/>
    <w:rsid w:val="004F7F0F"/>
    <w:rsid w:val="00503391"/>
    <w:rsid w:val="005261F3"/>
    <w:rsid w:val="00536150"/>
    <w:rsid w:val="00552960"/>
    <w:rsid w:val="00552AD6"/>
    <w:rsid w:val="0056018A"/>
    <w:rsid w:val="00567344"/>
    <w:rsid w:val="005829DC"/>
    <w:rsid w:val="005C0B4E"/>
    <w:rsid w:val="005C421F"/>
    <w:rsid w:val="005E4F70"/>
    <w:rsid w:val="005F16F0"/>
    <w:rsid w:val="005F71F7"/>
    <w:rsid w:val="0061588C"/>
    <w:rsid w:val="0065185D"/>
    <w:rsid w:val="00653D89"/>
    <w:rsid w:val="00680629"/>
    <w:rsid w:val="00686C52"/>
    <w:rsid w:val="0068769A"/>
    <w:rsid w:val="006B5CDE"/>
    <w:rsid w:val="006B7CD2"/>
    <w:rsid w:val="006F1414"/>
    <w:rsid w:val="00716C64"/>
    <w:rsid w:val="0072293C"/>
    <w:rsid w:val="00737290"/>
    <w:rsid w:val="007432BF"/>
    <w:rsid w:val="007525BF"/>
    <w:rsid w:val="0075534D"/>
    <w:rsid w:val="00761851"/>
    <w:rsid w:val="0077033B"/>
    <w:rsid w:val="007800DC"/>
    <w:rsid w:val="007838AA"/>
    <w:rsid w:val="00783D5E"/>
    <w:rsid w:val="00785FD6"/>
    <w:rsid w:val="007B212D"/>
    <w:rsid w:val="007D4CE6"/>
    <w:rsid w:val="007F2492"/>
    <w:rsid w:val="007F2EA2"/>
    <w:rsid w:val="007F4254"/>
    <w:rsid w:val="00806A61"/>
    <w:rsid w:val="00824BFD"/>
    <w:rsid w:val="008453B3"/>
    <w:rsid w:val="0089355D"/>
    <w:rsid w:val="008D3B56"/>
    <w:rsid w:val="008D5CEF"/>
    <w:rsid w:val="008D7C34"/>
    <w:rsid w:val="009360F9"/>
    <w:rsid w:val="0094678F"/>
    <w:rsid w:val="00964F00"/>
    <w:rsid w:val="0096518F"/>
    <w:rsid w:val="009A29E5"/>
    <w:rsid w:val="009A61ED"/>
    <w:rsid w:val="009B511E"/>
    <w:rsid w:val="009E0F5E"/>
    <w:rsid w:val="009E123E"/>
    <w:rsid w:val="009E53C3"/>
    <w:rsid w:val="00A21EB2"/>
    <w:rsid w:val="00A31561"/>
    <w:rsid w:val="00A54E95"/>
    <w:rsid w:val="00A80564"/>
    <w:rsid w:val="00A960B2"/>
    <w:rsid w:val="00AE6633"/>
    <w:rsid w:val="00AF54BF"/>
    <w:rsid w:val="00B01FF1"/>
    <w:rsid w:val="00B61F43"/>
    <w:rsid w:val="00B72516"/>
    <w:rsid w:val="00B92C97"/>
    <w:rsid w:val="00BA10B5"/>
    <w:rsid w:val="00BA3C70"/>
    <w:rsid w:val="00BB4E42"/>
    <w:rsid w:val="00BE3229"/>
    <w:rsid w:val="00BF52BD"/>
    <w:rsid w:val="00C01073"/>
    <w:rsid w:val="00C07C97"/>
    <w:rsid w:val="00C21915"/>
    <w:rsid w:val="00C400F6"/>
    <w:rsid w:val="00C575D3"/>
    <w:rsid w:val="00C855F6"/>
    <w:rsid w:val="00C86488"/>
    <w:rsid w:val="00C876C1"/>
    <w:rsid w:val="00C92F53"/>
    <w:rsid w:val="00CA09CB"/>
    <w:rsid w:val="00CD5223"/>
    <w:rsid w:val="00CE5010"/>
    <w:rsid w:val="00CE6E17"/>
    <w:rsid w:val="00D0528A"/>
    <w:rsid w:val="00D11B37"/>
    <w:rsid w:val="00D408EF"/>
    <w:rsid w:val="00D5145C"/>
    <w:rsid w:val="00D53EB2"/>
    <w:rsid w:val="00D64DAE"/>
    <w:rsid w:val="00D65431"/>
    <w:rsid w:val="00D729A1"/>
    <w:rsid w:val="00DB5225"/>
    <w:rsid w:val="00DC091C"/>
    <w:rsid w:val="00DD1E5E"/>
    <w:rsid w:val="00DE6417"/>
    <w:rsid w:val="00E01F5E"/>
    <w:rsid w:val="00E127A4"/>
    <w:rsid w:val="00E1627A"/>
    <w:rsid w:val="00E179E0"/>
    <w:rsid w:val="00E302FD"/>
    <w:rsid w:val="00E31493"/>
    <w:rsid w:val="00E34C35"/>
    <w:rsid w:val="00E551CE"/>
    <w:rsid w:val="00E650A8"/>
    <w:rsid w:val="00E878B4"/>
    <w:rsid w:val="00EB3D00"/>
    <w:rsid w:val="00F71720"/>
    <w:rsid w:val="00FE040F"/>
    <w:rsid w:val="00FE42B3"/>
    <w:rsid w:val="011B0B5F"/>
    <w:rsid w:val="012F0AC2"/>
    <w:rsid w:val="0133784E"/>
    <w:rsid w:val="014832F2"/>
    <w:rsid w:val="014D51C1"/>
    <w:rsid w:val="01714809"/>
    <w:rsid w:val="01AE5B4F"/>
    <w:rsid w:val="01C52478"/>
    <w:rsid w:val="01CE0603"/>
    <w:rsid w:val="01D1140E"/>
    <w:rsid w:val="02184C85"/>
    <w:rsid w:val="02451546"/>
    <w:rsid w:val="02524699"/>
    <w:rsid w:val="027408EE"/>
    <w:rsid w:val="02963F39"/>
    <w:rsid w:val="02B66382"/>
    <w:rsid w:val="02BA7274"/>
    <w:rsid w:val="03247961"/>
    <w:rsid w:val="03251978"/>
    <w:rsid w:val="0325718A"/>
    <w:rsid w:val="033A780B"/>
    <w:rsid w:val="03BB27D2"/>
    <w:rsid w:val="042921B6"/>
    <w:rsid w:val="043432A1"/>
    <w:rsid w:val="0442138C"/>
    <w:rsid w:val="04AD02B8"/>
    <w:rsid w:val="04B75DD4"/>
    <w:rsid w:val="04BE2E08"/>
    <w:rsid w:val="04DF17D4"/>
    <w:rsid w:val="04E80A94"/>
    <w:rsid w:val="053B565E"/>
    <w:rsid w:val="05412745"/>
    <w:rsid w:val="05491761"/>
    <w:rsid w:val="05575651"/>
    <w:rsid w:val="05A351AD"/>
    <w:rsid w:val="05C234EE"/>
    <w:rsid w:val="05D95918"/>
    <w:rsid w:val="05DD4F28"/>
    <w:rsid w:val="05F9748A"/>
    <w:rsid w:val="06032214"/>
    <w:rsid w:val="06160D68"/>
    <w:rsid w:val="06266F78"/>
    <w:rsid w:val="06382EFE"/>
    <w:rsid w:val="063E7B7A"/>
    <w:rsid w:val="0640283F"/>
    <w:rsid w:val="06582413"/>
    <w:rsid w:val="066D19F4"/>
    <w:rsid w:val="067E33B8"/>
    <w:rsid w:val="069C2954"/>
    <w:rsid w:val="06A01095"/>
    <w:rsid w:val="06C47DA6"/>
    <w:rsid w:val="06E82FCB"/>
    <w:rsid w:val="06F34B95"/>
    <w:rsid w:val="07571DAC"/>
    <w:rsid w:val="078A0D17"/>
    <w:rsid w:val="07AB6BDF"/>
    <w:rsid w:val="07D25D65"/>
    <w:rsid w:val="08000695"/>
    <w:rsid w:val="08332819"/>
    <w:rsid w:val="083B072C"/>
    <w:rsid w:val="084C21AB"/>
    <w:rsid w:val="085B3B1D"/>
    <w:rsid w:val="086271E8"/>
    <w:rsid w:val="08741EBB"/>
    <w:rsid w:val="08C87A6E"/>
    <w:rsid w:val="08E64121"/>
    <w:rsid w:val="090D5816"/>
    <w:rsid w:val="0937562C"/>
    <w:rsid w:val="0942017F"/>
    <w:rsid w:val="09810F23"/>
    <w:rsid w:val="09BA1FBB"/>
    <w:rsid w:val="09CB139F"/>
    <w:rsid w:val="09D54AFC"/>
    <w:rsid w:val="09F27F5D"/>
    <w:rsid w:val="0A0106F5"/>
    <w:rsid w:val="0A112AB7"/>
    <w:rsid w:val="0A4E4DF4"/>
    <w:rsid w:val="0A5F69F4"/>
    <w:rsid w:val="0A5F7DC1"/>
    <w:rsid w:val="0A661334"/>
    <w:rsid w:val="0A6C1855"/>
    <w:rsid w:val="0A8B04DC"/>
    <w:rsid w:val="0A9B4CA6"/>
    <w:rsid w:val="0AA16DFC"/>
    <w:rsid w:val="0ABB0FF9"/>
    <w:rsid w:val="0AC402B6"/>
    <w:rsid w:val="0AD71BC7"/>
    <w:rsid w:val="0ADB7197"/>
    <w:rsid w:val="0AF420EB"/>
    <w:rsid w:val="0B1910D3"/>
    <w:rsid w:val="0B2B2BF5"/>
    <w:rsid w:val="0B2F3908"/>
    <w:rsid w:val="0B3F6206"/>
    <w:rsid w:val="0B50371D"/>
    <w:rsid w:val="0B5346A2"/>
    <w:rsid w:val="0B7434CA"/>
    <w:rsid w:val="0B93548B"/>
    <w:rsid w:val="0BBD05C5"/>
    <w:rsid w:val="0BE12DB6"/>
    <w:rsid w:val="0C0914C9"/>
    <w:rsid w:val="0C345AD1"/>
    <w:rsid w:val="0C5806CC"/>
    <w:rsid w:val="0C626CE4"/>
    <w:rsid w:val="0C727688"/>
    <w:rsid w:val="0C91607A"/>
    <w:rsid w:val="0CAC3BFF"/>
    <w:rsid w:val="0CC05B7D"/>
    <w:rsid w:val="0CD10F40"/>
    <w:rsid w:val="0D0C2B7B"/>
    <w:rsid w:val="0D49693B"/>
    <w:rsid w:val="0D542EEE"/>
    <w:rsid w:val="0D9308F8"/>
    <w:rsid w:val="0DDA6377"/>
    <w:rsid w:val="0E1A1D85"/>
    <w:rsid w:val="0E1E25B6"/>
    <w:rsid w:val="0E2322C1"/>
    <w:rsid w:val="0E2350DD"/>
    <w:rsid w:val="0E750568"/>
    <w:rsid w:val="0E870499"/>
    <w:rsid w:val="0EA24D8E"/>
    <w:rsid w:val="0EB25028"/>
    <w:rsid w:val="0EB81390"/>
    <w:rsid w:val="0EB93A32"/>
    <w:rsid w:val="0ECE5049"/>
    <w:rsid w:val="0EFB5FED"/>
    <w:rsid w:val="0F2D7A80"/>
    <w:rsid w:val="0F4277E5"/>
    <w:rsid w:val="0F4A548B"/>
    <w:rsid w:val="0F6273CA"/>
    <w:rsid w:val="0F7279A6"/>
    <w:rsid w:val="0F9500FF"/>
    <w:rsid w:val="0FA75561"/>
    <w:rsid w:val="0FB83603"/>
    <w:rsid w:val="0FCA77F1"/>
    <w:rsid w:val="0FCD5DCC"/>
    <w:rsid w:val="0FEF02B3"/>
    <w:rsid w:val="10270545"/>
    <w:rsid w:val="102E461D"/>
    <w:rsid w:val="103819AC"/>
    <w:rsid w:val="104B7348"/>
    <w:rsid w:val="106E6B14"/>
    <w:rsid w:val="108A1D4B"/>
    <w:rsid w:val="10A10111"/>
    <w:rsid w:val="10AA31D3"/>
    <w:rsid w:val="10BE093E"/>
    <w:rsid w:val="10EC27C5"/>
    <w:rsid w:val="110F6D60"/>
    <w:rsid w:val="111B0FE9"/>
    <w:rsid w:val="115F67A8"/>
    <w:rsid w:val="1168209E"/>
    <w:rsid w:val="119A7465"/>
    <w:rsid w:val="11C07DA5"/>
    <w:rsid w:val="123B6FD5"/>
    <w:rsid w:val="12413D84"/>
    <w:rsid w:val="12491386"/>
    <w:rsid w:val="127B2E60"/>
    <w:rsid w:val="12DF667C"/>
    <w:rsid w:val="12E55336"/>
    <w:rsid w:val="12E60579"/>
    <w:rsid w:val="130A724C"/>
    <w:rsid w:val="130B4CCD"/>
    <w:rsid w:val="13371015"/>
    <w:rsid w:val="13695B36"/>
    <w:rsid w:val="136C088B"/>
    <w:rsid w:val="1372609F"/>
    <w:rsid w:val="13920429"/>
    <w:rsid w:val="13A82806"/>
    <w:rsid w:val="13CC3B21"/>
    <w:rsid w:val="14092DB2"/>
    <w:rsid w:val="143E3DC5"/>
    <w:rsid w:val="145A6A37"/>
    <w:rsid w:val="1467440F"/>
    <w:rsid w:val="14AD3430"/>
    <w:rsid w:val="14D7277E"/>
    <w:rsid w:val="14E21050"/>
    <w:rsid w:val="14F5646A"/>
    <w:rsid w:val="14F73019"/>
    <w:rsid w:val="15044722"/>
    <w:rsid w:val="15080C95"/>
    <w:rsid w:val="152B7F51"/>
    <w:rsid w:val="15433A9B"/>
    <w:rsid w:val="15AD1F11"/>
    <w:rsid w:val="15BB0D33"/>
    <w:rsid w:val="15D13671"/>
    <w:rsid w:val="15F81DA1"/>
    <w:rsid w:val="15FC2F04"/>
    <w:rsid w:val="16181FAC"/>
    <w:rsid w:val="165B00BA"/>
    <w:rsid w:val="168756A0"/>
    <w:rsid w:val="1697741D"/>
    <w:rsid w:val="16A45A46"/>
    <w:rsid w:val="16B24402"/>
    <w:rsid w:val="16E22D25"/>
    <w:rsid w:val="16F5303A"/>
    <w:rsid w:val="16F94849"/>
    <w:rsid w:val="17045E51"/>
    <w:rsid w:val="172011D4"/>
    <w:rsid w:val="17252C3B"/>
    <w:rsid w:val="173D3649"/>
    <w:rsid w:val="173F0A2E"/>
    <w:rsid w:val="175A07E0"/>
    <w:rsid w:val="17770BC2"/>
    <w:rsid w:val="17860E2F"/>
    <w:rsid w:val="17A119AA"/>
    <w:rsid w:val="17AF1095"/>
    <w:rsid w:val="1813218C"/>
    <w:rsid w:val="181E57CF"/>
    <w:rsid w:val="18454A08"/>
    <w:rsid w:val="18586F2B"/>
    <w:rsid w:val="18656713"/>
    <w:rsid w:val="188C65D3"/>
    <w:rsid w:val="18A70482"/>
    <w:rsid w:val="18CA3EB9"/>
    <w:rsid w:val="18E815ED"/>
    <w:rsid w:val="192F3CC4"/>
    <w:rsid w:val="192F795A"/>
    <w:rsid w:val="1935690C"/>
    <w:rsid w:val="19A766B9"/>
    <w:rsid w:val="19B423DE"/>
    <w:rsid w:val="19BE4F9F"/>
    <w:rsid w:val="19C85C15"/>
    <w:rsid w:val="19CE76BA"/>
    <w:rsid w:val="19F26070"/>
    <w:rsid w:val="19F97C8B"/>
    <w:rsid w:val="1A117A54"/>
    <w:rsid w:val="1A1523CE"/>
    <w:rsid w:val="1A21343D"/>
    <w:rsid w:val="1A3D0DB4"/>
    <w:rsid w:val="1A6513D4"/>
    <w:rsid w:val="1A703458"/>
    <w:rsid w:val="1AA37A2C"/>
    <w:rsid w:val="1AA730BD"/>
    <w:rsid w:val="1AB0786C"/>
    <w:rsid w:val="1AD20CC7"/>
    <w:rsid w:val="1ADF5B23"/>
    <w:rsid w:val="1AE3343E"/>
    <w:rsid w:val="1B162396"/>
    <w:rsid w:val="1B257AD4"/>
    <w:rsid w:val="1B294C9D"/>
    <w:rsid w:val="1B333D5D"/>
    <w:rsid w:val="1B4667CC"/>
    <w:rsid w:val="1B4C6157"/>
    <w:rsid w:val="1B515E62"/>
    <w:rsid w:val="1B587618"/>
    <w:rsid w:val="1B5F19C7"/>
    <w:rsid w:val="1B5F1C25"/>
    <w:rsid w:val="1BEF4851"/>
    <w:rsid w:val="1C1C709B"/>
    <w:rsid w:val="1C4806F1"/>
    <w:rsid w:val="1C690B86"/>
    <w:rsid w:val="1C9F6814"/>
    <w:rsid w:val="1CB369A2"/>
    <w:rsid w:val="1CB731AA"/>
    <w:rsid w:val="1CD65C5D"/>
    <w:rsid w:val="1CDE0462"/>
    <w:rsid w:val="1D1B2A71"/>
    <w:rsid w:val="1D5C514E"/>
    <w:rsid w:val="1D5F7331"/>
    <w:rsid w:val="1D803B43"/>
    <w:rsid w:val="1D85395E"/>
    <w:rsid w:val="1D865D14"/>
    <w:rsid w:val="1D8705EC"/>
    <w:rsid w:val="1DC823F7"/>
    <w:rsid w:val="1DE83924"/>
    <w:rsid w:val="1DED1842"/>
    <w:rsid w:val="1E001284"/>
    <w:rsid w:val="1E20535F"/>
    <w:rsid w:val="1E43150B"/>
    <w:rsid w:val="1E575188"/>
    <w:rsid w:val="1E7D2A2B"/>
    <w:rsid w:val="1E8C2E63"/>
    <w:rsid w:val="1E9E304B"/>
    <w:rsid w:val="1EA93E80"/>
    <w:rsid w:val="1ED33FB6"/>
    <w:rsid w:val="1EE81332"/>
    <w:rsid w:val="1EED2D98"/>
    <w:rsid w:val="1F32415A"/>
    <w:rsid w:val="1F3A560A"/>
    <w:rsid w:val="1F466CDC"/>
    <w:rsid w:val="1F5A4199"/>
    <w:rsid w:val="1F7E2174"/>
    <w:rsid w:val="1F8964CB"/>
    <w:rsid w:val="1FBC5EF2"/>
    <w:rsid w:val="1FC32513"/>
    <w:rsid w:val="1FE258CB"/>
    <w:rsid w:val="200D253F"/>
    <w:rsid w:val="20107567"/>
    <w:rsid w:val="202A27D1"/>
    <w:rsid w:val="20631369"/>
    <w:rsid w:val="208717DB"/>
    <w:rsid w:val="20AB56C6"/>
    <w:rsid w:val="20D52D39"/>
    <w:rsid w:val="20F2001C"/>
    <w:rsid w:val="212C13E3"/>
    <w:rsid w:val="21545FA4"/>
    <w:rsid w:val="2176507C"/>
    <w:rsid w:val="219E32F8"/>
    <w:rsid w:val="21BA10C4"/>
    <w:rsid w:val="21BE35AF"/>
    <w:rsid w:val="21C11174"/>
    <w:rsid w:val="22244B28"/>
    <w:rsid w:val="22467FD4"/>
    <w:rsid w:val="22784511"/>
    <w:rsid w:val="229451FD"/>
    <w:rsid w:val="22A12DB6"/>
    <w:rsid w:val="22AA3280"/>
    <w:rsid w:val="22C97F89"/>
    <w:rsid w:val="23195423"/>
    <w:rsid w:val="23252EAE"/>
    <w:rsid w:val="23400B66"/>
    <w:rsid w:val="23510E00"/>
    <w:rsid w:val="236356D1"/>
    <w:rsid w:val="23A91C83"/>
    <w:rsid w:val="23C94380"/>
    <w:rsid w:val="23C962E8"/>
    <w:rsid w:val="23F628B3"/>
    <w:rsid w:val="241779D8"/>
    <w:rsid w:val="241F0332"/>
    <w:rsid w:val="24373239"/>
    <w:rsid w:val="243954FA"/>
    <w:rsid w:val="244E64C3"/>
    <w:rsid w:val="246818DB"/>
    <w:rsid w:val="246E4D46"/>
    <w:rsid w:val="247E4FED"/>
    <w:rsid w:val="248E7864"/>
    <w:rsid w:val="249B7324"/>
    <w:rsid w:val="24B30BE8"/>
    <w:rsid w:val="24C6643F"/>
    <w:rsid w:val="24E31A74"/>
    <w:rsid w:val="24E34060"/>
    <w:rsid w:val="24E42F6F"/>
    <w:rsid w:val="24E73693"/>
    <w:rsid w:val="25143CB6"/>
    <w:rsid w:val="25275183"/>
    <w:rsid w:val="253A0491"/>
    <w:rsid w:val="25491B20"/>
    <w:rsid w:val="25851E17"/>
    <w:rsid w:val="25AE12D9"/>
    <w:rsid w:val="25E036B2"/>
    <w:rsid w:val="25E9082A"/>
    <w:rsid w:val="25EA57D5"/>
    <w:rsid w:val="25F42473"/>
    <w:rsid w:val="25FF7AB9"/>
    <w:rsid w:val="26701A1C"/>
    <w:rsid w:val="267A2E85"/>
    <w:rsid w:val="267E2DFB"/>
    <w:rsid w:val="267F0FB7"/>
    <w:rsid w:val="26AA1A7C"/>
    <w:rsid w:val="26AF2D79"/>
    <w:rsid w:val="26B34B91"/>
    <w:rsid w:val="26DD6B95"/>
    <w:rsid w:val="270701F0"/>
    <w:rsid w:val="270D0281"/>
    <w:rsid w:val="270D66E8"/>
    <w:rsid w:val="27514612"/>
    <w:rsid w:val="278B0DAB"/>
    <w:rsid w:val="279C6B0E"/>
    <w:rsid w:val="27A64735"/>
    <w:rsid w:val="27CC4DF2"/>
    <w:rsid w:val="27E22DFD"/>
    <w:rsid w:val="27E523B1"/>
    <w:rsid w:val="27E77285"/>
    <w:rsid w:val="281864F2"/>
    <w:rsid w:val="28287CEE"/>
    <w:rsid w:val="285C301A"/>
    <w:rsid w:val="286903EF"/>
    <w:rsid w:val="287F5DD3"/>
    <w:rsid w:val="288047CB"/>
    <w:rsid w:val="289E62FA"/>
    <w:rsid w:val="28AB671E"/>
    <w:rsid w:val="28BA30C3"/>
    <w:rsid w:val="28D72A57"/>
    <w:rsid w:val="291E2CA6"/>
    <w:rsid w:val="29331862"/>
    <w:rsid w:val="29514925"/>
    <w:rsid w:val="298E421D"/>
    <w:rsid w:val="299E147F"/>
    <w:rsid w:val="29C32A87"/>
    <w:rsid w:val="29CF070E"/>
    <w:rsid w:val="29CF26DC"/>
    <w:rsid w:val="2A1C5DA0"/>
    <w:rsid w:val="2A200D39"/>
    <w:rsid w:val="2A507EFF"/>
    <w:rsid w:val="2A9248E5"/>
    <w:rsid w:val="2A931BAD"/>
    <w:rsid w:val="2ACB3B45"/>
    <w:rsid w:val="2ADC05A4"/>
    <w:rsid w:val="2B6F0D7F"/>
    <w:rsid w:val="2B797443"/>
    <w:rsid w:val="2B8716BD"/>
    <w:rsid w:val="2B8B76FF"/>
    <w:rsid w:val="2B906D86"/>
    <w:rsid w:val="2BAF763B"/>
    <w:rsid w:val="2BD5034F"/>
    <w:rsid w:val="2C0B6845"/>
    <w:rsid w:val="2C164021"/>
    <w:rsid w:val="2C4E3791"/>
    <w:rsid w:val="2C8A2821"/>
    <w:rsid w:val="2CC04EFA"/>
    <w:rsid w:val="2CF750C7"/>
    <w:rsid w:val="2D025012"/>
    <w:rsid w:val="2D120D4B"/>
    <w:rsid w:val="2D4178F0"/>
    <w:rsid w:val="2D690C0D"/>
    <w:rsid w:val="2D6C5D01"/>
    <w:rsid w:val="2D9C5B61"/>
    <w:rsid w:val="2DA535EC"/>
    <w:rsid w:val="2DAE631A"/>
    <w:rsid w:val="2DD877E0"/>
    <w:rsid w:val="2DE33AEA"/>
    <w:rsid w:val="2DE616C9"/>
    <w:rsid w:val="2DE6471C"/>
    <w:rsid w:val="2DFC2451"/>
    <w:rsid w:val="2E060EEA"/>
    <w:rsid w:val="2E100FE3"/>
    <w:rsid w:val="2E110022"/>
    <w:rsid w:val="2E3422F8"/>
    <w:rsid w:val="2E392F37"/>
    <w:rsid w:val="2E4D582F"/>
    <w:rsid w:val="2E6931B3"/>
    <w:rsid w:val="2E6D31FB"/>
    <w:rsid w:val="2E6E566D"/>
    <w:rsid w:val="2E7F188E"/>
    <w:rsid w:val="2EA85F24"/>
    <w:rsid w:val="2EAF2917"/>
    <w:rsid w:val="2EB2312B"/>
    <w:rsid w:val="2EBC0905"/>
    <w:rsid w:val="2EC73739"/>
    <w:rsid w:val="2ECD3C8A"/>
    <w:rsid w:val="2EE95803"/>
    <w:rsid w:val="2EF75A9F"/>
    <w:rsid w:val="2EFB1B0E"/>
    <w:rsid w:val="2F521E67"/>
    <w:rsid w:val="2F5C684F"/>
    <w:rsid w:val="2F7B3E4B"/>
    <w:rsid w:val="2FB67DA1"/>
    <w:rsid w:val="2FE45F3B"/>
    <w:rsid w:val="2FF40AC8"/>
    <w:rsid w:val="303A20E7"/>
    <w:rsid w:val="304C4B41"/>
    <w:rsid w:val="307776D1"/>
    <w:rsid w:val="30862574"/>
    <w:rsid w:val="30A7194D"/>
    <w:rsid w:val="30A77875"/>
    <w:rsid w:val="30B631E1"/>
    <w:rsid w:val="311933AA"/>
    <w:rsid w:val="31611C9E"/>
    <w:rsid w:val="317550C0"/>
    <w:rsid w:val="317D15BB"/>
    <w:rsid w:val="31934D3E"/>
    <w:rsid w:val="31D07E6C"/>
    <w:rsid w:val="31D574D0"/>
    <w:rsid w:val="31DD1A92"/>
    <w:rsid w:val="31F67A05"/>
    <w:rsid w:val="323F65DA"/>
    <w:rsid w:val="32412074"/>
    <w:rsid w:val="32422082"/>
    <w:rsid w:val="325B63D6"/>
    <w:rsid w:val="325E3EE7"/>
    <w:rsid w:val="32A0644D"/>
    <w:rsid w:val="32B77AC3"/>
    <w:rsid w:val="32D0705C"/>
    <w:rsid w:val="32DD7D02"/>
    <w:rsid w:val="32DE0199"/>
    <w:rsid w:val="33334E8E"/>
    <w:rsid w:val="335B2774"/>
    <w:rsid w:val="3364565D"/>
    <w:rsid w:val="337E5276"/>
    <w:rsid w:val="33A4642E"/>
    <w:rsid w:val="33A877AB"/>
    <w:rsid w:val="33B02259"/>
    <w:rsid w:val="33C44FD3"/>
    <w:rsid w:val="33D37851"/>
    <w:rsid w:val="33D4039C"/>
    <w:rsid w:val="33D47E05"/>
    <w:rsid w:val="340017FF"/>
    <w:rsid w:val="3413677D"/>
    <w:rsid w:val="342B544B"/>
    <w:rsid w:val="342C7624"/>
    <w:rsid w:val="343839A4"/>
    <w:rsid w:val="343E2DC2"/>
    <w:rsid w:val="345E036E"/>
    <w:rsid w:val="349138EA"/>
    <w:rsid w:val="349D0BDD"/>
    <w:rsid w:val="34DE1E4F"/>
    <w:rsid w:val="34F07DB1"/>
    <w:rsid w:val="350420D4"/>
    <w:rsid w:val="351224A5"/>
    <w:rsid w:val="352B6E83"/>
    <w:rsid w:val="353046F2"/>
    <w:rsid w:val="354D2044"/>
    <w:rsid w:val="356157C6"/>
    <w:rsid w:val="35831650"/>
    <w:rsid w:val="358D07D1"/>
    <w:rsid w:val="35B0692A"/>
    <w:rsid w:val="35D328DF"/>
    <w:rsid w:val="35D354B8"/>
    <w:rsid w:val="35D4025C"/>
    <w:rsid w:val="35D72186"/>
    <w:rsid w:val="35F516ED"/>
    <w:rsid w:val="35FC2392"/>
    <w:rsid w:val="36066C4F"/>
    <w:rsid w:val="36263487"/>
    <w:rsid w:val="362666BC"/>
    <w:rsid w:val="364517CF"/>
    <w:rsid w:val="364A7982"/>
    <w:rsid w:val="36513CE6"/>
    <w:rsid w:val="366478E6"/>
    <w:rsid w:val="366D14E9"/>
    <w:rsid w:val="368A6B11"/>
    <w:rsid w:val="36931098"/>
    <w:rsid w:val="36A77DAA"/>
    <w:rsid w:val="37050B22"/>
    <w:rsid w:val="37085B1F"/>
    <w:rsid w:val="372E04CB"/>
    <w:rsid w:val="3762046C"/>
    <w:rsid w:val="376A7E9C"/>
    <w:rsid w:val="376B5C1E"/>
    <w:rsid w:val="37742729"/>
    <w:rsid w:val="3790083E"/>
    <w:rsid w:val="37A92DDE"/>
    <w:rsid w:val="37C77814"/>
    <w:rsid w:val="382C7B34"/>
    <w:rsid w:val="38662298"/>
    <w:rsid w:val="38715CEA"/>
    <w:rsid w:val="388A3751"/>
    <w:rsid w:val="38CE513F"/>
    <w:rsid w:val="38D65199"/>
    <w:rsid w:val="38E070F2"/>
    <w:rsid w:val="39034314"/>
    <w:rsid w:val="390B0AC4"/>
    <w:rsid w:val="390D33AB"/>
    <w:rsid w:val="3916419B"/>
    <w:rsid w:val="391E6D06"/>
    <w:rsid w:val="393A3C1D"/>
    <w:rsid w:val="3965541C"/>
    <w:rsid w:val="39673821"/>
    <w:rsid w:val="39825EE7"/>
    <w:rsid w:val="399C2315"/>
    <w:rsid w:val="39A3641C"/>
    <w:rsid w:val="39A93BA9"/>
    <w:rsid w:val="39BF24C9"/>
    <w:rsid w:val="39CE5179"/>
    <w:rsid w:val="3A074847"/>
    <w:rsid w:val="3A3B3117"/>
    <w:rsid w:val="3AA10261"/>
    <w:rsid w:val="3AA90FE6"/>
    <w:rsid w:val="3AA9318F"/>
    <w:rsid w:val="3AB62DA0"/>
    <w:rsid w:val="3AC61BD3"/>
    <w:rsid w:val="3AFF5495"/>
    <w:rsid w:val="3B051543"/>
    <w:rsid w:val="3B111E76"/>
    <w:rsid w:val="3B1726EF"/>
    <w:rsid w:val="3B4F7D1F"/>
    <w:rsid w:val="3B510C66"/>
    <w:rsid w:val="3B653103"/>
    <w:rsid w:val="3B7D3FD5"/>
    <w:rsid w:val="3B823DDF"/>
    <w:rsid w:val="3BAB4D14"/>
    <w:rsid w:val="3BAC7AF6"/>
    <w:rsid w:val="3BB956C1"/>
    <w:rsid w:val="3BDA7D0C"/>
    <w:rsid w:val="3C01177E"/>
    <w:rsid w:val="3C084B3D"/>
    <w:rsid w:val="3C237ED3"/>
    <w:rsid w:val="3C3C1178"/>
    <w:rsid w:val="3C91192E"/>
    <w:rsid w:val="3CAA596A"/>
    <w:rsid w:val="3CB1587B"/>
    <w:rsid w:val="3CB735F2"/>
    <w:rsid w:val="3CBE0C38"/>
    <w:rsid w:val="3CC372BE"/>
    <w:rsid w:val="3CED621B"/>
    <w:rsid w:val="3D0A123D"/>
    <w:rsid w:val="3D0C5F6A"/>
    <w:rsid w:val="3D186684"/>
    <w:rsid w:val="3D363C36"/>
    <w:rsid w:val="3D397557"/>
    <w:rsid w:val="3D4C7C96"/>
    <w:rsid w:val="3D61755A"/>
    <w:rsid w:val="3D635B43"/>
    <w:rsid w:val="3D8B2178"/>
    <w:rsid w:val="3D9364A0"/>
    <w:rsid w:val="3DB34909"/>
    <w:rsid w:val="3DD115F5"/>
    <w:rsid w:val="3DE435F0"/>
    <w:rsid w:val="3DE5122C"/>
    <w:rsid w:val="3DF37E53"/>
    <w:rsid w:val="3E134150"/>
    <w:rsid w:val="3E1E6276"/>
    <w:rsid w:val="3E985F3F"/>
    <w:rsid w:val="3ED26DE9"/>
    <w:rsid w:val="3ED51606"/>
    <w:rsid w:val="3EED17D0"/>
    <w:rsid w:val="3EF96F7D"/>
    <w:rsid w:val="3F0C0304"/>
    <w:rsid w:val="3F0F7A7F"/>
    <w:rsid w:val="3F2C09B1"/>
    <w:rsid w:val="3FDB6617"/>
    <w:rsid w:val="3FEC147E"/>
    <w:rsid w:val="40036A74"/>
    <w:rsid w:val="4003755E"/>
    <w:rsid w:val="400D1324"/>
    <w:rsid w:val="401B03DB"/>
    <w:rsid w:val="4024153A"/>
    <w:rsid w:val="402853D1"/>
    <w:rsid w:val="403703F1"/>
    <w:rsid w:val="40376375"/>
    <w:rsid w:val="404A563B"/>
    <w:rsid w:val="40815A60"/>
    <w:rsid w:val="408546CF"/>
    <w:rsid w:val="40A13D96"/>
    <w:rsid w:val="40C84E1D"/>
    <w:rsid w:val="40E55F7F"/>
    <w:rsid w:val="41064BEA"/>
    <w:rsid w:val="412732B7"/>
    <w:rsid w:val="4127791F"/>
    <w:rsid w:val="41281794"/>
    <w:rsid w:val="413C1FDF"/>
    <w:rsid w:val="414D1B28"/>
    <w:rsid w:val="415512BB"/>
    <w:rsid w:val="41806A69"/>
    <w:rsid w:val="4185761F"/>
    <w:rsid w:val="41B0259C"/>
    <w:rsid w:val="41B3295A"/>
    <w:rsid w:val="41BC6F1C"/>
    <w:rsid w:val="41EA2E34"/>
    <w:rsid w:val="41EF2363"/>
    <w:rsid w:val="41F77860"/>
    <w:rsid w:val="42125648"/>
    <w:rsid w:val="421E4A73"/>
    <w:rsid w:val="42217CAC"/>
    <w:rsid w:val="424A4B98"/>
    <w:rsid w:val="42581D3A"/>
    <w:rsid w:val="4262787F"/>
    <w:rsid w:val="42643391"/>
    <w:rsid w:val="426E2C81"/>
    <w:rsid w:val="42D011BC"/>
    <w:rsid w:val="42FE0080"/>
    <w:rsid w:val="430F4676"/>
    <w:rsid w:val="43315D2E"/>
    <w:rsid w:val="43824A1C"/>
    <w:rsid w:val="4390486D"/>
    <w:rsid w:val="4399333D"/>
    <w:rsid w:val="43B2241F"/>
    <w:rsid w:val="43B70D36"/>
    <w:rsid w:val="43C3013B"/>
    <w:rsid w:val="43CE64CC"/>
    <w:rsid w:val="43D110E1"/>
    <w:rsid w:val="43E873C9"/>
    <w:rsid w:val="44181DC4"/>
    <w:rsid w:val="44250817"/>
    <w:rsid w:val="4429652B"/>
    <w:rsid w:val="44905B1F"/>
    <w:rsid w:val="45007767"/>
    <w:rsid w:val="450734F3"/>
    <w:rsid w:val="4523357B"/>
    <w:rsid w:val="45316885"/>
    <w:rsid w:val="453B3049"/>
    <w:rsid w:val="453F0643"/>
    <w:rsid w:val="45682DFA"/>
    <w:rsid w:val="458C735B"/>
    <w:rsid w:val="459455AC"/>
    <w:rsid w:val="45A95EE9"/>
    <w:rsid w:val="45D35790"/>
    <w:rsid w:val="45FB0F21"/>
    <w:rsid w:val="460C59D7"/>
    <w:rsid w:val="4615106E"/>
    <w:rsid w:val="46167166"/>
    <w:rsid w:val="461A2194"/>
    <w:rsid w:val="4622247F"/>
    <w:rsid w:val="462E6C42"/>
    <w:rsid w:val="464473C4"/>
    <w:rsid w:val="465E515F"/>
    <w:rsid w:val="46901553"/>
    <w:rsid w:val="469B1BC5"/>
    <w:rsid w:val="469E62EA"/>
    <w:rsid w:val="46C1577B"/>
    <w:rsid w:val="46F450DE"/>
    <w:rsid w:val="46F91E7C"/>
    <w:rsid w:val="46FF21F6"/>
    <w:rsid w:val="47131BFB"/>
    <w:rsid w:val="47200EE3"/>
    <w:rsid w:val="47435AC2"/>
    <w:rsid w:val="47544B78"/>
    <w:rsid w:val="47587AF7"/>
    <w:rsid w:val="476E0E9F"/>
    <w:rsid w:val="47745A86"/>
    <w:rsid w:val="479010F6"/>
    <w:rsid w:val="47A52B16"/>
    <w:rsid w:val="47AC17F9"/>
    <w:rsid w:val="47B93F31"/>
    <w:rsid w:val="47E239AC"/>
    <w:rsid w:val="480F4B73"/>
    <w:rsid w:val="48580F04"/>
    <w:rsid w:val="48602ADC"/>
    <w:rsid w:val="486F6565"/>
    <w:rsid w:val="48886075"/>
    <w:rsid w:val="48CD3476"/>
    <w:rsid w:val="48DB38E3"/>
    <w:rsid w:val="48F5140F"/>
    <w:rsid w:val="49001B5E"/>
    <w:rsid w:val="490552B7"/>
    <w:rsid w:val="49376DB0"/>
    <w:rsid w:val="4957740E"/>
    <w:rsid w:val="49804BB7"/>
    <w:rsid w:val="49826DCB"/>
    <w:rsid w:val="4984282A"/>
    <w:rsid w:val="499013E7"/>
    <w:rsid w:val="49B95283"/>
    <w:rsid w:val="49C8088A"/>
    <w:rsid w:val="49CB23A5"/>
    <w:rsid w:val="49F0795B"/>
    <w:rsid w:val="4A301C93"/>
    <w:rsid w:val="4A3302AB"/>
    <w:rsid w:val="4A7F3A12"/>
    <w:rsid w:val="4AC85D49"/>
    <w:rsid w:val="4ACB4AB2"/>
    <w:rsid w:val="4AE308A9"/>
    <w:rsid w:val="4B294DDA"/>
    <w:rsid w:val="4B2F60E9"/>
    <w:rsid w:val="4B3E6D0C"/>
    <w:rsid w:val="4B8F44A9"/>
    <w:rsid w:val="4B9A1456"/>
    <w:rsid w:val="4BA32C82"/>
    <w:rsid w:val="4BAD1567"/>
    <w:rsid w:val="4BBD4EE7"/>
    <w:rsid w:val="4BD73978"/>
    <w:rsid w:val="4BE70627"/>
    <w:rsid w:val="4C0A5AE1"/>
    <w:rsid w:val="4C130AB8"/>
    <w:rsid w:val="4C391ADB"/>
    <w:rsid w:val="4C5A284D"/>
    <w:rsid w:val="4C63431C"/>
    <w:rsid w:val="4CB571EA"/>
    <w:rsid w:val="4CB96B43"/>
    <w:rsid w:val="4CC75FCC"/>
    <w:rsid w:val="4CD63947"/>
    <w:rsid w:val="4CF3344B"/>
    <w:rsid w:val="4CFC49F4"/>
    <w:rsid w:val="4D073D73"/>
    <w:rsid w:val="4D1E27BA"/>
    <w:rsid w:val="4D23574A"/>
    <w:rsid w:val="4D3B12BD"/>
    <w:rsid w:val="4D4C4DB0"/>
    <w:rsid w:val="4D6238ED"/>
    <w:rsid w:val="4D6B06B3"/>
    <w:rsid w:val="4D7322D5"/>
    <w:rsid w:val="4D865EF5"/>
    <w:rsid w:val="4DD7034C"/>
    <w:rsid w:val="4DE312CB"/>
    <w:rsid w:val="4DF5318E"/>
    <w:rsid w:val="4E1F4862"/>
    <w:rsid w:val="4E2B0F4A"/>
    <w:rsid w:val="4E2E4393"/>
    <w:rsid w:val="4E34765B"/>
    <w:rsid w:val="4E535EF2"/>
    <w:rsid w:val="4E56234E"/>
    <w:rsid w:val="4E7F7C36"/>
    <w:rsid w:val="4EF11A75"/>
    <w:rsid w:val="4EF73440"/>
    <w:rsid w:val="4F08773C"/>
    <w:rsid w:val="4F31409F"/>
    <w:rsid w:val="4F4437CC"/>
    <w:rsid w:val="4F5C0D3C"/>
    <w:rsid w:val="4F5E670E"/>
    <w:rsid w:val="4F830A4B"/>
    <w:rsid w:val="4F846A83"/>
    <w:rsid w:val="4F9F566B"/>
    <w:rsid w:val="4FE52410"/>
    <w:rsid w:val="50070E2C"/>
    <w:rsid w:val="500E01E6"/>
    <w:rsid w:val="502F619C"/>
    <w:rsid w:val="504B57F2"/>
    <w:rsid w:val="505C5D66"/>
    <w:rsid w:val="50631D77"/>
    <w:rsid w:val="509A4341"/>
    <w:rsid w:val="50B72BFD"/>
    <w:rsid w:val="50C62BC7"/>
    <w:rsid w:val="50F72A66"/>
    <w:rsid w:val="510A39E4"/>
    <w:rsid w:val="5123368C"/>
    <w:rsid w:val="512B012E"/>
    <w:rsid w:val="5130747C"/>
    <w:rsid w:val="51527191"/>
    <w:rsid w:val="515C765A"/>
    <w:rsid w:val="516610D8"/>
    <w:rsid w:val="51825244"/>
    <w:rsid w:val="51905BB3"/>
    <w:rsid w:val="51946FCB"/>
    <w:rsid w:val="519E7677"/>
    <w:rsid w:val="51A05024"/>
    <w:rsid w:val="51AC60FD"/>
    <w:rsid w:val="51DD796B"/>
    <w:rsid w:val="51DF373B"/>
    <w:rsid w:val="521066B1"/>
    <w:rsid w:val="5266163F"/>
    <w:rsid w:val="527D59E1"/>
    <w:rsid w:val="52EF4CB5"/>
    <w:rsid w:val="52F959F0"/>
    <w:rsid w:val="52FF21DE"/>
    <w:rsid w:val="5302488E"/>
    <w:rsid w:val="53136173"/>
    <w:rsid w:val="53645473"/>
    <w:rsid w:val="539A4AC7"/>
    <w:rsid w:val="53D004E8"/>
    <w:rsid w:val="542631B6"/>
    <w:rsid w:val="545F0C78"/>
    <w:rsid w:val="54647343"/>
    <w:rsid w:val="54A61722"/>
    <w:rsid w:val="54B31FAF"/>
    <w:rsid w:val="54FB4092"/>
    <w:rsid w:val="5520610B"/>
    <w:rsid w:val="5524472E"/>
    <w:rsid w:val="55326D63"/>
    <w:rsid w:val="55484F36"/>
    <w:rsid w:val="555D1A10"/>
    <w:rsid w:val="557F6D1A"/>
    <w:rsid w:val="55CE2B4A"/>
    <w:rsid w:val="560449EF"/>
    <w:rsid w:val="56152B28"/>
    <w:rsid w:val="562338FD"/>
    <w:rsid w:val="56440315"/>
    <w:rsid w:val="56574DB7"/>
    <w:rsid w:val="566766E5"/>
    <w:rsid w:val="568A5206"/>
    <w:rsid w:val="56AC4A78"/>
    <w:rsid w:val="56BE449A"/>
    <w:rsid w:val="56C502EA"/>
    <w:rsid w:val="56DB16B9"/>
    <w:rsid w:val="56DE4C90"/>
    <w:rsid w:val="56F03CB1"/>
    <w:rsid w:val="572F3F4E"/>
    <w:rsid w:val="57442EFB"/>
    <w:rsid w:val="574436DA"/>
    <w:rsid w:val="577A3463"/>
    <w:rsid w:val="57DB3DF1"/>
    <w:rsid w:val="57F967AD"/>
    <w:rsid w:val="58052975"/>
    <w:rsid w:val="582D112D"/>
    <w:rsid w:val="583152CE"/>
    <w:rsid w:val="58AF0BB8"/>
    <w:rsid w:val="58D802CE"/>
    <w:rsid w:val="58E30CDD"/>
    <w:rsid w:val="58E525CA"/>
    <w:rsid w:val="59351174"/>
    <w:rsid w:val="593B5DDE"/>
    <w:rsid w:val="593D045A"/>
    <w:rsid w:val="59473F47"/>
    <w:rsid w:val="5960739E"/>
    <w:rsid w:val="59896D0A"/>
    <w:rsid w:val="59B72684"/>
    <w:rsid w:val="59CC6E29"/>
    <w:rsid w:val="59CE7D0B"/>
    <w:rsid w:val="59CF110D"/>
    <w:rsid w:val="59F66B3A"/>
    <w:rsid w:val="5A0532BF"/>
    <w:rsid w:val="5A3B615E"/>
    <w:rsid w:val="5A6E4EEC"/>
    <w:rsid w:val="5A9579AE"/>
    <w:rsid w:val="5AC468CD"/>
    <w:rsid w:val="5ACB1A0A"/>
    <w:rsid w:val="5ACB3B4E"/>
    <w:rsid w:val="5B342B9A"/>
    <w:rsid w:val="5B3936BE"/>
    <w:rsid w:val="5B492591"/>
    <w:rsid w:val="5B507A5E"/>
    <w:rsid w:val="5B5953B0"/>
    <w:rsid w:val="5B5B1AB4"/>
    <w:rsid w:val="5B615779"/>
    <w:rsid w:val="5B630802"/>
    <w:rsid w:val="5B6C52EF"/>
    <w:rsid w:val="5B721297"/>
    <w:rsid w:val="5B807F68"/>
    <w:rsid w:val="5B8F793D"/>
    <w:rsid w:val="5B93724D"/>
    <w:rsid w:val="5B944CCF"/>
    <w:rsid w:val="5BA0711B"/>
    <w:rsid w:val="5BF232F7"/>
    <w:rsid w:val="5BFB631F"/>
    <w:rsid w:val="5C034D53"/>
    <w:rsid w:val="5C903B7A"/>
    <w:rsid w:val="5CEE76A1"/>
    <w:rsid w:val="5D0C57B5"/>
    <w:rsid w:val="5D153EC6"/>
    <w:rsid w:val="5D200EFB"/>
    <w:rsid w:val="5D8D085B"/>
    <w:rsid w:val="5D9539D7"/>
    <w:rsid w:val="5DBF6C59"/>
    <w:rsid w:val="5DE578F6"/>
    <w:rsid w:val="5E1D6F56"/>
    <w:rsid w:val="5E4333EB"/>
    <w:rsid w:val="5E52187F"/>
    <w:rsid w:val="5E6A13CD"/>
    <w:rsid w:val="5E705D15"/>
    <w:rsid w:val="5E92274E"/>
    <w:rsid w:val="5E93326C"/>
    <w:rsid w:val="5E9F1A7A"/>
    <w:rsid w:val="5EAB19DE"/>
    <w:rsid w:val="5EFB4BA4"/>
    <w:rsid w:val="5F0535BA"/>
    <w:rsid w:val="5F0A2EB1"/>
    <w:rsid w:val="5F1F3F1B"/>
    <w:rsid w:val="5F5F46B5"/>
    <w:rsid w:val="5F6505FD"/>
    <w:rsid w:val="5F654690"/>
    <w:rsid w:val="5F746EA8"/>
    <w:rsid w:val="5F895CFD"/>
    <w:rsid w:val="5FB25360"/>
    <w:rsid w:val="5FBA3CC0"/>
    <w:rsid w:val="5FD90D61"/>
    <w:rsid w:val="60122598"/>
    <w:rsid w:val="60177697"/>
    <w:rsid w:val="602329DB"/>
    <w:rsid w:val="602C13CC"/>
    <w:rsid w:val="603C30B0"/>
    <w:rsid w:val="60736DCB"/>
    <w:rsid w:val="607777D6"/>
    <w:rsid w:val="607B63D6"/>
    <w:rsid w:val="607D4389"/>
    <w:rsid w:val="60911000"/>
    <w:rsid w:val="60996A4F"/>
    <w:rsid w:val="60BC76A1"/>
    <w:rsid w:val="61021EFD"/>
    <w:rsid w:val="610B7637"/>
    <w:rsid w:val="612631A2"/>
    <w:rsid w:val="615F5624"/>
    <w:rsid w:val="61720EED"/>
    <w:rsid w:val="61BE4076"/>
    <w:rsid w:val="61C70B52"/>
    <w:rsid w:val="61D215CF"/>
    <w:rsid w:val="622A5268"/>
    <w:rsid w:val="622C5484"/>
    <w:rsid w:val="623C3E38"/>
    <w:rsid w:val="624049E0"/>
    <w:rsid w:val="625C563D"/>
    <w:rsid w:val="626A1704"/>
    <w:rsid w:val="628C1BC6"/>
    <w:rsid w:val="62AD7E76"/>
    <w:rsid w:val="62B362C8"/>
    <w:rsid w:val="62B97A94"/>
    <w:rsid w:val="62C1330E"/>
    <w:rsid w:val="62FD5F86"/>
    <w:rsid w:val="62FD6475"/>
    <w:rsid w:val="630C5A29"/>
    <w:rsid w:val="630D3DF3"/>
    <w:rsid w:val="6342085E"/>
    <w:rsid w:val="636F415C"/>
    <w:rsid w:val="63754A1B"/>
    <w:rsid w:val="63852ED6"/>
    <w:rsid w:val="63F40F8B"/>
    <w:rsid w:val="640F4C9F"/>
    <w:rsid w:val="64372D3D"/>
    <w:rsid w:val="64785A9C"/>
    <w:rsid w:val="64917820"/>
    <w:rsid w:val="64AA1CC5"/>
    <w:rsid w:val="651C646F"/>
    <w:rsid w:val="651D5BE5"/>
    <w:rsid w:val="65204E75"/>
    <w:rsid w:val="656B2909"/>
    <w:rsid w:val="65A3045D"/>
    <w:rsid w:val="65AD2015"/>
    <w:rsid w:val="65C04C39"/>
    <w:rsid w:val="65C222CF"/>
    <w:rsid w:val="65D97752"/>
    <w:rsid w:val="65E25E59"/>
    <w:rsid w:val="65F903DC"/>
    <w:rsid w:val="65FB005C"/>
    <w:rsid w:val="6609788A"/>
    <w:rsid w:val="661047DD"/>
    <w:rsid w:val="661C4D37"/>
    <w:rsid w:val="66242736"/>
    <w:rsid w:val="66307F76"/>
    <w:rsid w:val="663B69C4"/>
    <w:rsid w:val="66564F2B"/>
    <w:rsid w:val="66580EAF"/>
    <w:rsid w:val="66694D0D"/>
    <w:rsid w:val="66771EDD"/>
    <w:rsid w:val="667A1C2F"/>
    <w:rsid w:val="667B4472"/>
    <w:rsid w:val="66AA6977"/>
    <w:rsid w:val="66D435C2"/>
    <w:rsid w:val="66E40473"/>
    <w:rsid w:val="66EB550E"/>
    <w:rsid w:val="66F041A8"/>
    <w:rsid w:val="67056EA1"/>
    <w:rsid w:val="671109C3"/>
    <w:rsid w:val="6721178A"/>
    <w:rsid w:val="6739399A"/>
    <w:rsid w:val="673F39DE"/>
    <w:rsid w:val="674C5D22"/>
    <w:rsid w:val="67663AF8"/>
    <w:rsid w:val="67762CFD"/>
    <w:rsid w:val="6777598C"/>
    <w:rsid w:val="677A678D"/>
    <w:rsid w:val="67815A82"/>
    <w:rsid w:val="67980D1B"/>
    <w:rsid w:val="68011379"/>
    <w:rsid w:val="680D1D06"/>
    <w:rsid w:val="681462BE"/>
    <w:rsid w:val="68157452"/>
    <w:rsid w:val="68252C37"/>
    <w:rsid w:val="683C7AA3"/>
    <w:rsid w:val="68817BAC"/>
    <w:rsid w:val="68852F89"/>
    <w:rsid w:val="689A5E59"/>
    <w:rsid w:val="68BF65E6"/>
    <w:rsid w:val="68CC4C87"/>
    <w:rsid w:val="68EE72DF"/>
    <w:rsid w:val="692E2EB0"/>
    <w:rsid w:val="69485FEA"/>
    <w:rsid w:val="694C7BCA"/>
    <w:rsid w:val="69677DC0"/>
    <w:rsid w:val="69937EC7"/>
    <w:rsid w:val="69D64558"/>
    <w:rsid w:val="69E23E3D"/>
    <w:rsid w:val="6A042548"/>
    <w:rsid w:val="6A304492"/>
    <w:rsid w:val="6A471EFD"/>
    <w:rsid w:val="6A5B587F"/>
    <w:rsid w:val="6A90616B"/>
    <w:rsid w:val="6AA64288"/>
    <w:rsid w:val="6AB57116"/>
    <w:rsid w:val="6AE73176"/>
    <w:rsid w:val="6B0A525B"/>
    <w:rsid w:val="6B17424A"/>
    <w:rsid w:val="6B2218FA"/>
    <w:rsid w:val="6B691672"/>
    <w:rsid w:val="6B755FDA"/>
    <w:rsid w:val="6B7D64E9"/>
    <w:rsid w:val="6BB640C5"/>
    <w:rsid w:val="6BCF0C2E"/>
    <w:rsid w:val="6BD06892"/>
    <w:rsid w:val="6BE526B4"/>
    <w:rsid w:val="6BE97F42"/>
    <w:rsid w:val="6C3A0859"/>
    <w:rsid w:val="6C416AD8"/>
    <w:rsid w:val="6C5E6A51"/>
    <w:rsid w:val="6C6513C3"/>
    <w:rsid w:val="6C744268"/>
    <w:rsid w:val="6C8407E5"/>
    <w:rsid w:val="6CC60283"/>
    <w:rsid w:val="6CCD388D"/>
    <w:rsid w:val="6CD62D03"/>
    <w:rsid w:val="6CD97FB6"/>
    <w:rsid w:val="6CDA233C"/>
    <w:rsid w:val="6D170809"/>
    <w:rsid w:val="6D4B22B8"/>
    <w:rsid w:val="6D663E0B"/>
    <w:rsid w:val="6D930013"/>
    <w:rsid w:val="6DA828B1"/>
    <w:rsid w:val="6E1374F8"/>
    <w:rsid w:val="6E1A1656"/>
    <w:rsid w:val="6E1C6A73"/>
    <w:rsid w:val="6E231DD6"/>
    <w:rsid w:val="6E337CDC"/>
    <w:rsid w:val="6E404513"/>
    <w:rsid w:val="6E5A5288"/>
    <w:rsid w:val="6E614EA5"/>
    <w:rsid w:val="6E6F0172"/>
    <w:rsid w:val="6E76199A"/>
    <w:rsid w:val="6EA12B0F"/>
    <w:rsid w:val="6EE013EE"/>
    <w:rsid w:val="6EE079F1"/>
    <w:rsid w:val="6EE42C42"/>
    <w:rsid w:val="6F1B5C73"/>
    <w:rsid w:val="6F211A55"/>
    <w:rsid w:val="6F7F7CB0"/>
    <w:rsid w:val="6F952AA2"/>
    <w:rsid w:val="6FBB0A5D"/>
    <w:rsid w:val="6FE0165C"/>
    <w:rsid w:val="6FE6309C"/>
    <w:rsid w:val="6FF0551E"/>
    <w:rsid w:val="700A405F"/>
    <w:rsid w:val="70104DC1"/>
    <w:rsid w:val="70222744"/>
    <w:rsid w:val="7040076C"/>
    <w:rsid w:val="706C7E4E"/>
    <w:rsid w:val="706D2B21"/>
    <w:rsid w:val="7073020B"/>
    <w:rsid w:val="707B1384"/>
    <w:rsid w:val="707E55D4"/>
    <w:rsid w:val="70857A34"/>
    <w:rsid w:val="70985D3C"/>
    <w:rsid w:val="70E64CC7"/>
    <w:rsid w:val="71047C73"/>
    <w:rsid w:val="7109004F"/>
    <w:rsid w:val="710F390D"/>
    <w:rsid w:val="71103167"/>
    <w:rsid w:val="712E56F7"/>
    <w:rsid w:val="7148570A"/>
    <w:rsid w:val="7156627F"/>
    <w:rsid w:val="71642194"/>
    <w:rsid w:val="71691ABB"/>
    <w:rsid w:val="71815087"/>
    <w:rsid w:val="7183799B"/>
    <w:rsid w:val="71AE1AEA"/>
    <w:rsid w:val="71BD3E64"/>
    <w:rsid w:val="71C852BA"/>
    <w:rsid w:val="71CF3B6C"/>
    <w:rsid w:val="71F80F33"/>
    <w:rsid w:val="722111CB"/>
    <w:rsid w:val="722922C6"/>
    <w:rsid w:val="722D46B7"/>
    <w:rsid w:val="722E6D97"/>
    <w:rsid w:val="724D6E70"/>
    <w:rsid w:val="72632F3A"/>
    <w:rsid w:val="728121EC"/>
    <w:rsid w:val="72A56BA8"/>
    <w:rsid w:val="72AB7FF8"/>
    <w:rsid w:val="72BE454D"/>
    <w:rsid w:val="72C05852"/>
    <w:rsid w:val="72F759AB"/>
    <w:rsid w:val="73020F0E"/>
    <w:rsid w:val="730701C4"/>
    <w:rsid w:val="73154F5B"/>
    <w:rsid w:val="732D4B5D"/>
    <w:rsid w:val="73393C88"/>
    <w:rsid w:val="734E3933"/>
    <w:rsid w:val="7362513F"/>
    <w:rsid w:val="7372081D"/>
    <w:rsid w:val="73740A39"/>
    <w:rsid w:val="73771D49"/>
    <w:rsid w:val="737F240C"/>
    <w:rsid w:val="739049CF"/>
    <w:rsid w:val="73A1354E"/>
    <w:rsid w:val="73A91864"/>
    <w:rsid w:val="73AE2AAC"/>
    <w:rsid w:val="73BA5FD6"/>
    <w:rsid w:val="73CD0FA0"/>
    <w:rsid w:val="73E544F1"/>
    <w:rsid w:val="742A10F7"/>
    <w:rsid w:val="74466A1C"/>
    <w:rsid w:val="74A11E7D"/>
    <w:rsid w:val="74AC62F7"/>
    <w:rsid w:val="74B25745"/>
    <w:rsid w:val="74B46F86"/>
    <w:rsid w:val="74F97739"/>
    <w:rsid w:val="74FB18F9"/>
    <w:rsid w:val="75590B0A"/>
    <w:rsid w:val="7582279F"/>
    <w:rsid w:val="75843EB5"/>
    <w:rsid w:val="759F4605"/>
    <w:rsid w:val="75AB44BA"/>
    <w:rsid w:val="75BB71AF"/>
    <w:rsid w:val="75D05731"/>
    <w:rsid w:val="75F01962"/>
    <w:rsid w:val="760E19DF"/>
    <w:rsid w:val="7615653D"/>
    <w:rsid w:val="761B75CE"/>
    <w:rsid w:val="762116DB"/>
    <w:rsid w:val="76517CAC"/>
    <w:rsid w:val="76676A53"/>
    <w:rsid w:val="76741165"/>
    <w:rsid w:val="768153C1"/>
    <w:rsid w:val="769E78D2"/>
    <w:rsid w:val="76B620A1"/>
    <w:rsid w:val="76CF67D0"/>
    <w:rsid w:val="76F20814"/>
    <w:rsid w:val="77001F24"/>
    <w:rsid w:val="770D5E61"/>
    <w:rsid w:val="771B2BF8"/>
    <w:rsid w:val="77214B01"/>
    <w:rsid w:val="77462524"/>
    <w:rsid w:val="7754544E"/>
    <w:rsid w:val="775D7201"/>
    <w:rsid w:val="77673D84"/>
    <w:rsid w:val="7778770E"/>
    <w:rsid w:val="779A7EBA"/>
    <w:rsid w:val="77A21064"/>
    <w:rsid w:val="77A90F64"/>
    <w:rsid w:val="77BA4E88"/>
    <w:rsid w:val="77E34EB2"/>
    <w:rsid w:val="78027672"/>
    <w:rsid w:val="781564B8"/>
    <w:rsid w:val="78224ACF"/>
    <w:rsid w:val="78654DF4"/>
    <w:rsid w:val="788A2AAC"/>
    <w:rsid w:val="78936F61"/>
    <w:rsid w:val="78CD6DCC"/>
    <w:rsid w:val="78D07CAF"/>
    <w:rsid w:val="78DE12D7"/>
    <w:rsid w:val="78FC2038"/>
    <w:rsid w:val="78FC33D7"/>
    <w:rsid w:val="79183D69"/>
    <w:rsid w:val="79210683"/>
    <w:rsid w:val="79951709"/>
    <w:rsid w:val="799C3465"/>
    <w:rsid w:val="79B14EC4"/>
    <w:rsid w:val="79BE1ECC"/>
    <w:rsid w:val="79C066C2"/>
    <w:rsid w:val="79CE69C9"/>
    <w:rsid w:val="7A024BBA"/>
    <w:rsid w:val="7A2A6B4A"/>
    <w:rsid w:val="7A66105B"/>
    <w:rsid w:val="7A681070"/>
    <w:rsid w:val="7A71506F"/>
    <w:rsid w:val="7A7E1B39"/>
    <w:rsid w:val="7A860C7C"/>
    <w:rsid w:val="7A9265A2"/>
    <w:rsid w:val="7AB16925"/>
    <w:rsid w:val="7AB879FE"/>
    <w:rsid w:val="7AC96BBD"/>
    <w:rsid w:val="7B250F87"/>
    <w:rsid w:val="7B3264DD"/>
    <w:rsid w:val="7B7374F2"/>
    <w:rsid w:val="7B81188A"/>
    <w:rsid w:val="7B9C495B"/>
    <w:rsid w:val="7B9E2902"/>
    <w:rsid w:val="7BBA14B3"/>
    <w:rsid w:val="7BC854E2"/>
    <w:rsid w:val="7BED3460"/>
    <w:rsid w:val="7C0562EC"/>
    <w:rsid w:val="7C27683F"/>
    <w:rsid w:val="7C502792"/>
    <w:rsid w:val="7C8B6DF3"/>
    <w:rsid w:val="7C92265B"/>
    <w:rsid w:val="7CB14B4D"/>
    <w:rsid w:val="7CB479A6"/>
    <w:rsid w:val="7CF26969"/>
    <w:rsid w:val="7CF6528D"/>
    <w:rsid w:val="7CF96E16"/>
    <w:rsid w:val="7D0E5A5A"/>
    <w:rsid w:val="7D25523C"/>
    <w:rsid w:val="7D434BA5"/>
    <w:rsid w:val="7D5E1216"/>
    <w:rsid w:val="7D660BE8"/>
    <w:rsid w:val="7DA553F4"/>
    <w:rsid w:val="7DB23041"/>
    <w:rsid w:val="7E003759"/>
    <w:rsid w:val="7E200E4E"/>
    <w:rsid w:val="7E514E49"/>
    <w:rsid w:val="7E5632B4"/>
    <w:rsid w:val="7E5F5463"/>
    <w:rsid w:val="7E5F7809"/>
    <w:rsid w:val="7E66156B"/>
    <w:rsid w:val="7E812A19"/>
    <w:rsid w:val="7EAF2C64"/>
    <w:rsid w:val="7EB22415"/>
    <w:rsid w:val="7EB904A9"/>
    <w:rsid w:val="7ECE5D75"/>
    <w:rsid w:val="7ED56C53"/>
    <w:rsid w:val="7EEA1BAF"/>
    <w:rsid w:val="7EF32454"/>
    <w:rsid w:val="7F051474"/>
    <w:rsid w:val="7F3541C2"/>
    <w:rsid w:val="7F412978"/>
    <w:rsid w:val="7F5460D4"/>
    <w:rsid w:val="7F552892"/>
    <w:rsid w:val="7F6A0F42"/>
    <w:rsid w:val="7F8477C4"/>
    <w:rsid w:val="7F8A5E48"/>
    <w:rsid w:val="7FFD786C"/>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iPriority="9" w:semiHidden="0" w:name="heading 3"/>
    <w:lsdException w:qFormat="1" w:uiPriority="9" w:semiHidden="0" w:name="heading 4"/>
    <w:lsdException w:qFormat="1" w:uiPriority="9" w:semiHidden="0" w:name="heading 5"/>
    <w:lsdException w:qFormat="1" w:uiPriority="9" w:semiHidden="0" w:name="heading 6"/>
    <w:lsdException w:qFormat="1" w:uiPriority="9" w:semiHidden="0" w:name="heading 7"/>
    <w:lsdException w:qFormat="1" w:uiPriority="9" w:name="heading 8"/>
    <w:lsdException w:qFormat="1" w:uiPriority="9" w:name="heading 9"/>
    <w:lsdException w:qFormat="1" w:unhideWhenUsed="0" w:uiPriority="99" w:semiHidden="0" w:name="index 1"/>
    <w:lsdException w:uiPriority="99" w:name="index 2"/>
    <w:lsdException w:uiPriority="99" w:name="index 3"/>
    <w:lsdException w:qFormat="1" w:unhideWhenUsed="0" w:uiPriority="0" w:semiHidden="0" w:name="index 4"/>
    <w:lsdException w:uiPriority="99" w:name="index 5"/>
    <w:lsdException w:qFormat="1" w:unhideWhenUsed="0" w:uiPriority="0" w:semiHidden="0" w:name="index 6"/>
    <w:lsdException w:uiPriority="99" w:name="index 7"/>
    <w:lsdException w:uiPriority="99" w:name="index 8"/>
    <w:lsdException w:uiPriority="99" w:name="index 9"/>
    <w:lsdException w:qFormat="1" w:unhideWhenUsed="0" w:uiPriority="39" w:semiHidden="0" w:name="toc 1"/>
    <w:lsdException w:qFormat="1" w:uiPriority="39" w:semiHidden="0" w:name="toc 2"/>
    <w:lsdException w:qFormat="1" w:unhideWhenUsed="0" w:uiPriority="39" w:semiHidden="0" w:name="toc 3"/>
    <w:lsdException w:qFormat="1" w:unhideWhenUsed="0" w:uiPriority="39" w:semiHidden="0" w:name="toc 4"/>
    <w:lsdException w:qFormat="1" w:unhideWhenUsed="0" w:uiPriority="39" w:semiHidden="0" w:name="toc 5"/>
    <w:lsdException w:qFormat="1" w:unhideWhenUsed="0" w:uiPriority="39" w:semiHidden="0" w:name="toc 6"/>
    <w:lsdException w:qFormat="1" w:unhideWhenUsed="0" w:uiPriority="39" w:semiHidden="0" w:name="toc 7"/>
    <w:lsdException w:qFormat="1" w:unhideWhenUsed="0" w:uiPriority="39" w:semiHidden="0" w:name="toc 8"/>
    <w:lsdException w:qFormat="1" w:unhideWhenUsed="0" w:uiPriority="39" w:semiHidden="0" w:name="toc 9"/>
    <w:lsdException w:qFormat="1" w:unhideWhenUsed="0" w:uiPriority="0" w:semiHidden="0" w:name="Normal Indent"/>
    <w:lsdException w:uiPriority="99" w:name="footnote text"/>
    <w:lsdException w:qFormat="1" w:unhideWhenUsed="0" w:uiPriority="0" w:semiHidden="0" w:name="annotation text"/>
    <w:lsdException w:qFormat="1" w:unhideWhenUsed="0" w:uiPriority="0" w:semiHidden="0" w:name="header"/>
    <w:lsdException w:qFormat="1" w:unhideWhenUsed="0" w:uiPriority="99" w:semiHidden="0" w:name="footer"/>
    <w:lsdException w:uiPriority="99" w:name="index heading"/>
    <w:lsdException w:qFormat="1" w:unhideWhenUsed="0" w:uiPriority="35" w:semiHidden="0" w:name="caption"/>
    <w:lsdException w:uiPriority="99" w:name="table of figures"/>
    <w:lsdException w:uiPriority="99" w:name="envelope address"/>
    <w:lsdException w:uiPriority="99" w:name="envelope return"/>
    <w:lsdException w:uiPriority="99" w:name="footnote reference"/>
    <w:lsdException w:qFormat="1" w:unhideWhenUsed="0" w:uiPriority="99" w:semiHidden="0" w:name="annotation reference"/>
    <w:lsdException w:uiPriority="99" w:name="line number"/>
    <w:lsdException w:qFormat="1" w:unhideWhenUsed="0" w:uiPriority="99" w:semiHidden="0" w:name="page number"/>
    <w:lsdException w:uiPriority="99" w:name="endnote reference"/>
    <w:lsdException w:uiPriority="99" w:name="endnote text"/>
    <w:lsdException w:uiPriority="99" w:name="table of authorities"/>
    <w:lsdException w:uiPriority="99" w:name="macro"/>
    <w:lsdException w:qFormat="1" w:unhideWhenUsed="0" w:uiPriority="99" w:semiHidden="0" w:name="toa heading"/>
    <w:lsdException w:qFormat="1" w:unhideWhenUsed="0" w:uiPriority="99" w:semiHidden="0"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99"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qFormat="1" w:unhideWhenUsed="0" w:uiPriority="0" w:semiHidden="0" w:name="Date"/>
    <w:lsdException w:uiPriority="99" w:name="Body Text First Indent"/>
    <w:lsdException w:qFormat="1" w:unhideWhenUsed="0" w:uiPriority="99" w:name="Body Text First Indent 2"/>
    <w:lsdException w:uiPriority="99" w:name="Note Heading"/>
    <w:lsdException w:uiPriority="99" w:name="Body Text 2"/>
    <w:lsdException w:uiPriority="99" w:name="Body Text 3"/>
    <w:lsdException w:qFormat="1" w:unhideWhenUsed="0" w:uiPriority="0" w:semiHidden="0" w:name="Body Text Indent 2"/>
    <w:lsdException w:qFormat="1" w:unhideWhenUsed="0" w:uiPriority="0" w:semiHidden="0" w:name="Body Text Indent 3"/>
    <w:lsdException w:uiPriority="99" w:name="Block Text"/>
    <w:lsdException w:qFormat="1" w:unhideWhenUsed="0" w:uiPriority="99" w:semiHidden="0" w:name="Hyperlink"/>
    <w:lsdException w:qFormat="1" w:unhideWhenUsed="0" w:uiPriority="99" w:semiHidden="0" w:name="FollowedHyperlink"/>
    <w:lsdException w:qFormat="1" w:unhideWhenUsed="0" w:uiPriority="22" w:semiHidden="0" w:name="Strong"/>
    <w:lsdException w:qFormat="1" w:unhideWhenUsed="0" w:uiPriority="99" w:semiHidden="0" w:name="Emphasis"/>
    <w:lsdException w:qFormat="1" w:unhideWhenUsed="0" w:uiPriority="0" w:semiHidden="0" w:name="Document Map"/>
    <w:lsdException w:qFormat="1" w:unhideWhenUsed="0" w:uiPriority="0" w:semiHidden="0" w:name="Plain Text"/>
    <w:lsdException w:uiPriority="99" w:name="E-mail Signature"/>
    <w:lsdException w:qFormat="1" w:unhideWhenUsed="0" w:uiPriority="99" w:semiHidden="0" w:name="Normal (Web)"/>
    <w:lsdException w:qFormat="1" w:unhideWhenUsed="0" w:uiPriority="99" w:semiHidden="0"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qFormat="1" w:unhideWhenUsed="0" w:uiPriority="0" w:semiHidden="0"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nhideWhenUsed="0" w:uiPriority="0" w:semiHidden="0"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51"/>
    <w:qFormat/>
    <w:uiPriority w:val="9"/>
    <w:pPr>
      <w:keepNext/>
      <w:keepLines/>
      <w:jc w:val="center"/>
      <w:outlineLvl w:val="0"/>
    </w:pPr>
    <w:rPr>
      <w:b/>
      <w:bCs/>
      <w:kern w:val="44"/>
      <w:sz w:val="36"/>
      <w:szCs w:val="44"/>
    </w:rPr>
  </w:style>
  <w:style w:type="paragraph" w:styleId="3">
    <w:name w:val="heading 2"/>
    <w:basedOn w:val="1"/>
    <w:next w:val="1"/>
    <w:link w:val="52"/>
    <w:qFormat/>
    <w:uiPriority w:val="9"/>
    <w:pPr>
      <w:keepNext/>
      <w:keepLines/>
      <w:spacing w:line="360" w:lineRule="auto"/>
      <w:outlineLvl w:val="1"/>
    </w:pPr>
    <w:rPr>
      <w:rFonts w:ascii="Arial" w:hAnsi="Arial" w:eastAsia="宋体" w:cs="Times New Roman"/>
      <w:b/>
      <w:bCs/>
      <w:sz w:val="24"/>
      <w:szCs w:val="32"/>
    </w:rPr>
  </w:style>
  <w:style w:type="paragraph" w:styleId="4">
    <w:name w:val="heading 3"/>
    <w:basedOn w:val="1"/>
    <w:next w:val="1"/>
    <w:link w:val="53"/>
    <w:unhideWhenUsed/>
    <w:qFormat/>
    <w:uiPriority w:val="9"/>
    <w:pPr>
      <w:keepNext/>
      <w:keepLines/>
      <w:spacing w:before="260" w:after="260" w:line="416" w:lineRule="auto"/>
      <w:outlineLvl w:val="2"/>
    </w:pPr>
    <w:rPr>
      <w:rFonts w:ascii="Calibri" w:hAnsi="Calibri" w:eastAsia="宋体" w:cs="Times New Roman"/>
      <w:b/>
      <w:bCs/>
      <w:sz w:val="32"/>
      <w:szCs w:val="32"/>
    </w:rPr>
  </w:style>
  <w:style w:type="paragraph" w:styleId="5">
    <w:name w:val="heading 4"/>
    <w:basedOn w:val="1"/>
    <w:next w:val="1"/>
    <w:link w:val="163"/>
    <w:unhideWhenUsed/>
    <w:qFormat/>
    <w:uiPriority w:val="9"/>
    <w:pPr>
      <w:keepNext/>
      <w:keepLines/>
      <w:spacing w:before="280" w:after="290" w:line="372" w:lineRule="auto"/>
      <w:outlineLvl w:val="3"/>
    </w:pPr>
    <w:rPr>
      <w:rFonts w:ascii="Arial" w:hAnsi="Arial" w:eastAsia="黑体"/>
      <w:b/>
      <w:sz w:val="28"/>
    </w:rPr>
  </w:style>
  <w:style w:type="paragraph" w:styleId="6">
    <w:name w:val="heading 5"/>
    <w:basedOn w:val="1"/>
    <w:next w:val="1"/>
    <w:unhideWhenUsed/>
    <w:qFormat/>
    <w:uiPriority w:val="9"/>
    <w:pPr>
      <w:keepNext/>
      <w:keepLines/>
      <w:spacing w:before="280" w:after="290" w:line="376" w:lineRule="auto"/>
      <w:outlineLvl w:val="4"/>
    </w:pPr>
    <w:rPr>
      <w:rFonts w:ascii="Times New Roman" w:hAnsi="Times New Roman" w:eastAsia="宋体" w:cs="Times New Roman"/>
      <w:b/>
      <w:bCs/>
      <w:sz w:val="28"/>
      <w:szCs w:val="28"/>
    </w:rPr>
  </w:style>
  <w:style w:type="paragraph" w:styleId="7">
    <w:name w:val="heading 6"/>
    <w:basedOn w:val="1"/>
    <w:next w:val="1"/>
    <w:link w:val="149"/>
    <w:unhideWhenUsed/>
    <w:qFormat/>
    <w:uiPriority w:val="9"/>
    <w:pPr>
      <w:keepNext/>
      <w:keepLines/>
      <w:spacing w:before="240" w:after="64" w:line="317" w:lineRule="auto"/>
      <w:outlineLvl w:val="5"/>
    </w:pPr>
    <w:rPr>
      <w:rFonts w:ascii="Arial" w:hAnsi="Arial" w:eastAsia="黑体"/>
      <w:b/>
      <w:sz w:val="24"/>
    </w:rPr>
  </w:style>
  <w:style w:type="paragraph" w:styleId="8">
    <w:name w:val="heading 7"/>
    <w:basedOn w:val="1"/>
    <w:next w:val="1"/>
    <w:link w:val="150"/>
    <w:unhideWhenUsed/>
    <w:qFormat/>
    <w:uiPriority w:val="9"/>
    <w:pPr>
      <w:keepNext/>
      <w:keepLines/>
      <w:spacing w:before="240" w:after="64" w:line="317" w:lineRule="auto"/>
      <w:outlineLvl w:val="6"/>
    </w:pPr>
    <w:rPr>
      <w:b/>
      <w:sz w:val="24"/>
    </w:rPr>
  </w:style>
  <w:style w:type="paragraph" w:styleId="9">
    <w:name w:val="heading 9"/>
    <w:basedOn w:val="1"/>
    <w:next w:val="1"/>
    <w:link w:val="151"/>
    <w:semiHidden/>
    <w:unhideWhenUsed/>
    <w:qFormat/>
    <w:uiPriority w:val="9"/>
    <w:pPr>
      <w:keepNext/>
      <w:keepLines/>
      <w:spacing w:before="240" w:after="64" w:line="317" w:lineRule="auto"/>
      <w:outlineLvl w:val="8"/>
    </w:pPr>
    <w:rPr>
      <w:rFonts w:ascii="Arial" w:hAnsi="Arial" w:eastAsia="黑体"/>
    </w:rPr>
  </w:style>
  <w:style w:type="character" w:default="1" w:styleId="43">
    <w:name w:val="Default Paragraph Font"/>
    <w:semiHidden/>
    <w:unhideWhenUsed/>
    <w:qFormat/>
    <w:uiPriority w:val="1"/>
  </w:style>
  <w:style w:type="table" w:default="1" w:styleId="41">
    <w:name w:val="Normal Table"/>
    <w:semiHidden/>
    <w:unhideWhenUsed/>
    <w:qFormat/>
    <w:uiPriority w:val="99"/>
    <w:tblPr>
      <w:tblCellMar>
        <w:top w:w="0" w:type="dxa"/>
        <w:left w:w="108" w:type="dxa"/>
        <w:bottom w:w="0" w:type="dxa"/>
        <w:right w:w="108" w:type="dxa"/>
      </w:tblCellMar>
    </w:tblPr>
  </w:style>
  <w:style w:type="paragraph" w:styleId="10">
    <w:name w:val="toc 7"/>
    <w:basedOn w:val="1"/>
    <w:next w:val="1"/>
    <w:qFormat/>
    <w:uiPriority w:val="39"/>
    <w:pPr>
      <w:ind w:left="1440"/>
      <w:jc w:val="left"/>
    </w:pPr>
    <w:rPr>
      <w:rFonts w:ascii="Calibri" w:hAnsi="Calibri" w:eastAsia="宋体" w:cs="Times New Roman"/>
      <w:sz w:val="18"/>
      <w:szCs w:val="18"/>
    </w:rPr>
  </w:style>
  <w:style w:type="paragraph" w:styleId="11">
    <w:name w:val="Normal Indent"/>
    <w:basedOn w:val="1"/>
    <w:next w:val="12"/>
    <w:qFormat/>
    <w:uiPriority w:val="0"/>
    <w:pPr>
      <w:ind w:firstLine="420"/>
    </w:pPr>
    <w:rPr>
      <w:rFonts w:ascii="Times New Roman" w:hAnsi="Times New Roman"/>
      <w:kern w:val="0"/>
      <w:sz w:val="20"/>
      <w:szCs w:val="20"/>
    </w:rPr>
  </w:style>
  <w:style w:type="paragraph" w:styleId="12">
    <w:name w:val="Body Text"/>
    <w:basedOn w:val="1"/>
    <w:link w:val="86"/>
    <w:qFormat/>
    <w:uiPriority w:val="99"/>
    <w:pPr>
      <w:adjustRightInd w:val="0"/>
      <w:spacing w:before="120" w:after="120" w:afterLines="50" w:line="280" w:lineRule="atLeast"/>
      <w:textAlignment w:val="baseline"/>
    </w:pPr>
    <w:rPr>
      <w:rFonts w:ascii="Calibri" w:hAnsi="Calibri" w:eastAsia="新宋体" w:cs="Times New Roman"/>
      <w:szCs w:val="21"/>
    </w:rPr>
  </w:style>
  <w:style w:type="paragraph" w:styleId="13">
    <w:name w:val="caption"/>
    <w:basedOn w:val="1"/>
    <w:next w:val="1"/>
    <w:qFormat/>
    <w:uiPriority w:val="35"/>
    <w:pPr>
      <w:spacing w:before="152" w:after="160"/>
    </w:pPr>
    <w:rPr>
      <w:rFonts w:ascii="Arial" w:hAnsi="Arial" w:eastAsia="黑体" w:cs="Arial"/>
      <w:sz w:val="20"/>
      <w:szCs w:val="20"/>
    </w:rPr>
  </w:style>
  <w:style w:type="paragraph" w:styleId="14">
    <w:name w:val="Document Map"/>
    <w:basedOn w:val="1"/>
    <w:link w:val="74"/>
    <w:qFormat/>
    <w:uiPriority w:val="0"/>
    <w:pPr>
      <w:shd w:val="clear" w:color="auto" w:fill="000080"/>
    </w:pPr>
    <w:rPr>
      <w:sz w:val="24"/>
    </w:rPr>
  </w:style>
  <w:style w:type="paragraph" w:styleId="15">
    <w:name w:val="toa heading"/>
    <w:basedOn w:val="1"/>
    <w:next w:val="1"/>
    <w:qFormat/>
    <w:uiPriority w:val="99"/>
    <w:pPr>
      <w:spacing w:before="120"/>
    </w:pPr>
    <w:rPr>
      <w:rFonts w:ascii="Arial" w:hAnsi="Arial" w:eastAsia="宋体" w:cs="Arial"/>
      <w:sz w:val="24"/>
      <w:szCs w:val="24"/>
    </w:rPr>
  </w:style>
  <w:style w:type="paragraph" w:styleId="16">
    <w:name w:val="annotation text"/>
    <w:basedOn w:val="1"/>
    <w:link w:val="65"/>
    <w:qFormat/>
    <w:uiPriority w:val="0"/>
    <w:pPr>
      <w:jc w:val="left"/>
    </w:pPr>
  </w:style>
  <w:style w:type="paragraph" w:styleId="17">
    <w:name w:val="index 6"/>
    <w:basedOn w:val="1"/>
    <w:next w:val="1"/>
    <w:qFormat/>
    <w:uiPriority w:val="0"/>
    <w:rPr>
      <w:rFonts w:ascii="宋体" w:hAnsi="宋体"/>
      <w:color w:val="000000" w:themeColor="text1"/>
      <w:sz w:val="20"/>
      <w:szCs w:val="20"/>
      <w14:textFill>
        <w14:solidFill>
          <w14:schemeClr w14:val="tx1"/>
        </w14:solidFill>
      </w14:textFill>
    </w:rPr>
  </w:style>
  <w:style w:type="paragraph" w:styleId="18">
    <w:name w:val="Body Text Indent"/>
    <w:basedOn w:val="1"/>
    <w:link w:val="83"/>
    <w:qFormat/>
    <w:uiPriority w:val="99"/>
    <w:pPr>
      <w:spacing w:after="120"/>
      <w:ind w:left="420" w:leftChars="200"/>
    </w:pPr>
    <w:rPr>
      <w:rFonts w:ascii="Calibri" w:hAnsi="Calibri" w:eastAsia="宋体" w:cs="Times New Roman"/>
      <w:szCs w:val="20"/>
    </w:rPr>
  </w:style>
  <w:style w:type="paragraph" w:styleId="19">
    <w:name w:val="index 4"/>
    <w:basedOn w:val="1"/>
    <w:next w:val="1"/>
    <w:qFormat/>
    <w:uiPriority w:val="0"/>
    <w:pPr>
      <w:ind w:left="600" w:leftChars="600"/>
    </w:pPr>
  </w:style>
  <w:style w:type="paragraph" w:styleId="20">
    <w:name w:val="toc 5"/>
    <w:basedOn w:val="1"/>
    <w:next w:val="1"/>
    <w:qFormat/>
    <w:uiPriority w:val="39"/>
    <w:pPr>
      <w:ind w:left="960"/>
      <w:jc w:val="left"/>
    </w:pPr>
    <w:rPr>
      <w:rFonts w:ascii="Calibri" w:hAnsi="Calibri" w:eastAsia="宋体" w:cs="Times New Roman"/>
      <w:sz w:val="18"/>
      <w:szCs w:val="18"/>
    </w:rPr>
  </w:style>
  <w:style w:type="paragraph" w:styleId="21">
    <w:name w:val="toc 3"/>
    <w:basedOn w:val="1"/>
    <w:next w:val="1"/>
    <w:qFormat/>
    <w:uiPriority w:val="39"/>
    <w:pPr>
      <w:ind w:left="480"/>
      <w:jc w:val="left"/>
    </w:pPr>
    <w:rPr>
      <w:rFonts w:ascii="Calibri" w:hAnsi="Calibri" w:eastAsia="宋体" w:cs="Times New Roman"/>
      <w:i/>
      <w:iCs/>
      <w:sz w:val="20"/>
      <w:szCs w:val="20"/>
    </w:rPr>
  </w:style>
  <w:style w:type="paragraph" w:styleId="22">
    <w:name w:val="Plain Text"/>
    <w:basedOn w:val="1"/>
    <w:link w:val="76"/>
    <w:qFormat/>
    <w:uiPriority w:val="0"/>
    <w:rPr>
      <w:rFonts w:ascii="宋体" w:hAnsi="Courier New"/>
    </w:rPr>
  </w:style>
  <w:style w:type="paragraph" w:styleId="23">
    <w:name w:val="toc 8"/>
    <w:basedOn w:val="1"/>
    <w:next w:val="1"/>
    <w:qFormat/>
    <w:uiPriority w:val="39"/>
    <w:pPr>
      <w:ind w:left="1680"/>
      <w:jc w:val="left"/>
    </w:pPr>
    <w:rPr>
      <w:rFonts w:ascii="Calibri" w:hAnsi="Calibri" w:eastAsia="宋体" w:cs="Times New Roman"/>
      <w:sz w:val="18"/>
      <w:szCs w:val="18"/>
    </w:rPr>
  </w:style>
  <w:style w:type="paragraph" w:styleId="24">
    <w:name w:val="Date"/>
    <w:basedOn w:val="1"/>
    <w:next w:val="1"/>
    <w:link w:val="67"/>
    <w:qFormat/>
    <w:uiPriority w:val="0"/>
    <w:pPr>
      <w:ind w:left="100" w:leftChars="2500"/>
    </w:pPr>
    <w:rPr>
      <w:sz w:val="24"/>
    </w:rPr>
  </w:style>
  <w:style w:type="paragraph" w:styleId="25">
    <w:name w:val="Body Text Indent 2"/>
    <w:basedOn w:val="1"/>
    <w:link w:val="55"/>
    <w:qFormat/>
    <w:uiPriority w:val="0"/>
    <w:pPr>
      <w:spacing w:after="120" w:line="480" w:lineRule="auto"/>
      <w:ind w:left="420" w:leftChars="200"/>
    </w:pPr>
  </w:style>
  <w:style w:type="paragraph" w:styleId="26">
    <w:name w:val="Balloon Text"/>
    <w:basedOn w:val="1"/>
    <w:link w:val="71"/>
    <w:qFormat/>
    <w:uiPriority w:val="0"/>
    <w:rPr>
      <w:sz w:val="18"/>
    </w:rPr>
  </w:style>
  <w:style w:type="paragraph" w:styleId="27">
    <w:name w:val="footer"/>
    <w:basedOn w:val="1"/>
    <w:link w:val="77"/>
    <w:qFormat/>
    <w:uiPriority w:val="99"/>
    <w:pPr>
      <w:tabs>
        <w:tab w:val="center" w:pos="4153"/>
        <w:tab w:val="right" w:pos="8306"/>
      </w:tabs>
      <w:snapToGrid w:val="0"/>
      <w:jc w:val="left"/>
    </w:pPr>
    <w:rPr>
      <w:sz w:val="18"/>
    </w:rPr>
  </w:style>
  <w:style w:type="paragraph" w:styleId="28">
    <w:name w:val="header"/>
    <w:basedOn w:val="1"/>
    <w:link w:val="63"/>
    <w:qFormat/>
    <w:uiPriority w:val="0"/>
    <w:pPr>
      <w:pBdr>
        <w:bottom w:val="single" w:color="auto" w:sz="6" w:space="1"/>
      </w:pBdr>
      <w:tabs>
        <w:tab w:val="center" w:pos="4153"/>
        <w:tab w:val="right" w:pos="8306"/>
      </w:tabs>
      <w:snapToGrid w:val="0"/>
      <w:jc w:val="center"/>
    </w:pPr>
    <w:rPr>
      <w:sz w:val="18"/>
    </w:rPr>
  </w:style>
  <w:style w:type="paragraph" w:styleId="29">
    <w:name w:val="toc 1"/>
    <w:basedOn w:val="1"/>
    <w:next w:val="1"/>
    <w:qFormat/>
    <w:uiPriority w:val="39"/>
    <w:pPr>
      <w:spacing w:line="360" w:lineRule="auto"/>
      <w:jc w:val="left"/>
    </w:pPr>
    <w:rPr>
      <w:rFonts w:ascii="宋体" w:hAnsi="宋体" w:eastAsia="宋体" w:cs="Times New Roman"/>
      <w:b/>
      <w:caps/>
      <w:color w:val="FF0000"/>
      <w:szCs w:val="21"/>
    </w:rPr>
  </w:style>
  <w:style w:type="paragraph" w:styleId="30">
    <w:name w:val="toc 4"/>
    <w:basedOn w:val="1"/>
    <w:next w:val="1"/>
    <w:qFormat/>
    <w:uiPriority w:val="39"/>
    <w:pPr>
      <w:ind w:left="720"/>
      <w:jc w:val="left"/>
    </w:pPr>
    <w:rPr>
      <w:rFonts w:ascii="Calibri" w:hAnsi="Calibri" w:eastAsia="宋体" w:cs="Times New Roman"/>
      <w:sz w:val="18"/>
      <w:szCs w:val="18"/>
    </w:rPr>
  </w:style>
  <w:style w:type="paragraph" w:styleId="31">
    <w:name w:val="List"/>
    <w:basedOn w:val="1"/>
    <w:qFormat/>
    <w:uiPriority w:val="99"/>
    <w:pPr>
      <w:ind w:left="420" w:hanging="420"/>
    </w:pPr>
    <w:rPr>
      <w:rFonts w:ascii="Times New Roman" w:hAnsi="Times New Roman" w:eastAsia="宋体" w:cs="Times New Roman"/>
      <w:szCs w:val="20"/>
    </w:rPr>
  </w:style>
  <w:style w:type="paragraph" w:styleId="32">
    <w:name w:val="toc 6"/>
    <w:basedOn w:val="1"/>
    <w:next w:val="1"/>
    <w:qFormat/>
    <w:uiPriority w:val="39"/>
    <w:pPr>
      <w:ind w:left="1200"/>
      <w:jc w:val="left"/>
    </w:pPr>
    <w:rPr>
      <w:rFonts w:ascii="Calibri" w:hAnsi="Calibri" w:eastAsia="宋体" w:cs="Times New Roman"/>
      <w:sz w:val="18"/>
      <w:szCs w:val="18"/>
    </w:rPr>
  </w:style>
  <w:style w:type="paragraph" w:styleId="33">
    <w:name w:val="Body Text Indent 3"/>
    <w:basedOn w:val="1"/>
    <w:link w:val="57"/>
    <w:qFormat/>
    <w:uiPriority w:val="0"/>
    <w:pPr>
      <w:spacing w:after="120"/>
      <w:ind w:left="420" w:leftChars="200"/>
    </w:pPr>
    <w:rPr>
      <w:sz w:val="16"/>
    </w:rPr>
  </w:style>
  <w:style w:type="paragraph" w:styleId="34">
    <w:name w:val="toc 2"/>
    <w:basedOn w:val="1"/>
    <w:next w:val="1"/>
    <w:unhideWhenUsed/>
    <w:qFormat/>
    <w:uiPriority w:val="39"/>
    <w:pPr>
      <w:ind w:left="420" w:leftChars="200"/>
    </w:pPr>
    <w:rPr>
      <w:rFonts w:ascii="Calibri" w:hAnsi="Calibri" w:eastAsia="宋体" w:cs="Times New Roman"/>
      <w:szCs w:val="20"/>
    </w:rPr>
  </w:style>
  <w:style w:type="paragraph" w:styleId="35">
    <w:name w:val="toc 9"/>
    <w:basedOn w:val="1"/>
    <w:next w:val="1"/>
    <w:qFormat/>
    <w:uiPriority w:val="39"/>
    <w:pPr>
      <w:ind w:left="1920"/>
      <w:jc w:val="left"/>
    </w:pPr>
    <w:rPr>
      <w:rFonts w:ascii="Calibri" w:hAnsi="Calibri" w:eastAsia="宋体" w:cs="Times New Roman"/>
      <w:sz w:val="18"/>
      <w:szCs w:val="18"/>
    </w:rPr>
  </w:style>
  <w:style w:type="paragraph" w:styleId="36">
    <w:name w:val="Normal (Web)"/>
    <w:basedOn w:val="1"/>
    <w:qFormat/>
    <w:uiPriority w:val="99"/>
    <w:rPr>
      <w:rFonts w:ascii="Calibri" w:hAnsi="Calibri" w:eastAsia="宋体" w:cs="Times New Roman"/>
      <w:sz w:val="24"/>
      <w:szCs w:val="20"/>
    </w:rPr>
  </w:style>
  <w:style w:type="paragraph" w:styleId="37">
    <w:name w:val="index 1"/>
    <w:basedOn w:val="1"/>
    <w:next w:val="1"/>
    <w:qFormat/>
    <w:uiPriority w:val="99"/>
    <w:rPr>
      <w:rFonts w:ascii="Calibri" w:hAnsi="Calibri" w:eastAsia="宋体" w:cs="Times New Roman"/>
      <w:sz w:val="24"/>
      <w:szCs w:val="24"/>
    </w:rPr>
  </w:style>
  <w:style w:type="paragraph" w:styleId="38">
    <w:name w:val="Title"/>
    <w:basedOn w:val="1"/>
    <w:next w:val="1"/>
    <w:link w:val="66"/>
    <w:qFormat/>
    <w:uiPriority w:val="0"/>
    <w:pPr>
      <w:spacing w:before="160" w:after="40" w:line="240" w:lineRule="atLeast"/>
      <w:ind w:left="425" w:hanging="425"/>
      <w:jc w:val="center"/>
      <w:outlineLvl w:val="0"/>
    </w:pPr>
    <w:rPr>
      <w:rFonts w:ascii="Arial" w:hAnsi="Arial"/>
      <w:b/>
      <w:sz w:val="32"/>
    </w:rPr>
  </w:style>
  <w:style w:type="paragraph" w:styleId="39">
    <w:name w:val="annotation subject"/>
    <w:basedOn w:val="16"/>
    <w:next w:val="16"/>
    <w:link w:val="56"/>
    <w:qFormat/>
    <w:uiPriority w:val="0"/>
    <w:rPr>
      <w:b/>
    </w:rPr>
  </w:style>
  <w:style w:type="paragraph" w:styleId="40">
    <w:name w:val="Body Text First Indent 2"/>
    <w:basedOn w:val="18"/>
    <w:semiHidden/>
    <w:qFormat/>
    <w:uiPriority w:val="99"/>
    <w:pPr>
      <w:spacing w:line="276" w:lineRule="auto"/>
      <w:ind w:firstLine="420" w:firstLineChars="200"/>
      <w:jc w:val="left"/>
    </w:pPr>
  </w:style>
  <w:style w:type="table" w:styleId="42">
    <w:name w:val="Table Grid"/>
    <w:basedOn w:val="41"/>
    <w:qFormat/>
    <w:uiPriority w:val="3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character" w:styleId="44">
    <w:name w:val="Strong"/>
    <w:basedOn w:val="43"/>
    <w:qFormat/>
    <w:uiPriority w:val="22"/>
    <w:rPr>
      <w:b/>
    </w:rPr>
  </w:style>
  <w:style w:type="character" w:styleId="45">
    <w:name w:val="page number"/>
    <w:basedOn w:val="43"/>
    <w:qFormat/>
    <w:uiPriority w:val="99"/>
    <w:rPr>
      <w:rFonts w:cs="Times New Roman"/>
    </w:rPr>
  </w:style>
  <w:style w:type="character" w:styleId="46">
    <w:name w:val="FollowedHyperlink"/>
    <w:basedOn w:val="43"/>
    <w:qFormat/>
    <w:uiPriority w:val="99"/>
    <w:rPr>
      <w:color w:val="800080"/>
      <w:u w:val="single"/>
    </w:rPr>
  </w:style>
  <w:style w:type="character" w:styleId="47">
    <w:name w:val="Emphasis"/>
    <w:qFormat/>
    <w:uiPriority w:val="99"/>
    <w:rPr>
      <w:rFonts w:cs="Times New Roman"/>
      <w:color w:val="auto"/>
    </w:rPr>
  </w:style>
  <w:style w:type="character" w:styleId="48">
    <w:name w:val="HTML Acronym"/>
    <w:basedOn w:val="43"/>
    <w:qFormat/>
    <w:uiPriority w:val="99"/>
  </w:style>
  <w:style w:type="character" w:styleId="49">
    <w:name w:val="Hyperlink"/>
    <w:basedOn w:val="43"/>
    <w:qFormat/>
    <w:uiPriority w:val="99"/>
    <w:rPr>
      <w:color w:val="1F4F88"/>
      <w:u w:val="none"/>
    </w:rPr>
  </w:style>
  <w:style w:type="character" w:styleId="50">
    <w:name w:val="annotation reference"/>
    <w:basedOn w:val="43"/>
    <w:qFormat/>
    <w:uiPriority w:val="99"/>
    <w:rPr>
      <w:sz w:val="21"/>
    </w:rPr>
  </w:style>
  <w:style w:type="character" w:customStyle="1" w:styleId="51">
    <w:name w:val="标题 1 字符"/>
    <w:basedOn w:val="43"/>
    <w:link w:val="2"/>
    <w:qFormat/>
    <w:uiPriority w:val="9"/>
    <w:rPr>
      <w:rFonts w:ascii="Calibri" w:hAnsi="Calibri" w:eastAsia="宋体" w:cs="Times New Roman"/>
      <w:b/>
      <w:bCs/>
      <w:kern w:val="44"/>
      <w:sz w:val="36"/>
      <w:szCs w:val="44"/>
    </w:rPr>
  </w:style>
  <w:style w:type="character" w:customStyle="1" w:styleId="52">
    <w:name w:val="标题 2 字符"/>
    <w:basedOn w:val="43"/>
    <w:link w:val="3"/>
    <w:qFormat/>
    <w:uiPriority w:val="9"/>
    <w:rPr>
      <w:rFonts w:ascii="Arial" w:hAnsi="Arial" w:eastAsia="宋体" w:cs="Times New Roman"/>
      <w:b/>
      <w:bCs/>
      <w:sz w:val="24"/>
      <w:szCs w:val="32"/>
    </w:rPr>
  </w:style>
  <w:style w:type="character" w:customStyle="1" w:styleId="53">
    <w:name w:val="标题 3 字符"/>
    <w:basedOn w:val="43"/>
    <w:link w:val="4"/>
    <w:semiHidden/>
    <w:qFormat/>
    <w:uiPriority w:val="9"/>
    <w:rPr>
      <w:rFonts w:ascii="Calibri" w:hAnsi="Calibri" w:eastAsia="宋体" w:cs="Times New Roman"/>
      <w:b/>
      <w:bCs/>
      <w:sz w:val="32"/>
      <w:szCs w:val="32"/>
    </w:rPr>
  </w:style>
  <w:style w:type="character" w:customStyle="1" w:styleId="54">
    <w:name w:val="Char Char3"/>
    <w:qFormat/>
    <w:uiPriority w:val="0"/>
    <w:rPr>
      <w:rFonts w:ascii="宋体" w:hAnsi="Courier New" w:eastAsia="宋体"/>
      <w:kern w:val="2"/>
      <w:sz w:val="21"/>
      <w:lang w:val="en-US" w:eastAsia="zh-CN"/>
    </w:rPr>
  </w:style>
  <w:style w:type="character" w:customStyle="1" w:styleId="55">
    <w:name w:val="正文文本缩进 2 字符"/>
    <w:link w:val="25"/>
    <w:qFormat/>
    <w:locked/>
    <w:uiPriority w:val="0"/>
  </w:style>
  <w:style w:type="character" w:customStyle="1" w:styleId="56">
    <w:name w:val="批注主题 字符"/>
    <w:link w:val="39"/>
    <w:qFormat/>
    <w:locked/>
    <w:uiPriority w:val="0"/>
    <w:rPr>
      <w:b/>
    </w:rPr>
  </w:style>
  <w:style w:type="character" w:customStyle="1" w:styleId="57">
    <w:name w:val="正文文本缩进 3 字符"/>
    <w:link w:val="33"/>
    <w:qFormat/>
    <w:locked/>
    <w:uiPriority w:val="0"/>
    <w:rPr>
      <w:sz w:val="16"/>
    </w:rPr>
  </w:style>
  <w:style w:type="character" w:customStyle="1" w:styleId="58">
    <w:name w:val="纯文本 Char"/>
    <w:qFormat/>
    <w:uiPriority w:val="0"/>
    <w:rPr>
      <w:rFonts w:ascii="宋体" w:hAnsi="Courier New" w:eastAsia="宋体"/>
      <w:kern w:val="2"/>
      <w:sz w:val="21"/>
      <w:lang w:val="en-US" w:eastAsia="zh-CN"/>
    </w:rPr>
  </w:style>
  <w:style w:type="character" w:customStyle="1" w:styleId="59">
    <w:name w:val="Char Char2"/>
    <w:qFormat/>
    <w:uiPriority w:val="0"/>
    <w:rPr>
      <w:rFonts w:ascii="宋体" w:hAnsi="Courier New"/>
      <w:kern w:val="2"/>
      <w:sz w:val="21"/>
    </w:rPr>
  </w:style>
  <w:style w:type="character" w:customStyle="1" w:styleId="60">
    <w:name w:val="列出段落 字符"/>
    <w:link w:val="61"/>
    <w:qFormat/>
    <w:locked/>
    <w:uiPriority w:val="34"/>
    <w:rPr>
      <w:sz w:val="22"/>
    </w:rPr>
  </w:style>
  <w:style w:type="paragraph" w:customStyle="1" w:styleId="61">
    <w:name w:val="列出段落1"/>
    <w:basedOn w:val="1"/>
    <w:link w:val="60"/>
    <w:qFormat/>
    <w:uiPriority w:val="34"/>
    <w:pPr>
      <w:ind w:firstLine="420" w:firstLineChars="200"/>
    </w:pPr>
    <w:rPr>
      <w:sz w:val="22"/>
    </w:rPr>
  </w:style>
  <w:style w:type="character" w:customStyle="1" w:styleId="62">
    <w:name w:val="apple-converted-space"/>
    <w:basedOn w:val="43"/>
    <w:qFormat/>
    <w:uiPriority w:val="0"/>
    <w:rPr>
      <w:rFonts w:cs="Times New Roman"/>
    </w:rPr>
  </w:style>
  <w:style w:type="character" w:customStyle="1" w:styleId="63">
    <w:name w:val="页眉 字符"/>
    <w:link w:val="28"/>
    <w:qFormat/>
    <w:locked/>
    <w:uiPriority w:val="0"/>
    <w:rPr>
      <w:sz w:val="18"/>
    </w:rPr>
  </w:style>
  <w:style w:type="character" w:customStyle="1" w:styleId="64">
    <w:name w:val="BODY TEXT Char"/>
    <w:qFormat/>
    <w:locked/>
    <w:uiPriority w:val="0"/>
    <w:rPr>
      <w:rFonts w:eastAsia="新宋体"/>
      <w:kern w:val="2"/>
      <w:sz w:val="21"/>
    </w:rPr>
  </w:style>
  <w:style w:type="character" w:customStyle="1" w:styleId="65">
    <w:name w:val="批注文字 字符"/>
    <w:link w:val="16"/>
    <w:qFormat/>
    <w:locked/>
    <w:uiPriority w:val="0"/>
  </w:style>
  <w:style w:type="character" w:customStyle="1" w:styleId="66">
    <w:name w:val="标题 字符"/>
    <w:link w:val="38"/>
    <w:qFormat/>
    <w:locked/>
    <w:uiPriority w:val="0"/>
    <w:rPr>
      <w:rFonts w:ascii="Arial" w:hAnsi="Arial"/>
      <w:b/>
      <w:sz w:val="32"/>
    </w:rPr>
  </w:style>
  <w:style w:type="character" w:customStyle="1" w:styleId="67">
    <w:name w:val="日期 字符"/>
    <w:link w:val="24"/>
    <w:qFormat/>
    <w:locked/>
    <w:uiPriority w:val="0"/>
    <w:rPr>
      <w:sz w:val="24"/>
    </w:rPr>
  </w:style>
  <w:style w:type="character" w:customStyle="1" w:styleId="68">
    <w:name w:val="ATXT_Bullets Zchn"/>
    <w:link w:val="69"/>
    <w:qFormat/>
    <w:locked/>
    <w:uiPriority w:val="99"/>
    <w:rPr>
      <w:rFonts w:ascii="Arial" w:hAnsi="Arial"/>
      <w:lang w:val="de-AT" w:eastAsia="zh-CN"/>
    </w:rPr>
  </w:style>
  <w:style w:type="paragraph" w:customStyle="1" w:styleId="69">
    <w:name w:val="ATXT_Bullets"/>
    <w:link w:val="68"/>
    <w:qFormat/>
    <w:uiPriority w:val="99"/>
    <w:pPr>
      <w:widowControl w:val="0"/>
      <w:tabs>
        <w:tab w:val="left" w:pos="360"/>
        <w:tab w:val="left" w:pos="2040"/>
      </w:tabs>
      <w:autoSpaceDE w:val="0"/>
      <w:autoSpaceDN w:val="0"/>
      <w:adjustRightInd w:val="0"/>
      <w:ind w:left="1494"/>
      <w:jc w:val="both"/>
    </w:pPr>
    <w:rPr>
      <w:rFonts w:ascii="Arial" w:hAnsi="Arial" w:eastAsiaTheme="minorEastAsia" w:cstheme="minorBidi"/>
      <w:kern w:val="2"/>
      <w:sz w:val="21"/>
      <w:szCs w:val="22"/>
      <w:lang w:val="de-AT" w:eastAsia="zh-CN" w:bidi="ar-SA"/>
    </w:rPr>
  </w:style>
  <w:style w:type="character" w:customStyle="1" w:styleId="70">
    <w:name w:val="Char Char5"/>
    <w:qFormat/>
    <w:uiPriority w:val="0"/>
    <w:rPr>
      <w:rFonts w:ascii="宋体" w:hAnsi="Courier New" w:eastAsia="宋体"/>
      <w:kern w:val="2"/>
      <w:sz w:val="21"/>
      <w:lang w:val="en-US" w:eastAsia="zh-CN"/>
    </w:rPr>
  </w:style>
  <w:style w:type="character" w:customStyle="1" w:styleId="71">
    <w:name w:val="批注框文本 字符"/>
    <w:link w:val="26"/>
    <w:qFormat/>
    <w:locked/>
    <w:uiPriority w:val="0"/>
    <w:rPr>
      <w:sz w:val="18"/>
    </w:rPr>
  </w:style>
  <w:style w:type="character" w:customStyle="1" w:styleId="72">
    <w:name w:val="批注文字 Char"/>
    <w:qFormat/>
    <w:uiPriority w:val="0"/>
    <w:rPr>
      <w:kern w:val="2"/>
    </w:rPr>
  </w:style>
  <w:style w:type="character" w:customStyle="1" w:styleId="73">
    <w:name w:val="批注主题 Char"/>
    <w:qFormat/>
    <w:uiPriority w:val="0"/>
    <w:rPr>
      <w:b/>
      <w:kern w:val="2"/>
    </w:rPr>
  </w:style>
  <w:style w:type="character" w:customStyle="1" w:styleId="74">
    <w:name w:val="文档结构图 字符"/>
    <w:link w:val="14"/>
    <w:qFormat/>
    <w:locked/>
    <w:uiPriority w:val="0"/>
    <w:rPr>
      <w:sz w:val="24"/>
      <w:shd w:val="clear" w:color="auto" w:fill="000080"/>
    </w:rPr>
  </w:style>
  <w:style w:type="character" w:customStyle="1" w:styleId="75">
    <w:name w:val="HTML Markup"/>
    <w:qFormat/>
    <w:uiPriority w:val="0"/>
    <w:rPr>
      <w:vanish/>
      <w:color w:val="FF0000"/>
    </w:rPr>
  </w:style>
  <w:style w:type="character" w:customStyle="1" w:styleId="76">
    <w:name w:val="纯文本 字符"/>
    <w:link w:val="22"/>
    <w:qFormat/>
    <w:locked/>
    <w:uiPriority w:val="0"/>
    <w:rPr>
      <w:rFonts w:ascii="宋体" w:hAnsi="Courier New"/>
    </w:rPr>
  </w:style>
  <w:style w:type="character" w:customStyle="1" w:styleId="77">
    <w:name w:val="页脚 字符"/>
    <w:link w:val="27"/>
    <w:qFormat/>
    <w:locked/>
    <w:uiPriority w:val="99"/>
    <w:rPr>
      <w:sz w:val="18"/>
    </w:rPr>
  </w:style>
  <w:style w:type="character" w:customStyle="1" w:styleId="78">
    <w:name w:val="Default Char"/>
    <w:link w:val="79"/>
    <w:qFormat/>
    <w:locked/>
    <w:uiPriority w:val="0"/>
    <w:rPr>
      <w:rFonts w:ascii="仿宋_GB2312" w:eastAsia="仿宋_GB2312"/>
      <w:color w:val="000000"/>
      <w:sz w:val="24"/>
    </w:rPr>
  </w:style>
  <w:style w:type="paragraph" w:customStyle="1" w:styleId="79">
    <w:name w:val="Default"/>
    <w:link w:val="78"/>
    <w:qFormat/>
    <w:uiPriority w:val="0"/>
    <w:pPr>
      <w:widowControl w:val="0"/>
      <w:autoSpaceDE w:val="0"/>
      <w:autoSpaceDN w:val="0"/>
      <w:adjustRightInd w:val="0"/>
    </w:pPr>
    <w:rPr>
      <w:rFonts w:ascii="仿宋_GB2312" w:eastAsia="仿宋_GB2312" w:hAnsiTheme="minorHAnsi" w:cstheme="minorBidi"/>
      <w:color w:val="000000"/>
      <w:kern w:val="2"/>
      <w:sz w:val="24"/>
      <w:szCs w:val="22"/>
      <w:lang w:val="en-US" w:eastAsia="zh-CN" w:bidi="ar-SA"/>
    </w:rPr>
  </w:style>
  <w:style w:type="character" w:customStyle="1" w:styleId="80">
    <w:name w:val="页脚 Char"/>
    <w:qFormat/>
    <w:locked/>
    <w:uiPriority w:val="99"/>
    <w:rPr>
      <w:sz w:val="18"/>
    </w:rPr>
  </w:style>
  <w:style w:type="character" w:customStyle="1" w:styleId="81">
    <w:name w:val="批注文字 字符1"/>
    <w:basedOn w:val="43"/>
    <w:semiHidden/>
    <w:qFormat/>
    <w:uiPriority w:val="99"/>
  </w:style>
  <w:style w:type="character" w:customStyle="1" w:styleId="82">
    <w:name w:val="批注文字 字符11"/>
    <w:basedOn w:val="43"/>
    <w:qFormat/>
    <w:uiPriority w:val="0"/>
    <w:rPr>
      <w:rFonts w:cs="Times New Roman"/>
      <w:kern w:val="2"/>
      <w:sz w:val="21"/>
    </w:rPr>
  </w:style>
  <w:style w:type="character" w:customStyle="1" w:styleId="83">
    <w:name w:val="正文文本缩进 字符"/>
    <w:basedOn w:val="43"/>
    <w:link w:val="18"/>
    <w:qFormat/>
    <w:uiPriority w:val="99"/>
    <w:rPr>
      <w:rFonts w:ascii="Calibri" w:hAnsi="Calibri" w:eastAsia="宋体" w:cs="Times New Roman"/>
      <w:szCs w:val="20"/>
    </w:rPr>
  </w:style>
  <w:style w:type="character" w:customStyle="1" w:styleId="84">
    <w:name w:val="文档结构图 字符1"/>
    <w:basedOn w:val="43"/>
    <w:semiHidden/>
    <w:qFormat/>
    <w:uiPriority w:val="99"/>
    <w:rPr>
      <w:rFonts w:ascii="Microsoft YaHei UI" w:eastAsia="Microsoft YaHei UI"/>
      <w:sz w:val="18"/>
      <w:szCs w:val="18"/>
    </w:rPr>
  </w:style>
  <w:style w:type="character" w:customStyle="1" w:styleId="85">
    <w:name w:val="文档结构图 字符11"/>
    <w:basedOn w:val="43"/>
    <w:semiHidden/>
    <w:qFormat/>
    <w:uiPriority w:val="99"/>
    <w:rPr>
      <w:rFonts w:ascii="Microsoft YaHei UI" w:eastAsia="Microsoft YaHei UI" w:cs="Times New Roman"/>
      <w:kern w:val="2"/>
      <w:sz w:val="18"/>
      <w:szCs w:val="18"/>
    </w:rPr>
  </w:style>
  <w:style w:type="character" w:customStyle="1" w:styleId="86">
    <w:name w:val="正文文本 字符"/>
    <w:basedOn w:val="43"/>
    <w:link w:val="12"/>
    <w:qFormat/>
    <w:uiPriority w:val="99"/>
    <w:rPr>
      <w:rFonts w:ascii="Calibri" w:hAnsi="Calibri" w:eastAsia="新宋体" w:cs="Times New Roman"/>
      <w:szCs w:val="21"/>
    </w:rPr>
  </w:style>
  <w:style w:type="character" w:customStyle="1" w:styleId="87">
    <w:name w:val="纯文本 字符1"/>
    <w:basedOn w:val="43"/>
    <w:semiHidden/>
    <w:qFormat/>
    <w:uiPriority w:val="99"/>
    <w:rPr>
      <w:rFonts w:hAnsi="Courier New" w:cs="Courier New" w:asciiTheme="minorEastAsia"/>
    </w:rPr>
  </w:style>
  <w:style w:type="character" w:customStyle="1" w:styleId="88">
    <w:name w:val="纯文本 字符11"/>
    <w:basedOn w:val="43"/>
    <w:qFormat/>
    <w:uiPriority w:val="0"/>
    <w:rPr>
      <w:rFonts w:hAnsi="Courier New" w:cs="Courier New" w:asciiTheme="minorEastAsia" w:eastAsiaTheme="minorEastAsia"/>
      <w:kern w:val="2"/>
      <w:sz w:val="21"/>
    </w:rPr>
  </w:style>
  <w:style w:type="character" w:customStyle="1" w:styleId="89">
    <w:name w:val="页眉 字符1"/>
    <w:basedOn w:val="43"/>
    <w:semiHidden/>
    <w:qFormat/>
    <w:uiPriority w:val="99"/>
    <w:rPr>
      <w:sz w:val="18"/>
      <w:szCs w:val="18"/>
    </w:rPr>
  </w:style>
  <w:style w:type="character" w:customStyle="1" w:styleId="90">
    <w:name w:val="页眉 字符11"/>
    <w:basedOn w:val="43"/>
    <w:semiHidden/>
    <w:qFormat/>
    <w:uiPriority w:val="99"/>
    <w:rPr>
      <w:rFonts w:cs="Times New Roman"/>
      <w:kern w:val="2"/>
      <w:sz w:val="18"/>
      <w:szCs w:val="18"/>
    </w:rPr>
  </w:style>
  <w:style w:type="character" w:customStyle="1" w:styleId="91">
    <w:name w:val="批注框文本 字符1"/>
    <w:basedOn w:val="43"/>
    <w:semiHidden/>
    <w:qFormat/>
    <w:uiPriority w:val="99"/>
    <w:rPr>
      <w:sz w:val="18"/>
      <w:szCs w:val="18"/>
    </w:rPr>
  </w:style>
  <w:style w:type="character" w:customStyle="1" w:styleId="92">
    <w:name w:val="批注框文本 字符11"/>
    <w:basedOn w:val="43"/>
    <w:semiHidden/>
    <w:qFormat/>
    <w:uiPriority w:val="99"/>
    <w:rPr>
      <w:rFonts w:cs="Times New Roman"/>
      <w:kern w:val="2"/>
      <w:sz w:val="18"/>
      <w:szCs w:val="18"/>
    </w:rPr>
  </w:style>
  <w:style w:type="character" w:customStyle="1" w:styleId="93">
    <w:name w:val="日期 字符1"/>
    <w:basedOn w:val="43"/>
    <w:semiHidden/>
    <w:qFormat/>
    <w:uiPriority w:val="99"/>
  </w:style>
  <w:style w:type="character" w:customStyle="1" w:styleId="94">
    <w:name w:val="日期 字符11"/>
    <w:basedOn w:val="43"/>
    <w:semiHidden/>
    <w:qFormat/>
    <w:uiPriority w:val="99"/>
    <w:rPr>
      <w:rFonts w:cs="Times New Roman"/>
      <w:kern w:val="2"/>
      <w:sz w:val="21"/>
    </w:rPr>
  </w:style>
  <w:style w:type="character" w:customStyle="1" w:styleId="95">
    <w:name w:val="页脚 字符1"/>
    <w:basedOn w:val="43"/>
    <w:semiHidden/>
    <w:qFormat/>
    <w:uiPriority w:val="99"/>
    <w:rPr>
      <w:sz w:val="18"/>
      <w:szCs w:val="18"/>
    </w:rPr>
  </w:style>
  <w:style w:type="character" w:customStyle="1" w:styleId="96">
    <w:name w:val="页脚 字符11"/>
    <w:basedOn w:val="43"/>
    <w:semiHidden/>
    <w:qFormat/>
    <w:uiPriority w:val="99"/>
    <w:rPr>
      <w:rFonts w:cs="Times New Roman"/>
      <w:kern w:val="2"/>
      <w:sz w:val="18"/>
      <w:szCs w:val="18"/>
    </w:rPr>
  </w:style>
  <w:style w:type="character" w:customStyle="1" w:styleId="97">
    <w:name w:val="正文文本缩进 2 字符1"/>
    <w:basedOn w:val="43"/>
    <w:semiHidden/>
    <w:qFormat/>
    <w:uiPriority w:val="99"/>
  </w:style>
  <w:style w:type="character" w:customStyle="1" w:styleId="98">
    <w:name w:val="正文文本缩进 2 字符11"/>
    <w:basedOn w:val="43"/>
    <w:semiHidden/>
    <w:qFormat/>
    <w:uiPriority w:val="99"/>
    <w:rPr>
      <w:rFonts w:cs="Times New Roman"/>
      <w:kern w:val="2"/>
      <w:sz w:val="21"/>
    </w:rPr>
  </w:style>
  <w:style w:type="character" w:customStyle="1" w:styleId="99">
    <w:name w:val="正文文本缩进 3 字符1"/>
    <w:basedOn w:val="43"/>
    <w:semiHidden/>
    <w:qFormat/>
    <w:uiPriority w:val="99"/>
    <w:rPr>
      <w:sz w:val="16"/>
      <w:szCs w:val="16"/>
    </w:rPr>
  </w:style>
  <w:style w:type="character" w:customStyle="1" w:styleId="100">
    <w:name w:val="正文文本缩进 3 字符11"/>
    <w:basedOn w:val="43"/>
    <w:semiHidden/>
    <w:qFormat/>
    <w:uiPriority w:val="99"/>
    <w:rPr>
      <w:rFonts w:cs="Times New Roman"/>
      <w:kern w:val="2"/>
      <w:sz w:val="16"/>
      <w:szCs w:val="16"/>
    </w:rPr>
  </w:style>
  <w:style w:type="character" w:customStyle="1" w:styleId="101">
    <w:name w:val="批注主题 字符1"/>
    <w:basedOn w:val="81"/>
    <w:semiHidden/>
    <w:qFormat/>
    <w:uiPriority w:val="99"/>
    <w:rPr>
      <w:b/>
      <w:bCs/>
    </w:rPr>
  </w:style>
  <w:style w:type="character" w:customStyle="1" w:styleId="102">
    <w:name w:val="批注主题 字符11"/>
    <w:basedOn w:val="82"/>
    <w:semiHidden/>
    <w:qFormat/>
    <w:uiPriority w:val="99"/>
    <w:rPr>
      <w:rFonts w:cs="Times New Roman"/>
      <w:b/>
      <w:bCs/>
      <w:kern w:val="2"/>
      <w:sz w:val="21"/>
    </w:rPr>
  </w:style>
  <w:style w:type="character" w:customStyle="1" w:styleId="103">
    <w:name w:val="标题 字符1"/>
    <w:basedOn w:val="43"/>
    <w:qFormat/>
    <w:uiPriority w:val="10"/>
    <w:rPr>
      <w:rFonts w:asciiTheme="majorHAnsi" w:hAnsiTheme="majorHAnsi" w:eastAsiaTheme="majorEastAsia" w:cstheme="majorBidi"/>
      <w:b/>
      <w:bCs/>
      <w:sz w:val="32"/>
      <w:szCs w:val="32"/>
    </w:rPr>
  </w:style>
  <w:style w:type="character" w:customStyle="1" w:styleId="104">
    <w:name w:val="标题 字符11"/>
    <w:basedOn w:val="43"/>
    <w:qFormat/>
    <w:uiPriority w:val="10"/>
    <w:rPr>
      <w:rFonts w:cs="Times New Roman" w:asciiTheme="majorHAnsi" w:hAnsiTheme="majorHAnsi" w:eastAsiaTheme="majorEastAsia"/>
      <w:b/>
      <w:bCs/>
      <w:kern w:val="2"/>
      <w:sz w:val="32"/>
      <w:szCs w:val="32"/>
    </w:rPr>
  </w:style>
  <w:style w:type="paragraph" w:customStyle="1" w:styleId="105">
    <w:name w:val="ATXT_Table"/>
    <w:basedOn w:val="1"/>
    <w:qFormat/>
    <w:uiPriority w:val="0"/>
    <w:pPr>
      <w:widowControl/>
    </w:pPr>
    <w:rPr>
      <w:rFonts w:ascii="Arial" w:hAnsi="Arial" w:eastAsia="宋体" w:cs="Times New Roman"/>
      <w:kern w:val="0"/>
      <w:sz w:val="20"/>
      <w:szCs w:val="20"/>
      <w:lang w:val="de-DE" w:eastAsia="de-DE"/>
    </w:rPr>
  </w:style>
  <w:style w:type="paragraph" w:customStyle="1" w:styleId="106">
    <w:name w:val="1"/>
    <w:basedOn w:val="1"/>
    <w:qFormat/>
    <w:uiPriority w:val="0"/>
    <w:pPr>
      <w:widowControl/>
      <w:spacing w:before="100" w:beforeAutospacing="1" w:after="100" w:afterAutospacing="1"/>
      <w:jc w:val="left"/>
    </w:pPr>
    <w:rPr>
      <w:rFonts w:ascii="宋体" w:hAnsi="宋体" w:eastAsia="宋体" w:cs="Times New Roman"/>
      <w:kern w:val="0"/>
      <w:sz w:val="24"/>
      <w:szCs w:val="24"/>
    </w:rPr>
  </w:style>
  <w:style w:type="paragraph" w:customStyle="1" w:styleId="107">
    <w:name w:val="二级列表 Char"/>
    <w:basedOn w:val="1"/>
    <w:qFormat/>
    <w:uiPriority w:val="0"/>
    <w:rPr>
      <w:rFonts w:ascii="Calibri" w:hAnsi="Calibri" w:eastAsia="宋体" w:cs="Times New Roman"/>
      <w:szCs w:val="20"/>
    </w:rPr>
  </w:style>
  <w:style w:type="paragraph" w:customStyle="1" w:styleId="108">
    <w:name w:val="2"/>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09">
    <w:name w:val="1列"/>
    <w:basedOn w:val="1"/>
    <w:qFormat/>
    <w:uiPriority w:val="0"/>
    <w:pPr>
      <w:spacing w:line="360" w:lineRule="auto"/>
      <w:ind w:left="401" w:hanging="401" w:hangingChars="191"/>
    </w:pPr>
    <w:rPr>
      <w:rFonts w:ascii="Calibri" w:hAnsi="Calibri" w:eastAsia="宋体" w:cs="Times New Roman"/>
      <w:szCs w:val="24"/>
    </w:rPr>
  </w:style>
  <w:style w:type="paragraph" w:customStyle="1" w:styleId="110">
    <w:name w:val="ATXT_Standard"/>
    <w:qFormat/>
    <w:uiPriority w:val="99"/>
    <w:pPr>
      <w:widowControl w:val="0"/>
      <w:autoSpaceDE w:val="0"/>
      <w:autoSpaceDN w:val="0"/>
      <w:adjustRightInd w:val="0"/>
      <w:ind w:left="1134"/>
      <w:jc w:val="both"/>
    </w:pPr>
    <w:rPr>
      <w:rFonts w:ascii="Arial" w:hAnsi="Arial" w:eastAsia="宋体" w:cs="Arial"/>
      <w:lang w:val="en-US" w:eastAsia="zh-CN" w:bidi="ar-SA"/>
    </w:rPr>
  </w:style>
  <w:style w:type="paragraph" w:customStyle="1" w:styleId="111">
    <w:name w:val="Char Char3 Char Char Char Char Char Char Char"/>
    <w:basedOn w:val="1"/>
    <w:qFormat/>
    <w:uiPriority w:val="0"/>
    <w:pPr>
      <w:widowControl/>
      <w:tabs>
        <w:tab w:val="left" w:pos="425"/>
      </w:tabs>
      <w:spacing w:after="160" w:line="240" w:lineRule="exact"/>
      <w:ind w:left="425" w:hanging="425"/>
      <w:jc w:val="left"/>
    </w:pPr>
    <w:rPr>
      <w:rFonts w:ascii="Verdana" w:hAnsi="Verdana" w:eastAsia="宋体" w:cs="Times New Roman"/>
      <w:kern w:val="0"/>
      <w:sz w:val="20"/>
      <w:szCs w:val="20"/>
      <w:lang w:eastAsia="en-US"/>
    </w:rPr>
  </w:style>
  <w:style w:type="paragraph" w:customStyle="1" w:styleId="112">
    <w:name w:val="Char Char Char Char Char Char Char"/>
    <w:basedOn w:val="1"/>
    <w:qFormat/>
    <w:uiPriority w:val="0"/>
    <w:rPr>
      <w:rFonts w:ascii="Verdana" w:hAnsi="Verdana" w:eastAsia="宋体" w:cs="Times New Roman"/>
      <w:kern w:val="0"/>
      <w:sz w:val="20"/>
      <w:szCs w:val="20"/>
      <w:lang w:eastAsia="en-US"/>
    </w:rPr>
  </w:style>
  <w:style w:type="paragraph" w:customStyle="1" w:styleId="113">
    <w:name w:val="正文1"/>
    <w:basedOn w:val="1"/>
    <w:qFormat/>
    <w:uiPriority w:val="0"/>
    <w:pPr>
      <w:adjustRightInd w:val="0"/>
      <w:spacing w:line="312" w:lineRule="atLeast"/>
    </w:pPr>
    <w:rPr>
      <w:rFonts w:ascii="楷体_GB2312" w:hAnsi="Calibri" w:eastAsia="楷体_GB2312" w:cs="Times New Roman"/>
      <w:kern w:val="0"/>
      <w:sz w:val="24"/>
      <w:szCs w:val="20"/>
    </w:rPr>
  </w:style>
  <w:style w:type="paragraph" w:customStyle="1" w:styleId="114">
    <w:name w:val="Char Char Char Char Char Char1 Char"/>
    <w:basedOn w:val="1"/>
    <w:qFormat/>
    <w:uiPriority w:val="0"/>
    <w:pPr>
      <w:widowControl/>
      <w:spacing w:after="160" w:line="240" w:lineRule="exact"/>
      <w:jc w:val="left"/>
    </w:pPr>
    <w:rPr>
      <w:rFonts w:ascii="Arial" w:hAnsi="Arial" w:eastAsia="宋体" w:cs="Verdana"/>
      <w:b/>
      <w:kern w:val="0"/>
      <w:sz w:val="24"/>
      <w:szCs w:val="24"/>
      <w:lang w:eastAsia="en-US" w:bidi="th-TH"/>
    </w:rPr>
  </w:style>
  <w:style w:type="paragraph" w:customStyle="1" w:styleId="115">
    <w:name w:val="Pied"/>
    <w:basedOn w:val="1"/>
    <w:qFormat/>
    <w:uiPriority w:val="0"/>
    <w:pPr>
      <w:tabs>
        <w:tab w:val="center" w:pos="4252"/>
        <w:tab w:val="right" w:pos="8504"/>
      </w:tabs>
      <w:ind w:left="284" w:right="284"/>
      <w:jc w:val="center"/>
    </w:pPr>
    <w:rPr>
      <w:rFonts w:ascii="Calibri" w:hAnsi="Calibri" w:eastAsia="宋体" w:cs="Times New Roman"/>
      <w:b/>
      <w:color w:val="000000"/>
      <w:sz w:val="16"/>
      <w:szCs w:val="24"/>
      <w:lang w:val="fr-FR" w:eastAsia="fr-FR"/>
    </w:rPr>
  </w:style>
  <w:style w:type="paragraph" w:customStyle="1" w:styleId="116">
    <w:name w:val="AVL_Continuous_normal"/>
    <w:qFormat/>
    <w:uiPriority w:val="99"/>
    <w:pPr>
      <w:widowControl w:val="0"/>
      <w:autoSpaceDE w:val="0"/>
      <w:autoSpaceDN w:val="0"/>
      <w:adjustRightInd w:val="0"/>
    </w:pPr>
    <w:rPr>
      <w:rFonts w:ascii="Arial" w:hAnsi="Arial" w:eastAsia="宋体" w:cs="Arial"/>
      <w:color w:val="070000"/>
      <w:sz w:val="19"/>
      <w:szCs w:val="19"/>
      <w:lang w:val="de-AT" w:eastAsia="zh-CN" w:bidi="th-TH"/>
    </w:rPr>
  </w:style>
  <w:style w:type="paragraph" w:customStyle="1" w:styleId="117">
    <w:name w:val="标书正文格式"/>
    <w:basedOn w:val="22"/>
    <w:link w:val="119"/>
    <w:qFormat/>
    <w:uiPriority w:val="0"/>
    <w:pPr>
      <w:spacing w:line="360" w:lineRule="auto"/>
      <w:ind w:firstLine="200" w:firstLineChars="200"/>
    </w:pPr>
    <w:rPr>
      <w:rFonts w:hAnsi="宋体"/>
      <w:color w:val="000000"/>
      <w:sz w:val="24"/>
      <w:szCs w:val="24"/>
    </w:rPr>
  </w:style>
  <w:style w:type="paragraph" w:customStyle="1" w:styleId="118">
    <w:name w:val="标书二级标题"/>
    <w:basedOn w:val="3"/>
    <w:link w:val="121"/>
    <w:qFormat/>
    <w:uiPriority w:val="0"/>
    <w:pPr>
      <w:spacing w:line="240" w:lineRule="auto"/>
      <w:jc w:val="left"/>
    </w:pPr>
    <w:rPr>
      <w:rFonts w:ascii="宋体" w:hAnsi="宋体" w:eastAsia="黑体"/>
      <w:b w:val="0"/>
      <w:sz w:val="28"/>
      <w:szCs w:val="30"/>
    </w:rPr>
  </w:style>
  <w:style w:type="character" w:customStyle="1" w:styleId="119">
    <w:name w:val="标书正文格式 字符"/>
    <w:link w:val="117"/>
    <w:qFormat/>
    <w:locked/>
    <w:uiPriority w:val="0"/>
    <w:rPr>
      <w:rFonts w:ascii="宋体" w:hAnsi="宋体"/>
      <w:color w:val="000000"/>
      <w:sz w:val="24"/>
      <w:szCs w:val="24"/>
    </w:rPr>
  </w:style>
  <w:style w:type="paragraph" w:customStyle="1" w:styleId="120">
    <w:name w:val="标书表格"/>
    <w:basedOn w:val="1"/>
    <w:link w:val="122"/>
    <w:qFormat/>
    <w:uiPriority w:val="0"/>
    <w:pPr>
      <w:jc w:val="center"/>
    </w:pPr>
    <w:rPr>
      <w:rFonts w:ascii="Times New Roman" w:hAnsi="Times New Roman" w:eastAsia="宋体" w:cs="Times New Roman"/>
      <w:b/>
      <w:szCs w:val="20"/>
    </w:rPr>
  </w:style>
  <w:style w:type="character" w:customStyle="1" w:styleId="121">
    <w:name w:val="标书二级标题 字符"/>
    <w:link w:val="118"/>
    <w:qFormat/>
    <w:locked/>
    <w:uiPriority w:val="0"/>
    <w:rPr>
      <w:rFonts w:ascii="宋体" w:hAnsi="宋体" w:eastAsia="黑体" w:cs="Times New Roman"/>
      <w:bCs/>
      <w:sz w:val="28"/>
      <w:szCs w:val="30"/>
    </w:rPr>
  </w:style>
  <w:style w:type="character" w:customStyle="1" w:styleId="122">
    <w:name w:val="标书表格 字符"/>
    <w:link w:val="120"/>
    <w:qFormat/>
    <w:locked/>
    <w:uiPriority w:val="0"/>
    <w:rPr>
      <w:rFonts w:ascii="Times New Roman" w:hAnsi="Times New Roman" w:eastAsia="宋体" w:cs="Times New Roman"/>
      <w:b/>
      <w:szCs w:val="20"/>
    </w:rPr>
  </w:style>
  <w:style w:type="paragraph" w:customStyle="1" w:styleId="123">
    <w:name w:val="标书三级标题"/>
    <w:basedOn w:val="4"/>
    <w:next w:val="117"/>
    <w:link w:val="124"/>
    <w:qFormat/>
    <w:uiPriority w:val="0"/>
    <w:pPr>
      <w:spacing w:before="0" w:after="0" w:line="240" w:lineRule="auto"/>
      <w:ind w:firstLine="482" w:firstLineChars="200"/>
    </w:pPr>
    <w:rPr>
      <w:rFonts w:ascii="Times New Roman" w:hAnsi="Times New Roman"/>
      <w:color w:val="000000"/>
      <w:sz w:val="24"/>
      <w:szCs w:val="24"/>
    </w:rPr>
  </w:style>
  <w:style w:type="character" w:customStyle="1" w:styleId="124">
    <w:name w:val="标书三级标题 字符"/>
    <w:link w:val="123"/>
    <w:qFormat/>
    <w:locked/>
    <w:uiPriority w:val="0"/>
    <w:rPr>
      <w:rFonts w:ascii="Times New Roman" w:hAnsi="Times New Roman" w:eastAsia="宋体" w:cs="Times New Roman"/>
      <w:b/>
      <w:bCs/>
      <w:color w:val="000000"/>
      <w:sz w:val="24"/>
      <w:szCs w:val="24"/>
    </w:rPr>
  </w:style>
  <w:style w:type="character" w:customStyle="1" w:styleId="125">
    <w:name w:val="标三级标题 字符"/>
    <w:link w:val="126"/>
    <w:qFormat/>
    <w:locked/>
    <w:uiPriority w:val="0"/>
    <w:rPr>
      <w:b/>
      <w:color w:val="000000"/>
      <w:sz w:val="24"/>
    </w:rPr>
  </w:style>
  <w:style w:type="paragraph" w:customStyle="1" w:styleId="126">
    <w:name w:val="标三级标题"/>
    <w:basedOn w:val="123"/>
    <w:link w:val="125"/>
    <w:qFormat/>
    <w:uiPriority w:val="0"/>
    <w:rPr>
      <w:rFonts w:asciiTheme="minorHAnsi" w:hAnsiTheme="minorHAnsi" w:eastAsiaTheme="minorEastAsia" w:cstheme="minorBidi"/>
      <w:bCs w:val="0"/>
      <w:szCs w:val="22"/>
    </w:rPr>
  </w:style>
  <w:style w:type="character" w:customStyle="1" w:styleId="127">
    <w:name w:val="标正文 字符"/>
    <w:link w:val="128"/>
    <w:qFormat/>
    <w:locked/>
    <w:uiPriority w:val="0"/>
    <w:rPr>
      <w:rFonts w:ascii="宋体" w:eastAsia="宋体"/>
      <w:color w:val="000000"/>
      <w:sz w:val="24"/>
    </w:rPr>
  </w:style>
  <w:style w:type="paragraph" w:customStyle="1" w:styleId="128">
    <w:name w:val="标正文"/>
    <w:basedOn w:val="117"/>
    <w:link w:val="127"/>
    <w:qFormat/>
    <w:uiPriority w:val="0"/>
    <w:pPr>
      <w:ind w:firstLine="480"/>
    </w:pPr>
    <w:rPr>
      <w:rFonts w:eastAsia="宋体" w:hAnsiTheme="minorHAnsi"/>
      <w:szCs w:val="22"/>
    </w:rPr>
  </w:style>
  <w:style w:type="paragraph" w:customStyle="1" w:styleId="129">
    <w:name w:val="TOC 标题1"/>
    <w:basedOn w:val="2"/>
    <w:next w:val="1"/>
    <w:unhideWhenUsed/>
    <w:qFormat/>
    <w:uiPriority w:val="39"/>
    <w:pPr>
      <w:widowControl/>
      <w:spacing w:before="240" w:line="259" w:lineRule="auto"/>
      <w:jc w:val="left"/>
      <w:outlineLvl w:val="9"/>
    </w:pPr>
    <w:rPr>
      <w:rFonts w:ascii="等线 Light" w:hAnsi="等线 Light" w:eastAsia="等线 Light"/>
      <w:b w:val="0"/>
      <w:bCs w:val="0"/>
      <w:color w:val="2E74B5"/>
      <w:kern w:val="0"/>
      <w:sz w:val="32"/>
      <w:szCs w:val="32"/>
    </w:rPr>
  </w:style>
  <w:style w:type="paragraph" w:customStyle="1" w:styleId="130">
    <w:name w:val="HR正文表格"/>
    <w:basedOn w:val="1"/>
    <w:qFormat/>
    <w:uiPriority w:val="0"/>
    <w:pPr>
      <w:spacing w:beforeLines="25" w:afterLines="25" w:line="300" w:lineRule="auto"/>
    </w:pPr>
    <w:rPr>
      <w:szCs w:val="24"/>
    </w:rPr>
  </w:style>
  <w:style w:type="paragraph" w:styleId="131">
    <w:name w:val="List Paragraph"/>
    <w:basedOn w:val="1"/>
    <w:qFormat/>
    <w:uiPriority w:val="99"/>
    <w:pPr>
      <w:ind w:firstLine="420" w:firstLineChars="200"/>
    </w:pPr>
  </w:style>
  <w:style w:type="paragraph" w:customStyle="1" w:styleId="132">
    <w:name w:val="WPSOffice手动目录 1"/>
    <w:qFormat/>
    <w:uiPriority w:val="0"/>
    <w:rPr>
      <w:rFonts w:ascii="Times New Roman" w:hAnsi="Times New Roman" w:eastAsia="宋体" w:cs="Times New Roman"/>
      <w:lang w:val="en-US" w:eastAsia="zh-CN" w:bidi="ar-SA"/>
    </w:rPr>
  </w:style>
  <w:style w:type="table" w:customStyle="1" w:styleId="133">
    <w:name w:val="Table Normal"/>
    <w:semiHidden/>
    <w:unhideWhenUsed/>
    <w:qFormat/>
    <w:uiPriority w:val="0"/>
    <w:tblPr>
      <w:tblCellMar>
        <w:top w:w="0" w:type="dxa"/>
        <w:left w:w="0" w:type="dxa"/>
        <w:bottom w:w="0" w:type="dxa"/>
        <w:right w:w="0" w:type="dxa"/>
      </w:tblCellMar>
    </w:tblPr>
  </w:style>
  <w:style w:type="character" w:customStyle="1" w:styleId="134">
    <w:name w:val="NormalCharacter"/>
    <w:qFormat/>
    <w:uiPriority w:val="0"/>
  </w:style>
  <w:style w:type="paragraph" w:customStyle="1" w:styleId="135">
    <w:name w:val="Table Paragraph"/>
    <w:basedOn w:val="1"/>
    <w:qFormat/>
    <w:uiPriority w:val="1"/>
    <w:rPr>
      <w:rFonts w:ascii="宋体" w:hAnsi="宋体" w:eastAsia="宋体" w:cs="宋体"/>
    </w:rPr>
  </w:style>
  <w:style w:type="paragraph" w:customStyle="1" w:styleId="136">
    <w:name w:val="标书一级标题"/>
    <w:basedOn w:val="2"/>
    <w:qFormat/>
    <w:uiPriority w:val="0"/>
    <w:rPr>
      <w:rFonts w:eastAsia="黑体"/>
      <w:b w:val="0"/>
      <w:color w:val="000000"/>
      <w:sz w:val="30"/>
      <w:szCs w:val="24"/>
    </w:rPr>
  </w:style>
  <w:style w:type="paragraph" w:customStyle="1" w:styleId="137">
    <w:name w:val="首行缩进"/>
    <w:basedOn w:val="1"/>
    <w:qFormat/>
    <w:uiPriority w:val="0"/>
    <w:pPr>
      <w:ind w:firstLine="480" w:firstLineChars="200"/>
    </w:pPr>
    <w:rPr>
      <w:lang w:val="zh-CN"/>
    </w:rPr>
  </w:style>
  <w:style w:type="paragraph" w:customStyle="1" w:styleId="138">
    <w:name w:val="编号行"/>
    <w:basedOn w:val="1"/>
    <w:qFormat/>
    <w:uiPriority w:val="0"/>
    <w:pPr>
      <w:adjustRightInd w:val="0"/>
      <w:spacing w:before="156" w:beforeLines="50" w:after="156" w:afterLines="50" w:line="360" w:lineRule="auto"/>
      <w:textAlignment w:val="baseline"/>
    </w:pPr>
    <w:rPr>
      <w:rFonts w:ascii="黑体" w:hAnsi="宋体" w:eastAsia="黑体"/>
      <w:b/>
      <w:kern w:val="0"/>
      <w:sz w:val="24"/>
      <w:szCs w:val="20"/>
    </w:rPr>
  </w:style>
  <w:style w:type="paragraph" w:customStyle="1" w:styleId="139">
    <w:name w:val="段"/>
    <w:qFormat/>
    <w:uiPriority w:val="0"/>
    <w:pPr>
      <w:ind w:firstLine="200" w:firstLineChars="200"/>
      <w:jc w:val="both"/>
    </w:pPr>
    <w:rPr>
      <w:rFonts w:ascii="Times New Roman" w:hAnsi="Times New Roman" w:eastAsia="宋体" w:cs="Times New Roman"/>
      <w:sz w:val="21"/>
      <w:lang w:val="en-US" w:eastAsia="zh-CN" w:bidi="ar-SA"/>
    </w:rPr>
  </w:style>
  <w:style w:type="paragraph" w:customStyle="1" w:styleId="140">
    <w:name w:val="正文表标题"/>
    <w:next w:val="139"/>
    <w:qFormat/>
    <w:uiPriority w:val="0"/>
    <w:pPr>
      <w:numPr>
        <w:ilvl w:val="0"/>
        <w:numId w:val="1"/>
      </w:numPr>
      <w:spacing w:beforeLines="50" w:afterLines="50"/>
      <w:jc w:val="center"/>
    </w:pPr>
    <w:rPr>
      <w:rFonts w:ascii="黑体" w:hAnsi="Times New Roman" w:eastAsia="黑体" w:cs="Times New Roman"/>
      <w:sz w:val="21"/>
      <w:lang w:val="en-US" w:eastAsia="zh-CN" w:bidi="ar-SA"/>
    </w:rPr>
  </w:style>
  <w:style w:type="paragraph" w:customStyle="1" w:styleId="141">
    <w:name w:val="Table Text"/>
    <w:basedOn w:val="1"/>
    <w:qFormat/>
    <w:uiPriority w:val="0"/>
    <w:pPr>
      <w:widowControl/>
      <w:kinsoku w:val="0"/>
      <w:autoSpaceDE w:val="0"/>
      <w:autoSpaceDN w:val="0"/>
      <w:adjustRightInd w:val="0"/>
      <w:snapToGrid w:val="0"/>
      <w:jc w:val="left"/>
      <w:textAlignment w:val="baseline"/>
    </w:pPr>
    <w:rPr>
      <w:rFonts w:ascii="宋体" w:hAnsi="宋体" w:cs="宋体"/>
      <w:snapToGrid w:val="0"/>
      <w:color w:val="000000"/>
      <w:kern w:val="0"/>
      <w:szCs w:val="21"/>
      <w:lang w:eastAsia="en-US"/>
    </w:rPr>
  </w:style>
  <w:style w:type="paragraph" w:customStyle="1" w:styleId="142">
    <w:name w:val="WPSOffice手动目录 2"/>
    <w:qFormat/>
    <w:uiPriority w:val="0"/>
    <w:pPr>
      <w:ind w:left="200" w:leftChars="200"/>
    </w:pPr>
    <w:rPr>
      <w:rFonts w:ascii="Times New Roman" w:hAnsi="Times New Roman" w:eastAsia="宋体" w:cs="Times New Roman"/>
      <w:lang w:val="en-US" w:eastAsia="zh-CN" w:bidi="ar-SA"/>
    </w:rPr>
  </w:style>
  <w:style w:type="character" w:customStyle="1" w:styleId="143">
    <w:name w:val="font01"/>
    <w:basedOn w:val="43"/>
    <w:qFormat/>
    <w:uiPriority w:val="0"/>
    <w:rPr>
      <w:rFonts w:hint="eastAsia" w:ascii="宋体" w:hAnsi="宋体" w:eastAsia="宋体" w:cs="宋体"/>
      <w:color w:val="000000"/>
      <w:sz w:val="20"/>
      <w:szCs w:val="20"/>
      <w:u w:val="none"/>
    </w:rPr>
  </w:style>
  <w:style w:type="character" w:customStyle="1" w:styleId="144">
    <w:name w:val="font101"/>
    <w:basedOn w:val="43"/>
    <w:qFormat/>
    <w:uiPriority w:val="0"/>
    <w:rPr>
      <w:rFonts w:hint="eastAsia" w:ascii="宋体" w:hAnsi="宋体" w:eastAsia="宋体" w:cs="宋体"/>
      <w:color w:val="FF0000"/>
      <w:sz w:val="20"/>
      <w:szCs w:val="20"/>
      <w:u w:val="none"/>
    </w:rPr>
  </w:style>
  <w:style w:type="paragraph" w:customStyle="1" w:styleId="145">
    <w:name w:val="一级条标题"/>
    <w:next w:val="139"/>
    <w:qFormat/>
    <w:uiPriority w:val="0"/>
    <w:pPr>
      <w:spacing w:beforeLines="50" w:afterLines="50"/>
      <w:outlineLvl w:val="2"/>
    </w:pPr>
    <w:rPr>
      <w:rFonts w:ascii="黑体" w:hAnsi="Times New Roman" w:eastAsia="黑体" w:cs="Times New Roman"/>
      <w:sz w:val="21"/>
      <w:szCs w:val="21"/>
      <w:lang w:val="en-US" w:eastAsia="zh-CN" w:bidi="ar-SA"/>
    </w:rPr>
  </w:style>
  <w:style w:type="character" w:customStyle="1" w:styleId="146">
    <w:name w:val="font41"/>
    <w:basedOn w:val="43"/>
    <w:qFormat/>
    <w:uiPriority w:val="0"/>
    <w:rPr>
      <w:rFonts w:hint="eastAsia" w:ascii="宋体" w:hAnsi="宋体" w:eastAsia="宋体" w:cs="宋体"/>
      <w:color w:val="000000"/>
      <w:sz w:val="21"/>
      <w:szCs w:val="21"/>
      <w:u w:val="none"/>
    </w:rPr>
  </w:style>
  <w:style w:type="paragraph" w:customStyle="1" w:styleId="147">
    <w:name w:val="修订1"/>
    <w:hidden/>
    <w:unhideWhenUsed/>
    <w:qFormat/>
    <w:uiPriority w:val="99"/>
    <w:rPr>
      <w:rFonts w:asciiTheme="minorHAnsi" w:hAnsiTheme="minorHAnsi" w:eastAsiaTheme="minorEastAsia" w:cstheme="minorBidi"/>
      <w:kern w:val="2"/>
      <w:sz w:val="21"/>
      <w:szCs w:val="22"/>
      <w:lang w:val="en-US" w:eastAsia="zh-CN" w:bidi="ar-SA"/>
    </w:rPr>
  </w:style>
  <w:style w:type="paragraph" w:customStyle="1" w:styleId="148">
    <w:name w:val="修订2"/>
    <w:hidden/>
    <w:unhideWhenUsed/>
    <w:qFormat/>
    <w:uiPriority w:val="99"/>
    <w:rPr>
      <w:rFonts w:asciiTheme="minorHAnsi" w:hAnsiTheme="minorHAnsi" w:eastAsiaTheme="minorEastAsia" w:cstheme="minorBidi"/>
      <w:kern w:val="2"/>
      <w:sz w:val="21"/>
      <w:szCs w:val="22"/>
      <w:lang w:val="en-US" w:eastAsia="zh-CN" w:bidi="ar-SA"/>
    </w:rPr>
  </w:style>
  <w:style w:type="character" w:customStyle="1" w:styleId="149">
    <w:name w:val="标题 6 字符"/>
    <w:basedOn w:val="43"/>
    <w:link w:val="7"/>
    <w:qFormat/>
    <w:uiPriority w:val="9"/>
    <w:rPr>
      <w:rFonts w:ascii="Arial" w:hAnsi="Arial" w:eastAsia="黑体" w:cstheme="minorBidi"/>
      <w:b/>
      <w:kern w:val="2"/>
      <w:sz w:val="24"/>
      <w:szCs w:val="22"/>
    </w:rPr>
  </w:style>
  <w:style w:type="character" w:customStyle="1" w:styleId="150">
    <w:name w:val="标题 7 字符"/>
    <w:basedOn w:val="43"/>
    <w:link w:val="8"/>
    <w:qFormat/>
    <w:uiPriority w:val="9"/>
    <w:rPr>
      <w:rFonts w:asciiTheme="minorHAnsi" w:hAnsiTheme="minorHAnsi" w:eastAsiaTheme="minorEastAsia" w:cstheme="minorBidi"/>
      <w:b/>
      <w:kern w:val="2"/>
      <w:sz w:val="24"/>
      <w:szCs w:val="22"/>
    </w:rPr>
  </w:style>
  <w:style w:type="character" w:customStyle="1" w:styleId="151">
    <w:name w:val="标题 9 字符"/>
    <w:basedOn w:val="43"/>
    <w:link w:val="9"/>
    <w:semiHidden/>
    <w:qFormat/>
    <w:uiPriority w:val="9"/>
    <w:rPr>
      <w:rFonts w:ascii="Arial" w:hAnsi="Arial" w:eastAsia="黑体" w:cstheme="minorBidi"/>
      <w:kern w:val="2"/>
      <w:sz w:val="21"/>
      <w:szCs w:val="22"/>
    </w:rPr>
  </w:style>
  <w:style w:type="paragraph" w:customStyle="1" w:styleId="152">
    <w:name w:val="_Style 4"/>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paragraph" w:customStyle="1" w:styleId="153">
    <w:name w:val="TOC 标题2"/>
    <w:basedOn w:val="2"/>
    <w:next w:val="1"/>
    <w:unhideWhenUsed/>
    <w:qFormat/>
    <w:uiPriority w:val="39"/>
    <w:pPr>
      <w:widowControl/>
      <w:spacing w:before="360" w:after="40"/>
      <w:jc w:val="left"/>
      <w:outlineLvl w:val="9"/>
    </w:pPr>
    <w:rPr>
      <w:rFonts w:ascii="Calibri Light" w:hAnsi="Calibri Light"/>
      <w:b w:val="0"/>
      <w:bCs w:val="0"/>
      <w:color w:val="538135"/>
      <w:kern w:val="0"/>
      <w:sz w:val="40"/>
      <w:szCs w:val="40"/>
    </w:rPr>
  </w:style>
  <w:style w:type="character" w:customStyle="1" w:styleId="154">
    <w:name w:val="标题 3 字符2"/>
    <w:qFormat/>
    <w:uiPriority w:val="0"/>
    <w:rPr>
      <w:b/>
      <w:kern w:val="2"/>
      <w:sz w:val="24"/>
    </w:rPr>
  </w:style>
  <w:style w:type="character" w:customStyle="1" w:styleId="155">
    <w:name w:val="标题 4 字符2"/>
    <w:qFormat/>
    <w:uiPriority w:val="0"/>
    <w:rPr>
      <w:b/>
      <w:bCs/>
      <w:kern w:val="2"/>
      <w:sz w:val="24"/>
      <w:szCs w:val="28"/>
    </w:rPr>
  </w:style>
  <w:style w:type="table" w:customStyle="1" w:styleId="156">
    <w:name w:val="Rohde &amp; Schwarz - Standard Table"/>
    <w:basedOn w:val="41"/>
    <w:qFormat/>
    <w:uiPriority w:val="99"/>
    <w:pPr>
      <w:spacing w:before="64" w:after="64" w:line="271" w:lineRule="auto"/>
    </w:pPr>
    <w:rPr>
      <w:rFonts w:ascii="Calibri" w:hAnsi="Calibri" w:cs="Cordia New"/>
      <w:sz w:val="16"/>
      <w:szCs w:val="16"/>
    </w:r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left w:w="57" w:type="dxa"/>
        <w:right w:w="57" w:type="dxa"/>
      </w:tblCellMar>
    </w:tblPr>
    <w:tblStylePr w:type="firstRow">
      <w:rPr>
        <w:b/>
        <w:bCs/>
        <w:i w:val="0"/>
        <w:iCs w:val="0"/>
        <w:sz w:val="20"/>
        <w:szCs w:val="20"/>
      </w:rPr>
    </w:tblStylePr>
    <w:tblStylePr w:type="firstCol">
      <w:rPr>
        <w:b/>
        <w:bCs/>
        <w:i w:val="0"/>
        <w:iCs w:val="0"/>
      </w:rPr>
    </w:tblStylePr>
    <w:tblStylePr w:type="band1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Vert">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tblStylePr w:type="band1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shd w:val="clear" w:color="auto" w:fill="CCC0D9"/>
      </w:tcPr>
    </w:tblStylePr>
    <w:tblStylePr w:type="band2Horz">
      <w:tcPr>
        <w:tcBorders>
          <w:top w:val="single" w:color="auto" w:sz="4" w:space="0"/>
          <w:left w:val="single" w:color="auto" w:sz="4" w:space="0"/>
          <w:bottom w:val="single" w:color="auto" w:sz="4" w:space="0"/>
          <w:right w:val="single" w:color="auto" w:sz="4" w:space="0"/>
          <w:insideH w:val="single" w:sz="4" w:space="0"/>
          <w:insideV w:val="single" w:sz="4" w:space="0"/>
          <w:tl2br w:val="nil"/>
          <w:tr2bl w:val="nil"/>
        </w:tcBorders>
      </w:tcPr>
    </w:tblStylePr>
  </w:style>
  <w:style w:type="paragraph" w:customStyle="1" w:styleId="157">
    <w:name w:val="List Paragraph1"/>
    <w:basedOn w:val="1"/>
    <w:qFormat/>
    <w:uiPriority w:val="0"/>
    <w:pPr>
      <w:ind w:firstLine="420" w:firstLineChars="200"/>
    </w:pPr>
    <w:rPr>
      <w:rFonts w:ascii="Calibri" w:hAnsi="Calibri"/>
    </w:rPr>
  </w:style>
  <w:style w:type="character" w:customStyle="1" w:styleId="158">
    <w:name w:val="fontstyle01"/>
    <w:qFormat/>
    <w:uiPriority w:val="0"/>
    <w:rPr>
      <w:rFonts w:hint="eastAsia" w:ascii="宋体" w:hAnsi="宋体" w:eastAsia="宋体"/>
      <w:color w:val="000000"/>
      <w:sz w:val="24"/>
      <w:szCs w:val="24"/>
    </w:rPr>
  </w:style>
  <w:style w:type="paragraph" w:styleId="159">
    <w:name w:val="No Spacing"/>
    <w:qFormat/>
    <w:uiPriority w:val="1"/>
    <w:rPr>
      <w:rFonts w:ascii="等线" w:hAnsi="等线" w:eastAsia="等线" w:cs="Times New Roman"/>
      <w:sz w:val="21"/>
      <w:szCs w:val="21"/>
      <w:lang w:val="en-US" w:eastAsia="zh-CN" w:bidi="ar-SA"/>
    </w:rPr>
  </w:style>
  <w:style w:type="character" w:customStyle="1" w:styleId="160">
    <w:name w:val="Classification"/>
    <w:qFormat/>
    <w:uiPriority w:val="99"/>
    <w:rPr>
      <w:rFonts w:ascii="Calibri" w:hAnsi="Calibri" w:eastAsia="宋体" w:cs="Cordia New"/>
      <w:b/>
      <w:bCs/>
      <w:caps/>
      <w:color w:val="000000"/>
      <w:spacing w:val="20"/>
      <w:sz w:val="24"/>
      <w:szCs w:val="24"/>
    </w:rPr>
  </w:style>
  <w:style w:type="paragraph" w:customStyle="1" w:styleId="161">
    <w:name w:val="msolistparagraph"/>
    <w:basedOn w:val="1"/>
    <w:qFormat/>
    <w:uiPriority w:val="0"/>
    <w:pPr>
      <w:widowControl/>
      <w:spacing w:line="300" w:lineRule="auto"/>
      <w:ind w:firstLine="420" w:firstLineChars="200"/>
      <w:jc w:val="left"/>
    </w:pPr>
    <w:rPr>
      <w:kern w:val="0"/>
    </w:rPr>
  </w:style>
  <w:style w:type="paragraph" w:customStyle="1" w:styleId="162">
    <w:name w:val="列出段落2"/>
    <w:basedOn w:val="1"/>
    <w:qFormat/>
    <w:uiPriority w:val="0"/>
    <w:pPr>
      <w:spacing w:line="360" w:lineRule="auto"/>
      <w:ind w:firstLine="420" w:firstLineChars="200"/>
    </w:pPr>
    <w:rPr>
      <w:sz w:val="24"/>
      <w:szCs w:val="24"/>
    </w:rPr>
  </w:style>
  <w:style w:type="character" w:customStyle="1" w:styleId="163">
    <w:name w:val="标题 4 字符"/>
    <w:basedOn w:val="43"/>
    <w:link w:val="5"/>
    <w:qFormat/>
    <w:uiPriority w:val="9"/>
    <w:rPr>
      <w:rFonts w:ascii="Arial" w:hAnsi="Arial" w:eastAsia="黑体" w:cstheme="minorBidi"/>
      <w:b/>
      <w:kern w:val="2"/>
      <w:sz w:val="28"/>
      <w:szCs w:val="22"/>
    </w:rPr>
  </w:style>
  <w:style w:type="character" w:customStyle="1" w:styleId="164">
    <w:name w:val="批注文字 字符2"/>
    <w:basedOn w:val="43"/>
    <w:qFormat/>
    <w:uiPriority w:val="0"/>
    <w:rPr>
      <w:rFonts w:hint="eastAsia" w:ascii="等线" w:hAnsi="等线" w:eastAsia="等线" w:cs="等线"/>
      <w:kern w:val="2"/>
      <w:sz w:val="21"/>
      <w:szCs w:val="22"/>
    </w:rPr>
  </w:style>
  <w:style w:type="paragraph" w:customStyle="1" w:styleId="165">
    <w:name w:val="p0"/>
    <w:basedOn w:val="1"/>
    <w:qFormat/>
    <w:uiPriority w:val="0"/>
    <w:pPr>
      <w:widowControl/>
      <w:spacing w:line="360" w:lineRule="auto"/>
      <w:jc w:val="left"/>
    </w:pPr>
    <w:rPr>
      <w:rFonts w:ascii="Times New Roman" w:hAnsi="Times New Roman" w:eastAsia="宋体" w:cs="Times New Roman"/>
      <w:kern w:val="0"/>
      <w:sz w:val="24"/>
      <w:szCs w:val="21"/>
    </w:rPr>
  </w:style>
  <w:style w:type="character" w:customStyle="1" w:styleId="166">
    <w:name w:val="font21"/>
    <w:basedOn w:val="43"/>
    <w:qFormat/>
    <w:uiPriority w:val="0"/>
    <w:rPr>
      <w:rFonts w:hint="eastAsia" w:ascii="宋体" w:hAnsi="宋体" w:eastAsia="宋体" w:cs="宋体"/>
      <w:color w:val="000000"/>
      <w:sz w:val="18"/>
      <w:szCs w:val="18"/>
      <w:u w:val="none"/>
    </w:rPr>
  </w:style>
  <w:style w:type="character" w:customStyle="1" w:styleId="167">
    <w:name w:val="font31"/>
    <w:basedOn w:val="43"/>
    <w:qFormat/>
    <w:uiPriority w:val="0"/>
    <w:rPr>
      <w:rFonts w:hint="default" w:ascii="Times New Roman" w:hAnsi="Times New Roman" w:cs="Times New Roman"/>
      <w:color w:val="000000"/>
      <w:sz w:val="18"/>
      <w:szCs w:val="18"/>
      <w:u w:val="none"/>
    </w:rPr>
  </w:style>
  <w:style w:type="character" w:customStyle="1" w:styleId="168">
    <w:name w:val="font51"/>
    <w:basedOn w:val="43"/>
    <w:qFormat/>
    <w:uiPriority w:val="0"/>
    <w:rPr>
      <w:rFonts w:hint="eastAsia" w:ascii="宋体" w:hAnsi="宋体" w:eastAsia="宋体" w:cs="宋体"/>
      <w:color w:val="000000"/>
      <w:sz w:val="18"/>
      <w:szCs w:val="18"/>
      <w:u w:val="none"/>
    </w:rPr>
  </w:style>
  <w:style w:type="character" w:customStyle="1" w:styleId="169">
    <w:name w:val="font11"/>
    <w:basedOn w:val="43"/>
    <w:qFormat/>
    <w:uiPriority w:val="0"/>
    <w:rPr>
      <w:rFonts w:hint="eastAsia" w:ascii="宋体" w:hAnsi="宋体" w:eastAsia="宋体" w:cs="宋体"/>
      <w:b/>
      <w:bCs/>
      <w:color w:val="000000"/>
      <w:sz w:val="21"/>
      <w:szCs w:val="21"/>
      <w:u w:val="none"/>
    </w:rPr>
  </w:style>
  <w:style w:type="character" w:customStyle="1" w:styleId="170">
    <w:name w:val="font61"/>
    <w:basedOn w:val="43"/>
    <w:qFormat/>
    <w:uiPriority w:val="0"/>
    <w:rPr>
      <w:rFonts w:hint="eastAsia" w:ascii="宋体" w:hAnsi="宋体" w:eastAsia="宋体" w:cs="宋体"/>
      <w:color w:val="000000"/>
      <w:sz w:val="18"/>
      <w:szCs w:val="18"/>
      <w:u w:val="none"/>
    </w:rPr>
  </w:style>
  <w:style w:type="paragraph" w:customStyle="1" w:styleId="171">
    <w:name w:val="Fließtext"/>
    <w:basedOn w:val="1"/>
    <w:qFormat/>
    <w:uiPriority w:val="99"/>
    <w:pPr>
      <w:widowControl/>
      <w:jc w:val="center"/>
    </w:pPr>
    <w:rPr>
      <w:rFonts w:ascii="Arial" w:hAnsi="Arial"/>
      <w:kern w:val="0"/>
      <w:szCs w:val="20"/>
      <w:lang w:val="de-DE" w:eastAsia="de-DE"/>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header" Target="header3.xml"/><Relationship Id="rId7" Type="http://schemas.openxmlformats.org/officeDocument/2006/relationships/footer" Target="footer3.xml"/><Relationship Id="rId60" Type="http://schemas.openxmlformats.org/officeDocument/2006/relationships/fontTable" Target="fontTable.xml"/><Relationship Id="rId6" Type="http://schemas.openxmlformats.org/officeDocument/2006/relationships/header" Target="header2.xml"/><Relationship Id="rId59" Type="http://schemas.openxmlformats.org/officeDocument/2006/relationships/numbering" Target="numbering.xml"/><Relationship Id="rId58" Type="http://schemas.openxmlformats.org/officeDocument/2006/relationships/customXml" Target="../customXml/item1.xml"/><Relationship Id="rId57" Type="http://schemas.openxmlformats.org/officeDocument/2006/relationships/image" Target="media/image18.png"/><Relationship Id="rId56" Type="http://schemas.openxmlformats.org/officeDocument/2006/relationships/image" Target="media/image17.png"/><Relationship Id="rId55" Type="http://schemas.openxmlformats.org/officeDocument/2006/relationships/image" Target="media/image16.png"/><Relationship Id="rId54" Type="http://schemas.openxmlformats.org/officeDocument/2006/relationships/image" Target="media/image15.png"/><Relationship Id="rId53" Type="http://schemas.openxmlformats.org/officeDocument/2006/relationships/image" Target="media/image14.png"/><Relationship Id="rId52" Type="http://schemas.openxmlformats.org/officeDocument/2006/relationships/image" Target="media/image13.png"/><Relationship Id="rId51" Type="http://schemas.openxmlformats.org/officeDocument/2006/relationships/image" Target="media/image12.png"/><Relationship Id="rId50" Type="http://schemas.openxmlformats.org/officeDocument/2006/relationships/image" Target="media/image11.png"/><Relationship Id="rId5" Type="http://schemas.openxmlformats.org/officeDocument/2006/relationships/footer" Target="footer2.xml"/><Relationship Id="rId49" Type="http://schemas.openxmlformats.org/officeDocument/2006/relationships/image" Target="media/image10.png"/><Relationship Id="rId48" Type="http://schemas.openxmlformats.org/officeDocument/2006/relationships/image" Target="media/image9.png"/><Relationship Id="rId47" Type="http://schemas.openxmlformats.org/officeDocument/2006/relationships/image" Target="media/image8.png"/><Relationship Id="rId46" Type="http://schemas.openxmlformats.org/officeDocument/2006/relationships/image" Target="media/image7.png"/><Relationship Id="rId45" Type="http://schemas.openxmlformats.org/officeDocument/2006/relationships/image" Target="media/image6.png"/><Relationship Id="rId44" Type="http://schemas.openxmlformats.org/officeDocument/2006/relationships/image" Target="media/image5.png"/><Relationship Id="rId43" Type="http://schemas.openxmlformats.org/officeDocument/2006/relationships/image" Target="media/image4.png"/><Relationship Id="rId42" Type="http://schemas.openxmlformats.org/officeDocument/2006/relationships/image" Target="media/image3.png"/><Relationship Id="rId41" Type="http://schemas.openxmlformats.org/officeDocument/2006/relationships/image" Target="media/image2.png"/><Relationship Id="rId40" Type="http://schemas.openxmlformats.org/officeDocument/2006/relationships/theme" Target="theme/theme1.xml"/><Relationship Id="rId4" Type="http://schemas.openxmlformats.org/officeDocument/2006/relationships/footer" Target="footer1.xml"/><Relationship Id="rId39" Type="http://schemas.openxmlformats.org/officeDocument/2006/relationships/footer" Target="footer28.xml"/><Relationship Id="rId38" Type="http://schemas.openxmlformats.org/officeDocument/2006/relationships/footer" Target="footer27.xml"/><Relationship Id="rId37" Type="http://schemas.openxmlformats.org/officeDocument/2006/relationships/header" Target="header9.xml"/><Relationship Id="rId36" Type="http://schemas.openxmlformats.org/officeDocument/2006/relationships/header" Target="header8.xml"/><Relationship Id="rId35" Type="http://schemas.openxmlformats.org/officeDocument/2006/relationships/footer" Target="footer26.xml"/><Relationship Id="rId34" Type="http://schemas.openxmlformats.org/officeDocument/2006/relationships/footer" Target="footer25.xml"/><Relationship Id="rId33" Type="http://schemas.openxmlformats.org/officeDocument/2006/relationships/header" Target="header7.xml"/><Relationship Id="rId32" Type="http://schemas.openxmlformats.org/officeDocument/2006/relationships/header" Target="header6.xml"/><Relationship Id="rId31" Type="http://schemas.openxmlformats.org/officeDocument/2006/relationships/footer" Target="footer24.xml"/><Relationship Id="rId30" Type="http://schemas.openxmlformats.org/officeDocument/2006/relationships/footer" Target="footer23.xml"/><Relationship Id="rId3" Type="http://schemas.openxmlformats.org/officeDocument/2006/relationships/header" Target="header1.xml"/><Relationship Id="rId29" Type="http://schemas.openxmlformats.org/officeDocument/2006/relationships/footer" Target="footer22.xml"/><Relationship Id="rId28" Type="http://schemas.openxmlformats.org/officeDocument/2006/relationships/footer" Target="footer21.xml"/><Relationship Id="rId27" Type="http://schemas.openxmlformats.org/officeDocument/2006/relationships/footer" Target="footer20.xml"/><Relationship Id="rId26" Type="http://schemas.openxmlformats.org/officeDocument/2006/relationships/footer" Target="footer19.xml"/><Relationship Id="rId25" Type="http://schemas.openxmlformats.org/officeDocument/2006/relationships/footer" Target="footer18.xml"/><Relationship Id="rId24" Type="http://schemas.openxmlformats.org/officeDocument/2006/relationships/footer" Target="footer17.xml"/><Relationship Id="rId23" Type="http://schemas.openxmlformats.org/officeDocument/2006/relationships/footer" Target="footer16.xml"/><Relationship Id="rId22" Type="http://schemas.openxmlformats.org/officeDocument/2006/relationships/footer" Target="footer15.xml"/><Relationship Id="rId21" Type="http://schemas.openxmlformats.org/officeDocument/2006/relationships/footer" Target="footer14.xml"/><Relationship Id="rId20" Type="http://schemas.openxmlformats.org/officeDocument/2006/relationships/footer" Target="footer13.xml"/><Relationship Id="rId2" Type="http://schemas.openxmlformats.org/officeDocument/2006/relationships/settings" Target="settings.xml"/><Relationship Id="rId19" Type="http://schemas.openxmlformats.org/officeDocument/2006/relationships/footer" Target="footer12.xml"/><Relationship Id="rId18" Type="http://schemas.openxmlformats.org/officeDocument/2006/relationships/footer" Target="footer11.xml"/><Relationship Id="rId17" Type="http://schemas.openxmlformats.org/officeDocument/2006/relationships/footer" Target="footer10.xml"/><Relationship Id="rId16" Type="http://schemas.openxmlformats.org/officeDocument/2006/relationships/footer" Target="footer9.xml"/><Relationship Id="rId15" Type="http://schemas.openxmlformats.org/officeDocument/2006/relationships/footer" Target="footer8.xml"/><Relationship Id="rId14" Type="http://schemas.openxmlformats.org/officeDocument/2006/relationships/header" Target="header5.xml"/><Relationship Id="rId13" Type="http://schemas.openxmlformats.org/officeDocument/2006/relationships/footer" Target="footer7.xml"/><Relationship Id="rId12" Type="http://schemas.openxmlformats.org/officeDocument/2006/relationships/header" Target="header4.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Company>P R C</Company>
  <Pages>74</Pages>
  <Words>9726</Words>
  <Characters>10320</Characters>
  <Lines>371</Lines>
  <Paragraphs>104</Paragraphs>
  <TotalTime>0</TotalTime>
  <ScaleCrop>false</ScaleCrop>
  <LinksUpToDate>false</LinksUpToDate>
  <CharactersWithSpaces>10509</CharactersWithSpaces>
  <Application>WPS Office_11.8.2.12309_F1E327BC-269C-435d-A152-05C5408002CA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2021-05-28T09:26:00Z</dcterms:created>
  <dc:creator>ZQNet</dc:creator>
  <cp:lastModifiedBy>轻途</cp:lastModifiedBy>
  <cp:lastPrinted>2025-03-10T09:40:00Z</cp:lastPrinted>
  <dcterms:modified xsi:type="dcterms:W3CDTF">2025-11-24T09:00:54Z</dcterms:modified>
  <cp:revision>100</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2052-11.8.2.12309</vt:lpwstr>
  </property>
  <property fmtid="{D5CDD505-2E9C-101B-9397-08002B2CF9AE}" pid="3" name="ICV">
    <vt:lpwstr>ED02EB12B8294FE5807EAA5D2C3C24E0</vt:lpwstr>
  </property>
  <property fmtid="{D5CDD505-2E9C-101B-9397-08002B2CF9AE}" pid="4" name="KSOTemplateDocerSaveRecord">
    <vt:lpwstr>eyJoZGlkIjoiZTZkNDE3ZGE4Mjk4YmFlZDAwMWNlODJlYzdjMzk3YmQiLCJ1c2VySWQiOiI4MjIwMDM3MTEifQ==</vt:lpwstr>
  </property>
</Properties>
</file>