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2424C0">
      <w:pPr>
        <w:pStyle w:val="105"/>
      </w:pPr>
      <w:r>
        <w:rPr>
          <w:sz w:val="48"/>
          <w:szCs w:val="48"/>
        </w:rPr>
        <w:drawing>
          <wp:anchor distT="0" distB="0" distL="114300" distR="114300" simplePos="0" relativeHeight="251660288" behindDoc="0" locked="0" layoutInCell="1" allowOverlap="1">
            <wp:simplePos x="0" y="0"/>
            <wp:positionH relativeFrom="column">
              <wp:posOffset>10795</wp:posOffset>
            </wp:positionH>
            <wp:positionV relativeFrom="paragraph">
              <wp:posOffset>-6350</wp:posOffset>
            </wp:positionV>
            <wp:extent cx="2548890" cy="889000"/>
            <wp:effectExtent l="0" t="0" r="3810" b="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0B0C1CE5">
      <w:pPr>
        <w:ind w:right="280"/>
        <w:jc w:val="center"/>
        <w:rPr>
          <w:rFonts w:ascii="宋体" w:hAnsi="宋体"/>
          <w:sz w:val="48"/>
          <w:szCs w:val="48"/>
        </w:rPr>
      </w:pPr>
    </w:p>
    <w:p w14:paraId="220C0F1D">
      <w:pPr>
        <w:ind w:right="280"/>
        <w:jc w:val="center"/>
        <w:rPr>
          <w:rFonts w:ascii="宋体" w:hAnsi="宋体"/>
          <w:sz w:val="48"/>
          <w:szCs w:val="48"/>
        </w:rPr>
      </w:pPr>
    </w:p>
    <w:p w14:paraId="563681A0">
      <w:pPr>
        <w:ind w:right="280"/>
        <w:jc w:val="center"/>
        <w:rPr>
          <w:rFonts w:ascii="宋体" w:hAnsi="宋体"/>
          <w:sz w:val="48"/>
          <w:szCs w:val="48"/>
        </w:rPr>
      </w:pPr>
    </w:p>
    <w:p w14:paraId="007C43CB">
      <w:pPr>
        <w:ind w:right="280"/>
        <w:jc w:val="center"/>
        <w:rPr>
          <w:rFonts w:ascii="宋体" w:hAnsi="宋体"/>
          <w:sz w:val="48"/>
          <w:szCs w:val="48"/>
        </w:rPr>
      </w:pPr>
    </w:p>
    <w:p w14:paraId="630E56F0">
      <w:pPr>
        <w:ind w:right="280"/>
        <w:jc w:val="center"/>
        <w:rPr>
          <w:rFonts w:ascii="楷体_GB2312" w:hAnsi="宋体" w:eastAsia="楷体_GB2312"/>
          <w:sz w:val="52"/>
          <w:szCs w:val="52"/>
        </w:rPr>
      </w:pPr>
    </w:p>
    <w:p w14:paraId="70859A4E">
      <w:pPr>
        <w:ind w:right="280"/>
        <w:jc w:val="center"/>
        <w:rPr>
          <w:sz w:val="28"/>
          <w:szCs w:val="28"/>
        </w:rPr>
      </w:pPr>
      <w:r>
        <w:rPr>
          <w:rFonts w:hint="eastAsia" w:ascii="楷体_GB2312" w:hAnsi="宋体" w:eastAsia="楷体_GB2312"/>
          <w:sz w:val="52"/>
          <w:szCs w:val="52"/>
        </w:rPr>
        <w:t>装调部调涂工序外包项目</w:t>
      </w:r>
    </w:p>
    <w:p w14:paraId="406F26EB">
      <w:pPr>
        <w:ind w:right="280"/>
        <w:jc w:val="center"/>
        <w:rPr>
          <w:sz w:val="28"/>
          <w:szCs w:val="28"/>
        </w:rPr>
      </w:pPr>
    </w:p>
    <w:p w14:paraId="63794BF4">
      <w:pPr>
        <w:jc w:val="center"/>
        <w:rPr>
          <w:rFonts w:hint="eastAsia" w:ascii="宋体" w:hAnsi="宋体" w:eastAsia="宋体" w:cs="宋体"/>
          <w:sz w:val="72"/>
          <w:szCs w:val="72"/>
          <w:lang w:val="en-US" w:eastAsia="zh-CN"/>
        </w:rPr>
      </w:pPr>
      <w:r>
        <w:rPr>
          <w:rFonts w:hint="eastAsia" w:ascii="宋体" w:hAnsi="宋体" w:cs="宋体"/>
          <w:sz w:val="72"/>
          <w:szCs w:val="72"/>
        </w:rPr>
        <w:t>招标</w:t>
      </w:r>
      <w:r>
        <w:rPr>
          <w:rFonts w:hint="eastAsia" w:ascii="宋体" w:hAnsi="宋体" w:cs="宋体"/>
          <w:sz w:val="72"/>
          <w:szCs w:val="72"/>
          <w:lang w:val="en-US" w:eastAsia="zh-CN"/>
        </w:rPr>
        <w:t>文件</w:t>
      </w:r>
    </w:p>
    <w:p w14:paraId="6AF73645">
      <w:pPr>
        <w:jc w:val="center"/>
        <w:rPr>
          <w:rFonts w:ascii="宋体" w:hAnsi="宋体"/>
          <w:sz w:val="48"/>
          <w:szCs w:val="48"/>
        </w:rPr>
      </w:pPr>
    </w:p>
    <w:p w14:paraId="45A58B4E">
      <w:pPr>
        <w:jc w:val="center"/>
        <w:rPr>
          <w:rFonts w:ascii="宋体" w:hAnsi="宋体"/>
          <w:sz w:val="48"/>
          <w:szCs w:val="48"/>
        </w:rPr>
      </w:pPr>
    </w:p>
    <w:p w14:paraId="4BD3E4D3">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FSCZB2025110011</w:t>
      </w:r>
    </w:p>
    <w:p w14:paraId="4558B09E">
      <w:pPr>
        <w:jc w:val="center"/>
        <w:rPr>
          <w:rFonts w:ascii="宋体" w:hAnsi="宋体"/>
          <w:sz w:val="48"/>
          <w:szCs w:val="48"/>
        </w:rPr>
      </w:pPr>
    </w:p>
    <w:p w14:paraId="244846F2">
      <w:pPr>
        <w:jc w:val="center"/>
        <w:rPr>
          <w:rFonts w:ascii="宋体" w:hAnsi="宋体"/>
          <w:sz w:val="48"/>
          <w:szCs w:val="48"/>
        </w:rPr>
      </w:pPr>
    </w:p>
    <w:p w14:paraId="4B8C4CCD">
      <w:pPr>
        <w:jc w:val="center"/>
        <w:rPr>
          <w:rFonts w:ascii="宋体" w:hAnsi="宋体"/>
          <w:sz w:val="28"/>
          <w:szCs w:val="28"/>
        </w:rPr>
      </w:pPr>
    </w:p>
    <w:p w14:paraId="2E6F82E7">
      <w:pPr>
        <w:jc w:val="center"/>
        <w:rPr>
          <w:rFonts w:ascii="宋体" w:hAnsi="宋体"/>
          <w:sz w:val="28"/>
          <w:szCs w:val="28"/>
        </w:rPr>
      </w:pPr>
    </w:p>
    <w:p w14:paraId="1B6F6698">
      <w:pPr>
        <w:jc w:val="center"/>
        <w:rPr>
          <w:rFonts w:ascii="宋体" w:hAnsi="宋体"/>
          <w:sz w:val="28"/>
          <w:szCs w:val="28"/>
        </w:rPr>
      </w:pPr>
      <w:r>
        <w:rPr>
          <w:rFonts w:hint="eastAsia" w:ascii="宋体" w:hAnsi="宋体"/>
          <w:sz w:val="28"/>
          <w:szCs w:val="28"/>
        </w:rPr>
        <w:t>招 标 人：中国重汽集团济南动力有限公司发动机厂</w:t>
      </w:r>
    </w:p>
    <w:p w14:paraId="2BE33365">
      <w:pPr>
        <w:jc w:val="center"/>
        <w:rPr>
          <w:rFonts w:ascii="宋体" w:hAnsi="宋体"/>
          <w:sz w:val="28"/>
          <w:szCs w:val="28"/>
        </w:rPr>
      </w:pPr>
    </w:p>
    <w:p w14:paraId="422BF52B">
      <w:pPr>
        <w:jc w:val="center"/>
        <w:rPr>
          <w:rFonts w:hint="default" w:ascii="宋体" w:hAnsi="宋体"/>
          <w:b/>
          <w:bCs/>
          <w:sz w:val="48"/>
          <w:szCs w:val="48"/>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highlight w:val="none"/>
          <w:u w:val="single"/>
          <w:lang w:val="en-US" w:eastAsia="zh-CN"/>
        </w:rPr>
        <w:t>月</w:t>
      </w:r>
    </w:p>
    <w:sdt>
      <w:sdtPr>
        <w:rPr>
          <w:rFonts w:ascii="Times New Roman" w:hAnsi="Times New Roman" w:eastAsia="宋体" w:cs="Times New Roman"/>
          <w:b/>
          <w:caps/>
          <w:color w:val="auto"/>
          <w:kern w:val="2"/>
          <w:sz w:val="21"/>
          <w:szCs w:val="20"/>
          <w:lang w:val="zh-CN"/>
        </w:rPr>
        <w:id w:val="-629018532"/>
        <w:docPartObj>
          <w:docPartGallery w:val="Table of Contents"/>
          <w:docPartUnique/>
        </w:docPartObj>
      </w:sdtPr>
      <w:sdtEndPr>
        <w:rPr>
          <w:rStyle w:val="27"/>
          <w:rFonts w:ascii="宋体" w:hAnsi="宋体" w:eastAsia="黑体" w:cs="Times New Roman"/>
          <w:b/>
          <w:caps/>
          <w:color w:val="auto"/>
          <w:kern w:val="2"/>
          <w:sz w:val="28"/>
          <w:szCs w:val="28"/>
          <w:lang w:val="en-US"/>
        </w:rPr>
      </w:sdtEndPr>
      <w:sdtContent>
        <w:p w14:paraId="491320A3">
          <w:pPr>
            <w:pStyle w:val="58"/>
            <w:jc w:val="center"/>
            <w:rPr>
              <w:rFonts w:hint="eastAsia"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3C0184B9">
          <w:pPr>
            <w:rPr>
              <w:lang w:val="zh-CN"/>
            </w:rPr>
          </w:pPr>
        </w:p>
        <w:p w14:paraId="4E2C643A">
          <w:pPr>
            <w:rPr>
              <w:lang w:val="zh-CN"/>
            </w:rPr>
          </w:pPr>
        </w:p>
        <w:p w14:paraId="4CB1692A">
          <w:pPr>
            <w:rPr>
              <w:lang w:val="zh-CN"/>
            </w:rPr>
          </w:pPr>
        </w:p>
        <w:p w14:paraId="53C99BAC">
          <w:pPr>
            <w:rPr>
              <w:lang w:val="zh-CN"/>
            </w:rPr>
          </w:pPr>
        </w:p>
        <w:p w14:paraId="60B6AB23">
          <w:pPr>
            <w:rPr>
              <w:lang w:val="zh-CN"/>
            </w:rPr>
          </w:pPr>
        </w:p>
        <w:p w14:paraId="4669D3C1">
          <w:pPr>
            <w:pStyle w:val="15"/>
            <w:tabs>
              <w:tab w:val="right" w:leader="dot" w:pos="9070"/>
              <w:tab w:val="clear" w:pos="8729"/>
            </w:tabs>
          </w:pPr>
          <w:r>
            <w:rPr>
              <w:b w:val="0"/>
              <w:bCs/>
              <w:caps w:val="0"/>
              <w:lang w:val="zh-CN"/>
            </w:rPr>
            <w:fldChar w:fldCharType="begin"/>
          </w:r>
          <w:r>
            <w:rPr>
              <w:b w:val="0"/>
              <w:bCs/>
              <w:caps w:val="0"/>
              <w:lang w:val="zh-CN"/>
            </w:rPr>
            <w:instrText xml:space="preserve"> TOC \o "1-2" \h \z \u </w:instrText>
          </w:r>
          <w:r>
            <w:rPr>
              <w:b w:val="0"/>
              <w:bCs/>
              <w:caps w:val="0"/>
              <w:lang w:val="zh-CN"/>
            </w:rPr>
            <w:fldChar w:fldCharType="separate"/>
          </w:r>
          <w:r>
            <w:rPr>
              <w:bCs/>
              <w:caps w:val="0"/>
              <w:lang w:val="zh-CN"/>
            </w:rPr>
            <w:fldChar w:fldCharType="begin"/>
          </w:r>
          <w:r>
            <w:rPr>
              <w:bCs/>
              <w:caps w:val="0"/>
              <w:lang w:val="zh-CN"/>
            </w:rPr>
            <w:instrText xml:space="preserve"> HYPERLINK \l _Toc19803 </w:instrText>
          </w:r>
          <w:r>
            <w:rPr>
              <w:bCs/>
              <w:caps w:val="0"/>
              <w:lang w:val="zh-CN"/>
            </w:rPr>
            <w:fldChar w:fldCharType="separate"/>
          </w:r>
          <w:r>
            <w:rPr>
              <w:rFonts w:hint="eastAsia" w:ascii="黑体" w:eastAsia="黑体"/>
              <w:bCs/>
              <w:szCs w:val="36"/>
            </w:rPr>
            <w:t xml:space="preserve">第一章  </w:t>
          </w:r>
          <w:r>
            <w:rPr>
              <w:rFonts w:hint="eastAsia" w:ascii="黑体" w:eastAsia="黑体"/>
              <w:bCs/>
              <w:szCs w:val="36"/>
              <w:lang w:val="en-US" w:eastAsia="zh-CN"/>
            </w:rPr>
            <w:t>投标人须知</w:t>
          </w:r>
          <w:r>
            <w:tab/>
          </w:r>
          <w:r>
            <w:fldChar w:fldCharType="begin"/>
          </w:r>
          <w:r>
            <w:instrText xml:space="preserve"> PAGEREF _Toc19803 \h </w:instrText>
          </w:r>
          <w:r>
            <w:fldChar w:fldCharType="separate"/>
          </w:r>
          <w:r>
            <w:t>- 1 -</w:t>
          </w:r>
          <w:r>
            <w:fldChar w:fldCharType="end"/>
          </w:r>
          <w:r>
            <w:rPr>
              <w:bCs/>
              <w:caps w:val="0"/>
              <w:lang w:val="zh-CN"/>
            </w:rPr>
            <w:fldChar w:fldCharType="end"/>
          </w:r>
        </w:p>
        <w:p w14:paraId="3FB78F08">
          <w:pPr>
            <w:pStyle w:val="15"/>
            <w:tabs>
              <w:tab w:val="right" w:leader="dot" w:pos="9070"/>
              <w:tab w:val="clear" w:pos="8729"/>
            </w:tabs>
          </w:pPr>
          <w:r>
            <w:rPr>
              <w:bCs/>
              <w:lang w:val="zh-CN"/>
            </w:rPr>
            <w:fldChar w:fldCharType="begin"/>
          </w:r>
          <w:r>
            <w:rPr>
              <w:bCs/>
              <w:lang w:val="zh-CN"/>
            </w:rPr>
            <w:instrText xml:space="preserve"> HYPERLINK \l _Toc19138 </w:instrText>
          </w:r>
          <w:r>
            <w:rPr>
              <w:bCs/>
              <w:lang w:val="zh-CN"/>
            </w:rPr>
            <w:fldChar w:fldCharType="separate"/>
          </w:r>
          <w:r>
            <w:rPr>
              <w:rFonts w:hint="eastAsia" w:ascii="宋体" w:hAnsi="宋体" w:eastAsia="黑体" w:cs="Times New Roman"/>
              <w:szCs w:val="36"/>
            </w:rPr>
            <w:t>第</w:t>
          </w:r>
          <w:r>
            <w:rPr>
              <w:rFonts w:hint="eastAsia" w:ascii="宋体" w:hAnsi="宋体" w:eastAsia="黑体" w:cs="Times New Roman"/>
              <w:szCs w:val="36"/>
              <w:lang w:val="en-US" w:eastAsia="zh-CN"/>
            </w:rPr>
            <w:t>二</w:t>
          </w:r>
          <w:r>
            <w:rPr>
              <w:rFonts w:hint="eastAsia" w:ascii="宋体" w:hAnsi="宋体" w:eastAsia="黑体" w:cs="Times New Roman"/>
              <w:szCs w:val="36"/>
            </w:rPr>
            <w:t>章  技术协议书</w:t>
          </w:r>
          <w:r>
            <w:tab/>
          </w:r>
          <w:r>
            <w:fldChar w:fldCharType="begin"/>
          </w:r>
          <w:r>
            <w:instrText xml:space="preserve"> PAGEREF _Toc19138 \h </w:instrText>
          </w:r>
          <w:r>
            <w:fldChar w:fldCharType="separate"/>
          </w:r>
          <w:r>
            <w:t>- 8 -</w:t>
          </w:r>
          <w:r>
            <w:fldChar w:fldCharType="end"/>
          </w:r>
          <w:r>
            <w:rPr>
              <w:bCs/>
              <w:lang w:val="zh-CN"/>
            </w:rPr>
            <w:fldChar w:fldCharType="end"/>
          </w:r>
        </w:p>
        <w:p w14:paraId="3A619BE4">
          <w:pPr>
            <w:pStyle w:val="15"/>
            <w:tabs>
              <w:tab w:val="right" w:leader="dot" w:pos="9070"/>
              <w:tab w:val="clear" w:pos="8729"/>
            </w:tabs>
          </w:pPr>
          <w:r>
            <w:rPr>
              <w:bCs/>
              <w:lang w:val="zh-CN"/>
            </w:rPr>
            <w:fldChar w:fldCharType="begin"/>
          </w:r>
          <w:r>
            <w:rPr>
              <w:bCs/>
              <w:lang w:val="zh-CN"/>
            </w:rPr>
            <w:instrText xml:space="preserve"> HYPERLINK \l _Toc3402 </w:instrText>
          </w:r>
          <w:r>
            <w:rPr>
              <w:bCs/>
              <w:lang w:val="zh-CN"/>
            </w:rPr>
            <w:fldChar w:fldCharType="separate"/>
          </w:r>
          <w:r>
            <w:rPr>
              <w:rFonts w:hint="eastAsia" w:ascii="宋体" w:hAnsi="宋体" w:eastAsia="黑体" w:cs="Times New Roman"/>
              <w:szCs w:val="36"/>
              <w:lang w:val="zh-CN"/>
            </w:rPr>
            <w:t>第三部分</w:t>
          </w:r>
          <w:r>
            <w:rPr>
              <w:rFonts w:hint="eastAsia"/>
            </w:rPr>
            <w:t>　</w:t>
          </w:r>
          <w:r>
            <w:rPr>
              <w:rFonts w:hint="eastAsia" w:ascii="宋体" w:hAnsi="宋体" w:eastAsia="黑体" w:cs="Times New Roman"/>
              <w:szCs w:val="36"/>
            </w:rPr>
            <w:t>合同主要条款</w:t>
          </w:r>
          <w:r>
            <w:tab/>
          </w:r>
          <w:r>
            <w:fldChar w:fldCharType="begin"/>
          </w:r>
          <w:r>
            <w:instrText xml:space="preserve"> PAGEREF _Toc3402 \h </w:instrText>
          </w:r>
          <w:r>
            <w:fldChar w:fldCharType="separate"/>
          </w:r>
          <w:r>
            <w:t>- 12 -</w:t>
          </w:r>
          <w:r>
            <w:fldChar w:fldCharType="end"/>
          </w:r>
          <w:r>
            <w:rPr>
              <w:bCs/>
              <w:lang w:val="zh-CN"/>
            </w:rPr>
            <w:fldChar w:fldCharType="end"/>
          </w:r>
        </w:p>
        <w:p w14:paraId="22B3E169">
          <w:pPr>
            <w:pStyle w:val="15"/>
            <w:tabs>
              <w:tab w:val="right" w:leader="dot" w:pos="9070"/>
              <w:tab w:val="clear" w:pos="8729"/>
            </w:tabs>
          </w:pPr>
          <w:r>
            <w:rPr>
              <w:bCs/>
              <w:lang w:val="zh-CN"/>
            </w:rPr>
            <w:fldChar w:fldCharType="begin"/>
          </w:r>
          <w:r>
            <w:rPr>
              <w:bCs/>
              <w:lang w:val="zh-CN"/>
            </w:rPr>
            <w:instrText xml:space="preserve"> HYPERLINK \l _Toc25512 </w:instrText>
          </w:r>
          <w:r>
            <w:rPr>
              <w:bCs/>
              <w:lang w:val="zh-CN"/>
            </w:rPr>
            <w:fldChar w:fldCharType="separate"/>
          </w:r>
          <w:r>
            <w:rPr>
              <w:rFonts w:hint="eastAsia" w:eastAsia="黑体"/>
              <w:szCs w:val="36"/>
            </w:rPr>
            <w:t>第</w:t>
          </w:r>
          <w:r>
            <w:rPr>
              <w:rFonts w:hint="eastAsia" w:eastAsia="黑体"/>
              <w:szCs w:val="36"/>
              <w:lang w:val="en-US" w:eastAsia="zh-CN"/>
            </w:rPr>
            <w:t>四</w:t>
          </w:r>
          <w:r>
            <w:rPr>
              <w:rFonts w:hint="eastAsia" w:eastAsia="黑体"/>
              <w:szCs w:val="36"/>
            </w:rPr>
            <w:t xml:space="preserve">章  </w:t>
          </w:r>
          <w:r>
            <w:rPr>
              <w:rFonts w:hint="eastAsia" w:eastAsia="黑体"/>
              <w:szCs w:val="36"/>
              <w:lang w:val="en-US" w:eastAsia="zh-CN"/>
            </w:rPr>
            <w:t>附件</w:t>
          </w:r>
          <w:r>
            <w:tab/>
          </w:r>
          <w:r>
            <w:fldChar w:fldCharType="begin"/>
          </w:r>
          <w:r>
            <w:instrText xml:space="preserve"> PAGEREF _Toc25512 \h </w:instrText>
          </w:r>
          <w:r>
            <w:fldChar w:fldCharType="separate"/>
          </w:r>
          <w:r>
            <w:t>- 19 -</w:t>
          </w:r>
          <w:r>
            <w:fldChar w:fldCharType="end"/>
          </w:r>
          <w:r>
            <w:rPr>
              <w:bCs/>
              <w:lang w:val="zh-CN"/>
            </w:rPr>
            <w:fldChar w:fldCharType="end"/>
          </w:r>
        </w:p>
        <w:p w14:paraId="4DDA92B8">
          <w:pPr>
            <w:pStyle w:val="15"/>
            <w:rPr>
              <w:rStyle w:val="27"/>
              <w:rFonts w:hint="eastAsia" w:eastAsia="黑体"/>
              <w:color w:val="auto"/>
            </w:rPr>
          </w:pPr>
          <w:r>
            <w:rPr>
              <w:bCs/>
              <w:lang w:val="zh-CN"/>
            </w:rPr>
            <w:fldChar w:fldCharType="end"/>
          </w:r>
        </w:p>
      </w:sdtContent>
    </w:sdt>
    <w:p w14:paraId="3DCA15B8">
      <w:pPr>
        <w:pStyle w:val="11"/>
        <w:spacing w:line="360" w:lineRule="auto"/>
        <w:jc w:val="center"/>
        <w:outlineLvl w:val="0"/>
        <w:rPr>
          <w:rFonts w:hint="eastAsia" w:ascii="黑体" w:eastAsia="黑体"/>
          <w:b/>
          <w:bCs/>
          <w:sz w:val="36"/>
          <w:szCs w:val="36"/>
        </w:rPr>
        <w:sectPr>
          <w:headerReference r:id="rId8" w:type="first"/>
          <w:footerReference r:id="rId10" w:type="first"/>
          <w:headerReference r:id="rId7" w:type="default"/>
          <w:footerReference r:id="rId9" w:type="default"/>
          <w:pgSz w:w="11906" w:h="16838"/>
          <w:pgMar w:top="1701" w:right="1418" w:bottom="1134" w:left="1418" w:header="851" w:footer="992" w:gutter="0"/>
          <w:pgNumType w:fmt="numberInDash" w:start="1"/>
          <w:cols w:space="720" w:num="1"/>
          <w:titlePg/>
          <w:docGrid w:type="lines" w:linePitch="312" w:charSpace="0"/>
        </w:sectPr>
      </w:pPr>
    </w:p>
    <w:p w14:paraId="1D2BC254">
      <w:pPr>
        <w:pStyle w:val="11"/>
        <w:spacing w:line="360" w:lineRule="auto"/>
        <w:jc w:val="center"/>
        <w:outlineLvl w:val="0"/>
        <w:rPr>
          <w:rFonts w:hint="default" w:ascii="黑体" w:eastAsia="黑体"/>
          <w:b/>
          <w:bCs/>
          <w:sz w:val="36"/>
          <w:szCs w:val="36"/>
          <w:lang w:val="en-US" w:eastAsia="zh-CN"/>
        </w:rPr>
      </w:pPr>
      <w:bookmarkStart w:id="0" w:name="_Toc19803"/>
      <w:r>
        <w:rPr>
          <w:rFonts w:hint="eastAsia" w:ascii="黑体" w:eastAsia="黑体"/>
          <w:b/>
          <w:bCs/>
          <w:sz w:val="36"/>
          <w:szCs w:val="36"/>
        </w:rPr>
        <w:t xml:space="preserve">第一章  </w:t>
      </w:r>
      <w:r>
        <w:rPr>
          <w:rFonts w:hint="eastAsia" w:ascii="黑体" w:eastAsia="黑体"/>
          <w:b/>
          <w:bCs/>
          <w:sz w:val="36"/>
          <w:szCs w:val="36"/>
          <w:lang w:val="en-US" w:eastAsia="zh-CN"/>
        </w:rPr>
        <w:t>投标人须知</w:t>
      </w:r>
      <w:bookmarkEnd w:id="0"/>
    </w:p>
    <w:p w14:paraId="3E9477E2">
      <w:pPr>
        <w:pStyle w:val="11"/>
        <w:numPr>
          <w:ilvl w:val="0"/>
          <w:numId w:val="4"/>
        </w:numPr>
        <w:spacing w:line="360" w:lineRule="auto"/>
        <w:rPr>
          <w:rFonts w:ascii="黑体" w:eastAsia="黑体"/>
          <w:b/>
          <w:bCs/>
          <w:sz w:val="28"/>
        </w:rPr>
      </w:pPr>
      <w:r>
        <w:rPr>
          <w:rFonts w:hint="eastAsia" w:ascii="黑体" w:eastAsia="黑体"/>
          <w:b/>
          <w:bCs/>
          <w:sz w:val="28"/>
        </w:rPr>
        <w:t>项目名称</w:t>
      </w:r>
    </w:p>
    <w:p w14:paraId="28ABA9A6">
      <w:pPr>
        <w:pStyle w:val="11"/>
        <w:spacing w:line="360" w:lineRule="auto"/>
        <w:ind w:left="420"/>
        <w:rPr>
          <w:rFonts w:ascii="黑体" w:eastAsia="黑体"/>
          <w:b/>
          <w:bCs/>
          <w:sz w:val="28"/>
        </w:rPr>
      </w:pPr>
      <w:r>
        <w:rPr>
          <w:rFonts w:hint="eastAsia"/>
        </w:rPr>
        <w:t>项目名称：</w:t>
      </w:r>
      <w:bookmarkStart w:id="1" w:name="OLE_LINK1"/>
      <w:r>
        <w:rPr>
          <w:rFonts w:hint="eastAsia"/>
        </w:rPr>
        <w:t>装调部调涂工序外包项目</w:t>
      </w:r>
    </w:p>
    <w:bookmarkEnd w:id="1"/>
    <w:p w14:paraId="195BAE45">
      <w:pPr>
        <w:pStyle w:val="11"/>
        <w:numPr>
          <w:ilvl w:val="0"/>
          <w:numId w:val="4"/>
        </w:numPr>
        <w:spacing w:line="360" w:lineRule="auto"/>
        <w:rPr>
          <w:rFonts w:ascii="黑体" w:eastAsia="黑体"/>
          <w:b/>
          <w:bCs/>
          <w:sz w:val="28"/>
        </w:rPr>
      </w:pPr>
      <w:r>
        <w:rPr>
          <w:rFonts w:hint="eastAsia" w:ascii="黑体" w:eastAsia="黑体"/>
          <w:b/>
          <w:bCs/>
          <w:sz w:val="28"/>
        </w:rPr>
        <w:t>招标内容</w:t>
      </w:r>
    </w:p>
    <w:p w14:paraId="4A800771">
      <w:pPr>
        <w:pStyle w:val="11"/>
        <w:spacing w:line="360" w:lineRule="auto"/>
        <w:ind w:firstLine="420" w:firstLineChars="200"/>
        <w:rPr>
          <w:rFonts w:hint="eastAsia"/>
        </w:rPr>
      </w:pPr>
      <w:r>
        <w:rPr>
          <w:rFonts w:hint="eastAsia"/>
        </w:rPr>
        <w:t>招标内容：</w:t>
      </w:r>
    </w:p>
    <w:p w14:paraId="00418E50">
      <w:pPr>
        <w:pStyle w:val="11"/>
        <w:spacing w:line="360" w:lineRule="auto"/>
        <w:ind w:firstLine="420" w:firstLineChars="200"/>
      </w:pPr>
      <w:r>
        <w:rPr>
          <w:rFonts w:hint="eastAsia"/>
        </w:rPr>
        <w:t>济南发动机厂调涂工序外包，主要涉及发动机试车工艺管路拆装、发动机喷漆及附件箱分装等业务。子项目一按照工艺核定的作业内容及定额人数配置作业人员，单班核定操作人数需求为26人，另外需单独配备1名管理人员，共计27人；子项目二至子项目六按照实际业务量由承包方单独核定配置人员。</w:t>
      </w:r>
    </w:p>
    <w:p w14:paraId="3E34169E">
      <w:pPr>
        <w:pStyle w:val="11"/>
        <w:numPr>
          <w:ilvl w:val="0"/>
          <w:numId w:val="4"/>
        </w:numPr>
        <w:spacing w:line="360" w:lineRule="auto"/>
        <w:rPr>
          <w:rFonts w:ascii="黑体" w:eastAsia="黑体"/>
          <w:b/>
          <w:bCs/>
          <w:sz w:val="28"/>
        </w:rPr>
      </w:pPr>
      <w:r>
        <w:rPr>
          <w:rFonts w:hint="eastAsia" w:ascii="黑体" w:eastAsia="黑体"/>
          <w:b/>
          <w:bCs/>
          <w:sz w:val="28"/>
        </w:rPr>
        <w:t>招标形式</w:t>
      </w:r>
    </w:p>
    <w:p w14:paraId="7F0595AD">
      <w:pPr>
        <w:pStyle w:val="11"/>
        <w:spacing w:line="360" w:lineRule="auto"/>
        <w:ind w:firstLine="420" w:firstLineChars="200"/>
      </w:pPr>
      <w:r>
        <w:rPr>
          <w:rFonts w:hint="eastAsia"/>
        </w:rPr>
        <w:t>招标形式：公开招标。</w:t>
      </w:r>
    </w:p>
    <w:p w14:paraId="024282C6">
      <w:pPr>
        <w:pStyle w:val="11"/>
        <w:numPr>
          <w:ilvl w:val="0"/>
          <w:numId w:val="4"/>
        </w:numPr>
        <w:spacing w:line="360" w:lineRule="auto"/>
        <w:rPr>
          <w:rFonts w:ascii="黑体" w:eastAsia="黑体"/>
          <w:b/>
          <w:bCs/>
          <w:sz w:val="28"/>
        </w:rPr>
      </w:pPr>
      <w:r>
        <w:rPr>
          <w:rFonts w:hint="eastAsia" w:ascii="黑体" w:eastAsia="黑体"/>
          <w:b/>
          <w:bCs/>
          <w:sz w:val="28"/>
        </w:rPr>
        <w:t>议程安排</w:t>
      </w:r>
    </w:p>
    <w:p w14:paraId="32B4EC81">
      <w:pPr>
        <w:pStyle w:val="11"/>
        <w:numPr>
          <w:ilvl w:val="0"/>
          <w:numId w:val="0"/>
        </w:numPr>
        <w:spacing w:line="360" w:lineRule="auto"/>
        <w:ind w:firstLine="420" w:firstLineChars="0"/>
        <w:rPr>
          <w:rFonts w:hint="eastAsia"/>
          <w:sz w:val="22"/>
          <w:szCs w:val="21"/>
        </w:rPr>
      </w:pPr>
      <w:r>
        <w:rPr>
          <w:rFonts w:hint="eastAsia"/>
          <w:sz w:val="22"/>
          <w:szCs w:val="21"/>
          <w:lang w:val="en-US" w:eastAsia="zh-CN"/>
        </w:rPr>
        <w:t>1.</w:t>
      </w:r>
      <w:r>
        <w:rPr>
          <w:rFonts w:hint="eastAsia"/>
          <w:sz w:val="22"/>
          <w:szCs w:val="21"/>
        </w:rPr>
        <w:t>公告时间：2025年</w:t>
      </w:r>
      <w:r>
        <w:rPr>
          <w:rFonts w:hint="eastAsia"/>
          <w:sz w:val="22"/>
          <w:szCs w:val="21"/>
          <w:lang w:val="en-US" w:eastAsia="zh-CN"/>
        </w:rPr>
        <w:t>11</w:t>
      </w:r>
      <w:r>
        <w:rPr>
          <w:rFonts w:hint="eastAsia"/>
          <w:sz w:val="22"/>
          <w:szCs w:val="21"/>
        </w:rPr>
        <w:t>月</w:t>
      </w:r>
      <w:r>
        <w:rPr>
          <w:rFonts w:hint="eastAsia"/>
          <w:sz w:val="22"/>
          <w:szCs w:val="21"/>
          <w:lang w:val="en-US" w:eastAsia="zh-CN"/>
        </w:rPr>
        <w:t>12</w:t>
      </w:r>
      <w:r>
        <w:rPr>
          <w:rFonts w:hint="eastAsia"/>
          <w:sz w:val="22"/>
          <w:szCs w:val="21"/>
        </w:rPr>
        <w:t>日。</w:t>
      </w:r>
    </w:p>
    <w:p w14:paraId="70823C23">
      <w:pPr>
        <w:pStyle w:val="11"/>
        <w:numPr>
          <w:ilvl w:val="0"/>
          <w:numId w:val="0"/>
        </w:numPr>
        <w:spacing w:line="360" w:lineRule="auto"/>
        <w:ind w:firstLine="660" w:firstLineChars="300"/>
        <w:rPr>
          <w:rFonts w:hint="default" w:ascii="宋体" w:eastAsia="宋体" w:cs="Times New Roman"/>
          <w:sz w:val="22"/>
          <w:szCs w:val="21"/>
          <w:lang w:val="en-US" w:eastAsia="zh-CN"/>
        </w:rPr>
      </w:pPr>
      <w:r>
        <w:rPr>
          <w:rFonts w:hint="eastAsia" w:ascii="宋体" w:eastAsia="宋体" w:cs="Times New Roman"/>
          <w:sz w:val="22"/>
          <w:szCs w:val="21"/>
        </w:rPr>
        <w:t>发标方式：</w:t>
      </w:r>
      <w:r>
        <w:rPr>
          <w:rFonts w:hint="default" w:ascii="宋体" w:eastAsia="宋体" w:cs="Times New Roman"/>
          <w:sz w:val="22"/>
          <w:szCs w:val="21"/>
        </w:rPr>
        <w:t>中国重汽官网</w:t>
      </w:r>
      <w:r>
        <w:rPr>
          <w:rFonts w:hint="eastAsia" w:cs="Times New Roman"/>
          <w:sz w:val="22"/>
          <w:szCs w:val="21"/>
          <w:lang w:eastAsia="zh-CN"/>
        </w:rPr>
        <w:t>，</w:t>
      </w:r>
      <w:r>
        <w:rPr>
          <w:rFonts w:hint="eastAsia" w:cs="Times New Roman"/>
          <w:sz w:val="22"/>
          <w:szCs w:val="21"/>
          <w:lang w:val="en-US" w:eastAsia="zh-CN"/>
        </w:rPr>
        <w:t>重汽e采通，阳光采购平台等</w:t>
      </w:r>
    </w:p>
    <w:p w14:paraId="6A3EAD17">
      <w:pPr>
        <w:pStyle w:val="11"/>
        <w:numPr>
          <w:ilvl w:val="255"/>
          <w:numId w:val="0"/>
        </w:numPr>
        <w:spacing w:line="360" w:lineRule="auto"/>
        <w:ind w:left="420"/>
        <w:rPr>
          <w:rFonts w:hint="default" w:eastAsia="宋体"/>
          <w:sz w:val="22"/>
          <w:szCs w:val="21"/>
          <w:lang w:val="en-US" w:eastAsia="zh-CN"/>
        </w:rPr>
      </w:pPr>
      <w:r>
        <w:rPr>
          <w:rFonts w:hint="eastAsia"/>
          <w:sz w:val="22"/>
          <w:szCs w:val="21"/>
        </w:rPr>
        <w:t>2.</w:t>
      </w:r>
      <w:r>
        <w:rPr>
          <w:rFonts w:hint="eastAsia"/>
          <w:sz w:val="22"/>
          <w:szCs w:val="21"/>
          <w:highlight w:val="yellow"/>
          <w:lang w:val="en-US" w:eastAsia="zh-CN"/>
        </w:rPr>
        <w:t>应标截止时间</w:t>
      </w:r>
      <w:r>
        <w:rPr>
          <w:rFonts w:hint="eastAsia"/>
          <w:sz w:val="22"/>
          <w:szCs w:val="21"/>
          <w:lang w:val="en-US" w:eastAsia="zh-CN"/>
        </w:rPr>
        <w:t>：</w:t>
      </w:r>
      <w:r>
        <w:rPr>
          <w:rFonts w:hint="eastAsia"/>
          <w:sz w:val="22"/>
          <w:szCs w:val="21"/>
        </w:rPr>
        <w:t>2025年</w:t>
      </w:r>
      <w:r>
        <w:rPr>
          <w:rFonts w:hint="eastAsia"/>
          <w:sz w:val="22"/>
          <w:szCs w:val="21"/>
          <w:lang w:val="en-US" w:eastAsia="zh-CN"/>
        </w:rPr>
        <w:t>11</w:t>
      </w:r>
      <w:r>
        <w:rPr>
          <w:rFonts w:hint="eastAsia"/>
          <w:sz w:val="22"/>
          <w:szCs w:val="21"/>
        </w:rPr>
        <w:t>月</w:t>
      </w:r>
      <w:r>
        <w:rPr>
          <w:rFonts w:hint="eastAsia"/>
          <w:sz w:val="22"/>
          <w:szCs w:val="21"/>
          <w:lang w:val="en-US" w:eastAsia="zh-CN"/>
        </w:rPr>
        <w:t>28</w:t>
      </w:r>
      <w:r>
        <w:rPr>
          <w:rFonts w:hint="eastAsia"/>
          <w:sz w:val="22"/>
          <w:szCs w:val="21"/>
        </w:rPr>
        <w:t>日下午17：00前</w:t>
      </w:r>
    </w:p>
    <w:p w14:paraId="0B5EC640">
      <w:pPr>
        <w:pStyle w:val="11"/>
        <w:numPr>
          <w:ilvl w:val="255"/>
          <w:numId w:val="0"/>
        </w:numPr>
        <w:spacing w:line="360" w:lineRule="auto"/>
        <w:ind w:left="420" w:firstLine="220" w:firstLineChars="100"/>
        <w:rPr>
          <w:sz w:val="22"/>
          <w:szCs w:val="21"/>
        </w:rPr>
      </w:pPr>
      <w:r>
        <w:rPr>
          <w:rFonts w:hint="eastAsia"/>
          <w:sz w:val="22"/>
          <w:szCs w:val="21"/>
          <w:highlight w:val="yellow"/>
          <w:lang w:val="en-US" w:eastAsia="zh-CN"/>
        </w:rPr>
        <w:t>投标截止时间</w:t>
      </w:r>
      <w:r>
        <w:rPr>
          <w:rFonts w:hint="eastAsia"/>
          <w:sz w:val="22"/>
          <w:szCs w:val="21"/>
        </w:rPr>
        <w:t>：2025年</w:t>
      </w:r>
      <w:r>
        <w:rPr>
          <w:rFonts w:hint="eastAsia"/>
          <w:sz w:val="22"/>
          <w:szCs w:val="21"/>
          <w:lang w:val="en-US" w:eastAsia="zh-CN"/>
        </w:rPr>
        <w:t>12</w:t>
      </w:r>
      <w:r>
        <w:rPr>
          <w:rFonts w:hint="eastAsia"/>
          <w:sz w:val="22"/>
          <w:szCs w:val="21"/>
        </w:rPr>
        <w:t>月</w:t>
      </w:r>
      <w:r>
        <w:rPr>
          <w:rFonts w:hint="eastAsia"/>
          <w:sz w:val="22"/>
          <w:szCs w:val="21"/>
          <w:lang w:val="en-US" w:eastAsia="zh-CN"/>
        </w:rPr>
        <w:t>12</w:t>
      </w:r>
      <w:r>
        <w:rPr>
          <w:rFonts w:hint="eastAsia"/>
          <w:sz w:val="22"/>
          <w:szCs w:val="21"/>
        </w:rPr>
        <w:t>日</w:t>
      </w:r>
      <w:r>
        <w:rPr>
          <w:rFonts w:hint="eastAsia"/>
          <w:sz w:val="22"/>
          <w:szCs w:val="21"/>
          <w:lang w:val="en-US" w:eastAsia="zh-CN"/>
        </w:rPr>
        <w:t>上午9</w:t>
      </w:r>
      <w:r>
        <w:rPr>
          <w:rFonts w:hint="eastAsia"/>
          <w:sz w:val="22"/>
          <w:szCs w:val="21"/>
        </w:rPr>
        <w:t>：00前。</w:t>
      </w:r>
    </w:p>
    <w:p w14:paraId="2F777A6B">
      <w:pPr>
        <w:pStyle w:val="11"/>
        <w:spacing w:line="360" w:lineRule="auto"/>
        <w:ind w:firstLine="660" w:firstLineChars="300"/>
        <w:rPr>
          <w:sz w:val="22"/>
          <w:szCs w:val="21"/>
        </w:rPr>
      </w:pPr>
      <w:r>
        <w:rPr>
          <w:rFonts w:hint="eastAsia"/>
          <w:sz w:val="22"/>
          <w:szCs w:val="21"/>
        </w:rPr>
        <w:t>答疑方式：书面或电话答疑。</w:t>
      </w:r>
      <w:bookmarkStart w:id="2" w:name="_Hlk33025704"/>
    </w:p>
    <w:p w14:paraId="0AD5057F">
      <w:pPr>
        <w:pStyle w:val="11"/>
        <w:spacing w:line="360" w:lineRule="auto"/>
        <w:ind w:firstLine="660" w:firstLineChars="300"/>
        <w:rPr>
          <w:sz w:val="22"/>
          <w:szCs w:val="21"/>
        </w:rPr>
      </w:pPr>
      <w:r>
        <w:rPr>
          <w:rFonts w:hint="eastAsia"/>
          <w:sz w:val="22"/>
          <w:szCs w:val="21"/>
        </w:rPr>
        <w:t>技术答疑联系人</w:t>
      </w:r>
      <w:bookmarkEnd w:id="2"/>
      <w:r>
        <w:rPr>
          <w:rFonts w:hint="eastAsia"/>
          <w:sz w:val="22"/>
          <w:szCs w:val="21"/>
        </w:rPr>
        <w:t>：杨馥玮  13386341934</w:t>
      </w:r>
    </w:p>
    <w:p w14:paraId="0E0E6512">
      <w:pPr>
        <w:pStyle w:val="11"/>
        <w:numPr>
          <w:ilvl w:val="255"/>
          <w:numId w:val="0"/>
        </w:numPr>
        <w:spacing w:line="360" w:lineRule="auto"/>
        <w:ind w:left="420"/>
        <w:rPr>
          <w:sz w:val="22"/>
          <w:szCs w:val="21"/>
        </w:rPr>
      </w:pPr>
      <w:r>
        <w:rPr>
          <w:rFonts w:hint="eastAsia"/>
          <w:sz w:val="22"/>
          <w:szCs w:val="21"/>
        </w:rPr>
        <w:t>3.</w:t>
      </w:r>
      <w:r>
        <w:rPr>
          <w:rFonts w:hint="eastAsia"/>
          <w:sz w:val="22"/>
          <w:szCs w:val="21"/>
          <w:highlight w:val="yellow"/>
        </w:rPr>
        <w:t>开标时间</w:t>
      </w:r>
      <w:r>
        <w:rPr>
          <w:rFonts w:hint="eastAsia"/>
          <w:sz w:val="22"/>
          <w:szCs w:val="21"/>
        </w:rPr>
        <w:t>： 2025</w:t>
      </w:r>
      <w:r>
        <w:rPr>
          <w:rFonts w:hint="eastAsia"/>
          <w:sz w:val="24"/>
          <w:szCs w:val="22"/>
        </w:rPr>
        <w:t>年</w:t>
      </w:r>
      <w:r>
        <w:rPr>
          <w:rFonts w:hint="eastAsia"/>
          <w:sz w:val="24"/>
          <w:szCs w:val="22"/>
          <w:lang w:val="en-US" w:eastAsia="zh-CN"/>
        </w:rPr>
        <w:t>12</w:t>
      </w:r>
      <w:r>
        <w:rPr>
          <w:rFonts w:hint="eastAsia"/>
          <w:sz w:val="24"/>
          <w:szCs w:val="22"/>
        </w:rPr>
        <w:t>月</w:t>
      </w:r>
      <w:r>
        <w:rPr>
          <w:rFonts w:hint="eastAsia"/>
          <w:sz w:val="24"/>
          <w:szCs w:val="22"/>
          <w:lang w:val="en-US" w:eastAsia="zh-CN"/>
        </w:rPr>
        <w:t>12</w:t>
      </w:r>
      <w:r>
        <w:rPr>
          <w:rFonts w:hint="eastAsia"/>
          <w:sz w:val="24"/>
          <w:szCs w:val="22"/>
        </w:rPr>
        <w:t>日上</w:t>
      </w:r>
      <w:r>
        <w:rPr>
          <w:rFonts w:hint="eastAsia"/>
          <w:sz w:val="22"/>
          <w:szCs w:val="21"/>
        </w:rPr>
        <w:t>午</w:t>
      </w:r>
      <w:r>
        <w:rPr>
          <w:rFonts w:hint="eastAsia"/>
          <w:sz w:val="22"/>
          <w:szCs w:val="21"/>
          <w:lang w:val="en-US" w:eastAsia="zh-CN"/>
        </w:rPr>
        <w:t>9</w:t>
      </w:r>
      <w:r>
        <w:rPr>
          <w:rFonts w:hint="eastAsia"/>
          <w:sz w:val="22"/>
          <w:szCs w:val="21"/>
        </w:rPr>
        <w:t>点。</w:t>
      </w:r>
    </w:p>
    <w:p w14:paraId="114C343D">
      <w:pPr>
        <w:pStyle w:val="11"/>
        <w:numPr>
          <w:ilvl w:val="255"/>
          <w:numId w:val="0"/>
        </w:numPr>
        <w:spacing w:line="360" w:lineRule="auto"/>
        <w:ind w:left="420"/>
        <w:rPr>
          <w:rFonts w:hint="default" w:eastAsia="宋体"/>
          <w:sz w:val="22"/>
          <w:szCs w:val="21"/>
          <w:lang w:val="en-US" w:eastAsia="zh-CN"/>
        </w:rPr>
      </w:pPr>
      <w:r>
        <w:rPr>
          <w:rFonts w:hint="eastAsia"/>
          <w:sz w:val="22"/>
          <w:szCs w:val="21"/>
        </w:rPr>
        <w:t>4.</w:t>
      </w:r>
      <w:r>
        <w:rPr>
          <w:rFonts w:hint="eastAsia"/>
          <w:sz w:val="22"/>
          <w:szCs w:val="21"/>
          <w:lang w:val="en-US" w:eastAsia="zh-CN"/>
        </w:rPr>
        <w:t>开标</w:t>
      </w:r>
      <w:r>
        <w:rPr>
          <w:rFonts w:hint="eastAsia"/>
          <w:sz w:val="22"/>
          <w:szCs w:val="21"/>
        </w:rPr>
        <w:t>地点：</w:t>
      </w:r>
      <w:r>
        <w:rPr>
          <w:rFonts w:hint="eastAsia"/>
          <w:sz w:val="22"/>
          <w:szCs w:val="21"/>
          <w:lang w:val="en-US" w:eastAsia="zh-CN"/>
        </w:rPr>
        <w:t>重汽科技大厦三楼会议室</w:t>
      </w:r>
    </w:p>
    <w:p w14:paraId="39C19AA8">
      <w:pPr>
        <w:pStyle w:val="11"/>
        <w:spacing w:line="360" w:lineRule="auto"/>
        <w:ind w:firstLine="440" w:firstLineChars="200"/>
        <w:rPr>
          <w:rFonts w:hint="default" w:eastAsia="宋体"/>
          <w:sz w:val="22"/>
          <w:szCs w:val="21"/>
          <w:lang w:val="en-US" w:eastAsia="zh-CN"/>
        </w:rPr>
      </w:pPr>
      <w:r>
        <w:rPr>
          <w:rFonts w:hint="eastAsia"/>
          <w:sz w:val="22"/>
          <w:szCs w:val="21"/>
        </w:rPr>
        <w:t>5.报名及投标招标事宜联系人：</w:t>
      </w:r>
      <w:r>
        <w:rPr>
          <w:rFonts w:hint="eastAsia"/>
          <w:sz w:val="22"/>
          <w:szCs w:val="21"/>
          <w:lang w:val="en-US" w:eastAsia="zh-CN"/>
        </w:rPr>
        <w:t>郭朝琛</w:t>
      </w:r>
      <w:r>
        <w:rPr>
          <w:rFonts w:hint="eastAsia"/>
          <w:sz w:val="22"/>
          <w:szCs w:val="21"/>
        </w:rPr>
        <w:t xml:space="preserve">  </w:t>
      </w:r>
      <w:r>
        <w:rPr>
          <w:rFonts w:hint="eastAsia"/>
          <w:sz w:val="22"/>
          <w:szCs w:val="21"/>
          <w:lang w:val="en-US" w:eastAsia="zh-CN"/>
        </w:rPr>
        <w:t>17860606311</w:t>
      </w:r>
    </w:p>
    <w:p w14:paraId="54A5AAB7">
      <w:pPr>
        <w:pStyle w:val="11"/>
        <w:spacing w:line="360" w:lineRule="auto"/>
        <w:rPr>
          <w:rFonts w:ascii="黑体" w:eastAsia="黑体"/>
          <w:b/>
          <w:bCs/>
          <w:sz w:val="28"/>
        </w:rPr>
      </w:pPr>
      <w:r>
        <w:rPr>
          <w:rFonts w:hint="eastAsia" w:ascii="黑体" w:eastAsia="黑体"/>
          <w:b/>
          <w:bCs/>
          <w:sz w:val="28"/>
        </w:rPr>
        <w:t>五、报名方式</w:t>
      </w:r>
    </w:p>
    <w:p w14:paraId="7D05F113">
      <w:pPr>
        <w:pStyle w:val="11"/>
        <w:spacing w:line="360" w:lineRule="auto"/>
        <w:ind w:firstLine="405"/>
      </w:pPr>
      <w:r>
        <w:rPr>
          <w:rFonts w:hint="eastAsia"/>
        </w:rPr>
        <w:t>1.时间：2025年</w:t>
      </w:r>
      <w:r>
        <w:rPr>
          <w:rFonts w:hint="eastAsia"/>
          <w:lang w:val="en-US" w:eastAsia="zh-CN"/>
        </w:rPr>
        <w:t>11</w:t>
      </w:r>
      <w:r>
        <w:rPr>
          <w:rFonts w:hint="eastAsia"/>
        </w:rPr>
        <w:t>月</w:t>
      </w:r>
      <w:r>
        <w:rPr>
          <w:rFonts w:hint="eastAsia"/>
          <w:lang w:val="en-US" w:eastAsia="zh-CN"/>
        </w:rPr>
        <w:t>12</w:t>
      </w:r>
      <w:r>
        <w:rPr>
          <w:rFonts w:hint="eastAsia"/>
        </w:rPr>
        <w:t>日至2025年</w:t>
      </w:r>
      <w:r>
        <w:rPr>
          <w:rFonts w:hint="eastAsia"/>
          <w:lang w:val="en-US" w:eastAsia="zh-CN"/>
        </w:rPr>
        <w:t>11</w:t>
      </w:r>
      <w:r>
        <w:rPr>
          <w:rFonts w:hint="eastAsia"/>
        </w:rPr>
        <w:t>月</w:t>
      </w:r>
      <w:r>
        <w:rPr>
          <w:rFonts w:hint="eastAsia"/>
          <w:lang w:val="en-US" w:eastAsia="zh-CN"/>
        </w:rPr>
        <w:t>28</w:t>
      </w:r>
      <w:r>
        <w:rPr>
          <w:rFonts w:hint="eastAsia"/>
        </w:rPr>
        <w:t>日下午17：00点前。</w:t>
      </w:r>
    </w:p>
    <w:p w14:paraId="4A3F498D">
      <w:pPr>
        <w:pStyle w:val="11"/>
        <w:spacing w:line="360" w:lineRule="auto"/>
        <w:ind w:firstLine="405"/>
      </w:pPr>
      <w:r>
        <w:rPr>
          <w:rFonts w:hint="eastAsia"/>
        </w:rPr>
        <w:t>2.方式：本项目招标工作的所有过程均须在中国重汽e采通上完成，包括报名、资质审核、招标、应标、评标、审批等环节。中国重汽e采通链接为（h</w:t>
      </w:r>
      <w:r>
        <w:t>ttp</w:t>
      </w:r>
      <w:r>
        <w:rPr>
          <w:rFonts w:hint="eastAsia"/>
        </w:rPr>
        <w:t>s</w:t>
      </w:r>
      <w:r>
        <w:t>://ecaitong.sinotruk.com:8012</w:t>
      </w:r>
      <w:r>
        <w:rPr>
          <w:rFonts w:hint="eastAsia"/>
        </w:rPr>
        <w:t>）。相关操作手册请详见注册界面供应商用户手册。未在中国重汽e采通进行注册的供方，注册时，业务主管部门选择“生产制造部”，类别选择“设备设施维保”。请于报名截止时间前完成注册审批，未注册完成的不允许参加相关投标报名。</w:t>
      </w:r>
    </w:p>
    <w:p w14:paraId="0CFB16A0">
      <w:pPr>
        <w:pStyle w:val="11"/>
        <w:spacing w:line="360" w:lineRule="auto"/>
        <w:ind w:firstLine="405"/>
      </w:pPr>
      <w:r>
        <w:rPr>
          <w:rFonts w:hint="eastAsia"/>
        </w:rPr>
        <w:t>投标人应标成功后在中国重汽e采通查看标书文件，投标人应自备电脑（笔记本）进行流程操作，注意应标、投标、开标、再次报价时间开始、截止节点，如错过时间节点将无法进行招投标流程节点的操作，进行商务标后按招标方要求在重汽e采通进行价格报价和逐轮报价，商务标中还需提供开标一览表。</w:t>
      </w:r>
    </w:p>
    <w:p w14:paraId="3EECE4F2">
      <w:pPr>
        <w:pStyle w:val="11"/>
        <w:spacing w:line="360" w:lineRule="auto"/>
        <w:rPr>
          <w:rFonts w:ascii="黑体" w:eastAsia="黑体"/>
          <w:b/>
          <w:bCs/>
          <w:sz w:val="28"/>
        </w:rPr>
      </w:pPr>
      <w:r>
        <w:rPr>
          <w:rFonts w:hint="eastAsia" w:ascii="黑体" w:eastAsia="黑体"/>
          <w:b/>
          <w:bCs/>
          <w:sz w:val="28"/>
        </w:rPr>
        <w:t>六、投标须知</w:t>
      </w:r>
    </w:p>
    <w:p w14:paraId="5CFD3B2F">
      <w:pPr>
        <w:pStyle w:val="11"/>
        <w:spacing w:line="360" w:lineRule="auto"/>
        <w:ind w:firstLine="422" w:firstLineChars="200"/>
        <w:rPr>
          <w:rFonts w:hint="eastAsia" w:eastAsia="宋体"/>
          <w:b/>
          <w:lang w:eastAsia="zh-CN"/>
        </w:rPr>
      </w:pPr>
      <w:r>
        <w:rPr>
          <w:rFonts w:hint="eastAsia"/>
          <w:b/>
        </w:rPr>
        <w:t>1.合格投标人：</w:t>
      </w:r>
      <w:r>
        <w:rPr>
          <w:rFonts w:hint="eastAsia"/>
          <w:b/>
          <w:lang w:eastAsia="zh-CN"/>
        </w:rPr>
        <w:t>（</w:t>
      </w:r>
      <w:r>
        <w:rPr>
          <w:rFonts w:hint="eastAsia"/>
          <w:b/>
          <w:lang w:val="en-US" w:eastAsia="zh-CN"/>
        </w:rPr>
        <w:t>应标上传</w:t>
      </w:r>
      <w:r>
        <w:rPr>
          <w:rFonts w:hint="eastAsia"/>
          <w:b/>
          <w:lang w:eastAsia="zh-CN"/>
        </w:rPr>
        <w:t>）</w:t>
      </w:r>
    </w:p>
    <w:p w14:paraId="1219719D">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480" w:firstLineChars="200"/>
        <w:textAlignment w:val="auto"/>
        <w:rPr>
          <w:rFonts w:hint="eastAsia" w:ascii="Times New Roman" w:hAnsi="Times New Roman" w:eastAsia="仿宋_GB2312" w:cs="Times New Roman"/>
          <w:b w:val="0"/>
          <w:bCs w:val="0"/>
          <w:color w:val="auto"/>
          <w:kern w:val="2"/>
          <w:sz w:val="24"/>
          <w:szCs w:val="24"/>
          <w:highlight w:val="none"/>
          <w:lang w:val="en-US" w:eastAsia="zh-CN" w:bidi="ar-SA"/>
        </w:rPr>
      </w:pPr>
      <w:bookmarkStart w:id="3" w:name="_Hlk146440783"/>
      <w:r>
        <w:rPr>
          <w:rFonts w:hint="eastAsia" w:eastAsia="仿宋_GB2312" w:cs="Times New Roman"/>
          <w:b w:val="0"/>
          <w:bCs w:val="0"/>
          <w:color w:val="auto"/>
          <w:kern w:val="2"/>
          <w:sz w:val="24"/>
          <w:szCs w:val="24"/>
          <w:highlight w:val="none"/>
          <w:lang w:val="en-US" w:eastAsia="zh-CN" w:bidi="ar-SA"/>
        </w:rPr>
        <w:t>1.1</w:t>
      </w:r>
      <w:r>
        <w:rPr>
          <w:rFonts w:hint="eastAsia" w:ascii="Times New Roman" w:hAnsi="Times New Roman" w:eastAsia="仿宋_GB2312" w:cs="Times New Roman"/>
          <w:b w:val="0"/>
          <w:bCs w:val="0"/>
          <w:color w:val="auto"/>
          <w:kern w:val="2"/>
          <w:sz w:val="24"/>
          <w:szCs w:val="24"/>
          <w:highlight w:val="none"/>
          <w:lang w:val="en-US" w:eastAsia="zh-CN" w:bidi="ar-SA"/>
        </w:rPr>
        <w:t>营业执照必须具有相关业务资质，具有IATF16949质量体系认证证书，业务范围必须包含喷涂类生产；</w:t>
      </w:r>
    </w:p>
    <w:p w14:paraId="704E694F">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480" w:firstLineChars="200"/>
        <w:textAlignment w:val="auto"/>
        <w:rPr>
          <w:rFonts w:hint="eastAsia" w:ascii="Times New Roman" w:hAnsi="Times New Roman" w:eastAsia="仿宋_GB2312" w:cs="Times New Roman"/>
          <w:b w:val="0"/>
          <w:bCs w:val="0"/>
          <w:color w:val="auto"/>
          <w:kern w:val="2"/>
          <w:sz w:val="24"/>
          <w:szCs w:val="24"/>
          <w:highlight w:val="none"/>
          <w:lang w:val="en-US" w:eastAsia="zh-CN" w:bidi="ar-SA"/>
        </w:rPr>
      </w:pPr>
      <w:r>
        <w:rPr>
          <w:rFonts w:hint="eastAsia" w:eastAsia="仿宋_GB2312" w:cs="Times New Roman"/>
          <w:b w:val="0"/>
          <w:bCs w:val="0"/>
          <w:color w:val="auto"/>
          <w:kern w:val="2"/>
          <w:sz w:val="24"/>
          <w:szCs w:val="24"/>
          <w:highlight w:val="none"/>
          <w:lang w:val="en-US" w:eastAsia="zh-CN" w:bidi="ar-SA"/>
        </w:rPr>
        <w:t>1.2</w:t>
      </w:r>
      <w:r>
        <w:rPr>
          <w:rFonts w:hint="eastAsia" w:ascii="Times New Roman" w:hAnsi="Times New Roman" w:eastAsia="仿宋_GB2312" w:cs="Times New Roman"/>
          <w:b w:val="0"/>
          <w:bCs w:val="0"/>
          <w:color w:val="auto"/>
          <w:kern w:val="2"/>
          <w:sz w:val="24"/>
          <w:szCs w:val="24"/>
          <w:highlight w:val="none"/>
          <w:lang w:val="en-US" w:eastAsia="zh-CN" w:bidi="ar-SA"/>
        </w:rPr>
        <w:t>公司成立三年以上，公司注册资本不少于500万元（人民币）；（含三年，以注册日期开始计算，至开标之日不少于三年）</w:t>
      </w:r>
    </w:p>
    <w:p w14:paraId="3FA3AB98">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480" w:firstLineChars="200"/>
        <w:textAlignment w:val="auto"/>
        <w:rPr>
          <w:rFonts w:hint="eastAsia" w:ascii="Times New Roman" w:hAnsi="Times New Roman" w:eastAsia="仿宋_GB2312" w:cs="Times New Roman"/>
          <w:b w:val="0"/>
          <w:bCs w:val="0"/>
          <w:color w:val="auto"/>
          <w:kern w:val="2"/>
          <w:sz w:val="24"/>
          <w:szCs w:val="24"/>
          <w:highlight w:val="none"/>
          <w:lang w:val="en-US" w:eastAsia="zh-CN" w:bidi="ar-SA"/>
        </w:rPr>
      </w:pPr>
      <w:r>
        <w:rPr>
          <w:rFonts w:hint="eastAsia" w:eastAsia="仿宋_GB2312" w:cs="Times New Roman"/>
          <w:b w:val="0"/>
          <w:bCs w:val="0"/>
          <w:color w:val="auto"/>
          <w:kern w:val="2"/>
          <w:sz w:val="24"/>
          <w:szCs w:val="24"/>
          <w:highlight w:val="none"/>
          <w:lang w:val="en-US" w:eastAsia="zh-CN" w:bidi="ar-SA"/>
        </w:rPr>
        <w:t>1.3</w:t>
      </w:r>
      <w:r>
        <w:rPr>
          <w:rFonts w:hint="eastAsia" w:ascii="Times New Roman" w:hAnsi="Times New Roman" w:eastAsia="仿宋_GB2312" w:cs="Times New Roman"/>
          <w:b w:val="0"/>
          <w:bCs w:val="0"/>
          <w:color w:val="auto"/>
          <w:kern w:val="2"/>
          <w:sz w:val="24"/>
          <w:szCs w:val="24"/>
          <w:highlight w:val="none"/>
          <w:lang w:val="en-US" w:eastAsia="zh-CN" w:bidi="ar-SA"/>
        </w:rPr>
        <w:t>具有相类似生产业务经验、技术先进、规模较大、人员充足、无质量问题、声誉良好的服务方；</w:t>
      </w:r>
    </w:p>
    <w:p w14:paraId="74851E63">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480" w:firstLineChars="200"/>
        <w:textAlignment w:val="auto"/>
        <w:rPr>
          <w:rFonts w:hint="eastAsia" w:ascii="Times New Roman" w:hAnsi="Times New Roman" w:eastAsia="仿宋_GB2312" w:cs="Times New Roman"/>
          <w:b w:val="0"/>
          <w:bCs w:val="0"/>
          <w:color w:val="auto"/>
          <w:kern w:val="2"/>
          <w:sz w:val="24"/>
          <w:szCs w:val="24"/>
          <w:highlight w:val="none"/>
          <w:lang w:val="en-US" w:eastAsia="zh-CN" w:bidi="ar-SA"/>
        </w:rPr>
      </w:pPr>
      <w:r>
        <w:rPr>
          <w:rFonts w:hint="eastAsia" w:eastAsia="仿宋_GB2312" w:cs="Times New Roman"/>
          <w:b w:val="0"/>
          <w:bCs w:val="0"/>
          <w:color w:val="auto"/>
          <w:kern w:val="2"/>
          <w:sz w:val="24"/>
          <w:szCs w:val="24"/>
          <w:highlight w:val="none"/>
          <w:lang w:val="en-US" w:eastAsia="zh-CN" w:bidi="ar-SA"/>
        </w:rPr>
        <w:t>1.4</w:t>
      </w:r>
      <w:r>
        <w:rPr>
          <w:rFonts w:hint="eastAsia" w:ascii="Times New Roman" w:hAnsi="Times New Roman" w:eastAsia="仿宋_GB2312" w:cs="Times New Roman"/>
          <w:b w:val="0"/>
          <w:bCs w:val="0"/>
          <w:color w:val="auto"/>
          <w:kern w:val="2"/>
          <w:sz w:val="24"/>
          <w:szCs w:val="24"/>
          <w:highlight w:val="none"/>
          <w:lang w:val="en-US" w:eastAsia="zh-CN" w:bidi="ar-SA"/>
        </w:rPr>
        <w:t>在社会上和重汽集团内的其它招标过程中没有不良行为记录；</w:t>
      </w:r>
    </w:p>
    <w:p w14:paraId="7FFB6EA1">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480" w:firstLineChars="200"/>
        <w:textAlignment w:val="auto"/>
        <w:rPr>
          <w:rFonts w:hint="eastAsia" w:ascii="Times New Roman" w:hAnsi="Times New Roman" w:eastAsia="仿宋_GB2312" w:cs="Times New Roman"/>
          <w:b w:val="0"/>
          <w:bCs w:val="0"/>
          <w:color w:val="auto"/>
          <w:kern w:val="2"/>
          <w:sz w:val="24"/>
          <w:szCs w:val="24"/>
          <w:highlight w:val="none"/>
          <w:lang w:val="en-US" w:eastAsia="zh-CN" w:bidi="ar-SA"/>
        </w:rPr>
      </w:pPr>
      <w:r>
        <w:rPr>
          <w:rFonts w:hint="eastAsia" w:eastAsia="仿宋_GB2312" w:cs="Times New Roman"/>
          <w:b w:val="0"/>
          <w:bCs w:val="0"/>
          <w:color w:val="auto"/>
          <w:kern w:val="2"/>
          <w:sz w:val="24"/>
          <w:szCs w:val="24"/>
          <w:highlight w:val="none"/>
          <w:lang w:val="en-US" w:eastAsia="zh-CN" w:bidi="ar-SA"/>
        </w:rPr>
        <w:t>1.5</w:t>
      </w:r>
      <w:r>
        <w:rPr>
          <w:rFonts w:hint="eastAsia" w:ascii="Times New Roman" w:hAnsi="Times New Roman" w:eastAsia="仿宋_GB2312" w:cs="Times New Roman"/>
          <w:b w:val="0"/>
          <w:bCs w:val="0"/>
          <w:color w:val="auto"/>
          <w:kern w:val="2"/>
          <w:sz w:val="24"/>
          <w:szCs w:val="24"/>
          <w:highlight w:val="none"/>
          <w:lang w:val="en-US" w:eastAsia="zh-CN" w:bidi="ar-SA"/>
        </w:rPr>
        <w:t>外包方不得以任何理由将已承包项目以任何形式转包给其他单位；</w:t>
      </w:r>
    </w:p>
    <w:p w14:paraId="58D1BA3E">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480" w:firstLineChars="200"/>
        <w:textAlignment w:val="auto"/>
        <w:rPr>
          <w:rFonts w:hint="eastAsia" w:ascii="Times New Roman" w:hAnsi="Times New Roman" w:eastAsia="仿宋_GB2312" w:cs="Times New Roman"/>
          <w:b w:val="0"/>
          <w:bCs w:val="0"/>
          <w:color w:val="auto"/>
          <w:kern w:val="2"/>
          <w:sz w:val="24"/>
          <w:szCs w:val="24"/>
          <w:highlight w:val="none"/>
          <w:lang w:val="en-US" w:eastAsia="zh-CN" w:bidi="ar-SA"/>
        </w:rPr>
      </w:pPr>
      <w:r>
        <w:rPr>
          <w:rFonts w:hint="eastAsia" w:eastAsia="仿宋_GB2312" w:cs="Times New Roman"/>
          <w:b w:val="0"/>
          <w:bCs w:val="0"/>
          <w:color w:val="auto"/>
          <w:kern w:val="2"/>
          <w:sz w:val="24"/>
          <w:szCs w:val="24"/>
          <w:highlight w:val="none"/>
          <w:lang w:val="en-US" w:eastAsia="zh-CN" w:bidi="ar-SA"/>
        </w:rPr>
        <w:t>1.6</w:t>
      </w:r>
      <w:r>
        <w:rPr>
          <w:rFonts w:hint="eastAsia" w:ascii="Times New Roman" w:hAnsi="Times New Roman" w:eastAsia="仿宋_GB2312" w:cs="Times New Roman"/>
          <w:b w:val="0"/>
          <w:bCs w:val="0"/>
          <w:color w:val="auto"/>
          <w:kern w:val="2"/>
          <w:sz w:val="24"/>
          <w:szCs w:val="24"/>
          <w:highlight w:val="none"/>
          <w:lang w:val="en-US" w:eastAsia="zh-CN" w:bidi="ar-SA"/>
        </w:rPr>
        <w:t>不接受联合体承包；</w:t>
      </w:r>
    </w:p>
    <w:p w14:paraId="455884D3">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480" w:firstLineChars="200"/>
        <w:textAlignment w:val="auto"/>
        <w:rPr>
          <w:rFonts w:hint="eastAsia" w:ascii="Times New Roman" w:hAnsi="Times New Roman" w:eastAsia="仿宋_GB2312" w:cs="Times New Roman"/>
          <w:b w:val="0"/>
          <w:bCs w:val="0"/>
          <w:color w:val="auto"/>
          <w:kern w:val="2"/>
          <w:sz w:val="24"/>
          <w:szCs w:val="24"/>
          <w:highlight w:val="none"/>
          <w:lang w:val="en-US" w:eastAsia="zh-CN" w:bidi="ar-SA"/>
        </w:rPr>
      </w:pPr>
      <w:r>
        <w:rPr>
          <w:rFonts w:hint="eastAsia" w:eastAsia="仿宋_GB2312" w:cs="Times New Roman"/>
          <w:b w:val="0"/>
          <w:bCs w:val="0"/>
          <w:color w:val="auto"/>
          <w:kern w:val="2"/>
          <w:sz w:val="24"/>
          <w:szCs w:val="24"/>
          <w:highlight w:val="none"/>
          <w:lang w:val="en-US" w:eastAsia="zh-CN" w:bidi="ar-SA"/>
        </w:rPr>
        <w:t>1.7</w:t>
      </w:r>
      <w:r>
        <w:rPr>
          <w:rFonts w:hint="eastAsia" w:ascii="Times New Roman" w:hAnsi="Times New Roman" w:eastAsia="仿宋_GB2312" w:cs="Times New Roman"/>
          <w:b w:val="0"/>
          <w:bCs w:val="0"/>
          <w:color w:val="auto"/>
          <w:kern w:val="2"/>
          <w:sz w:val="24"/>
          <w:szCs w:val="24"/>
          <w:highlight w:val="none"/>
          <w:lang w:val="en-US" w:eastAsia="zh-CN" w:bidi="ar-SA"/>
        </w:rPr>
        <w:t>具有健全的财务会计制度，财务状况和市场行为良好。没有处于被有权机关吊销营业执照、吊销资质、停业整顿、取消外包资格以及财产被接管、冻结或进入破产程序等。</w:t>
      </w:r>
    </w:p>
    <w:p w14:paraId="04072417">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480" w:firstLineChars="200"/>
        <w:textAlignment w:val="auto"/>
        <w:rPr>
          <w:rFonts w:hint="eastAsia" w:ascii="Times New Roman" w:hAnsi="Times New Roman" w:eastAsia="仿宋_GB2312" w:cs="Times New Roman"/>
          <w:b w:val="0"/>
          <w:bCs w:val="0"/>
          <w:color w:val="auto"/>
          <w:kern w:val="2"/>
          <w:sz w:val="24"/>
          <w:szCs w:val="24"/>
          <w:highlight w:val="none"/>
          <w:lang w:val="en-US" w:eastAsia="zh-CN" w:bidi="ar-SA"/>
        </w:rPr>
      </w:pPr>
      <w:r>
        <w:rPr>
          <w:rFonts w:hint="eastAsia" w:eastAsia="仿宋_GB2312" w:cs="Times New Roman"/>
          <w:b w:val="0"/>
          <w:bCs w:val="0"/>
          <w:color w:val="auto"/>
          <w:kern w:val="2"/>
          <w:sz w:val="24"/>
          <w:szCs w:val="24"/>
          <w:highlight w:val="none"/>
          <w:lang w:val="en-US" w:eastAsia="zh-CN" w:bidi="ar-SA"/>
        </w:rPr>
        <w:t>1.8</w:t>
      </w:r>
      <w:r>
        <w:rPr>
          <w:rFonts w:hint="eastAsia" w:ascii="Times New Roman" w:hAnsi="Times New Roman" w:eastAsia="仿宋_GB2312" w:cs="Times New Roman"/>
          <w:b w:val="0"/>
          <w:bCs w:val="0"/>
          <w:color w:val="auto"/>
          <w:kern w:val="2"/>
          <w:sz w:val="24"/>
          <w:szCs w:val="24"/>
          <w:highlight w:val="none"/>
          <w:lang w:val="en-US" w:eastAsia="zh-CN" w:bidi="ar-SA"/>
        </w:rPr>
        <w:t>满足技术、质量、资金等要求，近三年财务报表财务状况良好，经营稳定，具有全面履约的能力，能提供相关信用等级和完税证明；</w:t>
      </w:r>
    </w:p>
    <w:p w14:paraId="0F285AF2">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480" w:firstLineChars="200"/>
        <w:textAlignment w:val="auto"/>
        <w:rPr>
          <w:rFonts w:hint="eastAsia" w:ascii="Times New Roman" w:hAnsi="Times New Roman" w:eastAsia="仿宋_GB2312" w:cs="Times New Roman"/>
          <w:b w:val="0"/>
          <w:bCs w:val="0"/>
          <w:color w:val="auto"/>
          <w:kern w:val="2"/>
          <w:sz w:val="24"/>
          <w:szCs w:val="24"/>
          <w:highlight w:val="none"/>
          <w:lang w:val="en-US" w:eastAsia="zh-CN" w:bidi="ar-SA"/>
        </w:rPr>
      </w:pPr>
      <w:r>
        <w:rPr>
          <w:rFonts w:hint="eastAsia" w:eastAsia="仿宋_GB2312" w:cs="Times New Roman"/>
          <w:b w:val="0"/>
          <w:bCs w:val="0"/>
          <w:color w:val="auto"/>
          <w:kern w:val="2"/>
          <w:sz w:val="24"/>
          <w:szCs w:val="24"/>
          <w:highlight w:val="none"/>
          <w:lang w:val="en-US" w:eastAsia="zh-CN" w:bidi="ar-SA"/>
        </w:rPr>
        <w:t>1.9</w:t>
      </w:r>
      <w:r>
        <w:rPr>
          <w:rFonts w:hint="eastAsia" w:ascii="Times New Roman" w:hAnsi="Times New Roman" w:eastAsia="仿宋_GB2312" w:cs="Times New Roman"/>
          <w:b w:val="0"/>
          <w:bCs w:val="0"/>
          <w:color w:val="auto"/>
          <w:kern w:val="2"/>
          <w:sz w:val="24"/>
          <w:szCs w:val="24"/>
          <w:highlight w:val="none"/>
          <w:lang w:val="en-US" w:eastAsia="zh-CN" w:bidi="ar-SA"/>
        </w:rPr>
        <w:t>在“国家企业信用信息公示系统”、“中国执行信息公开网”、“信用中国”、“天眼查”“裁判文书网”等信息平台中，无行政处罚及失信记录等信息；</w:t>
      </w:r>
    </w:p>
    <w:p w14:paraId="1192831B">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480" w:firstLineChars="200"/>
        <w:textAlignment w:val="auto"/>
        <w:rPr>
          <w:rFonts w:hint="eastAsia" w:ascii="Times New Roman" w:hAnsi="Times New Roman" w:eastAsia="仿宋_GB2312" w:cs="Times New Roman"/>
          <w:b w:val="0"/>
          <w:bCs w:val="0"/>
          <w:color w:val="auto"/>
          <w:kern w:val="2"/>
          <w:sz w:val="24"/>
          <w:szCs w:val="24"/>
          <w:highlight w:val="none"/>
          <w:lang w:val="en-US" w:eastAsia="zh-CN" w:bidi="ar-SA"/>
        </w:rPr>
      </w:pPr>
      <w:r>
        <w:rPr>
          <w:rFonts w:hint="eastAsia" w:eastAsia="仿宋_GB2312" w:cs="Times New Roman"/>
          <w:b w:val="0"/>
          <w:bCs w:val="0"/>
          <w:color w:val="auto"/>
          <w:kern w:val="2"/>
          <w:sz w:val="24"/>
          <w:szCs w:val="24"/>
          <w:highlight w:val="none"/>
          <w:lang w:val="en-US" w:eastAsia="zh-CN" w:bidi="ar-SA"/>
        </w:rPr>
        <w:t>1.</w:t>
      </w:r>
      <w:r>
        <w:rPr>
          <w:rFonts w:hint="eastAsia" w:ascii="Times New Roman" w:hAnsi="Times New Roman" w:eastAsia="仿宋_GB2312" w:cs="Times New Roman"/>
          <w:b w:val="0"/>
          <w:bCs w:val="0"/>
          <w:color w:val="auto"/>
          <w:kern w:val="2"/>
          <w:sz w:val="24"/>
          <w:szCs w:val="24"/>
          <w:highlight w:val="none"/>
          <w:lang w:val="en-US" w:eastAsia="zh-CN" w:bidi="ar-SA"/>
        </w:rPr>
        <w:t>10无招标违规、谎报年度报告信息、提供虚假资质资料等行为或其他行政处罚记录；</w:t>
      </w:r>
    </w:p>
    <w:p w14:paraId="6B69D8EB">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480" w:firstLineChars="200"/>
        <w:textAlignment w:val="auto"/>
        <w:rPr>
          <w:rFonts w:hint="eastAsia" w:ascii="Times New Roman" w:hAnsi="Times New Roman" w:eastAsia="仿宋_GB2312" w:cs="Times New Roman"/>
          <w:b w:val="0"/>
          <w:bCs w:val="0"/>
          <w:color w:val="auto"/>
          <w:kern w:val="2"/>
          <w:sz w:val="24"/>
          <w:szCs w:val="24"/>
          <w:highlight w:val="none"/>
          <w:lang w:val="en-US" w:eastAsia="zh-CN" w:bidi="ar-SA"/>
        </w:rPr>
      </w:pPr>
      <w:r>
        <w:rPr>
          <w:rFonts w:hint="eastAsia" w:eastAsia="仿宋_GB2312" w:cs="Times New Roman"/>
          <w:b w:val="0"/>
          <w:bCs w:val="0"/>
          <w:color w:val="auto"/>
          <w:kern w:val="2"/>
          <w:sz w:val="24"/>
          <w:szCs w:val="24"/>
          <w:highlight w:val="none"/>
          <w:lang w:val="en-US" w:eastAsia="zh-CN" w:bidi="ar-SA"/>
        </w:rPr>
        <w:t>1.</w:t>
      </w:r>
      <w:r>
        <w:rPr>
          <w:rFonts w:hint="eastAsia" w:ascii="Times New Roman" w:hAnsi="Times New Roman" w:eastAsia="仿宋_GB2312" w:cs="Times New Roman"/>
          <w:b w:val="0"/>
          <w:bCs w:val="0"/>
          <w:color w:val="auto"/>
          <w:kern w:val="2"/>
          <w:sz w:val="24"/>
          <w:szCs w:val="24"/>
          <w:highlight w:val="none"/>
          <w:lang w:val="en-US" w:eastAsia="zh-CN" w:bidi="ar-SA"/>
        </w:rPr>
        <w:t>11没有被重汽集团列入黑名单；</w:t>
      </w:r>
    </w:p>
    <w:p w14:paraId="1A66810A">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480" w:firstLineChars="200"/>
        <w:textAlignment w:val="auto"/>
        <w:rPr>
          <w:rFonts w:hint="eastAsia" w:ascii="Times New Roman" w:hAnsi="Times New Roman" w:eastAsia="仿宋_GB2312" w:cs="Times New Roman"/>
          <w:b w:val="0"/>
          <w:bCs w:val="0"/>
          <w:color w:val="auto"/>
          <w:kern w:val="2"/>
          <w:sz w:val="24"/>
          <w:szCs w:val="24"/>
          <w:highlight w:val="none"/>
          <w:lang w:val="en-US" w:eastAsia="zh-CN" w:bidi="ar-SA"/>
        </w:rPr>
      </w:pPr>
      <w:r>
        <w:rPr>
          <w:rFonts w:hint="eastAsia" w:eastAsia="仿宋_GB2312" w:cs="Times New Roman"/>
          <w:b w:val="0"/>
          <w:bCs w:val="0"/>
          <w:color w:val="auto"/>
          <w:kern w:val="2"/>
          <w:sz w:val="24"/>
          <w:szCs w:val="24"/>
          <w:highlight w:val="none"/>
          <w:lang w:val="en-US" w:eastAsia="zh-CN" w:bidi="ar-SA"/>
        </w:rPr>
        <w:t>1.</w:t>
      </w:r>
      <w:r>
        <w:rPr>
          <w:rFonts w:hint="eastAsia" w:ascii="Times New Roman" w:hAnsi="Times New Roman" w:eastAsia="仿宋_GB2312" w:cs="Times New Roman"/>
          <w:b w:val="0"/>
          <w:bCs w:val="0"/>
          <w:color w:val="auto"/>
          <w:kern w:val="2"/>
          <w:sz w:val="24"/>
          <w:szCs w:val="24"/>
          <w:highlight w:val="none"/>
          <w:lang w:val="en-US" w:eastAsia="zh-CN" w:bidi="ar-SA"/>
        </w:rPr>
        <w:t>12外包方的直接或间接股东、法定代表人、董事、监事、高管非重汽员工及其亲属；</w:t>
      </w:r>
    </w:p>
    <w:bookmarkEnd w:id="3"/>
    <w:p w14:paraId="6C41BD34">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480" w:firstLineChars="200"/>
        <w:textAlignment w:val="auto"/>
        <w:rPr>
          <w:rFonts w:hint="eastAsia" w:ascii="Times New Roman" w:hAnsi="Times New Roman" w:eastAsia="仿宋_GB2312" w:cs="Times New Roman"/>
          <w:b w:val="0"/>
          <w:bCs w:val="0"/>
          <w:color w:val="auto"/>
          <w:kern w:val="2"/>
          <w:sz w:val="24"/>
          <w:szCs w:val="24"/>
          <w:highlight w:val="none"/>
          <w:lang w:val="en-US" w:eastAsia="zh-CN" w:bidi="ar-SA"/>
        </w:rPr>
      </w:pPr>
      <w:r>
        <w:rPr>
          <w:rFonts w:hint="eastAsia" w:eastAsia="仿宋_GB2312" w:cs="Times New Roman"/>
          <w:b w:val="0"/>
          <w:bCs w:val="0"/>
          <w:color w:val="auto"/>
          <w:kern w:val="2"/>
          <w:sz w:val="24"/>
          <w:szCs w:val="24"/>
          <w:highlight w:val="none"/>
          <w:lang w:val="en-US" w:eastAsia="zh-CN" w:bidi="ar-SA"/>
        </w:rPr>
        <w:t>1.</w:t>
      </w:r>
      <w:r>
        <w:rPr>
          <w:rFonts w:hint="eastAsia" w:ascii="Times New Roman" w:hAnsi="Times New Roman" w:eastAsia="仿宋_GB2312" w:cs="Times New Roman"/>
          <w:b w:val="0"/>
          <w:bCs w:val="0"/>
          <w:color w:val="auto"/>
          <w:kern w:val="2"/>
          <w:sz w:val="24"/>
          <w:szCs w:val="24"/>
          <w:highlight w:val="none"/>
          <w:lang w:val="en-US" w:eastAsia="zh-CN" w:bidi="ar-SA"/>
        </w:rPr>
        <w:t>13法律法规对合格外包方的其它要求、规</w:t>
      </w:r>
      <w:bookmarkStart w:id="22" w:name="_GoBack"/>
      <w:bookmarkEnd w:id="22"/>
      <w:r>
        <w:rPr>
          <w:rFonts w:hint="eastAsia" w:ascii="Times New Roman" w:hAnsi="Times New Roman" w:eastAsia="仿宋_GB2312" w:cs="Times New Roman"/>
          <w:b w:val="0"/>
          <w:bCs w:val="0"/>
          <w:color w:val="auto"/>
          <w:kern w:val="2"/>
          <w:sz w:val="24"/>
          <w:szCs w:val="24"/>
          <w:highlight w:val="none"/>
          <w:lang w:val="en-US" w:eastAsia="zh-CN" w:bidi="ar-SA"/>
        </w:rPr>
        <w:t>定。</w:t>
      </w:r>
    </w:p>
    <w:p w14:paraId="3F882D73">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480" w:firstLineChars="200"/>
        <w:textAlignment w:val="auto"/>
        <w:rPr>
          <w:rFonts w:hint="eastAsia" w:ascii="仿宋_GB2312" w:hAnsi="仿宋_GB2312" w:eastAsia="仿宋_GB2312" w:cs="仿宋_GB2312"/>
          <w:color w:val="auto"/>
          <w:sz w:val="24"/>
          <w:szCs w:val="24"/>
          <w:highlight w:val="none"/>
        </w:rPr>
      </w:pPr>
      <w:r>
        <w:rPr>
          <w:rFonts w:hint="eastAsia" w:eastAsia="仿宋_GB2312" w:cs="Times New Roman"/>
          <w:b w:val="0"/>
          <w:bCs w:val="0"/>
          <w:color w:val="auto"/>
          <w:kern w:val="2"/>
          <w:sz w:val="24"/>
          <w:szCs w:val="24"/>
          <w:highlight w:val="none"/>
          <w:lang w:val="en-US" w:eastAsia="zh-CN" w:bidi="ar-SA"/>
        </w:rPr>
        <w:t>1</w:t>
      </w:r>
      <w:r>
        <w:rPr>
          <w:rFonts w:hint="eastAsia" w:ascii="Times New Roman" w:hAnsi="Times New Roman" w:eastAsia="仿宋_GB2312" w:cs="Times New Roman"/>
          <w:b w:val="0"/>
          <w:bCs w:val="0"/>
          <w:color w:val="auto"/>
          <w:kern w:val="2"/>
          <w:sz w:val="24"/>
          <w:szCs w:val="24"/>
          <w:highlight w:val="none"/>
          <w:lang w:val="en-US" w:eastAsia="zh-CN" w:bidi="ar-SA"/>
        </w:rPr>
        <w:t>.14禁止发动机</w:t>
      </w:r>
      <w:r>
        <w:rPr>
          <w:rFonts w:hint="default" w:ascii="Times New Roman" w:hAnsi="Times New Roman" w:eastAsia="仿宋_GB2312" w:cs="Times New Roman"/>
          <w:b w:val="0"/>
          <w:bCs w:val="0"/>
          <w:color w:val="auto"/>
          <w:kern w:val="2"/>
          <w:sz w:val="24"/>
          <w:szCs w:val="24"/>
          <w:highlight w:val="none"/>
          <w:lang w:eastAsia="zh-CN" w:bidi="ar-SA"/>
        </w:rPr>
        <w:t>喷漆</w:t>
      </w:r>
      <w:r>
        <w:rPr>
          <w:rFonts w:hint="eastAsia" w:ascii="Times New Roman" w:hAnsi="Times New Roman" w:eastAsia="仿宋_GB2312" w:cs="Times New Roman"/>
          <w:b w:val="0"/>
          <w:bCs w:val="0"/>
          <w:color w:val="auto"/>
          <w:kern w:val="2"/>
          <w:sz w:val="24"/>
          <w:szCs w:val="24"/>
          <w:highlight w:val="none"/>
          <w:lang w:val="en-US" w:eastAsia="zh-CN" w:bidi="ar-SA"/>
        </w:rPr>
        <w:t>涉及的零部件、辅料的供应商参与所供货产品的外包服务。</w:t>
      </w:r>
    </w:p>
    <w:p w14:paraId="1A873A1B">
      <w:pPr>
        <w:pStyle w:val="11"/>
        <w:spacing w:line="360" w:lineRule="auto"/>
        <w:ind w:firstLine="422" w:firstLineChars="200"/>
        <w:rPr>
          <w:b/>
        </w:rPr>
      </w:pPr>
      <w:r>
        <w:rPr>
          <w:rFonts w:hint="eastAsia"/>
          <w:b/>
        </w:rPr>
        <w:t>2.投标文件格式组成</w:t>
      </w:r>
    </w:p>
    <w:p w14:paraId="5E710CA2">
      <w:pPr>
        <w:pStyle w:val="11"/>
        <w:spacing w:line="360" w:lineRule="auto"/>
        <w:ind w:firstLine="422" w:firstLineChars="200"/>
        <w:rPr>
          <w:b/>
        </w:rPr>
      </w:pPr>
      <w:r>
        <w:rPr>
          <w:rFonts w:hint="eastAsia"/>
          <w:b/>
        </w:rPr>
        <w:t>2.1资质文件：</w:t>
      </w:r>
    </w:p>
    <w:p w14:paraId="43767A82">
      <w:pPr>
        <w:pStyle w:val="11"/>
        <w:spacing w:line="360" w:lineRule="auto"/>
        <w:ind w:left="420" w:leftChars="0" w:firstLine="422" w:firstLineChars="200"/>
        <w:rPr>
          <w:rFonts w:hint="eastAsia"/>
          <w:b/>
        </w:rPr>
      </w:pPr>
      <w:r>
        <w:rPr>
          <w:rFonts w:hint="eastAsia"/>
          <w:b/>
        </w:rPr>
        <w:t>2.1.1法定代表人身份证明；</w:t>
      </w:r>
    </w:p>
    <w:p w14:paraId="3BBE4B9A">
      <w:pPr>
        <w:pStyle w:val="11"/>
        <w:spacing w:line="360" w:lineRule="auto"/>
        <w:ind w:left="420" w:leftChars="0" w:firstLine="422" w:firstLineChars="200"/>
        <w:rPr>
          <w:rFonts w:hint="eastAsia"/>
          <w:b/>
        </w:rPr>
      </w:pPr>
      <w:r>
        <w:rPr>
          <w:rFonts w:hint="eastAsia"/>
          <w:b/>
        </w:rPr>
        <w:t>2.1.</w:t>
      </w:r>
      <w:r>
        <w:rPr>
          <w:rFonts w:hint="eastAsia"/>
          <w:b/>
          <w:lang w:val="en-US" w:eastAsia="zh-CN"/>
        </w:rPr>
        <w:t>2</w:t>
      </w:r>
      <w:r>
        <w:rPr>
          <w:rFonts w:hint="eastAsia"/>
          <w:b/>
        </w:rPr>
        <w:t>法定代表人授权委托书（授权人需带身份证原件）；</w:t>
      </w:r>
    </w:p>
    <w:p w14:paraId="3BC146A5">
      <w:pPr>
        <w:pStyle w:val="11"/>
        <w:spacing w:line="360" w:lineRule="auto"/>
        <w:ind w:left="420" w:leftChars="0" w:firstLine="422" w:firstLineChars="200"/>
        <w:rPr>
          <w:rFonts w:hint="eastAsia"/>
          <w:b/>
        </w:rPr>
      </w:pPr>
      <w:r>
        <w:rPr>
          <w:rFonts w:hint="eastAsia"/>
          <w:b/>
        </w:rPr>
        <w:t>2.1.</w:t>
      </w:r>
      <w:r>
        <w:rPr>
          <w:rFonts w:hint="eastAsia"/>
          <w:b/>
          <w:lang w:val="en-US" w:eastAsia="zh-CN"/>
        </w:rPr>
        <w:t>3</w:t>
      </w:r>
      <w:r>
        <w:rPr>
          <w:rFonts w:hint="eastAsia"/>
          <w:b/>
        </w:rPr>
        <w:t>营业执照副本原件</w:t>
      </w:r>
      <w:r>
        <w:rPr>
          <w:rFonts w:hint="eastAsia"/>
          <w:b/>
          <w:lang w:val="en-US" w:eastAsia="zh-CN"/>
        </w:rPr>
        <w:t>或复印件并加盖公章</w:t>
      </w:r>
      <w:r>
        <w:rPr>
          <w:rFonts w:hint="eastAsia"/>
          <w:b/>
        </w:rPr>
        <w:t>；</w:t>
      </w:r>
    </w:p>
    <w:p w14:paraId="5238AADC">
      <w:pPr>
        <w:pStyle w:val="11"/>
        <w:spacing w:line="360" w:lineRule="auto"/>
        <w:ind w:left="420" w:leftChars="0" w:firstLine="422" w:firstLineChars="200"/>
        <w:rPr>
          <w:rFonts w:hint="eastAsia"/>
          <w:b/>
        </w:rPr>
      </w:pPr>
      <w:r>
        <w:rPr>
          <w:rFonts w:hint="eastAsia"/>
          <w:b/>
        </w:rPr>
        <w:t>2.1.</w:t>
      </w:r>
      <w:r>
        <w:rPr>
          <w:rFonts w:hint="eastAsia"/>
          <w:b/>
          <w:lang w:val="en-US" w:eastAsia="zh-CN"/>
        </w:rPr>
        <w:t>4</w:t>
      </w:r>
      <w:r>
        <w:rPr>
          <w:rFonts w:hint="eastAsia" w:ascii="黑体" w:hAnsi="黑体" w:eastAsia="黑体" w:cs="黑体"/>
          <w:sz w:val="22"/>
          <w:szCs w:val="28"/>
          <w:lang w:val="en-US" w:eastAsia="zh-CN"/>
        </w:rPr>
        <w:t>拥有专业的技术团队和设备设施，能够满足本项目的技术要求和生产能力需求，提供相关人员资质证书及设备清单。</w:t>
      </w:r>
    </w:p>
    <w:p w14:paraId="428C187E">
      <w:pPr>
        <w:pStyle w:val="11"/>
        <w:spacing w:line="360" w:lineRule="auto"/>
        <w:ind w:left="420" w:leftChars="0" w:firstLine="422" w:firstLineChars="200"/>
        <w:rPr>
          <w:rFonts w:hint="eastAsia"/>
          <w:b/>
        </w:rPr>
      </w:pPr>
      <w:r>
        <w:rPr>
          <w:rFonts w:hint="eastAsia"/>
          <w:b/>
        </w:rPr>
        <w:t>2.1.</w:t>
      </w:r>
      <w:r>
        <w:rPr>
          <w:rFonts w:hint="eastAsia"/>
          <w:b/>
          <w:lang w:val="en-US" w:eastAsia="zh-CN"/>
        </w:rPr>
        <w:t>5</w:t>
      </w:r>
      <w:r>
        <w:rPr>
          <w:rFonts w:hint="eastAsia" w:ascii="黑体" w:hAnsi="黑体" w:eastAsia="黑体" w:cs="黑体"/>
          <w:sz w:val="22"/>
          <w:szCs w:val="28"/>
          <w:lang w:val="en-US" w:eastAsia="zh-CN"/>
        </w:rPr>
        <w:t>有类似项目的成功实施经验，提供近3年内不少于5个同类项目的业绩证明材料，包括合同协议书、项目验收报告等。</w:t>
      </w:r>
    </w:p>
    <w:p w14:paraId="66B329DF">
      <w:pPr>
        <w:pStyle w:val="11"/>
        <w:spacing w:line="360" w:lineRule="auto"/>
        <w:ind w:left="420" w:leftChars="0" w:firstLine="422" w:firstLineChars="200"/>
        <w:rPr>
          <w:rFonts w:hint="eastAsia"/>
          <w:b/>
        </w:rPr>
      </w:pPr>
      <w:r>
        <w:rPr>
          <w:rFonts w:hint="eastAsia"/>
          <w:b/>
        </w:rPr>
        <w:t>2.1.</w:t>
      </w:r>
      <w:r>
        <w:rPr>
          <w:rFonts w:hint="eastAsia"/>
          <w:b/>
          <w:lang w:val="en-US" w:eastAsia="zh-CN"/>
        </w:rPr>
        <w:t>6</w:t>
      </w:r>
      <w:r>
        <w:rPr>
          <w:rFonts w:hint="eastAsia"/>
          <w:b/>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668ABB9F">
      <w:pPr>
        <w:pStyle w:val="11"/>
        <w:spacing w:line="360" w:lineRule="auto"/>
        <w:ind w:left="420" w:leftChars="0" w:firstLine="422" w:firstLineChars="200"/>
        <w:rPr>
          <w:rFonts w:hint="eastAsia"/>
          <w:b/>
        </w:rPr>
      </w:pPr>
      <w:r>
        <w:rPr>
          <w:rFonts w:hint="eastAsia"/>
          <w:b/>
        </w:rPr>
        <w:t>2.1.</w:t>
      </w:r>
      <w:r>
        <w:rPr>
          <w:rFonts w:hint="eastAsia"/>
          <w:b/>
          <w:lang w:val="en-US" w:eastAsia="zh-CN"/>
        </w:rPr>
        <w:t>7</w:t>
      </w:r>
      <w:r>
        <w:rPr>
          <w:rFonts w:hint="eastAsia"/>
          <w:b/>
        </w:rPr>
        <w:t>企业最近半年完税证明、信用证明材料（征信报告）；</w:t>
      </w:r>
    </w:p>
    <w:p w14:paraId="0DE63823">
      <w:pPr>
        <w:pStyle w:val="11"/>
        <w:spacing w:line="360" w:lineRule="auto"/>
        <w:ind w:left="420" w:leftChars="0" w:firstLine="422" w:firstLineChars="200"/>
        <w:rPr>
          <w:rFonts w:hint="eastAsia"/>
          <w:b/>
        </w:rPr>
      </w:pPr>
      <w:r>
        <w:rPr>
          <w:rFonts w:hint="eastAsia"/>
          <w:b/>
        </w:rPr>
        <w:t>2.1.</w:t>
      </w:r>
      <w:r>
        <w:rPr>
          <w:rFonts w:hint="eastAsia"/>
          <w:b/>
          <w:lang w:val="en-US" w:eastAsia="zh-CN"/>
        </w:rPr>
        <w:t>8</w:t>
      </w:r>
      <w:r>
        <w:rPr>
          <w:rFonts w:hint="eastAsia"/>
          <w:b/>
        </w:rPr>
        <w:t>年度纳税信用评价信息（可从电子税务局查询截图，需加盖公章）；</w:t>
      </w:r>
    </w:p>
    <w:p w14:paraId="2DAAEBEE">
      <w:pPr>
        <w:pStyle w:val="11"/>
        <w:spacing w:line="360" w:lineRule="auto"/>
        <w:ind w:left="420" w:leftChars="0" w:firstLine="422" w:firstLineChars="200"/>
        <w:rPr>
          <w:rFonts w:hint="eastAsia"/>
          <w:b/>
        </w:rPr>
      </w:pPr>
      <w:r>
        <w:rPr>
          <w:rFonts w:hint="eastAsia"/>
          <w:b/>
        </w:rPr>
        <w:t>2.1.</w:t>
      </w:r>
      <w:r>
        <w:rPr>
          <w:rFonts w:hint="eastAsia"/>
          <w:b/>
          <w:lang w:val="en-US" w:eastAsia="zh-CN"/>
        </w:rPr>
        <w:t>9</w:t>
      </w:r>
      <w:r>
        <w:rPr>
          <w:rFonts w:hint="eastAsia"/>
          <w:b/>
        </w:rPr>
        <w:t>企业对外担保说明（写明贵单位对外有无对外担保和质押业务，需加盖公章）。</w:t>
      </w:r>
    </w:p>
    <w:p w14:paraId="4269EF98">
      <w:pPr>
        <w:pStyle w:val="11"/>
        <w:spacing w:line="360" w:lineRule="auto"/>
        <w:ind w:left="420" w:leftChars="0" w:firstLine="422" w:firstLineChars="200"/>
        <w:rPr>
          <w:rFonts w:hint="eastAsia"/>
          <w:b/>
        </w:rPr>
      </w:pPr>
      <w:r>
        <w:rPr>
          <w:rFonts w:hint="eastAsia"/>
          <w:b/>
        </w:rPr>
        <w:t>2.1.</w:t>
      </w:r>
      <w:r>
        <w:rPr>
          <w:rFonts w:hint="eastAsia"/>
          <w:b/>
          <w:lang w:val="en-US" w:eastAsia="zh-CN"/>
        </w:rPr>
        <w:t>10</w:t>
      </w:r>
      <w:r>
        <w:rPr>
          <w:rFonts w:hint="eastAsia"/>
          <w:b/>
        </w:rPr>
        <w:t>信用中国截图或国家企业信用信息公示系统截图；</w:t>
      </w:r>
    </w:p>
    <w:p w14:paraId="5037F027">
      <w:pPr>
        <w:pStyle w:val="11"/>
        <w:spacing w:line="360" w:lineRule="auto"/>
        <w:ind w:left="420" w:leftChars="0" w:firstLine="422" w:firstLineChars="200"/>
        <w:rPr>
          <w:rFonts w:hint="default" w:eastAsia="宋体"/>
          <w:b/>
          <w:lang w:val="en-US" w:eastAsia="zh-CN"/>
        </w:rPr>
      </w:pPr>
      <w:r>
        <w:rPr>
          <w:rFonts w:hint="eastAsia"/>
          <w:b/>
          <w:lang w:val="en-US" w:eastAsia="zh-CN"/>
        </w:rPr>
        <w:t>2.1.11投标保证金缴纳凭证</w:t>
      </w:r>
    </w:p>
    <w:p w14:paraId="650051B4">
      <w:pPr>
        <w:pStyle w:val="11"/>
        <w:spacing w:line="360" w:lineRule="auto"/>
        <w:ind w:firstLine="422" w:firstLineChars="200"/>
        <w:rPr>
          <w:rFonts w:hint="default" w:eastAsia="宋体"/>
          <w:b/>
          <w:lang w:val="en-US" w:eastAsia="zh-CN"/>
        </w:rPr>
      </w:pPr>
      <w:r>
        <w:rPr>
          <w:rFonts w:hint="eastAsia"/>
          <w:b/>
        </w:rPr>
        <w:t>2.2 技术</w:t>
      </w:r>
      <w:r>
        <w:rPr>
          <w:rFonts w:hint="eastAsia"/>
          <w:b/>
          <w:lang w:val="en-US" w:eastAsia="zh-CN"/>
        </w:rPr>
        <w:t>文件：技术要求偏离表</w:t>
      </w:r>
    </w:p>
    <w:p w14:paraId="1DBBD9D5">
      <w:pPr>
        <w:pStyle w:val="11"/>
        <w:spacing w:line="360" w:lineRule="auto"/>
        <w:ind w:firstLine="422" w:firstLineChars="200"/>
        <w:rPr>
          <w:b/>
        </w:rPr>
      </w:pPr>
      <w:r>
        <w:rPr>
          <w:rFonts w:hint="eastAsia"/>
          <w:b/>
        </w:rPr>
        <w:t>2.3 商务标：</w:t>
      </w:r>
    </w:p>
    <w:p w14:paraId="17952BCC">
      <w:pPr>
        <w:pStyle w:val="11"/>
        <w:spacing w:line="360" w:lineRule="auto"/>
        <w:ind w:left="420" w:leftChars="0" w:firstLine="422" w:firstLineChars="200"/>
        <w:rPr>
          <w:b/>
        </w:rPr>
      </w:pPr>
      <w:r>
        <w:rPr>
          <w:rFonts w:hint="eastAsia"/>
          <w:b/>
        </w:rPr>
        <w:t>2.3.1投标函；</w:t>
      </w:r>
    </w:p>
    <w:p w14:paraId="1D38BDED">
      <w:pPr>
        <w:pStyle w:val="11"/>
        <w:spacing w:line="360" w:lineRule="auto"/>
        <w:ind w:left="420" w:leftChars="0" w:firstLine="422" w:firstLineChars="200"/>
        <w:rPr>
          <w:b/>
        </w:rPr>
      </w:pPr>
      <w:r>
        <w:rPr>
          <w:rFonts w:hint="eastAsia"/>
          <w:b/>
        </w:rPr>
        <w:t>2.3.2开标一览表；</w:t>
      </w:r>
    </w:p>
    <w:p w14:paraId="30F9B8CD">
      <w:pPr>
        <w:bidi w:val="0"/>
        <w:ind w:left="420" w:leftChars="0" w:firstLine="420" w:firstLineChars="0"/>
        <w:rPr>
          <w:rFonts w:hint="eastAsia"/>
          <w:b/>
        </w:rPr>
      </w:pPr>
      <w:r>
        <w:rPr>
          <w:rFonts w:hint="eastAsia" w:ascii="宋体" w:hAnsi="Courier New" w:eastAsia="宋体" w:cs="Times New Roman"/>
          <w:b/>
          <w:kern w:val="2"/>
          <w:sz w:val="21"/>
          <w:lang w:val="en-US" w:eastAsia="zh-CN" w:bidi="ar-SA"/>
        </w:rPr>
        <w:tab/>
      </w:r>
      <w:r>
        <w:rPr>
          <w:rFonts w:hint="eastAsia" w:ascii="宋体" w:hAnsi="Courier New" w:eastAsia="宋体" w:cs="Times New Roman"/>
          <w:b/>
          <w:kern w:val="2"/>
          <w:sz w:val="21"/>
          <w:lang w:val="en-US" w:eastAsia="zh-CN" w:bidi="ar-SA"/>
        </w:rPr>
        <w:t>商务报价注意内容：最高投标限价（招标控制价）：人民币</w:t>
      </w:r>
      <w:r>
        <w:rPr>
          <w:rFonts w:hint="eastAsia" w:ascii="宋体" w:hAnsi="Courier New" w:cs="Times New Roman"/>
          <w:b/>
          <w:kern w:val="2"/>
          <w:sz w:val="21"/>
          <w:highlight w:val="yellow"/>
          <w:lang w:val="en-US" w:eastAsia="zh-CN" w:bidi="ar-SA"/>
        </w:rPr>
        <w:t>279.63</w:t>
      </w:r>
      <w:r>
        <w:rPr>
          <w:rFonts w:hint="eastAsia" w:ascii="宋体" w:hAnsi="Courier New" w:eastAsia="宋体" w:cs="Times New Roman"/>
          <w:b/>
          <w:kern w:val="2"/>
          <w:sz w:val="21"/>
          <w:lang w:val="en-US" w:eastAsia="zh-CN" w:bidi="ar-SA"/>
        </w:rPr>
        <w:t>万元（含</w:t>
      </w:r>
      <w:r>
        <w:rPr>
          <w:rFonts w:hint="eastAsia" w:ascii="宋体" w:hAnsi="Courier New" w:cs="Times New Roman"/>
          <w:b/>
          <w:kern w:val="2"/>
          <w:sz w:val="21"/>
          <w:lang w:val="en-US" w:eastAsia="zh-CN" w:bidi="ar-SA"/>
        </w:rPr>
        <w:t>13</w:t>
      </w:r>
      <w:r>
        <w:rPr>
          <w:rFonts w:hint="eastAsia" w:ascii="宋体" w:hAnsi="Courier New" w:eastAsia="宋体" w:cs="Times New Roman"/>
          <w:b/>
          <w:kern w:val="2"/>
          <w:sz w:val="21"/>
          <w:lang w:val="en-US" w:eastAsia="zh-CN" w:bidi="ar-SA"/>
        </w:rPr>
        <w:t>%增值税），超过投标限价无法投标。</w:t>
      </w:r>
    </w:p>
    <w:p w14:paraId="62C78EA3">
      <w:pPr>
        <w:pStyle w:val="11"/>
        <w:numPr>
          <w:ilvl w:val="255"/>
          <w:numId w:val="0"/>
        </w:numPr>
        <w:spacing w:line="360" w:lineRule="auto"/>
        <w:rPr>
          <w:b/>
        </w:rPr>
      </w:pPr>
      <w:r>
        <w:rPr>
          <w:rFonts w:hint="eastAsia"/>
          <w:b/>
        </w:rPr>
        <w:t xml:space="preserve">3、报价： </w:t>
      </w:r>
    </w:p>
    <w:p w14:paraId="12C2F322">
      <w:pPr>
        <w:pStyle w:val="11"/>
        <w:numPr>
          <w:ilvl w:val="255"/>
          <w:numId w:val="0"/>
        </w:numPr>
        <w:spacing w:line="360" w:lineRule="auto"/>
        <w:ind w:left="420"/>
        <w:rPr>
          <w:highlight w:val="yellow"/>
        </w:rPr>
      </w:pPr>
      <w:r>
        <w:rPr>
          <w:rFonts w:hint="eastAsia"/>
        </w:rPr>
        <w:t>1.所有报价货币单位均为：元（人民币）；</w:t>
      </w:r>
    </w:p>
    <w:p w14:paraId="53A9308C">
      <w:pPr>
        <w:pStyle w:val="11"/>
        <w:spacing w:line="360" w:lineRule="auto"/>
        <w:ind w:firstLine="420" w:firstLineChars="200"/>
        <w:rPr>
          <w:rFonts w:hint="eastAsia" w:ascii="宋体" w:hAnsi="宋体" w:eastAsia="宋体" w:cs="宋体"/>
          <w:color w:val="000000"/>
          <w:sz w:val="21"/>
          <w:szCs w:val="21"/>
          <w:highlight w:val="yellow"/>
        </w:rPr>
      </w:pPr>
      <w:r>
        <w:rPr>
          <w:rFonts w:hint="eastAsia"/>
        </w:rPr>
        <w:t>2.结算方式：</w:t>
      </w:r>
      <w:r>
        <w:rPr>
          <w:rFonts w:hint="eastAsia" w:ascii="Calibri" w:hAnsi="Calibri"/>
          <w:highlight w:val="yellow"/>
          <w:u w:val="single"/>
        </w:rPr>
        <w:t>半年期商业汇票（包括银行承兑汇票和商业承兑汇票）</w:t>
      </w:r>
      <w:r>
        <w:rPr>
          <w:rFonts w:hint="eastAsia" w:ascii="Calibri" w:hAnsi="Calibri"/>
          <w:highlight w:val="none"/>
          <w:u w:val="single"/>
          <w:lang w:eastAsia="zh-CN"/>
        </w:rPr>
        <w:t>，</w:t>
      </w:r>
      <w:r>
        <w:rPr>
          <w:rFonts w:hint="eastAsia" w:ascii="Calibri" w:hAnsi="Calibri"/>
        </w:rPr>
        <w:t>并以双方最终签署的合同为准。</w:t>
      </w:r>
    </w:p>
    <w:p w14:paraId="3D0AAAE5">
      <w:pPr>
        <w:pStyle w:val="11"/>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付款节点①100%：乙方完成甲方的需求，乙方开具合同价款100%的收据并增值税专用发票，经甲方核对无误后支付。</w:t>
      </w:r>
    </w:p>
    <w:p w14:paraId="30BBCE50">
      <w:pPr>
        <w:pStyle w:val="11"/>
        <w:numPr>
          <w:ilvl w:val="255"/>
          <w:numId w:val="0"/>
        </w:numPr>
        <w:spacing w:line="360" w:lineRule="auto"/>
        <w:rPr>
          <w:b/>
        </w:rPr>
      </w:pPr>
      <w:r>
        <w:rPr>
          <w:rFonts w:hint="eastAsia"/>
          <w:b/>
        </w:rPr>
        <w:t>4、技术规范及服务</w:t>
      </w:r>
    </w:p>
    <w:p w14:paraId="01A60D55">
      <w:pPr>
        <w:pStyle w:val="11"/>
        <w:spacing w:line="360" w:lineRule="auto"/>
        <w:ind w:firstLine="630" w:firstLineChars="300"/>
      </w:pPr>
      <w:r>
        <w:rPr>
          <w:rFonts w:hint="eastAsia"/>
        </w:rPr>
        <w:t>⑴投标人应与招标人指派的答疑人员充分沟通，理解认可并接受相关技术规范及服务要求。</w:t>
      </w:r>
    </w:p>
    <w:p w14:paraId="76773CC4">
      <w:pPr>
        <w:pStyle w:val="11"/>
        <w:spacing w:line="360" w:lineRule="auto"/>
        <w:ind w:firstLine="630" w:firstLineChars="300"/>
      </w:pPr>
      <w:r>
        <w:rPr>
          <w:rFonts w:hint="eastAsia"/>
        </w:rPr>
        <w:t>⑵投标人可免费提供的、包含但不限于招标人所要求的其他相关服务内容，按本招标书“第二章 投标文件编制”要求，在其“开标一览表”中一并说明。</w:t>
      </w:r>
    </w:p>
    <w:p w14:paraId="5655C1A2">
      <w:pPr>
        <w:pStyle w:val="11"/>
        <w:numPr>
          <w:ilvl w:val="255"/>
          <w:numId w:val="0"/>
        </w:numPr>
        <w:spacing w:line="360" w:lineRule="auto"/>
        <w:rPr>
          <w:b/>
        </w:rPr>
      </w:pPr>
      <w:r>
        <w:rPr>
          <w:rFonts w:hint="eastAsia"/>
          <w:b/>
        </w:rPr>
        <w:t>5、其他</w:t>
      </w:r>
    </w:p>
    <w:p w14:paraId="3FF2C97E">
      <w:pPr>
        <w:pStyle w:val="11"/>
        <w:spacing w:line="360" w:lineRule="auto"/>
        <w:ind w:firstLine="420" w:firstLineChars="200"/>
      </w:pPr>
      <w:r>
        <w:rPr>
          <w:rFonts w:hint="eastAsia"/>
        </w:rPr>
        <w:t>投标人须认可招标人由于招标人上级集团公司政策变化引起的随时终止合同的要求。如投标人不认可、不接受，则投标人在本招标书“第二章 投标文件编制”之“相关条款偏离表（含商务偏离及技术偏离）”中注明“不接受”字，招标人将视之为主动弃标。</w:t>
      </w:r>
    </w:p>
    <w:p w14:paraId="3D5FE2B7">
      <w:pPr>
        <w:pStyle w:val="11"/>
        <w:spacing w:line="360" w:lineRule="auto"/>
        <w:ind w:firstLine="420" w:firstLineChars="200"/>
      </w:pPr>
      <w:r>
        <w:rPr>
          <w:rFonts w:hint="eastAsia"/>
        </w:rPr>
        <w:t>其余未尽事宜，均按合同约定。</w:t>
      </w:r>
    </w:p>
    <w:p w14:paraId="651B261A">
      <w:pPr>
        <w:pStyle w:val="11"/>
        <w:numPr>
          <w:ilvl w:val="0"/>
          <w:numId w:val="5"/>
        </w:numPr>
        <w:spacing w:line="360" w:lineRule="auto"/>
        <w:ind w:firstLine="422" w:firstLineChars="200"/>
        <w:rPr>
          <w:rFonts w:hint="eastAsia"/>
          <w:b/>
        </w:rPr>
      </w:pPr>
      <w:r>
        <w:rPr>
          <w:rFonts w:hint="eastAsia"/>
          <w:b/>
        </w:rPr>
        <w:t>投标方式：</w:t>
      </w:r>
    </w:p>
    <w:p w14:paraId="52AFB3BF">
      <w:pPr>
        <w:bidi w:val="0"/>
        <w:ind w:firstLine="420" w:firstLineChars="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投标人应标并资质审核通过后在中国重汽e采通按招标文件要求投标，注意应标、投标、开标、再次报价时间开始、截止节点。</w:t>
      </w:r>
    </w:p>
    <w:p w14:paraId="2C17C739">
      <w:pPr>
        <w:pStyle w:val="11"/>
        <w:numPr>
          <w:ilvl w:val="255"/>
          <w:numId w:val="0"/>
        </w:numPr>
        <w:spacing w:line="360" w:lineRule="auto"/>
        <w:rPr>
          <w:rFonts w:ascii="黑体" w:eastAsia="黑体"/>
          <w:b/>
          <w:bCs/>
          <w:sz w:val="28"/>
        </w:rPr>
      </w:pPr>
      <w:r>
        <w:rPr>
          <w:rFonts w:hint="eastAsia" w:ascii="黑体" w:eastAsia="黑体"/>
          <w:b/>
          <w:bCs/>
          <w:sz w:val="28"/>
        </w:rPr>
        <w:t>七、开标、评标</w:t>
      </w:r>
    </w:p>
    <w:p w14:paraId="6229A789">
      <w:pPr>
        <w:pStyle w:val="11"/>
        <w:spacing w:line="360" w:lineRule="auto"/>
        <w:ind w:firstLine="420" w:firstLineChars="200"/>
      </w:pPr>
      <w:r>
        <w:rPr>
          <w:rFonts w:hint="eastAsia"/>
        </w:rPr>
        <w:t>1.投标保证金：</w:t>
      </w:r>
    </w:p>
    <w:p w14:paraId="50B9594E">
      <w:pPr>
        <w:pStyle w:val="11"/>
        <w:spacing w:line="360" w:lineRule="auto"/>
        <w:ind w:firstLine="420" w:firstLineChars="200"/>
      </w:pPr>
      <w:r>
        <w:rPr>
          <w:rFonts w:hint="eastAsia" w:hAnsi="宋体"/>
        </w:rPr>
        <w:t>⑴</w:t>
      </w:r>
      <w:r>
        <w:rPr>
          <w:rFonts w:hint="eastAsia"/>
        </w:rPr>
        <w:t>投标人向招标人财务部门缴纳</w:t>
      </w:r>
      <w:r>
        <w:rPr>
          <w:rFonts w:hint="eastAsia"/>
          <w:highlight w:val="yellow"/>
          <w:lang w:val="en-US" w:eastAsia="zh-CN"/>
        </w:rPr>
        <w:t>20000</w:t>
      </w:r>
      <w:r>
        <w:rPr>
          <w:rFonts w:hint="eastAsia"/>
          <w:highlight w:val="yellow"/>
          <w:u w:val="single"/>
        </w:rPr>
        <w:t>元</w:t>
      </w:r>
      <w:r>
        <w:rPr>
          <w:rFonts w:hint="eastAsia"/>
        </w:rPr>
        <w:t>（人民币），作为投标人本次投标的保证金。</w:t>
      </w:r>
    </w:p>
    <w:p w14:paraId="2B85FDE5">
      <w:pPr>
        <w:pStyle w:val="11"/>
        <w:spacing w:line="360" w:lineRule="auto"/>
        <w:ind w:firstLine="420" w:firstLineChars="200"/>
      </w:pPr>
      <w:r>
        <w:rPr>
          <w:rFonts w:hint="eastAsia"/>
        </w:rPr>
        <w:t>缴纳方式：电汇，投标保证金应从基本账户转入</w:t>
      </w:r>
      <w:r>
        <w:rPr>
          <w:rFonts w:hint="eastAsia"/>
          <w:szCs w:val="22"/>
        </w:rPr>
        <w:t>（</w:t>
      </w:r>
      <w:r>
        <w:rPr>
          <w:rFonts w:hint="eastAsia"/>
          <w:szCs w:val="22"/>
          <w:highlight w:val="yellow"/>
        </w:rPr>
        <w:t>转账附言：公司名称+项目名称+投标保证金。</w:t>
      </w:r>
      <w:r>
        <w:rPr>
          <w:rFonts w:hint="eastAsia"/>
          <w:szCs w:val="22"/>
        </w:rPr>
        <w:t>）</w:t>
      </w:r>
      <w:r>
        <w:rPr>
          <w:rFonts w:hint="eastAsia"/>
        </w:rPr>
        <w:t>；</w:t>
      </w:r>
    </w:p>
    <w:p w14:paraId="54B3E0BD">
      <w:pPr>
        <w:pStyle w:val="11"/>
        <w:spacing w:line="360" w:lineRule="auto"/>
        <w:ind w:firstLine="420" w:firstLineChars="200"/>
        <w:rPr>
          <w:rFonts w:hint="eastAsia"/>
        </w:rPr>
      </w:pPr>
      <w:r>
        <w:rPr>
          <w:rFonts w:hint="eastAsia" w:hAnsi="宋体"/>
        </w:rPr>
        <w:t>⑵缴纳方式：基本账户转账；</w:t>
      </w:r>
    </w:p>
    <w:p w14:paraId="6672C6B3">
      <w:pPr>
        <w:pStyle w:val="11"/>
        <w:spacing w:line="360" w:lineRule="auto"/>
        <w:ind w:firstLine="420" w:firstLineChars="200"/>
        <w:rPr>
          <w:rFonts w:hint="eastAsia"/>
        </w:rPr>
      </w:pPr>
      <w:r>
        <w:rPr>
          <w:rFonts w:hint="eastAsia" w:hAnsi="宋体"/>
        </w:rPr>
        <w:t>⑶接收单位：中国重汽集团济南动力有限公司发动机厂；</w:t>
      </w:r>
    </w:p>
    <w:p w14:paraId="63B28053">
      <w:pPr>
        <w:pStyle w:val="11"/>
        <w:spacing w:line="360" w:lineRule="auto"/>
        <w:ind w:firstLine="420" w:firstLineChars="200"/>
        <w:rPr>
          <w:rFonts w:hint="eastAsia" w:hAnsi="宋体"/>
        </w:rPr>
      </w:pPr>
      <w:r>
        <w:rPr>
          <w:rFonts w:hint="eastAsia" w:hAnsi="宋体"/>
        </w:rPr>
        <w:t>⑷转账信息：（该账户已经招标人授权）</w:t>
      </w:r>
    </w:p>
    <w:p w14:paraId="16D697AE">
      <w:pPr>
        <w:pStyle w:val="11"/>
        <w:spacing w:line="360" w:lineRule="auto"/>
        <w:ind w:firstLine="420" w:firstLineChars="200"/>
        <w:rPr>
          <w:rFonts w:hint="eastAsia" w:hAnsi="宋体"/>
        </w:rPr>
      </w:pPr>
    </w:p>
    <w:tbl>
      <w:tblPr>
        <w:tblStyle w:val="20"/>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4107D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2" w:hRule="atLeast"/>
        </w:trPr>
        <w:tc>
          <w:tcPr>
            <w:tcW w:w="8287" w:type="dxa"/>
            <w:tcBorders>
              <w:top w:val="single" w:color="auto" w:sz="4" w:space="0"/>
              <w:left w:val="single" w:color="auto" w:sz="4" w:space="0"/>
              <w:bottom w:val="single" w:color="auto" w:sz="4" w:space="0"/>
              <w:right w:val="single" w:color="auto" w:sz="4" w:space="0"/>
            </w:tcBorders>
            <w:vAlign w:val="center"/>
          </w:tcPr>
          <w:p w14:paraId="3BC0E950">
            <w:pPr>
              <w:pStyle w:val="11"/>
              <w:ind w:firstLine="420" w:firstLineChars="200"/>
              <w:rPr>
                <w:rFonts w:hint="eastAsia"/>
              </w:rPr>
            </w:pPr>
            <w:r>
              <w:rPr>
                <w:rFonts w:hint="eastAsia" w:hAnsi="宋体"/>
              </w:rPr>
              <w:t>开户银行：中国银行章丘支行</w:t>
            </w:r>
          </w:p>
        </w:tc>
      </w:tr>
      <w:tr w14:paraId="2BBB4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tcBorders>
              <w:top w:val="single" w:color="auto" w:sz="4" w:space="0"/>
              <w:left w:val="single" w:color="auto" w:sz="4" w:space="0"/>
              <w:bottom w:val="single" w:color="auto" w:sz="4" w:space="0"/>
              <w:right w:val="single" w:color="auto" w:sz="4" w:space="0"/>
            </w:tcBorders>
            <w:vAlign w:val="center"/>
          </w:tcPr>
          <w:p w14:paraId="6525ED4A">
            <w:pPr>
              <w:pStyle w:val="11"/>
              <w:ind w:firstLine="420" w:firstLineChars="200"/>
              <w:rPr>
                <w:rFonts w:hint="eastAsia"/>
              </w:rPr>
            </w:pPr>
            <w:r>
              <w:rPr>
                <w:rFonts w:hint="eastAsia" w:hAnsi="宋体"/>
              </w:rPr>
              <w:t>户名：中国重汽集团济南动力有限公司发动机厂</w:t>
            </w:r>
          </w:p>
        </w:tc>
      </w:tr>
      <w:tr w14:paraId="45DF9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tcBorders>
              <w:top w:val="single" w:color="auto" w:sz="4" w:space="0"/>
              <w:left w:val="single" w:color="auto" w:sz="4" w:space="0"/>
              <w:bottom w:val="single" w:color="auto" w:sz="4" w:space="0"/>
              <w:right w:val="single" w:color="auto" w:sz="4" w:space="0"/>
            </w:tcBorders>
            <w:vAlign w:val="center"/>
          </w:tcPr>
          <w:p w14:paraId="0DFE4ADC">
            <w:pPr>
              <w:pStyle w:val="11"/>
              <w:ind w:firstLine="420" w:firstLineChars="200"/>
              <w:rPr>
                <w:rFonts w:hint="eastAsia"/>
              </w:rPr>
            </w:pPr>
            <w:r>
              <w:rPr>
                <w:rFonts w:hint="eastAsia" w:hAnsi="宋体"/>
              </w:rPr>
              <w:t>账号：2234 0557 4478</w:t>
            </w:r>
          </w:p>
        </w:tc>
      </w:tr>
    </w:tbl>
    <w:p w14:paraId="624E5F94">
      <w:pPr>
        <w:pStyle w:val="11"/>
        <w:spacing w:line="360" w:lineRule="auto"/>
        <w:rPr>
          <w:highlight w:val="none"/>
        </w:rPr>
      </w:pPr>
    </w:p>
    <w:p w14:paraId="1378A455">
      <w:pPr>
        <w:pStyle w:val="11"/>
        <w:spacing w:line="360" w:lineRule="auto"/>
        <w:ind w:firstLine="420" w:firstLineChars="200"/>
      </w:pPr>
      <w:r>
        <w:rPr>
          <w:rFonts w:hint="eastAsia"/>
        </w:rPr>
        <w:t>⑹说明：</w:t>
      </w:r>
    </w:p>
    <w:p w14:paraId="1DA6F5A4">
      <w:pPr>
        <w:pStyle w:val="11"/>
        <w:spacing w:line="360" w:lineRule="auto"/>
        <w:ind w:firstLine="420" w:firstLineChars="200"/>
      </w:pPr>
      <w:r>
        <w:rPr>
          <w:rFonts w:hint="eastAsia"/>
        </w:rPr>
        <w:t>(a)无正当理由随意放弃投标、</w:t>
      </w:r>
      <w:r>
        <w:t>撤销投标文件</w:t>
      </w:r>
      <w:r>
        <w:rPr>
          <w:rFonts w:hint="eastAsia"/>
        </w:rPr>
        <w:t>、</w:t>
      </w:r>
      <w:r>
        <w:t>中标后</w:t>
      </w:r>
      <w:r>
        <w:rPr>
          <w:rFonts w:hint="eastAsia"/>
        </w:rPr>
        <w:t>无</w:t>
      </w:r>
      <w:r>
        <w:t>正当理由</w:t>
      </w:r>
      <w:r>
        <w:rPr>
          <w:rFonts w:hint="eastAsia"/>
        </w:rPr>
        <w:t>拒签</w:t>
      </w:r>
      <w:r>
        <w:t>合同</w:t>
      </w:r>
      <w:r>
        <w:rPr>
          <w:rFonts w:hint="eastAsia"/>
        </w:rPr>
        <w:t>、</w:t>
      </w:r>
      <w:r>
        <w:t>在签订合同时向招标人</w:t>
      </w:r>
      <w:r>
        <w:rPr>
          <w:rFonts w:hint="eastAsia"/>
        </w:rPr>
        <w:t>或合同签订单位</w:t>
      </w:r>
      <w:r>
        <w:t>提出</w:t>
      </w:r>
      <w:r>
        <w:rPr>
          <w:rFonts w:hint="eastAsia"/>
        </w:rPr>
        <w:t>无理</w:t>
      </w:r>
      <w:r>
        <w:t>附加条件</w:t>
      </w:r>
      <w:r>
        <w:rPr>
          <w:rFonts w:hint="eastAsia"/>
        </w:rPr>
        <w:t>的，</w:t>
      </w:r>
      <w:r>
        <w:t>投标保证金不予返还</w:t>
      </w:r>
      <w:r>
        <w:rPr>
          <w:rFonts w:hint="eastAsia"/>
        </w:rPr>
        <w:t>，该投标人2</w:t>
      </w:r>
      <w:r>
        <w:t>年</w:t>
      </w:r>
      <w:r>
        <w:rPr>
          <w:rFonts w:hint="eastAsia"/>
        </w:rPr>
        <w:t>不得参与招标人组织的招投标项目。不存在以上违规情况的投标人，</w:t>
      </w:r>
      <w:r>
        <w:t>招标人</w:t>
      </w:r>
      <w:r>
        <w:rPr>
          <w:rFonts w:hint="eastAsia"/>
        </w:rPr>
        <w:t>按照退款程序，按投标人（除中标人外）所提供的</w:t>
      </w:r>
      <w:r>
        <w:rPr>
          <w:rFonts w:hint="eastAsia" w:hAnsi="宋体"/>
        </w:rPr>
        <w:t>投标保证金退付表</w:t>
      </w:r>
      <w:r>
        <w:rPr>
          <w:rFonts w:hint="eastAsia"/>
        </w:rPr>
        <w:t>退还</w:t>
      </w:r>
      <w:r>
        <w:t>投标保证金</w:t>
      </w:r>
      <w:r>
        <w:rPr>
          <w:rFonts w:hint="eastAsia"/>
        </w:rPr>
        <w:t>（本金，不计息）。</w:t>
      </w:r>
      <w:r>
        <w:rPr>
          <w:rFonts w:hint="eastAsia" w:hAnsi="宋体"/>
        </w:rPr>
        <w:t>（详见 “三、投标文件格式要求”之格式8相关要求）</w:t>
      </w:r>
    </w:p>
    <w:p w14:paraId="330EB2FB">
      <w:pPr>
        <w:pStyle w:val="11"/>
        <w:spacing w:line="360" w:lineRule="auto"/>
        <w:ind w:firstLine="420" w:firstLineChars="200"/>
      </w:pPr>
      <w:r>
        <w:rPr>
          <w:rFonts w:hint="eastAsia"/>
        </w:rPr>
        <w:t>(b)投标人在向招标人出示《投标保证金缴纳凭证》后方可进行投标。</w:t>
      </w:r>
    </w:p>
    <w:p w14:paraId="427F5D2E">
      <w:pPr>
        <w:pStyle w:val="11"/>
        <w:spacing w:line="360" w:lineRule="auto"/>
        <w:ind w:firstLine="420" w:firstLineChars="200"/>
      </w:pPr>
      <w:r>
        <w:rPr>
          <w:rFonts w:hint="eastAsia"/>
        </w:rPr>
        <w:t>(c)发生以下情况时，项目实施单位有权没收保证金：</w:t>
      </w:r>
    </w:p>
    <w:p w14:paraId="44E4B32E">
      <w:pPr>
        <w:pStyle w:val="11"/>
        <w:spacing w:line="360" w:lineRule="auto"/>
        <w:ind w:left="1260" w:leftChars="400" w:hanging="420" w:hangingChars="200"/>
      </w:pPr>
      <w:r>
        <w:rPr>
          <w:rFonts w:hint="eastAsia"/>
        </w:rPr>
        <w:t>a）截至开标前3天，投标人无正当理由且未以书面形式递交说明而在投标截止日不来投标的；</w:t>
      </w:r>
    </w:p>
    <w:p w14:paraId="13DDD438">
      <w:pPr>
        <w:pStyle w:val="11"/>
        <w:spacing w:line="360" w:lineRule="auto"/>
        <w:ind w:left="420" w:leftChars="200" w:firstLine="420" w:firstLineChars="200"/>
      </w:pPr>
      <w:r>
        <w:rPr>
          <w:rFonts w:hint="eastAsia"/>
        </w:rPr>
        <w:t>b）投标人递送投标文件后，无正当理由放弃投标的；</w:t>
      </w:r>
    </w:p>
    <w:p w14:paraId="75A35F9F">
      <w:pPr>
        <w:pStyle w:val="11"/>
        <w:spacing w:line="360" w:lineRule="auto"/>
        <w:ind w:left="420" w:leftChars="200" w:firstLine="420" w:firstLineChars="200"/>
      </w:pPr>
      <w:r>
        <w:rPr>
          <w:rFonts w:hint="eastAsia"/>
        </w:rPr>
        <w:t>c）自中标通知书发出之日起30日内，中标人无正当理由不签订合同的；</w:t>
      </w:r>
    </w:p>
    <w:p w14:paraId="66652F70">
      <w:pPr>
        <w:pStyle w:val="11"/>
        <w:spacing w:line="360" w:lineRule="auto"/>
        <w:ind w:left="420" w:leftChars="200" w:firstLine="420" w:firstLineChars="200"/>
      </w:pPr>
      <w:r>
        <w:rPr>
          <w:rFonts w:hint="eastAsia"/>
        </w:rPr>
        <w:t>d）投标人在投标过程中被查实有串标、围标、陪标等违规违纪行为的；</w:t>
      </w:r>
    </w:p>
    <w:p w14:paraId="0F905FB9">
      <w:pPr>
        <w:pStyle w:val="11"/>
        <w:spacing w:line="360" w:lineRule="auto"/>
        <w:ind w:left="1050" w:leftChars="400" w:hanging="210" w:hangingChars="100"/>
      </w:pPr>
      <w:r>
        <w:rPr>
          <w:rFonts w:hint="eastAsia"/>
        </w:rPr>
        <w:t>e）投标人有违约违规行为或被投诉、举报的，在调查处理期间，保证金暂不退还，待调查处理结束后按有关规定处理。</w:t>
      </w:r>
    </w:p>
    <w:p w14:paraId="563307B5">
      <w:pPr>
        <w:pStyle w:val="11"/>
        <w:spacing w:line="360" w:lineRule="auto"/>
        <w:ind w:firstLine="420" w:firstLineChars="200"/>
      </w:pPr>
      <w:r>
        <w:rPr>
          <w:rFonts w:hint="eastAsia"/>
        </w:rPr>
        <w:t>2.开标</w:t>
      </w:r>
    </w:p>
    <w:p w14:paraId="659F91C9">
      <w:pPr>
        <w:pStyle w:val="11"/>
        <w:spacing w:line="360" w:lineRule="auto"/>
        <w:ind w:firstLine="420" w:firstLineChars="200"/>
      </w:pPr>
      <w:r>
        <w:rPr>
          <w:rFonts w:hint="eastAsia"/>
        </w:rPr>
        <w:t>（1）本次招标的开标、评标由招标人依法组织实施，本次招标商务标开标的模式。</w:t>
      </w:r>
    </w:p>
    <w:p w14:paraId="78B665D5">
      <w:pPr>
        <w:pStyle w:val="11"/>
        <w:spacing w:line="360" w:lineRule="auto"/>
        <w:ind w:firstLine="420" w:firstLineChars="200"/>
      </w:pPr>
      <w:r>
        <w:rPr>
          <w:rFonts w:hint="eastAsia"/>
        </w:rPr>
        <w:t>（2）本项目开标时间和地点见投标人须知前附表。</w:t>
      </w:r>
    </w:p>
    <w:p w14:paraId="3C5890EA">
      <w:pPr>
        <w:pStyle w:val="11"/>
        <w:spacing w:line="360" w:lineRule="auto"/>
        <w:ind w:firstLine="420" w:firstLineChars="200"/>
      </w:pPr>
      <w:r>
        <w:rPr>
          <w:rFonts w:hint="eastAsia"/>
        </w:rPr>
        <w:t>（3）开标程序</w:t>
      </w:r>
    </w:p>
    <w:p w14:paraId="2E5CC70F">
      <w:pPr>
        <w:pStyle w:val="11"/>
        <w:spacing w:line="360" w:lineRule="auto"/>
        <w:ind w:firstLine="420" w:firstLineChars="200"/>
      </w:pPr>
      <w:r>
        <w:rPr>
          <w:rFonts w:hint="eastAsia"/>
        </w:rPr>
        <w:t>（a）宣布开标会议开始。</w:t>
      </w:r>
    </w:p>
    <w:p w14:paraId="4D708BEC">
      <w:pPr>
        <w:pStyle w:val="11"/>
        <w:spacing w:line="360" w:lineRule="auto"/>
        <w:ind w:firstLine="420" w:firstLineChars="200"/>
      </w:pPr>
      <w:r>
        <w:rPr>
          <w:rFonts w:hint="eastAsia"/>
        </w:rPr>
        <w:t>（b）介绍与会人员。</w:t>
      </w:r>
    </w:p>
    <w:p w14:paraId="7D7EA6DE">
      <w:pPr>
        <w:pStyle w:val="11"/>
        <w:spacing w:line="360" w:lineRule="auto"/>
        <w:ind w:firstLine="420" w:firstLineChars="200"/>
      </w:pPr>
      <w:r>
        <w:rPr>
          <w:rFonts w:hint="eastAsia"/>
        </w:rPr>
        <w:t>（c）核验投标人资格证件。</w:t>
      </w:r>
    </w:p>
    <w:p w14:paraId="2AC42531">
      <w:pPr>
        <w:pStyle w:val="11"/>
        <w:spacing w:line="360" w:lineRule="auto"/>
        <w:ind w:firstLine="420" w:firstLineChars="200"/>
      </w:pPr>
      <w:r>
        <w:rPr>
          <w:rFonts w:hint="eastAsia"/>
        </w:rPr>
        <w:t>（</w:t>
      </w:r>
      <w:r>
        <w:rPr>
          <w:rFonts w:hint="eastAsia"/>
          <w:lang w:val="en-US" w:eastAsia="zh-CN"/>
        </w:rPr>
        <w:t>d</w:t>
      </w:r>
      <w:r>
        <w:rPr>
          <w:rFonts w:hint="eastAsia"/>
        </w:rPr>
        <w:t>）经确认无误后，进入商务标评。</w:t>
      </w:r>
    </w:p>
    <w:p w14:paraId="298EC700">
      <w:pPr>
        <w:pStyle w:val="11"/>
        <w:spacing w:line="360" w:lineRule="auto"/>
        <w:ind w:firstLine="420" w:firstLineChars="200"/>
      </w:pPr>
      <w:r>
        <w:rPr>
          <w:rFonts w:hint="eastAsia"/>
        </w:rPr>
        <w:t>（</w:t>
      </w:r>
      <w:r>
        <w:rPr>
          <w:rFonts w:hint="eastAsia"/>
          <w:lang w:val="en-US" w:eastAsia="zh-CN"/>
        </w:rPr>
        <w:t>e</w:t>
      </w:r>
      <w:r>
        <w:rPr>
          <w:rFonts w:hint="eastAsia"/>
        </w:rPr>
        <w:t>）根据商务标综合得分，形成专家意见汇总，推荐性价比最优的投标方。</w:t>
      </w:r>
    </w:p>
    <w:p w14:paraId="34BD8198">
      <w:pPr>
        <w:pStyle w:val="11"/>
        <w:spacing w:line="360" w:lineRule="auto"/>
        <w:ind w:firstLine="420" w:firstLineChars="200"/>
      </w:pPr>
      <w:r>
        <w:rPr>
          <w:rFonts w:hint="eastAsia"/>
        </w:rPr>
        <w:t>（</w:t>
      </w:r>
      <w:r>
        <w:rPr>
          <w:rFonts w:hint="eastAsia"/>
          <w:lang w:val="en-US" w:eastAsia="zh-CN"/>
        </w:rPr>
        <w:t>f</w:t>
      </w:r>
      <w:r>
        <w:rPr>
          <w:rFonts w:hint="eastAsia"/>
        </w:rPr>
        <w:t>）招标人有权根据项目情况，采取多级评标模式，最终确定投标人排序。</w:t>
      </w:r>
    </w:p>
    <w:p w14:paraId="563F59A3">
      <w:pPr>
        <w:pStyle w:val="11"/>
        <w:spacing w:line="360" w:lineRule="auto"/>
        <w:ind w:firstLine="420" w:firstLineChars="200"/>
      </w:pPr>
      <w:r>
        <w:rPr>
          <w:rFonts w:hint="eastAsia"/>
        </w:rPr>
        <w:t>（</w:t>
      </w:r>
      <w:r>
        <w:rPr>
          <w:rFonts w:hint="eastAsia"/>
          <w:lang w:val="en-US" w:eastAsia="zh-CN"/>
        </w:rPr>
        <w:t>g</w:t>
      </w:r>
      <w:r>
        <w:rPr>
          <w:rFonts w:hint="eastAsia"/>
        </w:rPr>
        <w:t>）</w:t>
      </w:r>
      <w:r>
        <w:rPr>
          <w:rFonts w:hint="eastAsia"/>
          <w:b/>
        </w:rPr>
        <w:t>投标前请各投标方按照招标文件要求对项目方案进行充分准备，投标单位已默认认可上述开标、评标过程，无异议。招标人无义务对未入围投标方及未中标方做任何解释。</w:t>
      </w:r>
    </w:p>
    <w:p w14:paraId="6E6AD563">
      <w:pPr>
        <w:pStyle w:val="11"/>
        <w:spacing w:line="360" w:lineRule="auto"/>
        <w:ind w:firstLine="420" w:firstLineChars="200"/>
      </w:pPr>
      <w:r>
        <w:rPr>
          <w:rFonts w:hint="eastAsia"/>
        </w:rPr>
        <w:t>(4)所有报价货币单位均为：元（人民币）。</w:t>
      </w:r>
    </w:p>
    <w:p w14:paraId="101DBB33">
      <w:pPr>
        <w:spacing w:line="360" w:lineRule="auto"/>
        <w:ind w:right="2" w:firstLine="420" w:firstLineChars="200"/>
        <w:rPr>
          <w:rFonts w:ascii="宋体"/>
          <w:szCs w:val="22"/>
        </w:rPr>
      </w:pPr>
      <w:r>
        <w:rPr>
          <w:rFonts w:hint="eastAsia" w:ascii="宋体"/>
          <w:szCs w:val="22"/>
        </w:rPr>
        <w:t>2.评标</w:t>
      </w:r>
    </w:p>
    <w:p w14:paraId="496B35B1">
      <w:pPr>
        <w:spacing w:line="360" w:lineRule="auto"/>
        <w:ind w:right="2" w:firstLine="420" w:firstLineChars="200"/>
        <w:rPr>
          <w:szCs w:val="21"/>
        </w:rPr>
      </w:pPr>
      <w:r>
        <w:rPr>
          <w:rFonts w:hint="eastAsia" w:ascii="宋体"/>
          <w:szCs w:val="22"/>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按照招标文件中规定的各项因素进行综合评议。</w:t>
      </w:r>
    </w:p>
    <w:p w14:paraId="6F973DF9">
      <w:pPr>
        <w:pStyle w:val="11"/>
        <w:numPr>
          <w:ilvl w:val="0"/>
          <w:numId w:val="6"/>
        </w:numPr>
        <w:spacing w:line="360" w:lineRule="auto"/>
        <w:ind w:firstLine="420" w:firstLineChars="200"/>
        <w:rPr>
          <w:rFonts w:hint="eastAsia"/>
          <w:szCs w:val="21"/>
          <w:highlight w:val="yellow"/>
          <w:lang w:val="en-US" w:eastAsia="zh-CN"/>
        </w:rPr>
      </w:pPr>
      <w:r>
        <w:rPr>
          <w:rFonts w:hint="eastAsia"/>
          <w:szCs w:val="21"/>
          <w:highlight w:val="yellow"/>
        </w:rPr>
        <w:t>评标</w:t>
      </w:r>
      <w:r>
        <w:rPr>
          <w:rFonts w:hint="eastAsia"/>
          <w:szCs w:val="21"/>
          <w:highlight w:val="yellow"/>
          <w:lang w:val="en-US" w:eastAsia="zh-CN"/>
        </w:rPr>
        <w:t>方法</w:t>
      </w:r>
      <w:r>
        <w:rPr>
          <w:rFonts w:hint="eastAsia"/>
          <w:szCs w:val="21"/>
          <w:highlight w:val="yellow"/>
        </w:rPr>
        <w:t>：</w:t>
      </w:r>
      <w:r>
        <w:rPr>
          <w:rFonts w:hint="eastAsia"/>
          <w:szCs w:val="21"/>
          <w:highlight w:val="yellow"/>
          <w:lang w:val="en-US" w:eastAsia="zh-CN"/>
        </w:rPr>
        <w:t>合理最低价</w:t>
      </w:r>
    </w:p>
    <w:p w14:paraId="0842C0ED">
      <w:pPr>
        <w:pStyle w:val="11"/>
        <w:numPr>
          <w:ilvl w:val="0"/>
          <w:numId w:val="6"/>
        </w:numPr>
        <w:spacing w:line="360" w:lineRule="auto"/>
        <w:ind w:firstLine="420" w:firstLineChars="200"/>
        <w:rPr>
          <w:rFonts w:hint="eastAsia"/>
          <w:szCs w:val="21"/>
          <w:highlight w:val="yellow"/>
          <w:lang w:val="en-US" w:eastAsia="zh-CN"/>
        </w:rPr>
      </w:pPr>
      <w:r>
        <w:rPr>
          <w:rFonts w:hint="eastAsia"/>
          <w:szCs w:val="21"/>
          <w:highlight w:val="yellow"/>
          <w:lang w:val="en-US" w:eastAsia="zh-CN"/>
        </w:rPr>
        <w:t>技术标评分标准：</w:t>
      </w:r>
    </w:p>
    <w:tbl>
      <w:tblPr>
        <w:tblStyle w:val="20"/>
        <w:tblW w:w="9360" w:type="dxa"/>
        <w:tblInd w:w="0" w:type="dxa"/>
        <w:tblLayout w:type="autofit"/>
        <w:tblCellMar>
          <w:top w:w="0" w:type="dxa"/>
          <w:left w:w="108" w:type="dxa"/>
          <w:bottom w:w="0" w:type="dxa"/>
          <w:right w:w="108" w:type="dxa"/>
        </w:tblCellMar>
      </w:tblPr>
      <w:tblGrid>
        <w:gridCol w:w="1080"/>
        <w:gridCol w:w="1080"/>
        <w:gridCol w:w="1080"/>
        <w:gridCol w:w="1080"/>
        <w:gridCol w:w="5040"/>
      </w:tblGrid>
      <w:tr w14:paraId="461020E2">
        <w:tblPrEx>
          <w:tblCellMar>
            <w:top w:w="0" w:type="dxa"/>
            <w:left w:w="108" w:type="dxa"/>
            <w:bottom w:w="0" w:type="dxa"/>
            <w:right w:w="108" w:type="dxa"/>
          </w:tblCellMar>
        </w:tblPrEx>
        <w:trPr>
          <w:trHeight w:val="285" w:hRule="atLeast"/>
        </w:trPr>
        <w:tc>
          <w:tcPr>
            <w:tcW w:w="1080" w:type="dxa"/>
            <w:tcBorders>
              <w:top w:val="single" w:color="000000" w:sz="8" w:space="0"/>
              <w:left w:val="single" w:color="000000" w:sz="8" w:space="0"/>
              <w:bottom w:val="nil"/>
              <w:right w:val="single" w:color="000000" w:sz="8" w:space="0"/>
            </w:tcBorders>
            <w:shd w:val="clear" w:color="auto" w:fill="auto"/>
            <w:vAlign w:val="center"/>
          </w:tcPr>
          <w:p w14:paraId="196869E6">
            <w:pPr>
              <w:widowControl/>
              <w:jc w:val="center"/>
              <w:rPr>
                <w:rFonts w:ascii="宋体" w:hAnsi="宋体" w:cs="宋体"/>
                <w:kern w:val="0"/>
                <w:sz w:val="21"/>
                <w:szCs w:val="21"/>
                <w:highlight w:val="none"/>
              </w:rPr>
            </w:pPr>
            <w:r>
              <w:rPr>
                <w:rFonts w:hint="eastAsia" w:ascii="宋体" w:hAnsi="宋体" w:cs="宋体"/>
                <w:kern w:val="0"/>
                <w:sz w:val="21"/>
                <w:szCs w:val="21"/>
                <w:highlight w:val="none"/>
              </w:rPr>
              <w:t>评标</w:t>
            </w:r>
          </w:p>
        </w:tc>
        <w:tc>
          <w:tcPr>
            <w:tcW w:w="1080" w:type="dxa"/>
            <w:vMerge w:val="restart"/>
            <w:tcBorders>
              <w:top w:val="single" w:color="000000" w:sz="8" w:space="0"/>
              <w:left w:val="single" w:color="000000" w:sz="8" w:space="0"/>
              <w:bottom w:val="nil"/>
              <w:right w:val="single" w:color="000000" w:sz="8" w:space="0"/>
            </w:tcBorders>
            <w:shd w:val="clear" w:color="auto" w:fill="auto"/>
            <w:vAlign w:val="center"/>
          </w:tcPr>
          <w:p w14:paraId="2D455048">
            <w:pPr>
              <w:widowControl/>
              <w:jc w:val="center"/>
              <w:rPr>
                <w:rFonts w:ascii="宋体" w:hAnsi="宋体" w:cs="宋体"/>
                <w:kern w:val="0"/>
                <w:sz w:val="21"/>
                <w:szCs w:val="21"/>
                <w:highlight w:val="none"/>
              </w:rPr>
            </w:pPr>
            <w:r>
              <w:rPr>
                <w:rFonts w:hint="eastAsia" w:ascii="宋体" w:hAnsi="宋体" w:cs="宋体"/>
                <w:kern w:val="0"/>
                <w:sz w:val="21"/>
                <w:szCs w:val="21"/>
                <w:highlight w:val="none"/>
              </w:rPr>
              <w:t>总分</w:t>
            </w:r>
          </w:p>
        </w:tc>
        <w:tc>
          <w:tcPr>
            <w:tcW w:w="1080" w:type="dxa"/>
            <w:vMerge w:val="restart"/>
            <w:tcBorders>
              <w:top w:val="single" w:color="000000" w:sz="8" w:space="0"/>
              <w:left w:val="single" w:color="000000" w:sz="8" w:space="0"/>
              <w:bottom w:val="nil"/>
              <w:right w:val="single" w:color="000000" w:sz="8" w:space="0"/>
            </w:tcBorders>
            <w:shd w:val="clear" w:color="auto" w:fill="auto"/>
            <w:vAlign w:val="center"/>
          </w:tcPr>
          <w:p w14:paraId="6E7833D7">
            <w:pPr>
              <w:widowControl/>
              <w:jc w:val="center"/>
              <w:rPr>
                <w:rFonts w:ascii="宋体" w:hAnsi="宋体" w:cs="宋体"/>
                <w:kern w:val="0"/>
                <w:sz w:val="21"/>
                <w:szCs w:val="21"/>
                <w:highlight w:val="none"/>
              </w:rPr>
            </w:pPr>
            <w:r>
              <w:rPr>
                <w:rFonts w:hint="eastAsia" w:ascii="宋体" w:hAnsi="宋体" w:cs="宋体"/>
                <w:kern w:val="0"/>
                <w:sz w:val="21"/>
                <w:szCs w:val="21"/>
                <w:highlight w:val="none"/>
              </w:rPr>
              <w:t>评价内容</w:t>
            </w:r>
          </w:p>
        </w:tc>
        <w:tc>
          <w:tcPr>
            <w:tcW w:w="1080" w:type="dxa"/>
            <w:tcBorders>
              <w:top w:val="single" w:color="000000" w:sz="8" w:space="0"/>
              <w:left w:val="nil"/>
              <w:bottom w:val="nil"/>
              <w:right w:val="single" w:color="000000" w:sz="8" w:space="0"/>
            </w:tcBorders>
            <w:shd w:val="clear" w:color="auto" w:fill="auto"/>
            <w:vAlign w:val="center"/>
          </w:tcPr>
          <w:p w14:paraId="1B6720C9">
            <w:pPr>
              <w:widowControl/>
              <w:jc w:val="center"/>
              <w:rPr>
                <w:rFonts w:ascii="宋体" w:hAnsi="宋体" w:cs="宋体"/>
                <w:kern w:val="0"/>
                <w:sz w:val="21"/>
                <w:szCs w:val="21"/>
                <w:highlight w:val="none"/>
              </w:rPr>
            </w:pPr>
            <w:r>
              <w:rPr>
                <w:rFonts w:hint="eastAsia" w:ascii="宋体" w:hAnsi="宋体" w:cs="宋体"/>
                <w:kern w:val="0"/>
                <w:sz w:val="21"/>
                <w:szCs w:val="21"/>
                <w:highlight w:val="none"/>
              </w:rPr>
              <w:t>最高</w:t>
            </w:r>
          </w:p>
        </w:tc>
        <w:tc>
          <w:tcPr>
            <w:tcW w:w="50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6495F92">
            <w:pPr>
              <w:widowControl/>
              <w:jc w:val="center"/>
              <w:rPr>
                <w:rFonts w:ascii="宋体" w:hAnsi="宋体" w:cs="宋体"/>
                <w:kern w:val="0"/>
                <w:sz w:val="21"/>
                <w:szCs w:val="21"/>
                <w:highlight w:val="none"/>
              </w:rPr>
            </w:pPr>
            <w:r>
              <w:rPr>
                <w:rFonts w:hint="eastAsia" w:ascii="宋体" w:hAnsi="宋体" w:cs="宋体"/>
                <w:kern w:val="0"/>
                <w:sz w:val="21"/>
                <w:szCs w:val="21"/>
                <w:highlight w:val="none"/>
              </w:rPr>
              <w:t>评分标准</w:t>
            </w:r>
          </w:p>
        </w:tc>
      </w:tr>
      <w:tr w14:paraId="48E1289B">
        <w:tblPrEx>
          <w:tblCellMar>
            <w:top w:w="0" w:type="dxa"/>
            <w:left w:w="108" w:type="dxa"/>
            <w:bottom w:w="0" w:type="dxa"/>
            <w:right w:w="108" w:type="dxa"/>
          </w:tblCellMar>
        </w:tblPrEx>
        <w:trPr>
          <w:trHeight w:val="300" w:hRule="atLeast"/>
        </w:trPr>
        <w:tc>
          <w:tcPr>
            <w:tcW w:w="1080" w:type="dxa"/>
            <w:tcBorders>
              <w:top w:val="nil"/>
              <w:left w:val="single" w:color="000000" w:sz="8" w:space="0"/>
              <w:bottom w:val="nil"/>
              <w:right w:val="single" w:color="000000" w:sz="8" w:space="0"/>
            </w:tcBorders>
            <w:shd w:val="clear" w:color="auto" w:fill="auto"/>
            <w:vAlign w:val="center"/>
          </w:tcPr>
          <w:p w14:paraId="16B1EA84">
            <w:pPr>
              <w:widowControl/>
              <w:jc w:val="center"/>
              <w:rPr>
                <w:rFonts w:ascii="宋体" w:hAnsi="宋体" w:cs="宋体"/>
                <w:kern w:val="0"/>
                <w:sz w:val="21"/>
                <w:szCs w:val="21"/>
                <w:highlight w:val="none"/>
              </w:rPr>
            </w:pPr>
            <w:r>
              <w:rPr>
                <w:rFonts w:hint="eastAsia" w:ascii="宋体" w:hAnsi="宋体" w:cs="宋体"/>
                <w:kern w:val="0"/>
                <w:sz w:val="21"/>
                <w:szCs w:val="21"/>
                <w:highlight w:val="none"/>
              </w:rPr>
              <w:t>因素</w:t>
            </w:r>
          </w:p>
        </w:tc>
        <w:tc>
          <w:tcPr>
            <w:tcW w:w="1080" w:type="dxa"/>
            <w:vMerge w:val="continue"/>
            <w:tcBorders>
              <w:top w:val="single" w:color="000000" w:sz="8" w:space="0"/>
              <w:left w:val="single" w:color="000000" w:sz="8" w:space="0"/>
              <w:bottom w:val="nil"/>
              <w:right w:val="single" w:color="000000" w:sz="8" w:space="0"/>
            </w:tcBorders>
            <w:vAlign w:val="center"/>
          </w:tcPr>
          <w:p w14:paraId="02B96411">
            <w:pPr>
              <w:widowControl/>
              <w:jc w:val="left"/>
              <w:rPr>
                <w:rFonts w:ascii="宋体" w:hAnsi="宋体" w:cs="宋体"/>
                <w:kern w:val="0"/>
                <w:sz w:val="21"/>
                <w:szCs w:val="21"/>
                <w:highlight w:val="none"/>
              </w:rPr>
            </w:pPr>
          </w:p>
        </w:tc>
        <w:tc>
          <w:tcPr>
            <w:tcW w:w="1080" w:type="dxa"/>
            <w:vMerge w:val="continue"/>
            <w:tcBorders>
              <w:top w:val="single" w:color="000000" w:sz="8" w:space="0"/>
              <w:left w:val="single" w:color="000000" w:sz="8" w:space="0"/>
              <w:bottom w:val="nil"/>
              <w:right w:val="single" w:color="000000" w:sz="8" w:space="0"/>
            </w:tcBorders>
            <w:vAlign w:val="center"/>
          </w:tcPr>
          <w:p w14:paraId="54685AD2">
            <w:pPr>
              <w:widowControl/>
              <w:jc w:val="left"/>
              <w:rPr>
                <w:rFonts w:ascii="宋体" w:hAnsi="宋体" w:cs="宋体"/>
                <w:kern w:val="0"/>
                <w:sz w:val="21"/>
                <w:szCs w:val="21"/>
                <w:highlight w:val="none"/>
              </w:rPr>
            </w:pPr>
          </w:p>
        </w:tc>
        <w:tc>
          <w:tcPr>
            <w:tcW w:w="1080" w:type="dxa"/>
            <w:tcBorders>
              <w:top w:val="nil"/>
              <w:left w:val="nil"/>
              <w:bottom w:val="nil"/>
              <w:right w:val="single" w:color="000000" w:sz="8" w:space="0"/>
            </w:tcBorders>
            <w:shd w:val="clear" w:color="auto" w:fill="auto"/>
            <w:vAlign w:val="center"/>
          </w:tcPr>
          <w:p w14:paraId="195501D3">
            <w:pPr>
              <w:widowControl/>
              <w:jc w:val="center"/>
              <w:rPr>
                <w:rFonts w:ascii="宋体" w:hAnsi="宋体" w:cs="宋体"/>
                <w:kern w:val="0"/>
                <w:sz w:val="21"/>
                <w:szCs w:val="21"/>
                <w:highlight w:val="none"/>
              </w:rPr>
            </w:pPr>
            <w:r>
              <w:rPr>
                <w:rFonts w:hint="eastAsia" w:ascii="宋体" w:hAnsi="宋体" w:cs="宋体"/>
                <w:kern w:val="0"/>
                <w:sz w:val="21"/>
                <w:szCs w:val="21"/>
                <w:highlight w:val="none"/>
              </w:rPr>
              <w:t>得分</w:t>
            </w:r>
          </w:p>
        </w:tc>
        <w:tc>
          <w:tcPr>
            <w:tcW w:w="5040" w:type="dxa"/>
            <w:vMerge w:val="continue"/>
            <w:tcBorders>
              <w:top w:val="single" w:color="000000" w:sz="8" w:space="0"/>
              <w:left w:val="single" w:color="000000" w:sz="8" w:space="0"/>
              <w:bottom w:val="single" w:color="000000" w:sz="8" w:space="0"/>
              <w:right w:val="single" w:color="000000" w:sz="8" w:space="0"/>
            </w:tcBorders>
            <w:vAlign w:val="center"/>
          </w:tcPr>
          <w:p w14:paraId="5C3BA5BD">
            <w:pPr>
              <w:widowControl/>
              <w:jc w:val="left"/>
              <w:rPr>
                <w:rFonts w:ascii="宋体" w:hAnsi="宋体" w:cs="宋体"/>
                <w:kern w:val="0"/>
                <w:sz w:val="21"/>
                <w:szCs w:val="21"/>
                <w:highlight w:val="none"/>
              </w:rPr>
            </w:pPr>
          </w:p>
        </w:tc>
      </w:tr>
      <w:tr w14:paraId="22AE5DAD">
        <w:tblPrEx>
          <w:tblCellMar>
            <w:top w:w="0" w:type="dxa"/>
            <w:left w:w="108" w:type="dxa"/>
            <w:bottom w:w="0" w:type="dxa"/>
            <w:right w:w="108" w:type="dxa"/>
          </w:tblCellMar>
        </w:tblPrEx>
        <w:trPr>
          <w:trHeight w:val="600" w:hRule="atLeast"/>
        </w:trPr>
        <w:tc>
          <w:tcPr>
            <w:tcW w:w="108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07F1DED">
            <w:pPr>
              <w:widowControl/>
              <w:jc w:val="center"/>
              <w:rPr>
                <w:rFonts w:hint="eastAsia" w:ascii="宋体" w:hAnsi="宋体" w:eastAsia="宋体" w:cs="宋体"/>
                <w:kern w:val="0"/>
                <w:sz w:val="21"/>
                <w:szCs w:val="21"/>
                <w:highlight w:val="none"/>
                <w:lang w:eastAsia="zh-CN"/>
              </w:rPr>
            </w:pPr>
            <w:r>
              <w:rPr>
                <w:rFonts w:hint="eastAsia" w:ascii="宋体" w:hAnsi="宋体" w:cs="宋体"/>
                <w:kern w:val="0"/>
                <w:sz w:val="21"/>
                <w:szCs w:val="21"/>
                <w:highlight w:val="none"/>
              </w:rPr>
              <w:t>技术</w:t>
            </w:r>
            <w:r>
              <w:rPr>
                <w:rFonts w:hint="eastAsia" w:ascii="宋体" w:hAnsi="宋体" w:cs="宋体"/>
                <w:kern w:val="0"/>
                <w:sz w:val="21"/>
                <w:szCs w:val="21"/>
                <w:highlight w:val="none"/>
                <w:lang w:eastAsia="zh-CN"/>
              </w:rPr>
              <w:t>标</w:t>
            </w:r>
          </w:p>
        </w:tc>
        <w:tc>
          <w:tcPr>
            <w:tcW w:w="108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C347552">
            <w:pPr>
              <w:widowControl/>
              <w:jc w:val="center"/>
              <w:rPr>
                <w:rFonts w:ascii="宋体" w:hAnsi="宋体" w:cs="宋体"/>
                <w:kern w:val="0"/>
                <w:sz w:val="21"/>
                <w:szCs w:val="21"/>
                <w:highlight w:val="none"/>
              </w:rPr>
            </w:pPr>
            <w:r>
              <w:rPr>
                <w:rFonts w:hint="eastAsia" w:ascii="宋体" w:hAnsi="宋体" w:cs="宋体"/>
                <w:kern w:val="0"/>
                <w:sz w:val="21"/>
                <w:szCs w:val="21"/>
                <w:highlight w:val="none"/>
                <w:lang w:val="en-US" w:eastAsia="zh-CN"/>
              </w:rPr>
              <w:t>10</w:t>
            </w:r>
            <w:r>
              <w:rPr>
                <w:rFonts w:hint="eastAsia" w:ascii="宋体" w:hAnsi="宋体" w:cs="宋体"/>
                <w:kern w:val="0"/>
                <w:sz w:val="21"/>
                <w:szCs w:val="21"/>
                <w:highlight w:val="none"/>
              </w:rPr>
              <w:t>0</w:t>
            </w:r>
          </w:p>
        </w:tc>
        <w:tc>
          <w:tcPr>
            <w:tcW w:w="108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A61F327">
            <w:pPr>
              <w:widowControl/>
              <w:jc w:val="center"/>
              <w:rPr>
                <w:rFonts w:ascii="宋体" w:hAnsi="宋体" w:cs="宋体"/>
                <w:kern w:val="0"/>
                <w:sz w:val="21"/>
                <w:szCs w:val="21"/>
                <w:highlight w:val="none"/>
              </w:rPr>
            </w:pPr>
            <w:r>
              <w:rPr>
                <w:rFonts w:hint="eastAsia" w:ascii="宋体" w:hAnsi="宋体" w:cs="宋体"/>
                <w:kern w:val="0"/>
                <w:sz w:val="21"/>
                <w:szCs w:val="21"/>
                <w:highlight w:val="none"/>
              </w:rPr>
              <w:t>技术方案</w:t>
            </w:r>
          </w:p>
        </w:tc>
        <w:tc>
          <w:tcPr>
            <w:tcW w:w="108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1ACF509">
            <w:pPr>
              <w:widowControl/>
              <w:jc w:val="center"/>
              <w:rPr>
                <w:rFonts w:hint="default" w:ascii="宋体" w:hAnsi="宋体" w:eastAsia="宋体" w:cs="宋体"/>
                <w:kern w:val="0"/>
                <w:sz w:val="21"/>
                <w:szCs w:val="21"/>
                <w:highlight w:val="none"/>
                <w:lang w:val="en-US" w:eastAsia="zh-CN"/>
              </w:rPr>
            </w:pPr>
            <w:r>
              <w:rPr>
                <w:rFonts w:hint="eastAsia" w:ascii="宋体" w:hAnsi="宋体" w:cs="宋体"/>
                <w:kern w:val="0"/>
                <w:sz w:val="21"/>
                <w:szCs w:val="21"/>
                <w:highlight w:val="none"/>
                <w:lang w:val="en-US" w:eastAsia="zh-CN"/>
              </w:rPr>
              <w:t>50</w:t>
            </w:r>
          </w:p>
        </w:tc>
        <w:tc>
          <w:tcPr>
            <w:tcW w:w="5040" w:type="dxa"/>
            <w:tcBorders>
              <w:top w:val="nil"/>
              <w:left w:val="nil"/>
              <w:bottom w:val="nil"/>
              <w:right w:val="single" w:color="000000" w:sz="8" w:space="0"/>
            </w:tcBorders>
            <w:shd w:val="clear" w:color="auto" w:fill="auto"/>
            <w:vAlign w:val="center"/>
          </w:tcPr>
          <w:p w14:paraId="3E90FEC6">
            <w:pPr>
              <w:widowControl/>
              <w:jc w:val="left"/>
              <w:rPr>
                <w:rFonts w:ascii="宋体" w:hAnsi="宋体" w:cs="宋体"/>
                <w:kern w:val="0"/>
                <w:sz w:val="21"/>
                <w:szCs w:val="21"/>
                <w:highlight w:val="none"/>
              </w:rPr>
            </w:pPr>
            <w:r>
              <w:rPr>
                <w:rFonts w:hint="eastAsia" w:ascii="宋体" w:hAnsi="宋体" w:cs="宋体"/>
                <w:kern w:val="0"/>
                <w:sz w:val="21"/>
                <w:szCs w:val="21"/>
                <w:highlight w:val="none"/>
              </w:rPr>
              <w:t>1.完全满足招标文件配置要求得基础分</w:t>
            </w:r>
            <w:r>
              <w:rPr>
                <w:rFonts w:hint="eastAsia" w:ascii="宋体" w:hAnsi="宋体" w:cs="宋体"/>
                <w:kern w:val="0"/>
                <w:sz w:val="21"/>
                <w:szCs w:val="21"/>
                <w:highlight w:val="none"/>
                <w:lang w:val="en-US" w:eastAsia="zh-CN"/>
              </w:rPr>
              <w:t>3</w:t>
            </w:r>
            <w:r>
              <w:rPr>
                <w:rFonts w:hint="eastAsia" w:ascii="宋体" w:hAnsi="宋体" w:cs="宋体"/>
                <w:kern w:val="0"/>
                <w:sz w:val="21"/>
                <w:szCs w:val="21"/>
                <w:highlight w:val="none"/>
              </w:rPr>
              <w:t>0分；</w:t>
            </w:r>
          </w:p>
        </w:tc>
      </w:tr>
      <w:tr w14:paraId="3214319D">
        <w:tblPrEx>
          <w:tblCellMar>
            <w:top w:w="0" w:type="dxa"/>
            <w:left w:w="108" w:type="dxa"/>
            <w:bottom w:w="0" w:type="dxa"/>
            <w:right w:w="108" w:type="dxa"/>
          </w:tblCellMar>
        </w:tblPrEx>
        <w:trPr>
          <w:trHeight w:val="525" w:hRule="atLeast"/>
        </w:trPr>
        <w:tc>
          <w:tcPr>
            <w:tcW w:w="1080" w:type="dxa"/>
            <w:vMerge w:val="continue"/>
            <w:tcBorders>
              <w:top w:val="single" w:color="000000" w:sz="8" w:space="0"/>
              <w:left w:val="single" w:color="000000" w:sz="8" w:space="0"/>
              <w:bottom w:val="single" w:color="000000" w:sz="8" w:space="0"/>
              <w:right w:val="single" w:color="000000" w:sz="8" w:space="0"/>
            </w:tcBorders>
            <w:vAlign w:val="center"/>
          </w:tcPr>
          <w:p w14:paraId="50F6DD49">
            <w:pPr>
              <w:widowControl/>
              <w:jc w:val="left"/>
              <w:rPr>
                <w:rFonts w:ascii="宋体" w:hAnsi="宋体" w:cs="宋体"/>
                <w:kern w:val="0"/>
                <w:sz w:val="21"/>
                <w:szCs w:val="21"/>
                <w:highlight w:val="none"/>
              </w:rPr>
            </w:pPr>
          </w:p>
        </w:tc>
        <w:tc>
          <w:tcPr>
            <w:tcW w:w="1080" w:type="dxa"/>
            <w:vMerge w:val="continue"/>
            <w:tcBorders>
              <w:top w:val="single" w:color="000000" w:sz="8" w:space="0"/>
              <w:left w:val="single" w:color="000000" w:sz="8" w:space="0"/>
              <w:bottom w:val="single" w:color="000000" w:sz="8" w:space="0"/>
              <w:right w:val="single" w:color="000000" w:sz="8" w:space="0"/>
            </w:tcBorders>
            <w:vAlign w:val="center"/>
          </w:tcPr>
          <w:p w14:paraId="7897C412">
            <w:pPr>
              <w:widowControl/>
              <w:jc w:val="left"/>
              <w:rPr>
                <w:rFonts w:ascii="宋体" w:hAnsi="宋体" w:cs="宋体"/>
                <w:kern w:val="0"/>
                <w:sz w:val="21"/>
                <w:szCs w:val="21"/>
                <w:highlight w:val="none"/>
              </w:rPr>
            </w:pPr>
          </w:p>
        </w:tc>
        <w:tc>
          <w:tcPr>
            <w:tcW w:w="1080" w:type="dxa"/>
            <w:vMerge w:val="continue"/>
            <w:tcBorders>
              <w:top w:val="single" w:color="000000" w:sz="8" w:space="0"/>
              <w:left w:val="single" w:color="000000" w:sz="8" w:space="0"/>
              <w:bottom w:val="single" w:color="000000" w:sz="8" w:space="0"/>
              <w:right w:val="single" w:color="000000" w:sz="8" w:space="0"/>
            </w:tcBorders>
            <w:vAlign w:val="center"/>
          </w:tcPr>
          <w:p w14:paraId="2B03CDAA">
            <w:pPr>
              <w:widowControl/>
              <w:jc w:val="left"/>
              <w:rPr>
                <w:rFonts w:ascii="宋体" w:hAnsi="宋体" w:cs="宋体"/>
                <w:kern w:val="0"/>
                <w:sz w:val="21"/>
                <w:szCs w:val="21"/>
                <w:highlight w:val="none"/>
              </w:rPr>
            </w:pPr>
          </w:p>
        </w:tc>
        <w:tc>
          <w:tcPr>
            <w:tcW w:w="1080" w:type="dxa"/>
            <w:vMerge w:val="continue"/>
            <w:tcBorders>
              <w:top w:val="single" w:color="000000" w:sz="8" w:space="0"/>
              <w:left w:val="single" w:color="000000" w:sz="8" w:space="0"/>
              <w:bottom w:val="single" w:color="000000" w:sz="8" w:space="0"/>
              <w:right w:val="single" w:color="000000" w:sz="8" w:space="0"/>
            </w:tcBorders>
            <w:vAlign w:val="center"/>
          </w:tcPr>
          <w:p w14:paraId="7458BA05">
            <w:pPr>
              <w:widowControl/>
              <w:jc w:val="left"/>
              <w:rPr>
                <w:rFonts w:ascii="宋体" w:hAnsi="宋体" w:cs="宋体"/>
                <w:kern w:val="0"/>
                <w:sz w:val="21"/>
                <w:szCs w:val="21"/>
                <w:highlight w:val="none"/>
              </w:rPr>
            </w:pPr>
          </w:p>
        </w:tc>
        <w:tc>
          <w:tcPr>
            <w:tcW w:w="5040" w:type="dxa"/>
            <w:tcBorders>
              <w:top w:val="nil"/>
              <w:left w:val="nil"/>
              <w:bottom w:val="nil"/>
              <w:right w:val="single" w:color="000000" w:sz="8" w:space="0"/>
            </w:tcBorders>
            <w:shd w:val="clear" w:color="auto" w:fill="auto"/>
            <w:vAlign w:val="center"/>
          </w:tcPr>
          <w:p w14:paraId="0EC7F5C1">
            <w:pPr>
              <w:widowControl/>
              <w:jc w:val="left"/>
              <w:rPr>
                <w:rFonts w:ascii="宋体" w:hAnsi="宋体" w:cs="宋体"/>
                <w:kern w:val="0"/>
                <w:sz w:val="21"/>
                <w:szCs w:val="21"/>
                <w:highlight w:val="none"/>
              </w:rPr>
            </w:pPr>
            <w:r>
              <w:rPr>
                <w:rFonts w:hint="eastAsia" w:ascii="宋体" w:hAnsi="宋体" w:cs="宋体"/>
                <w:kern w:val="0"/>
                <w:sz w:val="21"/>
                <w:szCs w:val="21"/>
                <w:highlight w:val="none"/>
              </w:rPr>
              <w:t>2.有实质性增项、确有使用价值且为用户所需，每项酌情加</w:t>
            </w:r>
            <w:r>
              <w:rPr>
                <w:rFonts w:hint="eastAsia" w:ascii="宋体" w:hAnsi="宋体" w:cs="宋体"/>
                <w:kern w:val="0"/>
                <w:sz w:val="21"/>
                <w:szCs w:val="21"/>
                <w:highlight w:val="none"/>
                <w:lang w:val="en-US" w:eastAsia="zh-CN"/>
              </w:rPr>
              <w:t>5</w:t>
            </w:r>
            <w:r>
              <w:rPr>
                <w:rFonts w:hint="eastAsia" w:ascii="宋体" w:hAnsi="宋体" w:cs="宋体"/>
                <w:kern w:val="0"/>
                <w:sz w:val="21"/>
                <w:szCs w:val="21"/>
                <w:highlight w:val="none"/>
              </w:rPr>
              <w:t>分，最多加</w:t>
            </w:r>
            <w:r>
              <w:rPr>
                <w:rFonts w:hint="eastAsia" w:ascii="宋体" w:hAnsi="宋体" w:cs="宋体"/>
                <w:kern w:val="0"/>
                <w:sz w:val="21"/>
                <w:szCs w:val="21"/>
                <w:highlight w:val="none"/>
                <w:lang w:val="en-US" w:eastAsia="zh-CN"/>
              </w:rPr>
              <w:t>20</w:t>
            </w:r>
            <w:r>
              <w:rPr>
                <w:rFonts w:hint="eastAsia" w:ascii="宋体" w:hAnsi="宋体" w:cs="宋体"/>
                <w:kern w:val="0"/>
                <w:sz w:val="21"/>
                <w:szCs w:val="21"/>
                <w:highlight w:val="none"/>
              </w:rPr>
              <w:t>分；</w:t>
            </w:r>
          </w:p>
        </w:tc>
      </w:tr>
      <w:tr w14:paraId="6362BFE7">
        <w:tblPrEx>
          <w:tblCellMar>
            <w:top w:w="0" w:type="dxa"/>
            <w:left w:w="108" w:type="dxa"/>
            <w:bottom w:w="0" w:type="dxa"/>
            <w:right w:w="108" w:type="dxa"/>
          </w:tblCellMar>
        </w:tblPrEx>
        <w:trPr>
          <w:trHeight w:val="525" w:hRule="atLeast"/>
        </w:trPr>
        <w:tc>
          <w:tcPr>
            <w:tcW w:w="1080" w:type="dxa"/>
            <w:vMerge w:val="continue"/>
            <w:tcBorders>
              <w:top w:val="single" w:color="000000" w:sz="8" w:space="0"/>
              <w:left w:val="single" w:color="000000" w:sz="8" w:space="0"/>
              <w:bottom w:val="single" w:color="000000" w:sz="8" w:space="0"/>
              <w:right w:val="single" w:color="000000" w:sz="8" w:space="0"/>
            </w:tcBorders>
            <w:vAlign w:val="center"/>
          </w:tcPr>
          <w:p w14:paraId="35FD2E01">
            <w:pPr>
              <w:widowControl/>
              <w:jc w:val="left"/>
              <w:rPr>
                <w:rFonts w:ascii="宋体" w:hAnsi="宋体" w:cs="宋体"/>
                <w:kern w:val="0"/>
                <w:sz w:val="21"/>
                <w:szCs w:val="21"/>
                <w:highlight w:val="none"/>
              </w:rPr>
            </w:pPr>
          </w:p>
        </w:tc>
        <w:tc>
          <w:tcPr>
            <w:tcW w:w="1080" w:type="dxa"/>
            <w:vMerge w:val="continue"/>
            <w:tcBorders>
              <w:top w:val="single" w:color="000000" w:sz="8" w:space="0"/>
              <w:left w:val="single" w:color="000000" w:sz="8" w:space="0"/>
              <w:bottom w:val="single" w:color="000000" w:sz="8" w:space="0"/>
              <w:right w:val="single" w:color="000000" w:sz="8" w:space="0"/>
            </w:tcBorders>
            <w:vAlign w:val="center"/>
          </w:tcPr>
          <w:p w14:paraId="43A1F009">
            <w:pPr>
              <w:widowControl/>
              <w:jc w:val="left"/>
              <w:rPr>
                <w:rFonts w:ascii="宋体" w:hAnsi="宋体" w:cs="宋体"/>
                <w:kern w:val="0"/>
                <w:sz w:val="21"/>
                <w:szCs w:val="21"/>
                <w:highlight w:val="none"/>
              </w:rPr>
            </w:pPr>
          </w:p>
        </w:tc>
        <w:tc>
          <w:tcPr>
            <w:tcW w:w="1080" w:type="dxa"/>
            <w:vMerge w:val="continue"/>
            <w:tcBorders>
              <w:top w:val="single" w:color="000000" w:sz="8" w:space="0"/>
              <w:left w:val="single" w:color="000000" w:sz="8" w:space="0"/>
              <w:bottom w:val="single" w:color="000000" w:sz="8" w:space="0"/>
              <w:right w:val="single" w:color="000000" w:sz="8" w:space="0"/>
            </w:tcBorders>
            <w:vAlign w:val="center"/>
          </w:tcPr>
          <w:p w14:paraId="45F03A0A">
            <w:pPr>
              <w:widowControl/>
              <w:jc w:val="left"/>
              <w:rPr>
                <w:rFonts w:ascii="宋体" w:hAnsi="宋体" w:cs="宋体"/>
                <w:kern w:val="0"/>
                <w:sz w:val="21"/>
                <w:szCs w:val="21"/>
                <w:highlight w:val="none"/>
              </w:rPr>
            </w:pPr>
          </w:p>
        </w:tc>
        <w:tc>
          <w:tcPr>
            <w:tcW w:w="1080" w:type="dxa"/>
            <w:vMerge w:val="continue"/>
            <w:tcBorders>
              <w:top w:val="single" w:color="000000" w:sz="8" w:space="0"/>
              <w:left w:val="single" w:color="000000" w:sz="8" w:space="0"/>
              <w:bottom w:val="single" w:color="000000" w:sz="8" w:space="0"/>
              <w:right w:val="single" w:color="000000" w:sz="8" w:space="0"/>
            </w:tcBorders>
            <w:vAlign w:val="center"/>
          </w:tcPr>
          <w:p w14:paraId="6334F469">
            <w:pPr>
              <w:widowControl/>
              <w:jc w:val="left"/>
              <w:rPr>
                <w:rFonts w:ascii="宋体" w:hAnsi="宋体" w:cs="宋体"/>
                <w:kern w:val="0"/>
                <w:sz w:val="21"/>
                <w:szCs w:val="21"/>
                <w:highlight w:val="none"/>
              </w:rPr>
            </w:pPr>
          </w:p>
        </w:tc>
        <w:tc>
          <w:tcPr>
            <w:tcW w:w="5040" w:type="dxa"/>
            <w:tcBorders>
              <w:top w:val="nil"/>
              <w:left w:val="nil"/>
              <w:bottom w:val="single" w:color="000000" w:sz="8" w:space="0"/>
              <w:right w:val="single" w:color="000000" w:sz="8" w:space="0"/>
            </w:tcBorders>
            <w:shd w:val="clear" w:color="auto" w:fill="auto"/>
            <w:vAlign w:val="center"/>
          </w:tcPr>
          <w:p w14:paraId="4967A3CB">
            <w:pPr>
              <w:widowControl/>
              <w:jc w:val="left"/>
              <w:rPr>
                <w:rFonts w:ascii="宋体" w:hAnsi="宋体" w:cs="宋体"/>
                <w:kern w:val="0"/>
                <w:sz w:val="21"/>
                <w:szCs w:val="21"/>
                <w:highlight w:val="none"/>
              </w:rPr>
            </w:pPr>
            <w:r>
              <w:rPr>
                <w:rFonts w:hint="eastAsia" w:ascii="宋体" w:hAnsi="宋体" w:cs="宋体"/>
                <w:kern w:val="0"/>
                <w:sz w:val="21"/>
                <w:szCs w:val="21"/>
                <w:highlight w:val="none"/>
              </w:rPr>
              <w:t>3.有缺项但对使用无实质性影响，每项酌情减</w:t>
            </w:r>
            <w:r>
              <w:rPr>
                <w:rFonts w:hint="eastAsia" w:ascii="宋体" w:hAnsi="宋体" w:cs="宋体"/>
                <w:kern w:val="0"/>
                <w:sz w:val="21"/>
                <w:szCs w:val="21"/>
                <w:highlight w:val="none"/>
                <w:lang w:val="en-US" w:eastAsia="zh-CN"/>
              </w:rPr>
              <w:t>5</w:t>
            </w:r>
            <w:r>
              <w:rPr>
                <w:rFonts w:hint="eastAsia" w:ascii="宋体" w:hAnsi="宋体" w:cs="宋体"/>
                <w:kern w:val="0"/>
                <w:sz w:val="21"/>
                <w:szCs w:val="21"/>
                <w:highlight w:val="none"/>
              </w:rPr>
              <w:t>分，减完为止；</w:t>
            </w:r>
          </w:p>
        </w:tc>
      </w:tr>
      <w:tr w14:paraId="217AA52B">
        <w:tblPrEx>
          <w:tblCellMar>
            <w:top w:w="0" w:type="dxa"/>
            <w:left w:w="108" w:type="dxa"/>
            <w:bottom w:w="0" w:type="dxa"/>
            <w:right w:w="108" w:type="dxa"/>
          </w:tblCellMar>
        </w:tblPrEx>
        <w:trPr>
          <w:trHeight w:val="780" w:hRule="atLeast"/>
        </w:trPr>
        <w:tc>
          <w:tcPr>
            <w:tcW w:w="1080" w:type="dxa"/>
            <w:vMerge w:val="continue"/>
            <w:tcBorders>
              <w:top w:val="single" w:color="000000" w:sz="8" w:space="0"/>
              <w:left w:val="single" w:color="000000" w:sz="8" w:space="0"/>
              <w:bottom w:val="single" w:color="000000" w:sz="8" w:space="0"/>
              <w:right w:val="single" w:color="000000" w:sz="8" w:space="0"/>
            </w:tcBorders>
            <w:vAlign w:val="center"/>
          </w:tcPr>
          <w:p w14:paraId="140B9794">
            <w:pPr>
              <w:widowControl/>
              <w:jc w:val="left"/>
              <w:rPr>
                <w:rFonts w:ascii="宋体" w:hAnsi="宋体" w:cs="宋体"/>
                <w:kern w:val="0"/>
                <w:sz w:val="21"/>
                <w:szCs w:val="21"/>
                <w:highlight w:val="none"/>
              </w:rPr>
            </w:pPr>
          </w:p>
        </w:tc>
        <w:tc>
          <w:tcPr>
            <w:tcW w:w="1080" w:type="dxa"/>
            <w:vMerge w:val="continue"/>
            <w:tcBorders>
              <w:top w:val="single" w:color="000000" w:sz="8" w:space="0"/>
              <w:left w:val="single" w:color="000000" w:sz="8" w:space="0"/>
              <w:bottom w:val="single" w:color="000000" w:sz="8" w:space="0"/>
              <w:right w:val="single" w:color="000000" w:sz="8" w:space="0"/>
            </w:tcBorders>
            <w:vAlign w:val="center"/>
          </w:tcPr>
          <w:p w14:paraId="6D7C68DB">
            <w:pPr>
              <w:widowControl/>
              <w:jc w:val="left"/>
              <w:rPr>
                <w:rFonts w:ascii="宋体" w:hAnsi="宋体" w:cs="宋体"/>
                <w:kern w:val="0"/>
                <w:sz w:val="21"/>
                <w:szCs w:val="21"/>
                <w:highlight w:val="none"/>
              </w:rPr>
            </w:pPr>
          </w:p>
        </w:tc>
        <w:tc>
          <w:tcPr>
            <w:tcW w:w="1080" w:type="dxa"/>
            <w:tcBorders>
              <w:top w:val="nil"/>
              <w:left w:val="nil"/>
              <w:bottom w:val="single" w:color="000000" w:sz="8" w:space="0"/>
              <w:right w:val="single" w:color="000000" w:sz="8" w:space="0"/>
            </w:tcBorders>
            <w:shd w:val="clear" w:color="auto" w:fill="auto"/>
            <w:vAlign w:val="center"/>
          </w:tcPr>
          <w:p w14:paraId="113C27DF">
            <w:pPr>
              <w:widowControl/>
              <w:jc w:val="center"/>
              <w:rPr>
                <w:rFonts w:ascii="宋体" w:hAnsi="宋体" w:cs="宋体"/>
                <w:kern w:val="0"/>
                <w:sz w:val="21"/>
                <w:szCs w:val="21"/>
                <w:highlight w:val="none"/>
              </w:rPr>
            </w:pPr>
            <w:r>
              <w:rPr>
                <w:rFonts w:hint="eastAsia" w:ascii="宋体" w:hAnsi="宋体" w:cs="宋体"/>
                <w:kern w:val="0"/>
                <w:sz w:val="21"/>
                <w:szCs w:val="21"/>
                <w:highlight w:val="none"/>
              </w:rPr>
              <w:t>现场答疑</w:t>
            </w:r>
          </w:p>
        </w:tc>
        <w:tc>
          <w:tcPr>
            <w:tcW w:w="1080" w:type="dxa"/>
            <w:tcBorders>
              <w:top w:val="nil"/>
              <w:left w:val="nil"/>
              <w:bottom w:val="single" w:color="000000" w:sz="8" w:space="0"/>
              <w:right w:val="single" w:color="000000" w:sz="8" w:space="0"/>
            </w:tcBorders>
            <w:shd w:val="clear" w:color="auto" w:fill="auto"/>
            <w:vAlign w:val="center"/>
          </w:tcPr>
          <w:p w14:paraId="00CC108D">
            <w:pPr>
              <w:widowControl/>
              <w:jc w:val="center"/>
              <w:rPr>
                <w:rFonts w:hint="default" w:ascii="宋体" w:hAnsi="宋体" w:eastAsia="宋体" w:cs="宋体"/>
                <w:kern w:val="0"/>
                <w:sz w:val="21"/>
                <w:szCs w:val="21"/>
                <w:highlight w:val="none"/>
                <w:lang w:val="en-US" w:eastAsia="zh-CN"/>
              </w:rPr>
            </w:pPr>
            <w:r>
              <w:rPr>
                <w:rFonts w:hint="eastAsia" w:ascii="宋体" w:hAnsi="宋体" w:cs="宋体"/>
                <w:kern w:val="0"/>
                <w:sz w:val="21"/>
                <w:szCs w:val="21"/>
                <w:highlight w:val="none"/>
                <w:lang w:val="en-US" w:eastAsia="zh-CN"/>
              </w:rPr>
              <w:t>20</w:t>
            </w:r>
          </w:p>
        </w:tc>
        <w:tc>
          <w:tcPr>
            <w:tcW w:w="5040" w:type="dxa"/>
            <w:tcBorders>
              <w:top w:val="nil"/>
              <w:left w:val="nil"/>
              <w:bottom w:val="single" w:color="000000" w:sz="8" w:space="0"/>
              <w:right w:val="single" w:color="000000" w:sz="8" w:space="0"/>
            </w:tcBorders>
            <w:shd w:val="clear" w:color="auto" w:fill="auto"/>
            <w:vAlign w:val="center"/>
          </w:tcPr>
          <w:p w14:paraId="2B5A84A3">
            <w:pPr>
              <w:widowControl/>
              <w:jc w:val="left"/>
              <w:rPr>
                <w:rFonts w:ascii="宋体" w:hAnsi="宋体" w:cs="宋体"/>
                <w:kern w:val="0"/>
                <w:sz w:val="21"/>
                <w:szCs w:val="21"/>
                <w:highlight w:val="none"/>
              </w:rPr>
            </w:pPr>
            <w:r>
              <w:rPr>
                <w:rFonts w:hint="eastAsia" w:ascii="宋体" w:hAnsi="宋体" w:cs="宋体"/>
                <w:kern w:val="0"/>
                <w:sz w:val="21"/>
                <w:szCs w:val="21"/>
                <w:highlight w:val="none"/>
              </w:rPr>
              <w:t>投标人代表对方案、技术优势的讲解，以及就该项目难点回答评标专家现场提问，评价好得</w:t>
            </w:r>
            <w:r>
              <w:rPr>
                <w:rFonts w:hint="eastAsia" w:ascii="宋体" w:hAnsi="宋体" w:cs="宋体"/>
                <w:kern w:val="0"/>
                <w:sz w:val="21"/>
                <w:szCs w:val="21"/>
                <w:highlight w:val="none"/>
                <w:lang w:val="en-US" w:eastAsia="zh-CN"/>
              </w:rPr>
              <w:t>15-20</w:t>
            </w:r>
            <w:r>
              <w:rPr>
                <w:rFonts w:hint="eastAsia" w:ascii="宋体" w:hAnsi="宋体" w:cs="宋体"/>
                <w:kern w:val="0"/>
                <w:sz w:val="21"/>
                <w:szCs w:val="21"/>
                <w:highlight w:val="none"/>
              </w:rPr>
              <w:t>分、评价一般得</w:t>
            </w:r>
            <w:r>
              <w:rPr>
                <w:rFonts w:hint="eastAsia" w:ascii="宋体" w:hAnsi="宋体" w:cs="宋体"/>
                <w:kern w:val="0"/>
                <w:sz w:val="21"/>
                <w:szCs w:val="21"/>
                <w:highlight w:val="none"/>
                <w:lang w:val="en-US" w:eastAsia="zh-CN"/>
              </w:rPr>
              <w:t>5-15</w:t>
            </w:r>
            <w:r>
              <w:rPr>
                <w:rFonts w:hint="eastAsia" w:ascii="宋体" w:hAnsi="宋体" w:cs="宋体"/>
                <w:kern w:val="0"/>
                <w:sz w:val="21"/>
                <w:szCs w:val="21"/>
                <w:highlight w:val="none"/>
              </w:rPr>
              <w:t xml:space="preserve">分； </w:t>
            </w:r>
          </w:p>
        </w:tc>
      </w:tr>
      <w:tr w14:paraId="0A316012">
        <w:tblPrEx>
          <w:tblCellMar>
            <w:top w:w="0" w:type="dxa"/>
            <w:left w:w="108" w:type="dxa"/>
            <w:bottom w:w="0" w:type="dxa"/>
            <w:right w:w="108" w:type="dxa"/>
          </w:tblCellMar>
        </w:tblPrEx>
        <w:trPr>
          <w:trHeight w:val="840" w:hRule="atLeast"/>
        </w:trPr>
        <w:tc>
          <w:tcPr>
            <w:tcW w:w="1080" w:type="dxa"/>
            <w:vMerge w:val="continue"/>
            <w:tcBorders>
              <w:top w:val="single" w:color="000000" w:sz="8" w:space="0"/>
              <w:left w:val="single" w:color="000000" w:sz="8" w:space="0"/>
              <w:bottom w:val="single" w:color="000000" w:sz="8" w:space="0"/>
              <w:right w:val="single" w:color="000000" w:sz="8" w:space="0"/>
            </w:tcBorders>
            <w:vAlign w:val="center"/>
          </w:tcPr>
          <w:p w14:paraId="32232582">
            <w:pPr>
              <w:widowControl/>
              <w:jc w:val="left"/>
              <w:rPr>
                <w:rFonts w:ascii="宋体" w:hAnsi="宋体" w:cs="宋体"/>
                <w:kern w:val="0"/>
                <w:sz w:val="21"/>
                <w:szCs w:val="21"/>
                <w:highlight w:val="none"/>
              </w:rPr>
            </w:pPr>
          </w:p>
        </w:tc>
        <w:tc>
          <w:tcPr>
            <w:tcW w:w="1080" w:type="dxa"/>
            <w:vMerge w:val="continue"/>
            <w:tcBorders>
              <w:top w:val="single" w:color="000000" w:sz="8" w:space="0"/>
              <w:left w:val="single" w:color="000000" w:sz="8" w:space="0"/>
              <w:bottom w:val="single" w:color="000000" w:sz="8" w:space="0"/>
              <w:right w:val="single" w:color="000000" w:sz="8" w:space="0"/>
            </w:tcBorders>
            <w:vAlign w:val="center"/>
          </w:tcPr>
          <w:p w14:paraId="5D1486DA">
            <w:pPr>
              <w:widowControl/>
              <w:jc w:val="left"/>
              <w:rPr>
                <w:rFonts w:ascii="宋体" w:hAnsi="宋体" w:cs="宋体"/>
                <w:kern w:val="0"/>
                <w:sz w:val="21"/>
                <w:szCs w:val="21"/>
                <w:highlight w:val="none"/>
              </w:rPr>
            </w:pPr>
          </w:p>
        </w:tc>
        <w:tc>
          <w:tcPr>
            <w:tcW w:w="1080" w:type="dxa"/>
            <w:tcBorders>
              <w:top w:val="nil"/>
              <w:left w:val="nil"/>
              <w:bottom w:val="single" w:color="000000" w:sz="8" w:space="0"/>
              <w:right w:val="single" w:color="000000" w:sz="8" w:space="0"/>
            </w:tcBorders>
            <w:shd w:val="clear" w:color="auto" w:fill="auto"/>
            <w:vAlign w:val="center"/>
          </w:tcPr>
          <w:p w14:paraId="0F424354">
            <w:pPr>
              <w:widowControl/>
              <w:jc w:val="center"/>
              <w:rPr>
                <w:rFonts w:ascii="宋体" w:hAnsi="宋体" w:cs="宋体"/>
                <w:kern w:val="0"/>
                <w:sz w:val="21"/>
                <w:szCs w:val="21"/>
                <w:highlight w:val="none"/>
              </w:rPr>
            </w:pPr>
            <w:r>
              <w:rPr>
                <w:rFonts w:hint="eastAsia" w:ascii="宋体" w:hAnsi="宋体" w:cs="宋体"/>
                <w:kern w:val="0"/>
                <w:sz w:val="21"/>
                <w:szCs w:val="21"/>
                <w:highlight w:val="none"/>
              </w:rPr>
              <w:t>技术条款响应</w:t>
            </w:r>
          </w:p>
        </w:tc>
        <w:tc>
          <w:tcPr>
            <w:tcW w:w="1080" w:type="dxa"/>
            <w:tcBorders>
              <w:top w:val="nil"/>
              <w:left w:val="nil"/>
              <w:bottom w:val="single" w:color="000000" w:sz="8" w:space="0"/>
              <w:right w:val="single" w:color="000000" w:sz="8" w:space="0"/>
            </w:tcBorders>
            <w:shd w:val="clear" w:color="auto" w:fill="auto"/>
            <w:vAlign w:val="center"/>
          </w:tcPr>
          <w:p w14:paraId="41BAC1C0">
            <w:pPr>
              <w:widowControl/>
              <w:jc w:val="center"/>
              <w:rPr>
                <w:rFonts w:hint="default" w:ascii="Calibri" w:hAnsi="Calibri" w:eastAsia="等线" w:cs="宋体"/>
                <w:kern w:val="0"/>
                <w:sz w:val="21"/>
                <w:szCs w:val="21"/>
                <w:highlight w:val="none"/>
                <w:lang w:val="en-US" w:eastAsia="zh-CN"/>
              </w:rPr>
            </w:pPr>
            <w:r>
              <w:rPr>
                <w:rFonts w:hint="eastAsia" w:ascii="宋体" w:hAnsi="宋体" w:eastAsia="等线" w:cs="宋体"/>
                <w:kern w:val="0"/>
                <w:sz w:val="21"/>
                <w:szCs w:val="21"/>
                <w:highlight w:val="none"/>
                <w:lang w:val="en-US" w:eastAsia="zh-CN"/>
              </w:rPr>
              <w:t>20</w:t>
            </w:r>
          </w:p>
        </w:tc>
        <w:tc>
          <w:tcPr>
            <w:tcW w:w="5040" w:type="dxa"/>
            <w:tcBorders>
              <w:top w:val="nil"/>
              <w:left w:val="nil"/>
              <w:bottom w:val="single" w:color="000000" w:sz="8" w:space="0"/>
              <w:right w:val="single" w:color="000000" w:sz="8" w:space="0"/>
            </w:tcBorders>
            <w:shd w:val="clear" w:color="auto" w:fill="auto"/>
            <w:vAlign w:val="center"/>
          </w:tcPr>
          <w:p w14:paraId="29091F1A">
            <w:pPr>
              <w:widowControl/>
              <w:jc w:val="left"/>
              <w:rPr>
                <w:rFonts w:ascii="宋体" w:hAnsi="宋体" w:cs="宋体"/>
                <w:kern w:val="0"/>
                <w:sz w:val="21"/>
                <w:szCs w:val="21"/>
                <w:highlight w:val="none"/>
              </w:rPr>
            </w:pPr>
            <w:r>
              <w:rPr>
                <w:rFonts w:hint="eastAsia" w:ascii="宋体" w:hAnsi="宋体" w:cs="宋体"/>
                <w:kern w:val="0"/>
                <w:sz w:val="21"/>
                <w:szCs w:val="21"/>
                <w:highlight w:val="none"/>
              </w:rPr>
              <w:t>经过有效性和符合性审核合格的投标人，投标文件中对技术要求无偏离得</w:t>
            </w:r>
            <w:r>
              <w:rPr>
                <w:rFonts w:ascii="Calibri" w:hAnsi="Calibri" w:cs="宋体"/>
                <w:kern w:val="0"/>
                <w:sz w:val="21"/>
                <w:szCs w:val="21"/>
                <w:highlight w:val="none"/>
              </w:rPr>
              <w:t>2</w:t>
            </w:r>
            <w:r>
              <w:rPr>
                <w:rFonts w:hint="eastAsia" w:ascii="Calibri" w:hAnsi="Calibri" w:cs="宋体"/>
                <w:kern w:val="0"/>
                <w:sz w:val="21"/>
                <w:szCs w:val="21"/>
                <w:highlight w:val="none"/>
                <w:lang w:val="en-US" w:eastAsia="zh-CN"/>
              </w:rPr>
              <w:t>0</w:t>
            </w:r>
            <w:r>
              <w:rPr>
                <w:rFonts w:hint="eastAsia" w:ascii="宋体" w:hAnsi="宋体" w:cs="宋体"/>
                <w:kern w:val="0"/>
                <w:sz w:val="21"/>
                <w:szCs w:val="21"/>
                <w:highlight w:val="none"/>
              </w:rPr>
              <w:t>分，每一条正偏离得</w:t>
            </w:r>
            <w:r>
              <w:rPr>
                <w:rFonts w:hint="eastAsia" w:ascii="Calibri" w:hAnsi="Calibri" w:cs="宋体"/>
                <w:kern w:val="0"/>
                <w:sz w:val="21"/>
                <w:szCs w:val="21"/>
                <w:highlight w:val="none"/>
                <w:lang w:val="en-US" w:eastAsia="zh-CN"/>
              </w:rPr>
              <w:t>5</w:t>
            </w:r>
            <w:r>
              <w:rPr>
                <w:rFonts w:hint="eastAsia" w:ascii="宋体" w:hAnsi="宋体" w:cs="宋体"/>
                <w:kern w:val="0"/>
                <w:sz w:val="21"/>
                <w:szCs w:val="21"/>
                <w:highlight w:val="none"/>
              </w:rPr>
              <w:t>分，上限</w:t>
            </w:r>
            <w:r>
              <w:rPr>
                <w:rFonts w:hint="eastAsia" w:ascii="Calibri" w:hAnsi="Calibri" w:cs="宋体"/>
                <w:kern w:val="0"/>
                <w:sz w:val="21"/>
                <w:szCs w:val="21"/>
                <w:highlight w:val="none"/>
                <w:lang w:val="en-US" w:eastAsia="zh-CN"/>
              </w:rPr>
              <w:t>20</w:t>
            </w:r>
            <w:r>
              <w:rPr>
                <w:rFonts w:hint="eastAsia" w:ascii="宋体" w:hAnsi="宋体" w:cs="宋体"/>
                <w:kern w:val="0"/>
                <w:sz w:val="21"/>
                <w:szCs w:val="21"/>
                <w:highlight w:val="none"/>
              </w:rPr>
              <w:t>分，每一条负偏离扣</w:t>
            </w:r>
            <w:r>
              <w:rPr>
                <w:rFonts w:hint="eastAsia" w:ascii="Calibri" w:hAnsi="Calibri" w:cs="宋体"/>
                <w:kern w:val="0"/>
                <w:sz w:val="21"/>
                <w:szCs w:val="21"/>
                <w:highlight w:val="none"/>
                <w:lang w:val="en-US" w:eastAsia="zh-CN"/>
              </w:rPr>
              <w:t>5</w:t>
            </w:r>
            <w:r>
              <w:rPr>
                <w:rFonts w:hint="eastAsia" w:ascii="宋体" w:hAnsi="宋体" w:cs="宋体"/>
                <w:kern w:val="0"/>
                <w:sz w:val="21"/>
                <w:szCs w:val="21"/>
                <w:highlight w:val="none"/>
              </w:rPr>
              <w:t>分，最低</w:t>
            </w:r>
            <w:r>
              <w:rPr>
                <w:rFonts w:ascii="Calibri" w:hAnsi="Calibri" w:cs="宋体"/>
                <w:kern w:val="0"/>
                <w:sz w:val="21"/>
                <w:szCs w:val="21"/>
                <w:highlight w:val="none"/>
              </w:rPr>
              <w:t>0</w:t>
            </w:r>
            <w:r>
              <w:rPr>
                <w:rFonts w:hint="eastAsia" w:ascii="宋体" w:hAnsi="宋体" w:cs="宋体"/>
                <w:kern w:val="0"/>
                <w:sz w:val="21"/>
                <w:szCs w:val="21"/>
                <w:highlight w:val="none"/>
              </w:rPr>
              <w:t>分。</w:t>
            </w:r>
          </w:p>
        </w:tc>
      </w:tr>
      <w:tr w14:paraId="4F2F2C0A">
        <w:tblPrEx>
          <w:tblCellMar>
            <w:top w:w="0" w:type="dxa"/>
            <w:left w:w="108" w:type="dxa"/>
            <w:bottom w:w="0" w:type="dxa"/>
            <w:right w:w="108" w:type="dxa"/>
          </w:tblCellMar>
        </w:tblPrEx>
        <w:trPr>
          <w:trHeight w:val="1035" w:hRule="atLeast"/>
        </w:trPr>
        <w:tc>
          <w:tcPr>
            <w:tcW w:w="1080" w:type="dxa"/>
            <w:vMerge w:val="continue"/>
            <w:tcBorders>
              <w:top w:val="single" w:color="000000" w:sz="8" w:space="0"/>
              <w:left w:val="single" w:color="000000" w:sz="8" w:space="0"/>
              <w:bottom w:val="single" w:color="000000" w:sz="8" w:space="0"/>
              <w:right w:val="single" w:color="000000" w:sz="8" w:space="0"/>
            </w:tcBorders>
            <w:vAlign w:val="center"/>
          </w:tcPr>
          <w:p w14:paraId="1B49E38B">
            <w:pPr>
              <w:widowControl/>
              <w:jc w:val="left"/>
              <w:rPr>
                <w:rFonts w:ascii="宋体" w:hAnsi="宋体" w:cs="宋体"/>
                <w:kern w:val="0"/>
                <w:sz w:val="21"/>
                <w:szCs w:val="21"/>
                <w:highlight w:val="none"/>
              </w:rPr>
            </w:pPr>
          </w:p>
        </w:tc>
        <w:tc>
          <w:tcPr>
            <w:tcW w:w="1080" w:type="dxa"/>
            <w:vMerge w:val="continue"/>
            <w:tcBorders>
              <w:top w:val="single" w:color="000000" w:sz="8" w:space="0"/>
              <w:left w:val="single" w:color="000000" w:sz="8" w:space="0"/>
              <w:bottom w:val="single" w:color="000000" w:sz="8" w:space="0"/>
              <w:right w:val="single" w:color="000000" w:sz="8" w:space="0"/>
            </w:tcBorders>
            <w:vAlign w:val="center"/>
          </w:tcPr>
          <w:p w14:paraId="40184CB2">
            <w:pPr>
              <w:widowControl/>
              <w:jc w:val="left"/>
              <w:rPr>
                <w:rFonts w:ascii="宋体" w:hAnsi="宋体" w:cs="宋体"/>
                <w:kern w:val="0"/>
                <w:sz w:val="21"/>
                <w:szCs w:val="21"/>
                <w:highlight w:val="none"/>
              </w:rPr>
            </w:pPr>
          </w:p>
        </w:tc>
        <w:tc>
          <w:tcPr>
            <w:tcW w:w="1080" w:type="dxa"/>
            <w:tcBorders>
              <w:top w:val="nil"/>
              <w:left w:val="nil"/>
              <w:bottom w:val="single" w:color="000000" w:sz="8" w:space="0"/>
              <w:right w:val="single" w:color="000000" w:sz="8" w:space="0"/>
            </w:tcBorders>
            <w:shd w:val="clear" w:color="auto" w:fill="auto"/>
            <w:vAlign w:val="center"/>
          </w:tcPr>
          <w:p w14:paraId="3A3F6183">
            <w:pPr>
              <w:widowControl/>
              <w:jc w:val="center"/>
              <w:rPr>
                <w:rFonts w:ascii="宋体" w:hAnsi="宋体" w:cs="宋体"/>
                <w:kern w:val="0"/>
                <w:sz w:val="21"/>
                <w:szCs w:val="21"/>
                <w:highlight w:val="none"/>
              </w:rPr>
            </w:pPr>
            <w:r>
              <w:rPr>
                <w:rFonts w:hint="eastAsia" w:ascii="宋体" w:hAnsi="宋体" w:cs="宋体"/>
                <w:kern w:val="0"/>
                <w:sz w:val="21"/>
                <w:szCs w:val="21"/>
                <w:highlight w:val="none"/>
              </w:rPr>
              <w:t>业绩</w:t>
            </w:r>
          </w:p>
        </w:tc>
        <w:tc>
          <w:tcPr>
            <w:tcW w:w="1080" w:type="dxa"/>
            <w:tcBorders>
              <w:top w:val="nil"/>
              <w:left w:val="nil"/>
              <w:bottom w:val="single" w:color="000000" w:sz="8" w:space="0"/>
              <w:right w:val="single" w:color="000000" w:sz="8" w:space="0"/>
            </w:tcBorders>
            <w:shd w:val="clear" w:color="auto" w:fill="auto"/>
            <w:vAlign w:val="center"/>
          </w:tcPr>
          <w:p w14:paraId="63CC49C3">
            <w:pPr>
              <w:widowControl/>
              <w:jc w:val="center"/>
              <w:rPr>
                <w:rFonts w:hint="default" w:ascii="宋体" w:hAnsi="宋体" w:eastAsia="宋体" w:cs="宋体"/>
                <w:kern w:val="0"/>
                <w:sz w:val="21"/>
                <w:szCs w:val="21"/>
                <w:highlight w:val="none"/>
                <w:lang w:val="en-US" w:eastAsia="zh-CN"/>
              </w:rPr>
            </w:pPr>
            <w:r>
              <w:rPr>
                <w:rFonts w:hint="eastAsia" w:ascii="宋体" w:hAnsi="宋体" w:cs="宋体"/>
                <w:kern w:val="0"/>
                <w:sz w:val="21"/>
                <w:szCs w:val="21"/>
                <w:highlight w:val="none"/>
                <w:lang w:val="en-US" w:eastAsia="zh-CN"/>
              </w:rPr>
              <w:t>10</w:t>
            </w:r>
          </w:p>
        </w:tc>
        <w:tc>
          <w:tcPr>
            <w:tcW w:w="5040" w:type="dxa"/>
            <w:tcBorders>
              <w:top w:val="nil"/>
              <w:left w:val="nil"/>
              <w:bottom w:val="single" w:color="000000" w:sz="8" w:space="0"/>
              <w:right w:val="single" w:color="000000" w:sz="8" w:space="0"/>
            </w:tcBorders>
            <w:shd w:val="clear" w:color="auto" w:fill="auto"/>
            <w:vAlign w:val="center"/>
          </w:tcPr>
          <w:p w14:paraId="00FDAD6A">
            <w:pPr>
              <w:widowControl/>
              <w:rPr>
                <w:rFonts w:ascii="宋体" w:hAnsi="宋体" w:cs="宋体"/>
                <w:kern w:val="0"/>
                <w:sz w:val="21"/>
                <w:szCs w:val="21"/>
                <w:highlight w:val="none"/>
              </w:rPr>
            </w:pPr>
            <w:r>
              <w:rPr>
                <w:rFonts w:hint="eastAsia" w:ascii="宋体" w:hAnsi="宋体" w:cs="宋体"/>
                <w:kern w:val="0"/>
                <w:sz w:val="21"/>
                <w:szCs w:val="21"/>
                <w:highlight w:val="none"/>
              </w:rPr>
              <w:t>投标人在20</w:t>
            </w:r>
            <w:r>
              <w:rPr>
                <w:rFonts w:hint="eastAsia" w:ascii="宋体" w:hAnsi="宋体" w:cs="宋体"/>
                <w:kern w:val="0"/>
                <w:sz w:val="21"/>
                <w:szCs w:val="21"/>
                <w:highlight w:val="none"/>
                <w:lang w:val="en-US" w:eastAsia="zh-CN"/>
              </w:rPr>
              <w:t>22</w:t>
            </w:r>
            <w:r>
              <w:rPr>
                <w:rFonts w:hint="eastAsia" w:ascii="宋体" w:hAnsi="宋体" w:cs="宋体"/>
                <w:kern w:val="0"/>
                <w:sz w:val="21"/>
                <w:szCs w:val="21"/>
                <w:highlight w:val="none"/>
              </w:rPr>
              <w:t>年1月1日以来在中国与本标同类规格产品的业绩，以合同复印件加盖公章为准（须有客户联系方式及联系人以供招标人核实确认），每个合同加</w:t>
            </w:r>
            <w:r>
              <w:rPr>
                <w:rFonts w:hint="eastAsia" w:ascii="宋体" w:hAnsi="宋体" w:cs="宋体"/>
                <w:kern w:val="0"/>
                <w:sz w:val="21"/>
                <w:szCs w:val="21"/>
                <w:highlight w:val="none"/>
                <w:lang w:val="en-US" w:eastAsia="zh-CN"/>
              </w:rPr>
              <w:t>2</w:t>
            </w:r>
            <w:r>
              <w:rPr>
                <w:rFonts w:hint="eastAsia" w:ascii="宋体" w:hAnsi="宋体" w:cs="宋体"/>
                <w:kern w:val="0"/>
                <w:sz w:val="21"/>
                <w:szCs w:val="21"/>
                <w:highlight w:val="none"/>
              </w:rPr>
              <w:t>分，满分</w:t>
            </w:r>
            <w:r>
              <w:rPr>
                <w:rFonts w:hint="eastAsia" w:ascii="宋体" w:hAnsi="宋体" w:cs="宋体"/>
                <w:kern w:val="0"/>
                <w:sz w:val="21"/>
                <w:szCs w:val="21"/>
                <w:highlight w:val="none"/>
                <w:lang w:val="en-US" w:eastAsia="zh-CN"/>
              </w:rPr>
              <w:t>10</w:t>
            </w:r>
            <w:r>
              <w:rPr>
                <w:rFonts w:hint="eastAsia" w:ascii="宋体" w:hAnsi="宋体" w:cs="宋体"/>
                <w:kern w:val="0"/>
                <w:sz w:val="21"/>
                <w:szCs w:val="21"/>
                <w:highlight w:val="none"/>
              </w:rPr>
              <w:t>分，没有不得分。</w:t>
            </w:r>
          </w:p>
        </w:tc>
      </w:tr>
    </w:tbl>
    <w:p w14:paraId="45C149D7">
      <w:pPr>
        <w:numPr>
          <w:ilvl w:val="0"/>
          <w:numId w:val="0"/>
        </w:numPr>
        <w:spacing w:line="360" w:lineRule="auto"/>
        <w:ind w:leftChars="0"/>
        <w:rPr>
          <w:rFonts w:ascii="宋体" w:hAnsi="宋体" w:eastAsia="宋体" w:cs="宋体"/>
          <w:b/>
          <w:sz w:val="21"/>
          <w:szCs w:val="21"/>
          <w:highlight w:val="none"/>
        </w:rPr>
      </w:pPr>
      <w:r>
        <w:rPr>
          <w:rFonts w:hint="eastAsia" w:ascii="宋体" w:hAnsi="宋体" w:eastAsia="宋体" w:cs="宋体"/>
          <w:b/>
          <w:sz w:val="21"/>
          <w:szCs w:val="21"/>
          <w:highlight w:val="none"/>
          <w:lang w:val="en-US" w:eastAsia="zh-CN"/>
        </w:rPr>
        <w:t>（</w:t>
      </w:r>
      <w:r>
        <w:rPr>
          <w:rFonts w:hint="eastAsia" w:ascii="宋体" w:hAnsi="宋体" w:cs="宋体"/>
          <w:b/>
          <w:sz w:val="21"/>
          <w:szCs w:val="21"/>
          <w:highlight w:val="none"/>
          <w:lang w:val="en-US" w:eastAsia="zh-CN"/>
        </w:rPr>
        <w:t>5</w:t>
      </w:r>
      <w:r>
        <w:rPr>
          <w:rFonts w:hint="eastAsia" w:ascii="宋体" w:hAnsi="宋体" w:eastAsia="宋体" w:cs="宋体"/>
          <w:b/>
          <w:sz w:val="21"/>
          <w:szCs w:val="21"/>
          <w:highlight w:val="none"/>
          <w:lang w:val="en-US" w:eastAsia="zh-CN"/>
        </w:rPr>
        <w:t>）、</w:t>
      </w:r>
      <w:r>
        <w:rPr>
          <w:rFonts w:hint="eastAsia" w:ascii="宋体" w:hAnsi="宋体" w:eastAsia="宋体" w:cs="宋体"/>
          <w:b/>
          <w:sz w:val="21"/>
          <w:szCs w:val="21"/>
          <w:highlight w:val="none"/>
        </w:rPr>
        <w:t>商务标评审：商务条款相应确认→价格澄清→商务标评审；评审期间产生的商务价格澄清均由投标人在重汽e采通平台</w:t>
      </w:r>
      <w:r>
        <w:rPr>
          <w:rFonts w:hint="eastAsia" w:ascii="宋体" w:hAnsi="宋体" w:eastAsia="宋体" w:cs="宋体"/>
          <w:b/>
          <w:sz w:val="21"/>
          <w:szCs w:val="21"/>
          <w:highlight w:val="none"/>
          <w:lang w:eastAsia="zh-CN"/>
        </w:rPr>
        <w:t>要求</w:t>
      </w:r>
      <w:r>
        <w:rPr>
          <w:rFonts w:hint="eastAsia" w:ascii="宋体" w:hAnsi="宋体" w:eastAsia="宋体" w:cs="宋体"/>
          <w:b/>
          <w:sz w:val="21"/>
          <w:szCs w:val="21"/>
          <w:highlight w:val="none"/>
        </w:rPr>
        <w:t>限时内完成提交；</w:t>
      </w:r>
    </w:p>
    <w:p w14:paraId="25D0A724">
      <w:pPr>
        <w:numPr>
          <w:ilvl w:val="0"/>
          <w:numId w:val="0"/>
        </w:numPr>
        <w:spacing w:line="360" w:lineRule="auto"/>
        <w:ind w:leftChars="0"/>
        <w:rPr>
          <w:rFonts w:ascii="宋体" w:hAnsi="宋体" w:eastAsia="宋体" w:cs="宋体"/>
          <w:b/>
          <w:sz w:val="21"/>
          <w:szCs w:val="21"/>
          <w:highlight w:val="none"/>
        </w:rPr>
      </w:pPr>
      <w:r>
        <w:rPr>
          <w:rFonts w:hint="eastAsia" w:ascii="宋体" w:hAnsi="宋体" w:eastAsia="宋体" w:cs="宋体"/>
          <w:b/>
          <w:sz w:val="21"/>
          <w:szCs w:val="21"/>
          <w:highlight w:val="none"/>
        </w:rPr>
        <w:t>注意：投标人均需要自带笔记本电脑在重汽e采通进行自主投标和提交澄清函；投标和提交澄清函均有时间限制，超时未提交的按无效处理。</w:t>
      </w:r>
    </w:p>
    <w:p w14:paraId="5DE4F122">
      <w:pPr>
        <w:numPr>
          <w:ilvl w:val="0"/>
          <w:numId w:val="0"/>
        </w:numPr>
        <w:spacing w:line="360" w:lineRule="auto"/>
        <w:ind w:leftChars="0"/>
        <w:rPr>
          <w:rFonts w:hint="default"/>
          <w:szCs w:val="21"/>
          <w:highlight w:val="yellow"/>
          <w:lang w:val="en-US" w:eastAsia="zh-CN"/>
        </w:rPr>
      </w:pPr>
      <w:r>
        <w:rPr>
          <w:rFonts w:hint="eastAsia" w:ascii="宋体" w:hAnsi="宋体" w:eastAsia="宋体" w:cs="宋体"/>
          <w:b/>
          <w:sz w:val="21"/>
          <w:szCs w:val="21"/>
          <w:highlight w:val="none"/>
          <w:lang w:eastAsia="zh-CN"/>
        </w:rPr>
        <w:t>（</w:t>
      </w:r>
      <w:r>
        <w:rPr>
          <w:rFonts w:hint="eastAsia" w:ascii="宋体" w:hAnsi="宋体" w:cs="宋体"/>
          <w:b/>
          <w:sz w:val="21"/>
          <w:szCs w:val="21"/>
          <w:highlight w:val="none"/>
          <w:lang w:val="en-US" w:eastAsia="zh-CN"/>
        </w:rPr>
        <w:t>6</w:t>
      </w:r>
      <w:r>
        <w:rPr>
          <w:rFonts w:hint="eastAsia" w:ascii="宋体" w:hAnsi="宋体" w:eastAsia="宋体" w:cs="宋体"/>
          <w:b/>
          <w:sz w:val="21"/>
          <w:szCs w:val="21"/>
          <w:highlight w:val="none"/>
          <w:lang w:eastAsia="zh-CN"/>
        </w:rPr>
        <w:t>）、</w:t>
      </w:r>
      <w:r>
        <w:rPr>
          <w:rFonts w:hint="eastAsia" w:ascii="宋体" w:hAnsi="宋体" w:eastAsia="宋体" w:cs="宋体"/>
          <w:b/>
          <w:sz w:val="21"/>
          <w:szCs w:val="21"/>
          <w:highlight w:val="none"/>
        </w:rPr>
        <w:t>中标人确定：技术标入围后，原则上</w:t>
      </w:r>
      <w:r>
        <w:rPr>
          <w:rFonts w:hint="eastAsia" w:ascii="宋体" w:hAnsi="宋体" w:eastAsia="宋体" w:cs="宋体"/>
          <w:b/>
          <w:bCs/>
          <w:sz w:val="21"/>
          <w:szCs w:val="21"/>
          <w:highlight w:val="none"/>
        </w:rPr>
        <w:t>合理最低价</w:t>
      </w:r>
      <w:r>
        <w:rPr>
          <w:rFonts w:hint="eastAsia" w:ascii="宋体" w:hAnsi="宋体" w:eastAsia="宋体" w:cs="宋体"/>
          <w:b/>
          <w:sz w:val="21"/>
          <w:szCs w:val="21"/>
          <w:highlight w:val="none"/>
        </w:rPr>
        <w:t>中标。</w:t>
      </w:r>
    </w:p>
    <w:p w14:paraId="587C3B5D">
      <w:pPr>
        <w:pStyle w:val="11"/>
        <w:spacing w:line="360" w:lineRule="auto"/>
        <w:rPr>
          <w:rFonts w:ascii="黑体" w:eastAsia="黑体"/>
          <w:b/>
          <w:bCs/>
          <w:sz w:val="28"/>
        </w:rPr>
      </w:pPr>
      <w:r>
        <w:rPr>
          <w:rFonts w:hint="eastAsia" w:ascii="黑体" w:eastAsia="黑体"/>
          <w:b/>
          <w:bCs/>
          <w:sz w:val="28"/>
        </w:rPr>
        <w:t>八、合同签订</w:t>
      </w:r>
    </w:p>
    <w:p w14:paraId="1123A268">
      <w:pPr>
        <w:pStyle w:val="11"/>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03D250E8">
      <w:pPr>
        <w:pStyle w:val="11"/>
        <w:spacing w:line="360" w:lineRule="auto"/>
        <w:ind w:firstLine="420" w:firstLineChars="200"/>
        <w:rPr>
          <w:szCs w:val="21"/>
        </w:rPr>
      </w:pPr>
      <w:r>
        <w:rPr>
          <w:rFonts w:hint="eastAsia"/>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szCs w:val="21"/>
        </w:rPr>
        <w:t>招标人有权取消其中标资格，招标人将从剩余投标人中依序重新确定中标人，或重新组织招标。</w:t>
      </w:r>
    </w:p>
    <w:p w14:paraId="6CA596F9">
      <w:pPr>
        <w:pStyle w:val="11"/>
        <w:spacing w:line="360" w:lineRule="auto"/>
        <w:ind w:firstLine="420" w:firstLineChars="200"/>
        <w:rPr>
          <w:szCs w:val="21"/>
        </w:rPr>
      </w:pPr>
      <w:r>
        <w:rPr>
          <w:rFonts w:hint="eastAsia"/>
          <w:szCs w:val="21"/>
        </w:rPr>
        <w:t>3.</w:t>
      </w:r>
      <w:r>
        <w:rPr>
          <w:rFonts w:hint="eastAsia" w:hAnsi="宋体"/>
          <w:szCs w:val="21"/>
        </w:rPr>
        <w:t>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14:paraId="5A8E40DD">
      <w:pPr>
        <w:pStyle w:val="11"/>
        <w:spacing w:line="360" w:lineRule="auto"/>
        <w:ind w:firstLine="420" w:firstLineChars="200"/>
        <w:rPr>
          <w:szCs w:val="21"/>
        </w:rPr>
      </w:pPr>
      <w:r>
        <w:rPr>
          <w:rFonts w:hint="eastAsia"/>
          <w:szCs w:val="21"/>
        </w:rPr>
        <w:t>4.中标人应在保证质量的前提下完成中标项目，不得将中标项目转包或分包给他人，否则视为违约，招标人或相关单位有权解除合同。</w:t>
      </w:r>
    </w:p>
    <w:p w14:paraId="5D269087">
      <w:pPr>
        <w:pStyle w:val="11"/>
        <w:spacing w:line="360" w:lineRule="auto"/>
        <w:ind w:firstLine="420" w:firstLineChars="200"/>
        <w:rPr>
          <w:szCs w:val="21"/>
        </w:rPr>
      </w:pPr>
      <w:r>
        <w:rPr>
          <w:rFonts w:hint="eastAsia"/>
          <w:szCs w:val="21"/>
        </w:rPr>
        <w:t>5.在履行合同过程中，中标人由于履行义务的能力或信用有严重缺陷，招标人有权解除合同并取消其中标资格，招标人将从剩余投标人中依序重新确定中标人，或重新组织招标。</w:t>
      </w:r>
    </w:p>
    <w:p w14:paraId="4F4B45A9">
      <w:pPr>
        <w:pStyle w:val="11"/>
        <w:spacing w:line="360" w:lineRule="auto"/>
        <w:ind w:firstLine="420" w:firstLineChars="200"/>
        <w:rPr>
          <w:szCs w:val="21"/>
        </w:rPr>
      </w:pPr>
      <w:r>
        <w:rPr>
          <w:rFonts w:hint="eastAsia"/>
          <w:szCs w:val="21"/>
        </w:rPr>
        <w:t>6.招标人有权指定招标人的关联单位作为合同签订人，与中标人签署相关合同，且具体权利义务以双方最终签署的合同为准。</w:t>
      </w:r>
    </w:p>
    <w:p w14:paraId="36F1968E">
      <w:pPr>
        <w:pStyle w:val="11"/>
        <w:spacing w:line="360" w:lineRule="auto"/>
        <w:ind w:firstLine="420" w:firstLineChars="200"/>
        <w:rPr>
          <w:szCs w:val="21"/>
        </w:rPr>
      </w:pPr>
      <w:r>
        <w:rPr>
          <w:rFonts w:hint="eastAsia"/>
        </w:rPr>
        <w:t>7.中标人须认可招标人由于招标人上级集团公司政策变化引起的随时终止项目的要求。</w:t>
      </w:r>
    </w:p>
    <w:p w14:paraId="1136294F">
      <w:pPr>
        <w:pStyle w:val="11"/>
        <w:spacing w:line="360" w:lineRule="auto"/>
        <w:rPr>
          <w:rFonts w:ascii="黑体" w:eastAsia="黑体"/>
          <w:b/>
          <w:bCs/>
          <w:sz w:val="28"/>
        </w:rPr>
      </w:pPr>
      <w:r>
        <w:rPr>
          <w:rFonts w:hint="eastAsia" w:ascii="黑体" w:eastAsia="黑体"/>
          <w:b/>
          <w:bCs/>
          <w:sz w:val="28"/>
        </w:rPr>
        <w:t>九、废标及终止招标</w:t>
      </w:r>
    </w:p>
    <w:p w14:paraId="2639890B">
      <w:pPr>
        <w:spacing w:line="520" w:lineRule="exact"/>
        <w:ind w:right="2" w:firstLine="420" w:firstLineChars="200"/>
        <w:rPr>
          <w:rFonts w:ascii="宋体"/>
        </w:rPr>
      </w:pPr>
      <w:r>
        <w:rPr>
          <w:rFonts w:hint="eastAsia" w:ascii="宋体"/>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3347DA8">
      <w:pPr>
        <w:spacing w:line="520" w:lineRule="exact"/>
        <w:ind w:right="2" w:firstLine="420" w:firstLineChars="200"/>
        <w:rPr>
          <w:rFonts w:ascii="宋体"/>
        </w:rPr>
      </w:pPr>
      <w:r>
        <w:rPr>
          <w:rFonts w:hint="eastAsia" w:ascii="宋体"/>
        </w:rPr>
        <w:t>⑴投标人提供的有关资格、资质证明文件不合格、不真实或提供虚假投标材料；</w:t>
      </w:r>
    </w:p>
    <w:p w14:paraId="4270F791">
      <w:pPr>
        <w:spacing w:line="520" w:lineRule="exact"/>
        <w:ind w:right="2" w:firstLine="420" w:firstLineChars="200"/>
        <w:rPr>
          <w:rFonts w:ascii="宋体"/>
        </w:rPr>
      </w:pPr>
      <w:r>
        <w:rPr>
          <w:rFonts w:hint="eastAsia" w:ascii="宋体"/>
        </w:rPr>
        <w:t>⑵投标人在报价有效期内撤回投标；</w:t>
      </w:r>
    </w:p>
    <w:p w14:paraId="347ECC5A">
      <w:pPr>
        <w:spacing w:line="520" w:lineRule="exact"/>
        <w:ind w:right="2" w:firstLine="420" w:firstLineChars="200"/>
        <w:rPr>
          <w:rFonts w:ascii="宋体"/>
        </w:rPr>
      </w:pPr>
      <w:r>
        <w:rPr>
          <w:rFonts w:hint="eastAsia" w:ascii="宋体"/>
        </w:rPr>
        <w:t>⑶在整个评标过程中，投标人有企图影响评标结果公正性的任何活动；</w:t>
      </w:r>
    </w:p>
    <w:p w14:paraId="39F9FA25">
      <w:pPr>
        <w:spacing w:line="520" w:lineRule="exact"/>
        <w:ind w:right="2" w:firstLine="420" w:firstLineChars="200"/>
        <w:rPr>
          <w:rFonts w:ascii="宋体"/>
        </w:rPr>
      </w:pPr>
      <w:r>
        <w:rPr>
          <w:rFonts w:hint="eastAsia" w:ascii="宋体"/>
        </w:rPr>
        <w:t>⑷投标人以任何方式诋毁其他投标人；</w:t>
      </w:r>
    </w:p>
    <w:p w14:paraId="3C571E4A">
      <w:pPr>
        <w:spacing w:line="520" w:lineRule="exact"/>
        <w:ind w:right="2" w:firstLine="420" w:firstLineChars="200"/>
        <w:rPr>
          <w:rFonts w:ascii="宋体"/>
        </w:rPr>
      </w:pPr>
      <w:r>
        <w:rPr>
          <w:rFonts w:hint="eastAsia" w:ascii="宋体"/>
        </w:rPr>
        <w:t>⑸投标人串通投标；</w:t>
      </w:r>
    </w:p>
    <w:p w14:paraId="13F553FD">
      <w:pPr>
        <w:spacing w:line="520" w:lineRule="exact"/>
        <w:ind w:right="2" w:firstLine="420" w:firstLineChars="200"/>
        <w:rPr>
          <w:rFonts w:ascii="宋体"/>
        </w:rPr>
      </w:pPr>
      <w:r>
        <w:rPr>
          <w:rFonts w:hint="eastAsia" w:ascii="宋体"/>
        </w:rPr>
        <w:t>⑹以他人名义投标或者以其他方式弄虚作假，骗取中标的；</w:t>
      </w:r>
    </w:p>
    <w:p w14:paraId="1D88A765">
      <w:pPr>
        <w:spacing w:line="520" w:lineRule="exact"/>
        <w:ind w:right="2" w:firstLine="420" w:firstLineChars="200"/>
        <w:rPr>
          <w:rFonts w:ascii="宋体"/>
        </w:rPr>
      </w:pPr>
      <w:r>
        <w:rPr>
          <w:rFonts w:hint="eastAsia" w:ascii="宋体"/>
        </w:rPr>
        <w:t>⑺中标人不按规定签订合同；</w:t>
      </w:r>
    </w:p>
    <w:p w14:paraId="7D471641">
      <w:pPr>
        <w:spacing w:line="520" w:lineRule="exact"/>
        <w:ind w:right="2" w:firstLine="420" w:firstLineChars="200"/>
        <w:rPr>
          <w:rFonts w:ascii="宋体"/>
        </w:rPr>
      </w:pPr>
      <w:r>
        <w:rPr>
          <w:rFonts w:hint="eastAsia" w:ascii="宋体"/>
        </w:rPr>
        <w:t>⑻法律、法规规定的其他情况。</w:t>
      </w:r>
    </w:p>
    <w:p w14:paraId="2C4BAF52">
      <w:pPr>
        <w:spacing w:line="520" w:lineRule="exact"/>
        <w:ind w:right="2" w:firstLine="360" w:firstLineChars="200"/>
        <w:rPr>
          <w:rFonts w:ascii="Arial" w:hAnsi="Arial" w:cs="Arial"/>
          <w:color w:val="333333"/>
          <w:szCs w:val="21"/>
          <w:shd w:val="clear" w:color="auto" w:fill="FFFFFF"/>
        </w:rPr>
      </w:pPr>
      <w:r>
        <w:rPr>
          <w:rFonts w:hint="eastAsia" w:ascii="宋体"/>
          <w:sz w:val="18"/>
          <w:szCs w:val="18"/>
        </w:rPr>
        <w:t>(</w:t>
      </w:r>
      <w:r>
        <w:rPr>
          <w:rFonts w:ascii="宋体"/>
          <w:sz w:val="18"/>
          <w:szCs w:val="18"/>
        </w:rPr>
        <w:t>9)</w:t>
      </w:r>
      <w:r>
        <w:rPr>
          <w:rFonts w:ascii="Arial" w:hAnsi="Arial" w:cs="Arial"/>
          <w:color w:val="333333"/>
          <w:szCs w:val="21"/>
          <w:shd w:val="clear" w:color="auto" w:fill="FFFFFF"/>
        </w:rPr>
        <w:t>投标人负责人为同一人或者存在控股、管理关系的不同单位；</w:t>
      </w:r>
    </w:p>
    <w:p w14:paraId="75D446A1">
      <w:pPr>
        <w:spacing w:line="520" w:lineRule="exact"/>
        <w:ind w:right="2" w:firstLine="360" w:firstLineChars="200"/>
        <w:rPr>
          <w:rFonts w:ascii="宋体"/>
        </w:rPr>
      </w:pPr>
      <w:r>
        <w:rPr>
          <w:rFonts w:ascii="宋体"/>
          <w:sz w:val="18"/>
          <w:szCs w:val="18"/>
        </w:rPr>
        <w:t>(</w:t>
      </w:r>
      <w:r>
        <w:rPr>
          <w:rFonts w:hint="eastAsia" w:ascii="宋体"/>
          <w:sz w:val="18"/>
          <w:szCs w:val="18"/>
        </w:rPr>
        <w:t>1</w:t>
      </w:r>
      <w:r>
        <w:rPr>
          <w:rFonts w:ascii="宋体"/>
          <w:sz w:val="18"/>
          <w:szCs w:val="18"/>
        </w:rPr>
        <w:t>0)</w:t>
      </w:r>
      <w:r>
        <w:rPr>
          <w:rFonts w:ascii="Arial" w:hAnsi="Arial" w:cs="Arial"/>
          <w:color w:val="333333"/>
          <w:szCs w:val="21"/>
          <w:shd w:val="clear" w:color="auto" w:fill="FFFFFF"/>
        </w:rPr>
        <w:t>投标人被举报、检举，并经招标方查实无误的</w:t>
      </w:r>
      <w:r>
        <w:rPr>
          <w:rFonts w:hint="eastAsia" w:ascii="宋体"/>
        </w:rPr>
        <w:t>。</w:t>
      </w:r>
    </w:p>
    <w:p w14:paraId="05DA4216">
      <w:pPr>
        <w:spacing w:line="520" w:lineRule="exact"/>
        <w:ind w:right="2" w:firstLine="420" w:firstLineChars="200"/>
        <w:rPr>
          <w:rFonts w:ascii="宋体"/>
        </w:rPr>
      </w:pPr>
      <w:r>
        <w:rPr>
          <w:rFonts w:hint="eastAsia" w:ascii="宋体"/>
        </w:rPr>
        <w:t>2.出现下列情形之一，招标人有权否决所有投标人的投标，并终止招标。</w:t>
      </w:r>
    </w:p>
    <w:p w14:paraId="3DDFD34C">
      <w:pPr>
        <w:spacing w:line="520" w:lineRule="exact"/>
        <w:ind w:right="2" w:firstLine="420" w:firstLineChars="200"/>
        <w:rPr>
          <w:rFonts w:ascii="宋体"/>
        </w:rPr>
      </w:pPr>
      <w:r>
        <w:rPr>
          <w:rFonts w:hint="eastAsia" w:ascii="宋体"/>
        </w:rPr>
        <w:t>⑴出现影响采购公正的违法、违规行为的。</w:t>
      </w:r>
    </w:p>
    <w:p w14:paraId="41222737">
      <w:pPr>
        <w:spacing w:line="520" w:lineRule="exact"/>
        <w:ind w:right="2" w:firstLine="420" w:firstLineChars="200"/>
        <w:rPr>
          <w:rFonts w:ascii="宋体"/>
        </w:rPr>
      </w:pPr>
      <w:r>
        <w:rPr>
          <w:rFonts w:hint="eastAsia" w:ascii="宋体"/>
        </w:rPr>
        <w:t>⑵因重大变故，采购任务取消的。</w:t>
      </w:r>
    </w:p>
    <w:p w14:paraId="3442F5CF">
      <w:pPr>
        <w:spacing w:line="520" w:lineRule="exact"/>
        <w:ind w:right="2" w:firstLine="420" w:firstLineChars="200"/>
        <w:rPr>
          <w:rFonts w:ascii="宋体"/>
        </w:rPr>
      </w:pPr>
      <w:r>
        <w:rPr>
          <w:rFonts w:hint="eastAsia" w:ascii="宋体"/>
        </w:rPr>
        <w:t>⑶招标人认为其他应终止招标的情形。</w:t>
      </w:r>
    </w:p>
    <w:p w14:paraId="0974A99C">
      <w:pPr>
        <w:spacing w:line="520" w:lineRule="exact"/>
        <w:ind w:right="2" w:firstLine="420" w:firstLineChars="200"/>
        <w:rPr>
          <w:rFonts w:ascii="宋体"/>
        </w:rPr>
      </w:pPr>
      <w:r>
        <w:rPr>
          <w:rFonts w:hint="eastAsia" w:ascii="宋体"/>
        </w:rPr>
        <w:t>⑷符合投标条件的投标人或者对招标文件做实质响应的投标人不足三家。</w:t>
      </w:r>
    </w:p>
    <w:p w14:paraId="1D3EB88C">
      <w:pPr>
        <w:pStyle w:val="11"/>
        <w:spacing w:line="360" w:lineRule="auto"/>
        <w:rPr>
          <w:rFonts w:ascii="黑体" w:eastAsia="黑体"/>
          <w:b/>
          <w:bCs/>
          <w:sz w:val="28"/>
        </w:rPr>
      </w:pPr>
      <w:r>
        <w:rPr>
          <w:rFonts w:hint="eastAsia" w:ascii="黑体" w:eastAsia="黑体"/>
          <w:b/>
          <w:bCs/>
          <w:sz w:val="28"/>
        </w:rPr>
        <w:t>十、中标人瑕疵滞后发现的处理原则</w:t>
      </w:r>
    </w:p>
    <w:p w14:paraId="1D14EEA9">
      <w:pPr>
        <w:spacing w:line="520" w:lineRule="exact"/>
        <w:ind w:right="2" w:firstLine="420" w:firstLineChars="200"/>
        <w:rPr>
          <w:rFonts w:ascii="宋体"/>
        </w:rPr>
      </w:pPr>
      <w:r>
        <w:rPr>
          <w:rFonts w:hint="eastAsia" w:ascii="宋体"/>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077A4345">
      <w:pPr>
        <w:pStyle w:val="11"/>
        <w:spacing w:line="360" w:lineRule="auto"/>
        <w:ind w:left="420" w:leftChars="200" w:firstLine="4" w:firstLineChars="2"/>
      </w:pPr>
    </w:p>
    <w:p w14:paraId="79F6114B">
      <w:pPr>
        <w:pStyle w:val="11"/>
        <w:spacing w:line="360" w:lineRule="auto"/>
        <w:rPr>
          <w:rFonts w:ascii="黑体" w:eastAsia="黑体"/>
          <w:b/>
          <w:bCs/>
          <w:sz w:val="28"/>
        </w:rPr>
      </w:pPr>
      <w:r>
        <w:rPr>
          <w:rFonts w:ascii="黑体" w:eastAsia="黑体"/>
          <w:b/>
          <w:bCs/>
          <w:sz w:val="28"/>
        </w:rPr>
        <w:t>十</w:t>
      </w:r>
      <w:r>
        <w:rPr>
          <w:rFonts w:hint="eastAsia" w:ascii="黑体" w:eastAsia="黑体"/>
          <w:b/>
          <w:bCs/>
          <w:sz w:val="28"/>
        </w:rPr>
        <w:t>一、</w:t>
      </w:r>
      <w:r>
        <w:rPr>
          <w:rFonts w:ascii="黑体" w:eastAsia="黑体"/>
          <w:b/>
          <w:bCs/>
          <w:sz w:val="28"/>
        </w:rPr>
        <w:t>解释权</w:t>
      </w:r>
    </w:p>
    <w:p w14:paraId="56D335B9">
      <w:pPr>
        <w:spacing w:line="520" w:lineRule="exact"/>
        <w:ind w:right="2" w:firstLine="420" w:firstLineChars="200"/>
        <w:rPr>
          <w:rFonts w:ascii="宋体"/>
        </w:rPr>
      </w:pPr>
      <w:r>
        <w:rPr>
          <w:rFonts w:hint="eastAsia" w:ascii="宋体"/>
        </w:rPr>
        <w:t>1、本招标文件的最终解释权归招标人，当对一个问题有多种解释时以招标人的书面解释为准。</w:t>
      </w:r>
    </w:p>
    <w:p w14:paraId="2075C30C">
      <w:pPr>
        <w:spacing w:line="520" w:lineRule="exact"/>
        <w:ind w:right="2" w:firstLine="420" w:firstLineChars="200"/>
        <w:rPr>
          <w:rFonts w:hint="eastAsia" w:ascii="宋体"/>
        </w:rPr>
      </w:pPr>
      <w:r>
        <w:rPr>
          <w:rFonts w:hint="eastAsia" w:ascii="宋体"/>
        </w:rPr>
        <w:t>2、招标文件未做须知明示，而又有相关法律、法规规定的，招标人对此所做解释以相关的法律、法规规定为依据。</w:t>
      </w:r>
    </w:p>
    <w:p w14:paraId="4511C099">
      <w:pPr>
        <w:pStyle w:val="11"/>
        <w:rPr>
          <w:rFonts w:hint="eastAsia" w:ascii="宋体"/>
        </w:rPr>
      </w:pPr>
    </w:p>
    <w:p w14:paraId="62DA6087">
      <w:pPr>
        <w:pStyle w:val="2"/>
        <w:bidi w:val="0"/>
        <w:jc w:val="center"/>
      </w:pPr>
      <w:bookmarkStart w:id="4" w:name="_Toc19138"/>
      <w:r>
        <w:rPr>
          <w:rFonts w:hint="eastAsia"/>
        </w:rPr>
        <w:t>第</w:t>
      </w:r>
      <w:r>
        <w:rPr>
          <w:rFonts w:hint="eastAsia"/>
          <w:lang w:val="en-US" w:eastAsia="zh-CN"/>
        </w:rPr>
        <w:t>二</w:t>
      </w:r>
      <w:r>
        <w:rPr>
          <w:rFonts w:hint="eastAsia"/>
        </w:rPr>
        <w:t xml:space="preserve">章  </w:t>
      </w:r>
      <w:r>
        <w:t>技术</w:t>
      </w:r>
      <w:r>
        <w:rPr>
          <w:rFonts w:hint="eastAsia"/>
        </w:rPr>
        <w:t>协议</w:t>
      </w:r>
      <w:r>
        <w:t>书</w:t>
      </w:r>
      <w:bookmarkEnd w:id="4"/>
    </w:p>
    <w:p w14:paraId="368E015B">
      <w:pPr>
        <w:pageBreakBefore w:val="0"/>
        <w:kinsoku/>
        <w:wordWrap/>
        <w:overflowPunct/>
        <w:topLinePunct w:val="0"/>
        <w:bidi w:val="0"/>
        <w:spacing w:line="240" w:lineRule="auto"/>
        <w:rPr>
          <w:rFonts w:hint="eastAsia" w:ascii="仿宋" w:hAnsi="仿宋" w:eastAsia="仿宋" w:cs="仿宋"/>
          <w:color w:val="auto"/>
          <w:highlight w:val="none"/>
          <w:lang w:eastAsia="zh-CN"/>
        </w:rPr>
      </w:pPr>
      <w:r>
        <w:rPr>
          <w:rFonts w:hint="eastAsia" w:ascii="仿宋" w:hAnsi="仿宋" w:eastAsia="仿宋" w:cs="仿宋"/>
          <w:color w:val="auto"/>
          <w:highlight w:val="none"/>
        </w:rPr>
        <w:t>附件</w:t>
      </w:r>
      <w:r>
        <w:rPr>
          <w:rFonts w:hint="eastAsia" w:ascii="仿宋" w:hAnsi="仿宋" w:eastAsia="仿宋" w:cs="仿宋"/>
          <w:color w:val="auto"/>
          <w:highlight w:val="none"/>
          <w:lang w:val="en-US" w:eastAsia="zh-CN"/>
        </w:rPr>
        <w:t>6</w:t>
      </w:r>
      <w:r>
        <w:rPr>
          <w:rFonts w:hint="eastAsia" w:ascii="仿宋" w:hAnsi="仿宋" w:eastAsia="仿宋" w:cs="仿宋"/>
          <w:color w:val="auto"/>
          <w:highlight w:val="none"/>
        </w:rPr>
        <w:t>：</w:t>
      </w:r>
    </w:p>
    <w:p w14:paraId="2245F92E">
      <w:pPr>
        <w:pageBreakBefore w:val="0"/>
        <w:kinsoku/>
        <w:wordWrap/>
        <w:overflowPunct/>
        <w:topLinePunct w:val="0"/>
        <w:autoSpaceDE w:val="0"/>
        <w:autoSpaceDN w:val="0"/>
        <w:bidi w:val="0"/>
        <w:adjustRightInd w:val="0"/>
        <w:spacing w:line="240" w:lineRule="auto"/>
        <w:ind w:firstLine="0" w:firstLineChars="0"/>
        <w:jc w:val="center"/>
        <w:rPr>
          <w:rFonts w:hint="eastAsia" w:ascii="黑体" w:hAnsi="黑体" w:eastAsia="黑体" w:cs="宋体"/>
          <w:color w:val="auto"/>
          <w:kern w:val="0"/>
          <w:sz w:val="28"/>
          <w:szCs w:val="28"/>
          <w:highlight w:val="none"/>
        </w:rPr>
      </w:pPr>
      <w:r>
        <w:rPr>
          <w:rFonts w:hint="eastAsia" w:ascii="黑体" w:hAnsi="黑体" w:eastAsia="黑体" w:cs="宋体"/>
          <w:color w:val="auto"/>
          <w:kern w:val="0"/>
          <w:sz w:val="28"/>
          <w:szCs w:val="28"/>
          <w:highlight w:val="none"/>
        </w:rPr>
        <w:t>生产业务外包方案</w:t>
      </w:r>
    </w:p>
    <w:p w14:paraId="32B0FCA6">
      <w:pPr>
        <w:pageBreakBefore w:val="0"/>
        <w:kinsoku/>
        <w:wordWrap/>
        <w:overflowPunct/>
        <w:topLinePunct w:val="0"/>
        <w:autoSpaceDE w:val="0"/>
        <w:autoSpaceDN w:val="0"/>
        <w:bidi w:val="0"/>
        <w:adjustRightInd w:val="0"/>
        <w:spacing w:line="240" w:lineRule="auto"/>
        <w:ind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一、业务外包方选择方案</w:t>
      </w:r>
    </w:p>
    <w:p w14:paraId="19E3BA35">
      <w:pPr>
        <w:pageBreakBefore w:val="0"/>
        <w:kinsoku/>
        <w:wordWrap/>
        <w:overflowPunct/>
        <w:topLinePunct w:val="0"/>
        <w:autoSpaceDE w:val="0"/>
        <w:autoSpaceDN w:val="0"/>
        <w:bidi w:val="0"/>
        <w:adjustRightInd w:val="0"/>
        <w:spacing w:line="240" w:lineRule="auto"/>
        <w:ind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二、预计成本及费用</w:t>
      </w:r>
    </w:p>
    <w:p w14:paraId="615803A8">
      <w:pPr>
        <w:pageBreakBefore w:val="0"/>
        <w:kinsoku/>
        <w:wordWrap/>
        <w:overflowPunct/>
        <w:topLinePunct w:val="0"/>
        <w:autoSpaceDE w:val="0"/>
        <w:autoSpaceDN w:val="0"/>
        <w:bidi w:val="0"/>
        <w:adjustRightInd w:val="0"/>
        <w:spacing w:line="240" w:lineRule="auto"/>
        <w:ind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三、工艺定员</w:t>
      </w:r>
    </w:p>
    <w:p w14:paraId="76823CCF">
      <w:pPr>
        <w:pageBreakBefore w:val="0"/>
        <w:kinsoku/>
        <w:wordWrap/>
        <w:overflowPunct/>
        <w:topLinePunct w:val="0"/>
        <w:autoSpaceDE w:val="0"/>
        <w:autoSpaceDN w:val="0"/>
        <w:bidi w:val="0"/>
        <w:adjustRightInd w:val="0"/>
        <w:spacing w:line="240" w:lineRule="auto"/>
        <w:ind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四、人员管理及岗位优化</w:t>
      </w:r>
    </w:p>
    <w:p w14:paraId="5FABBBCF">
      <w:pPr>
        <w:pageBreakBefore w:val="0"/>
        <w:kinsoku/>
        <w:wordWrap/>
        <w:overflowPunct/>
        <w:topLinePunct w:val="0"/>
        <w:autoSpaceDE w:val="0"/>
        <w:autoSpaceDN w:val="0"/>
        <w:bidi w:val="0"/>
        <w:adjustRightInd w:val="0"/>
        <w:spacing w:line="240" w:lineRule="auto"/>
        <w:ind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五、设备管理</w:t>
      </w:r>
    </w:p>
    <w:p w14:paraId="56501BEC">
      <w:pPr>
        <w:pageBreakBefore w:val="0"/>
        <w:kinsoku/>
        <w:wordWrap/>
        <w:overflowPunct/>
        <w:topLinePunct w:val="0"/>
        <w:autoSpaceDE w:val="0"/>
        <w:autoSpaceDN w:val="0"/>
        <w:bidi w:val="0"/>
        <w:adjustRightInd w:val="0"/>
        <w:spacing w:line="240" w:lineRule="auto"/>
        <w:ind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六、物料计划</w:t>
      </w:r>
    </w:p>
    <w:p w14:paraId="0391FBAB">
      <w:pPr>
        <w:pageBreakBefore w:val="0"/>
        <w:kinsoku/>
        <w:wordWrap/>
        <w:overflowPunct/>
        <w:topLinePunct w:val="0"/>
        <w:autoSpaceDE w:val="0"/>
        <w:autoSpaceDN w:val="0"/>
        <w:bidi w:val="0"/>
        <w:adjustRightInd w:val="0"/>
        <w:spacing w:line="240" w:lineRule="auto"/>
        <w:ind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七、工艺方案</w:t>
      </w:r>
    </w:p>
    <w:p w14:paraId="4D77E868">
      <w:pPr>
        <w:pageBreakBefore w:val="0"/>
        <w:kinsoku/>
        <w:wordWrap/>
        <w:overflowPunct/>
        <w:topLinePunct w:val="0"/>
        <w:autoSpaceDE w:val="0"/>
        <w:autoSpaceDN w:val="0"/>
        <w:bidi w:val="0"/>
        <w:adjustRightInd w:val="0"/>
        <w:spacing w:line="240" w:lineRule="auto"/>
        <w:ind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八、场地要求</w:t>
      </w:r>
    </w:p>
    <w:p w14:paraId="77D597FF">
      <w:pPr>
        <w:pageBreakBefore w:val="0"/>
        <w:kinsoku/>
        <w:wordWrap/>
        <w:overflowPunct/>
        <w:topLinePunct w:val="0"/>
        <w:autoSpaceDE w:val="0"/>
        <w:autoSpaceDN w:val="0"/>
        <w:bidi w:val="0"/>
        <w:adjustRightInd w:val="0"/>
        <w:spacing w:line="240" w:lineRule="auto"/>
        <w:ind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九、质量管控措施</w:t>
      </w:r>
    </w:p>
    <w:p w14:paraId="25EAE956">
      <w:pPr>
        <w:pageBreakBefore w:val="0"/>
        <w:kinsoku/>
        <w:wordWrap/>
        <w:overflowPunct/>
        <w:topLinePunct w:val="0"/>
        <w:autoSpaceDE w:val="0"/>
        <w:autoSpaceDN w:val="0"/>
        <w:bidi w:val="0"/>
        <w:adjustRightInd w:val="0"/>
        <w:spacing w:line="240" w:lineRule="auto"/>
        <w:ind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十、业务外包有效期</w:t>
      </w:r>
    </w:p>
    <w:p w14:paraId="7321AE44">
      <w:pPr>
        <w:pageBreakBefore w:val="0"/>
        <w:kinsoku/>
        <w:wordWrap/>
        <w:overflowPunct/>
        <w:topLinePunct w:val="0"/>
        <w:autoSpaceDE w:val="0"/>
        <w:autoSpaceDN w:val="0"/>
        <w:bidi w:val="0"/>
        <w:adjustRightInd w:val="0"/>
        <w:spacing w:line="240" w:lineRule="auto"/>
        <w:ind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十一、其他</w:t>
      </w:r>
    </w:p>
    <w:p w14:paraId="51BE0EBF">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0"/>
          <w:szCs w:val="18"/>
          <w:highlight w:val="none"/>
        </w:rPr>
      </w:pPr>
    </w:p>
    <w:p w14:paraId="4FC4F752">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0"/>
          <w:szCs w:val="18"/>
          <w:highlight w:val="none"/>
        </w:rPr>
      </w:pPr>
    </w:p>
    <w:p w14:paraId="41CF9A94">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 w:hAnsi="仿宋" w:eastAsia="仿宋" w:cs="仿宋"/>
          <w:color w:val="auto"/>
          <w:sz w:val="20"/>
          <w:szCs w:val="18"/>
          <w:highlight w:val="none"/>
        </w:rPr>
      </w:pPr>
    </w:p>
    <w:p w14:paraId="3ECC6EB1">
      <w:pPr>
        <w:keepNext w:val="0"/>
        <w:keepLines w:val="0"/>
        <w:pageBreakBefore w:val="0"/>
        <w:widowControl w:val="0"/>
        <w:kinsoku/>
        <w:wordWrap/>
        <w:overflowPunct/>
        <w:topLinePunct w:val="0"/>
        <w:autoSpaceDE/>
        <w:autoSpaceDN/>
        <w:bidi w:val="0"/>
        <w:adjustRightInd w:val="0"/>
        <w:snapToGrid w:val="0"/>
        <w:spacing w:line="240" w:lineRule="auto"/>
        <w:ind w:firstLine="560" w:firstLineChars="200"/>
        <w:jc w:val="both"/>
        <w:textAlignment w:val="auto"/>
        <w:rPr>
          <w:rFonts w:hint="eastAsia" w:ascii="Times New Roman" w:hAnsi="Times New Roman" w:eastAsia="仿宋_GB2312" w:cs="Times New Roman"/>
          <w:color w:val="auto"/>
          <w:sz w:val="28"/>
          <w:szCs w:val="28"/>
          <w:highlight w:val="none"/>
        </w:rPr>
      </w:pPr>
      <w:r>
        <w:rPr>
          <w:rFonts w:hint="eastAsia" w:ascii="Times New Roman" w:hAnsi="Times New Roman" w:eastAsia="仿宋_GB2312" w:cs="Times New Roman"/>
          <w:color w:val="auto"/>
          <w:sz w:val="28"/>
          <w:szCs w:val="28"/>
          <w:highlight w:val="none"/>
        </w:rPr>
        <w:t>编制：</w:t>
      </w:r>
    </w:p>
    <w:p w14:paraId="0C671C1B">
      <w:pPr>
        <w:keepNext w:val="0"/>
        <w:keepLines w:val="0"/>
        <w:pageBreakBefore w:val="0"/>
        <w:widowControl w:val="0"/>
        <w:kinsoku/>
        <w:wordWrap/>
        <w:overflowPunct/>
        <w:topLinePunct w:val="0"/>
        <w:autoSpaceDE/>
        <w:autoSpaceDN/>
        <w:bidi w:val="0"/>
        <w:adjustRightInd w:val="0"/>
        <w:snapToGrid w:val="0"/>
        <w:spacing w:line="240" w:lineRule="auto"/>
        <w:ind w:firstLine="560" w:firstLineChars="200"/>
        <w:jc w:val="both"/>
        <w:textAlignment w:val="auto"/>
        <w:rPr>
          <w:rFonts w:hint="eastAsia" w:ascii="Times New Roman" w:hAnsi="Times New Roman" w:eastAsia="仿宋_GB2312" w:cs="Times New Roman"/>
          <w:color w:val="auto"/>
          <w:sz w:val="28"/>
          <w:szCs w:val="28"/>
          <w:highlight w:val="none"/>
        </w:rPr>
      </w:pPr>
      <w:r>
        <w:rPr>
          <w:rFonts w:hint="eastAsia" w:ascii="Times New Roman" w:hAnsi="Times New Roman" w:eastAsia="仿宋_GB2312" w:cs="Times New Roman"/>
          <w:color w:val="auto"/>
          <w:sz w:val="28"/>
          <w:szCs w:val="28"/>
          <w:highlight w:val="none"/>
        </w:rPr>
        <w:t>审核：</w:t>
      </w:r>
    </w:p>
    <w:p w14:paraId="5BC7A216">
      <w:pPr>
        <w:keepNext w:val="0"/>
        <w:keepLines w:val="0"/>
        <w:pageBreakBefore w:val="0"/>
        <w:widowControl w:val="0"/>
        <w:kinsoku/>
        <w:wordWrap/>
        <w:overflowPunct/>
        <w:topLinePunct w:val="0"/>
        <w:autoSpaceDE/>
        <w:autoSpaceDN/>
        <w:bidi w:val="0"/>
        <w:adjustRightInd w:val="0"/>
        <w:snapToGrid w:val="0"/>
        <w:spacing w:line="240" w:lineRule="auto"/>
        <w:ind w:firstLine="560" w:firstLineChars="200"/>
        <w:jc w:val="both"/>
        <w:textAlignment w:val="auto"/>
        <w:rPr>
          <w:rFonts w:hint="eastAsia" w:ascii="仿宋" w:hAnsi="仿宋" w:eastAsia="仿宋" w:cs="仿宋"/>
          <w:color w:val="auto"/>
          <w:sz w:val="20"/>
          <w:szCs w:val="18"/>
          <w:highlight w:val="none"/>
        </w:rPr>
      </w:pPr>
      <w:r>
        <w:rPr>
          <w:rFonts w:hint="eastAsia" w:ascii="Times New Roman" w:hAnsi="Times New Roman" w:eastAsia="仿宋_GB2312" w:cs="Times New Roman"/>
          <w:color w:val="auto"/>
          <w:sz w:val="28"/>
          <w:szCs w:val="28"/>
          <w:highlight w:val="none"/>
        </w:rPr>
        <w:t>批准：</w:t>
      </w:r>
    </w:p>
    <w:p w14:paraId="625896A9">
      <w:pPr>
        <w:pageBreakBefore w:val="0"/>
        <w:kinsoku/>
        <w:wordWrap/>
        <w:overflowPunct/>
        <w:topLinePunct w:val="0"/>
        <w:bidi w:val="0"/>
        <w:spacing w:line="240" w:lineRule="auto"/>
        <w:ind w:left="0" w:leftChars="0" w:firstLine="0" w:firstLineChars="0"/>
        <w:jc w:val="center"/>
        <w:rPr>
          <w:rFonts w:hint="eastAsia" w:ascii="仿宋" w:hAnsi="仿宋" w:eastAsia="仿宋" w:cs="仿宋"/>
          <w:color w:val="auto"/>
          <w:sz w:val="20"/>
          <w:szCs w:val="18"/>
          <w:highlight w:val="none"/>
        </w:rPr>
      </w:pPr>
    </w:p>
    <w:p w14:paraId="2314DF52">
      <w:pPr>
        <w:pageBreakBefore w:val="0"/>
        <w:kinsoku/>
        <w:wordWrap/>
        <w:overflowPunct/>
        <w:topLinePunct w:val="0"/>
        <w:bidi w:val="0"/>
        <w:spacing w:line="240" w:lineRule="auto"/>
        <w:ind w:left="0" w:leftChars="0" w:firstLine="0" w:firstLineChars="0"/>
        <w:jc w:val="center"/>
        <w:rPr>
          <w:rFonts w:hint="eastAsia" w:ascii="仿宋" w:hAnsi="仿宋" w:eastAsia="仿宋" w:cs="仿宋"/>
          <w:color w:val="auto"/>
          <w:sz w:val="20"/>
          <w:szCs w:val="18"/>
          <w:highlight w:val="none"/>
        </w:rPr>
      </w:pPr>
    </w:p>
    <w:p w14:paraId="3782B720">
      <w:pPr>
        <w:pageBreakBefore w:val="0"/>
        <w:kinsoku/>
        <w:wordWrap/>
        <w:overflowPunct/>
        <w:topLinePunct w:val="0"/>
        <w:bidi w:val="0"/>
        <w:spacing w:line="240" w:lineRule="auto"/>
        <w:ind w:left="0" w:leftChars="0" w:firstLine="0" w:firstLineChars="0"/>
        <w:jc w:val="center"/>
        <w:rPr>
          <w:rFonts w:hint="eastAsia" w:ascii="仿宋" w:hAnsi="仿宋" w:eastAsia="仿宋" w:cs="仿宋"/>
          <w:color w:val="auto"/>
          <w:sz w:val="20"/>
          <w:szCs w:val="18"/>
          <w:highlight w:val="none"/>
        </w:rPr>
      </w:pPr>
    </w:p>
    <w:p w14:paraId="2BDE930D">
      <w:pPr>
        <w:pageBreakBefore w:val="0"/>
        <w:kinsoku/>
        <w:wordWrap/>
        <w:overflowPunct/>
        <w:topLinePunct w:val="0"/>
        <w:bidi w:val="0"/>
        <w:spacing w:line="240" w:lineRule="auto"/>
        <w:ind w:left="0" w:leftChars="0" w:firstLine="0" w:firstLineChars="0"/>
        <w:jc w:val="center"/>
        <w:rPr>
          <w:rFonts w:hint="eastAsia" w:ascii="仿宋" w:hAnsi="仿宋" w:eastAsia="仿宋" w:cs="仿宋"/>
          <w:color w:val="auto"/>
          <w:sz w:val="20"/>
          <w:szCs w:val="18"/>
          <w:highlight w:val="none"/>
        </w:rPr>
      </w:pPr>
    </w:p>
    <w:p w14:paraId="131B67DC">
      <w:pPr>
        <w:pageBreakBefore w:val="0"/>
        <w:kinsoku/>
        <w:wordWrap/>
        <w:overflowPunct/>
        <w:topLinePunct w:val="0"/>
        <w:bidi w:val="0"/>
        <w:spacing w:line="240" w:lineRule="auto"/>
        <w:ind w:left="0" w:leftChars="0" w:firstLine="0" w:firstLineChars="0"/>
        <w:jc w:val="center"/>
        <w:rPr>
          <w:rFonts w:hint="eastAsia" w:ascii="仿宋" w:hAnsi="仿宋" w:eastAsia="仿宋" w:cs="仿宋"/>
          <w:color w:val="auto"/>
          <w:sz w:val="20"/>
          <w:szCs w:val="18"/>
          <w:highlight w:val="none"/>
        </w:rPr>
      </w:pPr>
    </w:p>
    <w:p w14:paraId="1B9C2D88">
      <w:pPr>
        <w:pageBreakBefore w:val="0"/>
        <w:kinsoku/>
        <w:wordWrap/>
        <w:overflowPunct/>
        <w:topLinePunct w:val="0"/>
        <w:bidi w:val="0"/>
        <w:spacing w:line="240" w:lineRule="auto"/>
        <w:ind w:left="0" w:leftChars="0" w:firstLine="0" w:firstLineChars="0"/>
        <w:jc w:val="center"/>
        <w:rPr>
          <w:rFonts w:hint="eastAsia" w:ascii="黑体" w:hAnsi="黑体" w:eastAsia="黑体" w:cs="黑体"/>
          <w:color w:val="auto"/>
          <w:sz w:val="36"/>
          <w:szCs w:val="36"/>
          <w:highlight w:val="none"/>
          <w:lang w:val="en-US" w:eastAsia="zh-CN"/>
        </w:rPr>
      </w:pPr>
      <w:r>
        <w:rPr>
          <w:rFonts w:hint="eastAsia" w:ascii="黑体" w:hAnsi="黑体" w:eastAsia="黑体" w:cs="黑体"/>
          <w:color w:val="auto"/>
          <w:sz w:val="36"/>
          <w:szCs w:val="36"/>
          <w:highlight w:val="none"/>
          <w:lang w:val="en-US" w:eastAsia="zh-CN"/>
        </w:rPr>
        <w:t>济南发动机厂调涂工序生产业务外包方案</w:t>
      </w:r>
    </w:p>
    <w:p w14:paraId="66AC3316">
      <w:pPr>
        <w:pageBreakBefore w:val="0"/>
        <w:numPr>
          <w:ilvl w:val="0"/>
          <w:numId w:val="7"/>
        </w:numPr>
        <w:kinsoku/>
        <w:wordWrap/>
        <w:overflowPunct/>
        <w:topLinePunct w:val="0"/>
        <w:autoSpaceDE w:val="0"/>
        <w:autoSpaceDN w:val="0"/>
        <w:bidi w:val="0"/>
        <w:adjustRightInd w:val="0"/>
        <w:spacing w:line="240" w:lineRule="auto"/>
        <w:ind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业务外包方选择方案</w:t>
      </w:r>
    </w:p>
    <w:p w14:paraId="3AB9A5D2">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1.1</w:t>
      </w:r>
      <w:r>
        <w:rPr>
          <w:rFonts w:hint="eastAsia" w:ascii="Times New Roman" w:hAnsi="Times New Roman" w:eastAsia="仿宋_GB2312" w:cs="Times New Roman"/>
          <w:b w:val="0"/>
          <w:bCs w:val="0"/>
          <w:color w:val="auto"/>
          <w:kern w:val="2"/>
          <w:sz w:val="28"/>
          <w:szCs w:val="28"/>
          <w:highlight w:val="none"/>
          <w:lang w:val="en-US" w:eastAsia="zh-CN" w:bidi="ar-SA"/>
        </w:rPr>
        <w:t>营业执照必须具有相关业务资质，具有IATF16949质量体系认证证书，业务范围必须包含喷涂类生产；</w:t>
      </w:r>
    </w:p>
    <w:p w14:paraId="59347972">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1.2</w:t>
      </w:r>
      <w:r>
        <w:rPr>
          <w:rFonts w:hint="eastAsia" w:ascii="Times New Roman" w:hAnsi="Times New Roman" w:eastAsia="仿宋_GB2312" w:cs="Times New Roman"/>
          <w:b w:val="0"/>
          <w:bCs w:val="0"/>
          <w:color w:val="auto"/>
          <w:kern w:val="2"/>
          <w:sz w:val="28"/>
          <w:szCs w:val="28"/>
          <w:highlight w:val="none"/>
          <w:lang w:val="en-US" w:eastAsia="zh-CN" w:bidi="ar-SA"/>
        </w:rPr>
        <w:t>公司成立三年以上，公司注册资本不少于500万元（人民币）；（含三年，以注册日期开始计算，至开标之日不少于三年）</w:t>
      </w:r>
    </w:p>
    <w:p w14:paraId="57ED4E45">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1.3</w:t>
      </w:r>
      <w:r>
        <w:rPr>
          <w:rFonts w:hint="eastAsia" w:ascii="Times New Roman" w:hAnsi="Times New Roman" w:eastAsia="仿宋_GB2312" w:cs="Times New Roman"/>
          <w:b w:val="0"/>
          <w:bCs w:val="0"/>
          <w:color w:val="auto"/>
          <w:kern w:val="2"/>
          <w:sz w:val="28"/>
          <w:szCs w:val="28"/>
          <w:highlight w:val="none"/>
          <w:lang w:val="en-US" w:eastAsia="zh-CN" w:bidi="ar-SA"/>
        </w:rPr>
        <w:t>具有相类似生产业务经验、技术先进、规模较大、人员充足、无质量问题、声誉良好的服务方；</w:t>
      </w:r>
    </w:p>
    <w:p w14:paraId="5958483B">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1.4</w:t>
      </w:r>
      <w:r>
        <w:rPr>
          <w:rFonts w:hint="eastAsia" w:ascii="Times New Roman" w:hAnsi="Times New Roman" w:eastAsia="仿宋_GB2312" w:cs="Times New Roman"/>
          <w:b w:val="0"/>
          <w:bCs w:val="0"/>
          <w:color w:val="auto"/>
          <w:kern w:val="2"/>
          <w:sz w:val="28"/>
          <w:szCs w:val="28"/>
          <w:highlight w:val="none"/>
          <w:lang w:val="en-US" w:eastAsia="zh-CN" w:bidi="ar-SA"/>
        </w:rPr>
        <w:t>在社会上和重汽集团内的其它招标过程中没有不良行为记录；</w:t>
      </w:r>
    </w:p>
    <w:p w14:paraId="2309D089">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1.5</w:t>
      </w:r>
      <w:r>
        <w:rPr>
          <w:rFonts w:hint="eastAsia" w:ascii="Times New Roman" w:hAnsi="Times New Roman" w:eastAsia="仿宋_GB2312" w:cs="Times New Roman"/>
          <w:b w:val="0"/>
          <w:bCs w:val="0"/>
          <w:color w:val="auto"/>
          <w:kern w:val="2"/>
          <w:sz w:val="28"/>
          <w:szCs w:val="28"/>
          <w:highlight w:val="none"/>
          <w:lang w:val="en-US" w:eastAsia="zh-CN" w:bidi="ar-SA"/>
        </w:rPr>
        <w:t>外包方不得以任何理由将已承包项目以任何形式转包给其他单位；</w:t>
      </w:r>
    </w:p>
    <w:p w14:paraId="40823891">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1.6</w:t>
      </w:r>
      <w:r>
        <w:rPr>
          <w:rFonts w:hint="eastAsia" w:ascii="Times New Roman" w:hAnsi="Times New Roman" w:eastAsia="仿宋_GB2312" w:cs="Times New Roman"/>
          <w:b w:val="0"/>
          <w:bCs w:val="0"/>
          <w:color w:val="auto"/>
          <w:kern w:val="2"/>
          <w:sz w:val="28"/>
          <w:szCs w:val="28"/>
          <w:highlight w:val="none"/>
          <w:lang w:val="en-US" w:eastAsia="zh-CN" w:bidi="ar-SA"/>
        </w:rPr>
        <w:t>不接受联合体承包；</w:t>
      </w:r>
    </w:p>
    <w:p w14:paraId="62107E4B">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1.7</w:t>
      </w:r>
      <w:r>
        <w:rPr>
          <w:rFonts w:hint="eastAsia" w:ascii="Times New Roman" w:hAnsi="Times New Roman" w:eastAsia="仿宋_GB2312" w:cs="Times New Roman"/>
          <w:b w:val="0"/>
          <w:bCs w:val="0"/>
          <w:color w:val="auto"/>
          <w:kern w:val="2"/>
          <w:sz w:val="28"/>
          <w:szCs w:val="28"/>
          <w:highlight w:val="none"/>
          <w:lang w:val="en-US" w:eastAsia="zh-CN" w:bidi="ar-SA"/>
        </w:rPr>
        <w:t>具有健全的财务会计制度，财务状况和市场行为良好。没有处于被有权机关吊销营业执照、吊销资质、停业整顿、取消外包资格以及财产被接管、冻结或进入破产程序等。</w:t>
      </w:r>
    </w:p>
    <w:p w14:paraId="2EEF99B9">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1.8</w:t>
      </w:r>
      <w:r>
        <w:rPr>
          <w:rFonts w:hint="eastAsia" w:ascii="Times New Roman" w:hAnsi="Times New Roman" w:eastAsia="仿宋_GB2312" w:cs="Times New Roman"/>
          <w:b w:val="0"/>
          <w:bCs w:val="0"/>
          <w:color w:val="auto"/>
          <w:kern w:val="2"/>
          <w:sz w:val="28"/>
          <w:szCs w:val="28"/>
          <w:highlight w:val="none"/>
          <w:lang w:val="en-US" w:eastAsia="zh-CN" w:bidi="ar-SA"/>
        </w:rPr>
        <w:t>满足技术、质量、资金等要求，近三年财务报表财务状况良好，经营稳定，具有全面履约的能力，能提供相关信用等级和完税证明；</w:t>
      </w:r>
    </w:p>
    <w:p w14:paraId="5A7C9C6A">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1.9</w:t>
      </w:r>
      <w:r>
        <w:rPr>
          <w:rFonts w:hint="eastAsia" w:ascii="Times New Roman" w:hAnsi="Times New Roman" w:eastAsia="仿宋_GB2312" w:cs="Times New Roman"/>
          <w:b w:val="0"/>
          <w:bCs w:val="0"/>
          <w:color w:val="auto"/>
          <w:kern w:val="2"/>
          <w:sz w:val="28"/>
          <w:szCs w:val="28"/>
          <w:highlight w:val="none"/>
          <w:lang w:val="en-US" w:eastAsia="zh-CN" w:bidi="ar-SA"/>
        </w:rPr>
        <w:t>在“国家企业信用信息公示系统”、“中国执行信息公开网”、“信用中国”、“天眼查”“裁判文书网”等信息平台中，无行政处罚及失信记录等信息；</w:t>
      </w:r>
    </w:p>
    <w:p w14:paraId="56B6F613">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1.</w:t>
      </w:r>
      <w:r>
        <w:rPr>
          <w:rFonts w:hint="eastAsia" w:ascii="Times New Roman" w:hAnsi="Times New Roman" w:eastAsia="仿宋_GB2312" w:cs="Times New Roman"/>
          <w:b w:val="0"/>
          <w:bCs w:val="0"/>
          <w:color w:val="auto"/>
          <w:kern w:val="2"/>
          <w:sz w:val="28"/>
          <w:szCs w:val="28"/>
          <w:highlight w:val="none"/>
          <w:lang w:val="en-US" w:eastAsia="zh-CN" w:bidi="ar-SA"/>
        </w:rPr>
        <w:t>10无招标违规、谎报年度报告信息、提供虚假资质资料等行为或其他行政处罚记录；</w:t>
      </w:r>
    </w:p>
    <w:p w14:paraId="25A97280">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1.</w:t>
      </w:r>
      <w:r>
        <w:rPr>
          <w:rFonts w:hint="eastAsia" w:ascii="Times New Roman" w:hAnsi="Times New Roman" w:eastAsia="仿宋_GB2312" w:cs="Times New Roman"/>
          <w:b w:val="0"/>
          <w:bCs w:val="0"/>
          <w:color w:val="auto"/>
          <w:kern w:val="2"/>
          <w:sz w:val="28"/>
          <w:szCs w:val="28"/>
          <w:highlight w:val="none"/>
          <w:lang w:val="en-US" w:eastAsia="zh-CN" w:bidi="ar-SA"/>
        </w:rPr>
        <w:t>11没有被重汽集团列入黑名单；</w:t>
      </w:r>
    </w:p>
    <w:p w14:paraId="42489CEB">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1.</w:t>
      </w:r>
      <w:r>
        <w:rPr>
          <w:rFonts w:hint="eastAsia" w:ascii="Times New Roman" w:hAnsi="Times New Roman" w:eastAsia="仿宋_GB2312" w:cs="Times New Roman"/>
          <w:b w:val="0"/>
          <w:bCs w:val="0"/>
          <w:color w:val="auto"/>
          <w:kern w:val="2"/>
          <w:sz w:val="28"/>
          <w:szCs w:val="28"/>
          <w:highlight w:val="none"/>
          <w:lang w:val="en-US" w:eastAsia="zh-CN" w:bidi="ar-SA"/>
        </w:rPr>
        <w:t>12外包方的直接或间接股东、法定代表人、董事、监事、高管非重汽员工及其亲属；</w:t>
      </w:r>
    </w:p>
    <w:p w14:paraId="578031C9">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1.</w:t>
      </w:r>
      <w:r>
        <w:rPr>
          <w:rFonts w:hint="eastAsia" w:ascii="Times New Roman" w:hAnsi="Times New Roman" w:eastAsia="仿宋_GB2312" w:cs="Times New Roman"/>
          <w:b w:val="0"/>
          <w:bCs w:val="0"/>
          <w:color w:val="auto"/>
          <w:kern w:val="2"/>
          <w:sz w:val="28"/>
          <w:szCs w:val="28"/>
          <w:highlight w:val="none"/>
          <w:lang w:val="en-US" w:eastAsia="zh-CN" w:bidi="ar-SA"/>
        </w:rPr>
        <w:t>13法律法规对合格外包方的其它要求、规定。</w:t>
      </w:r>
    </w:p>
    <w:p w14:paraId="4BA717E7">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仿宋_GB2312" w:hAnsi="仿宋_GB2312" w:eastAsia="仿宋_GB2312" w:cs="仿宋_GB2312"/>
          <w:color w:val="auto"/>
          <w:sz w:val="28"/>
          <w:szCs w:val="28"/>
          <w:highlight w:val="none"/>
        </w:rPr>
      </w:pPr>
      <w:r>
        <w:rPr>
          <w:rFonts w:hint="eastAsia" w:eastAsia="仿宋_GB2312" w:cs="Times New Roman"/>
          <w:b w:val="0"/>
          <w:bCs w:val="0"/>
          <w:color w:val="auto"/>
          <w:kern w:val="2"/>
          <w:sz w:val="28"/>
          <w:szCs w:val="28"/>
          <w:highlight w:val="none"/>
          <w:lang w:val="en-US" w:eastAsia="zh-CN" w:bidi="ar-SA"/>
        </w:rPr>
        <w:t>1</w:t>
      </w:r>
      <w:r>
        <w:rPr>
          <w:rFonts w:hint="eastAsia" w:ascii="Times New Roman" w:hAnsi="Times New Roman" w:eastAsia="仿宋_GB2312" w:cs="Times New Roman"/>
          <w:b w:val="0"/>
          <w:bCs w:val="0"/>
          <w:color w:val="auto"/>
          <w:kern w:val="2"/>
          <w:sz w:val="28"/>
          <w:szCs w:val="28"/>
          <w:highlight w:val="none"/>
          <w:lang w:val="en-US" w:eastAsia="zh-CN" w:bidi="ar-SA"/>
        </w:rPr>
        <w:t>.14禁止发动机</w:t>
      </w:r>
      <w:r>
        <w:rPr>
          <w:rFonts w:hint="default" w:ascii="Times New Roman" w:hAnsi="Times New Roman" w:eastAsia="仿宋_GB2312" w:cs="Times New Roman"/>
          <w:b w:val="0"/>
          <w:bCs w:val="0"/>
          <w:color w:val="auto"/>
          <w:kern w:val="2"/>
          <w:sz w:val="28"/>
          <w:szCs w:val="28"/>
          <w:highlight w:val="none"/>
          <w:lang w:eastAsia="zh-CN" w:bidi="ar-SA"/>
        </w:rPr>
        <w:t>喷漆</w:t>
      </w:r>
      <w:r>
        <w:rPr>
          <w:rFonts w:hint="eastAsia" w:ascii="Times New Roman" w:hAnsi="Times New Roman" w:eastAsia="仿宋_GB2312" w:cs="Times New Roman"/>
          <w:b w:val="0"/>
          <w:bCs w:val="0"/>
          <w:color w:val="auto"/>
          <w:kern w:val="2"/>
          <w:sz w:val="28"/>
          <w:szCs w:val="28"/>
          <w:highlight w:val="none"/>
          <w:lang w:val="en-US" w:eastAsia="zh-CN" w:bidi="ar-SA"/>
        </w:rPr>
        <w:t>涉及的零部件、辅料的供应商参与所供货产品的外包服务。</w:t>
      </w:r>
    </w:p>
    <w:p w14:paraId="269A79C3">
      <w:pPr>
        <w:pageBreakBefore w:val="0"/>
        <w:numPr>
          <w:ilvl w:val="0"/>
          <w:numId w:val="7"/>
        </w:numPr>
        <w:kinsoku/>
        <w:wordWrap/>
        <w:overflowPunct/>
        <w:topLinePunct w:val="0"/>
        <w:autoSpaceDE w:val="0"/>
        <w:autoSpaceDN w:val="0"/>
        <w:bidi w:val="0"/>
        <w:adjustRightInd w:val="0"/>
        <w:spacing w:line="240" w:lineRule="auto"/>
        <w:ind w:left="0" w:leftChars="0"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预计成本及费用</w:t>
      </w:r>
    </w:p>
    <w:p w14:paraId="5BE1CBA1">
      <w:pPr>
        <w:pageBreakBefore w:val="0"/>
        <w:numPr>
          <w:ilvl w:val="0"/>
          <w:numId w:val="7"/>
        </w:numPr>
        <w:kinsoku/>
        <w:wordWrap/>
        <w:overflowPunct/>
        <w:topLinePunct w:val="0"/>
        <w:autoSpaceDE w:val="0"/>
        <w:autoSpaceDN w:val="0"/>
        <w:bidi w:val="0"/>
        <w:adjustRightInd w:val="0"/>
        <w:spacing w:line="240" w:lineRule="auto"/>
        <w:ind w:left="0" w:leftChars="0"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工艺定员</w:t>
      </w:r>
    </w:p>
    <w:p w14:paraId="2EFF7866">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240" w:lineRule="auto"/>
        <w:ind w:leftChars="0" w:firstLine="560" w:firstLineChars="200"/>
        <w:textAlignment w:val="auto"/>
        <w:rPr>
          <w:rFonts w:hint="eastAsia"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济南发动机厂调涂工序外包，主要涉及发动机试车工艺管路拆装、发动机喷漆及附件箱分装等业务。</w:t>
      </w:r>
    </w:p>
    <w:p w14:paraId="037BEB60">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240" w:lineRule="auto"/>
        <w:ind w:leftChars="0" w:firstLine="560" w:firstLineChars="200"/>
        <w:textAlignment w:val="auto"/>
        <w:rPr>
          <w:rFonts w:hint="eastAsia" w:ascii="仿宋_GB2312" w:eastAsia="仿宋_GB2312" w:cs="Times New Roman"/>
          <w:color w:val="auto"/>
          <w:sz w:val="28"/>
          <w:szCs w:val="28"/>
          <w:highlight w:val="none"/>
          <w:lang w:eastAsia="zh-CN"/>
        </w:rPr>
      </w:pPr>
      <w:r>
        <w:rPr>
          <w:rFonts w:hint="eastAsia" w:ascii="Times New Roman" w:hAnsi="Times New Roman" w:eastAsia="仿宋_GB2312" w:cs="Times New Roman"/>
          <w:b w:val="0"/>
          <w:bCs w:val="0"/>
          <w:color w:val="auto"/>
          <w:kern w:val="2"/>
          <w:sz w:val="28"/>
          <w:szCs w:val="28"/>
          <w:highlight w:val="none"/>
          <w:lang w:val="en-US" w:eastAsia="zh-CN" w:bidi="ar-SA"/>
        </w:rPr>
        <w:t>子项目一</w:t>
      </w:r>
      <w:r>
        <w:rPr>
          <w:rFonts w:hint="eastAsia" w:ascii="仿宋_GB2312" w:hAnsi="Times New Roman" w:eastAsia="仿宋_GB2312" w:cs="Times New Roman"/>
          <w:color w:val="auto"/>
          <w:sz w:val="28"/>
          <w:szCs w:val="28"/>
          <w:highlight w:val="none"/>
        </w:rPr>
        <w:t>按照工艺核定的作业内容及定额人数配置作业人员，单班</w:t>
      </w:r>
      <w:r>
        <w:rPr>
          <w:rFonts w:hint="eastAsia" w:ascii="Times New Roman" w:hAnsi="Times New Roman" w:eastAsia="仿宋_GB2312" w:cs="Times New Roman"/>
          <w:b w:val="0"/>
          <w:bCs w:val="0"/>
          <w:color w:val="auto"/>
          <w:kern w:val="2"/>
          <w:sz w:val="28"/>
          <w:szCs w:val="28"/>
          <w:highlight w:val="none"/>
          <w:lang w:val="en-US" w:eastAsia="zh-CN" w:bidi="ar-SA"/>
        </w:rPr>
        <w:t>核定</w:t>
      </w:r>
      <w:r>
        <w:rPr>
          <w:rFonts w:hint="eastAsia" w:eastAsia="仿宋_GB2312" w:cs="Times New Roman"/>
          <w:b w:val="0"/>
          <w:bCs w:val="0"/>
          <w:color w:val="auto"/>
          <w:kern w:val="2"/>
          <w:sz w:val="28"/>
          <w:szCs w:val="28"/>
          <w:highlight w:val="none"/>
          <w:lang w:val="en-US" w:eastAsia="zh-CN" w:bidi="ar-SA"/>
        </w:rPr>
        <w:t>操作</w:t>
      </w:r>
      <w:r>
        <w:rPr>
          <w:rFonts w:hint="eastAsia" w:ascii="Times New Roman" w:hAnsi="Times New Roman" w:eastAsia="仿宋_GB2312" w:cs="Times New Roman"/>
          <w:b w:val="0"/>
          <w:bCs w:val="0"/>
          <w:color w:val="auto"/>
          <w:kern w:val="2"/>
          <w:sz w:val="28"/>
          <w:szCs w:val="28"/>
          <w:highlight w:val="none"/>
          <w:lang w:val="en-US" w:eastAsia="zh-CN" w:bidi="ar-SA"/>
        </w:rPr>
        <w:t>人数需求为26人，另外需单独配备1名管理人员，共计27人；子项目二至子项目六按照实际业务量由承包方单独核定</w:t>
      </w:r>
      <w:r>
        <w:rPr>
          <w:rFonts w:hint="eastAsia" w:ascii="仿宋_GB2312" w:hAnsi="Times New Roman" w:eastAsia="仿宋_GB2312" w:cs="Times New Roman"/>
          <w:color w:val="auto"/>
          <w:sz w:val="28"/>
          <w:szCs w:val="28"/>
          <w:highlight w:val="none"/>
        </w:rPr>
        <w:t>配置人员</w:t>
      </w:r>
      <w:r>
        <w:rPr>
          <w:rFonts w:hint="eastAsia" w:ascii="仿宋_GB2312" w:eastAsia="仿宋_GB2312" w:cs="Times New Roman"/>
          <w:color w:val="auto"/>
          <w:sz w:val="28"/>
          <w:szCs w:val="28"/>
          <w:highlight w:val="none"/>
          <w:lang w:eastAsia="zh-CN"/>
        </w:rPr>
        <w:t>。</w:t>
      </w:r>
    </w:p>
    <w:tbl>
      <w:tblPr>
        <w:tblStyle w:val="20"/>
        <w:tblpPr w:leftFromText="180" w:rightFromText="180" w:vertAnchor="text" w:horzAnchor="page" w:tblpX="1320" w:tblpY="526"/>
        <w:tblOverlap w:val="never"/>
        <w:tblW w:w="916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1"/>
        <w:gridCol w:w="789"/>
        <w:gridCol w:w="1908"/>
        <w:gridCol w:w="4660"/>
        <w:gridCol w:w="930"/>
      </w:tblGrid>
      <w:tr w14:paraId="26B12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881" w:type="dxa"/>
            <w:tcBorders>
              <w:top w:val="single" w:color="000000" w:sz="4" w:space="0"/>
              <w:left w:val="single" w:color="000000" w:sz="4" w:space="0"/>
              <w:bottom w:val="single" w:color="000000" w:sz="4" w:space="0"/>
              <w:right w:val="single" w:color="000000" w:sz="4" w:space="0"/>
            </w:tcBorders>
            <w:noWrap w:val="0"/>
            <w:vAlign w:val="center"/>
          </w:tcPr>
          <w:p w14:paraId="6EADBE41">
            <w:pPr>
              <w:keepNext w:val="0"/>
              <w:keepLines w:val="0"/>
              <w:widowControl/>
              <w:suppressLineNumbers w:val="0"/>
              <w:spacing w:line="240" w:lineRule="auto"/>
              <w:ind w:firstLine="0" w:firstLineChars="0"/>
              <w:jc w:val="center"/>
              <w:textAlignment w:val="center"/>
              <w:rPr>
                <w:rFonts w:hint="eastAsia" w:ascii="宋体" w:hAnsi="宋体" w:eastAsia="宋体" w:cs="宋体"/>
                <w:b/>
                <w:bCs/>
                <w:i w:val="0"/>
                <w:iCs w:val="0"/>
                <w:color w:val="auto"/>
                <w:sz w:val="16"/>
                <w:szCs w:val="16"/>
                <w:highlight w:val="none"/>
                <w:u w:val="none"/>
              </w:rPr>
            </w:pPr>
            <w:r>
              <w:rPr>
                <w:rFonts w:hint="eastAsia" w:ascii="宋体" w:hAnsi="宋体" w:eastAsia="宋体" w:cs="宋体"/>
                <w:b/>
                <w:bCs/>
                <w:i w:val="0"/>
                <w:iCs w:val="0"/>
                <w:color w:val="auto"/>
                <w:kern w:val="0"/>
                <w:sz w:val="16"/>
                <w:szCs w:val="16"/>
                <w:highlight w:val="none"/>
                <w:u w:val="none"/>
                <w:lang w:val="en-US" w:eastAsia="zh-CN" w:bidi="ar"/>
              </w:rPr>
              <w:t>项目编号</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6ACA013B">
            <w:pPr>
              <w:keepNext w:val="0"/>
              <w:keepLines w:val="0"/>
              <w:widowControl/>
              <w:suppressLineNumbers w:val="0"/>
              <w:spacing w:line="240" w:lineRule="auto"/>
              <w:ind w:firstLine="0" w:firstLineChars="0"/>
              <w:jc w:val="center"/>
              <w:textAlignment w:val="center"/>
              <w:rPr>
                <w:rFonts w:hint="eastAsia" w:ascii="宋体" w:hAnsi="宋体" w:eastAsia="宋体" w:cs="宋体"/>
                <w:b/>
                <w:bCs/>
                <w:i w:val="0"/>
                <w:iCs w:val="0"/>
                <w:color w:val="auto"/>
                <w:sz w:val="16"/>
                <w:szCs w:val="16"/>
                <w:highlight w:val="none"/>
                <w:u w:val="none"/>
              </w:rPr>
            </w:pPr>
            <w:r>
              <w:rPr>
                <w:rFonts w:hint="eastAsia" w:ascii="宋体" w:hAnsi="宋体" w:eastAsia="宋体" w:cs="宋体"/>
                <w:b/>
                <w:bCs/>
                <w:i w:val="0"/>
                <w:iCs w:val="0"/>
                <w:color w:val="auto"/>
                <w:kern w:val="0"/>
                <w:sz w:val="16"/>
                <w:szCs w:val="16"/>
                <w:highlight w:val="none"/>
                <w:u w:val="none"/>
                <w:lang w:val="en-US" w:eastAsia="zh-CN" w:bidi="ar"/>
              </w:rPr>
              <w:t>工序号</w:t>
            </w:r>
          </w:p>
        </w:tc>
        <w:tc>
          <w:tcPr>
            <w:tcW w:w="1908" w:type="dxa"/>
            <w:tcBorders>
              <w:top w:val="single" w:color="000000" w:sz="4" w:space="0"/>
              <w:left w:val="single" w:color="000000" w:sz="4" w:space="0"/>
              <w:bottom w:val="single" w:color="000000" w:sz="4" w:space="0"/>
              <w:right w:val="single" w:color="000000" w:sz="4" w:space="0"/>
            </w:tcBorders>
            <w:noWrap w:val="0"/>
            <w:vAlign w:val="center"/>
          </w:tcPr>
          <w:p w14:paraId="7DDB938C">
            <w:pPr>
              <w:keepNext w:val="0"/>
              <w:keepLines w:val="0"/>
              <w:widowControl/>
              <w:suppressLineNumbers w:val="0"/>
              <w:spacing w:line="240" w:lineRule="auto"/>
              <w:ind w:firstLine="0" w:firstLineChars="0"/>
              <w:jc w:val="center"/>
              <w:textAlignment w:val="center"/>
              <w:rPr>
                <w:rFonts w:hint="eastAsia" w:ascii="宋体" w:hAnsi="宋体" w:eastAsia="宋体" w:cs="宋体"/>
                <w:b/>
                <w:bCs/>
                <w:i w:val="0"/>
                <w:iCs w:val="0"/>
                <w:color w:val="auto"/>
                <w:sz w:val="16"/>
                <w:szCs w:val="16"/>
                <w:highlight w:val="none"/>
                <w:u w:val="none"/>
              </w:rPr>
            </w:pPr>
            <w:r>
              <w:rPr>
                <w:rFonts w:hint="eastAsia" w:ascii="宋体" w:hAnsi="宋体" w:eastAsia="宋体" w:cs="宋体"/>
                <w:b/>
                <w:bCs/>
                <w:i w:val="0"/>
                <w:iCs w:val="0"/>
                <w:color w:val="auto"/>
                <w:kern w:val="0"/>
                <w:sz w:val="16"/>
                <w:szCs w:val="16"/>
                <w:highlight w:val="none"/>
                <w:u w:val="none"/>
                <w:lang w:val="en-US" w:eastAsia="zh-CN" w:bidi="ar"/>
              </w:rPr>
              <w:t>名称</w:t>
            </w:r>
          </w:p>
        </w:tc>
        <w:tc>
          <w:tcPr>
            <w:tcW w:w="4660" w:type="dxa"/>
            <w:tcBorders>
              <w:top w:val="single" w:color="000000" w:sz="4" w:space="0"/>
              <w:left w:val="single" w:color="000000" w:sz="4" w:space="0"/>
              <w:bottom w:val="single" w:color="000000" w:sz="4" w:space="0"/>
              <w:right w:val="single" w:color="000000" w:sz="4" w:space="0"/>
            </w:tcBorders>
            <w:noWrap w:val="0"/>
            <w:vAlign w:val="center"/>
          </w:tcPr>
          <w:p w14:paraId="658057AE">
            <w:pPr>
              <w:keepNext w:val="0"/>
              <w:keepLines w:val="0"/>
              <w:widowControl/>
              <w:suppressLineNumbers w:val="0"/>
              <w:spacing w:line="240" w:lineRule="auto"/>
              <w:ind w:firstLine="0" w:firstLineChars="0"/>
              <w:jc w:val="center"/>
              <w:textAlignment w:val="center"/>
              <w:rPr>
                <w:rFonts w:hint="eastAsia" w:ascii="宋体" w:hAnsi="宋体" w:eastAsia="宋体" w:cs="宋体"/>
                <w:b/>
                <w:bCs/>
                <w:i w:val="0"/>
                <w:iCs w:val="0"/>
                <w:color w:val="auto"/>
                <w:sz w:val="16"/>
                <w:szCs w:val="16"/>
                <w:highlight w:val="none"/>
                <w:u w:val="none"/>
              </w:rPr>
            </w:pPr>
            <w:r>
              <w:rPr>
                <w:rFonts w:hint="eastAsia" w:ascii="宋体" w:hAnsi="宋体" w:eastAsia="宋体" w:cs="宋体"/>
                <w:b/>
                <w:bCs/>
                <w:i w:val="0"/>
                <w:iCs w:val="0"/>
                <w:color w:val="auto"/>
                <w:kern w:val="0"/>
                <w:sz w:val="16"/>
                <w:szCs w:val="16"/>
                <w:highlight w:val="none"/>
                <w:u w:val="none"/>
                <w:lang w:val="en-US" w:eastAsia="zh-CN" w:bidi="ar"/>
              </w:rPr>
              <w:t>外包整体操作内容</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3E9AAF74">
            <w:pPr>
              <w:keepNext w:val="0"/>
              <w:keepLines w:val="0"/>
              <w:widowControl/>
              <w:suppressLineNumbers w:val="0"/>
              <w:spacing w:line="240" w:lineRule="auto"/>
              <w:ind w:firstLine="0" w:firstLineChars="0"/>
              <w:jc w:val="center"/>
              <w:textAlignment w:val="center"/>
              <w:rPr>
                <w:rFonts w:hint="eastAsia" w:ascii="宋体" w:hAnsi="宋体" w:eastAsia="宋体" w:cs="宋体"/>
                <w:b/>
                <w:bCs/>
                <w:i w:val="0"/>
                <w:iCs w:val="0"/>
                <w:color w:val="auto"/>
                <w:sz w:val="16"/>
                <w:szCs w:val="16"/>
                <w:highlight w:val="none"/>
                <w:u w:val="none"/>
              </w:rPr>
            </w:pPr>
            <w:r>
              <w:rPr>
                <w:rFonts w:hint="eastAsia" w:ascii="宋体" w:hAnsi="宋体" w:eastAsia="宋体" w:cs="宋体"/>
                <w:b/>
                <w:bCs/>
                <w:i w:val="0"/>
                <w:iCs w:val="0"/>
                <w:color w:val="auto"/>
                <w:kern w:val="0"/>
                <w:sz w:val="16"/>
                <w:szCs w:val="16"/>
                <w:highlight w:val="none"/>
                <w:u w:val="none"/>
                <w:lang w:val="en-US" w:eastAsia="zh-CN" w:bidi="ar"/>
              </w:rPr>
              <w:t>定员</w:t>
            </w:r>
          </w:p>
        </w:tc>
      </w:tr>
      <w:tr w14:paraId="548F7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881" w:type="dxa"/>
            <w:vMerge w:val="restart"/>
            <w:tcBorders>
              <w:top w:val="single" w:color="000000" w:sz="4" w:space="0"/>
              <w:left w:val="single" w:color="000000" w:sz="4" w:space="0"/>
              <w:bottom w:val="single" w:color="000000" w:sz="4" w:space="0"/>
              <w:right w:val="single" w:color="000000" w:sz="4" w:space="0"/>
            </w:tcBorders>
            <w:noWrap/>
            <w:vAlign w:val="center"/>
          </w:tcPr>
          <w:p w14:paraId="2076656B">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项目一</w:t>
            </w: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02D83A24">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OP4010</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53813204">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发动机上线</w:t>
            </w:r>
          </w:p>
        </w:tc>
        <w:tc>
          <w:tcPr>
            <w:tcW w:w="4660" w:type="dxa"/>
            <w:tcBorders>
              <w:top w:val="single" w:color="000000" w:sz="4" w:space="0"/>
              <w:left w:val="single" w:color="000000" w:sz="4" w:space="0"/>
              <w:bottom w:val="single" w:color="000000" w:sz="4" w:space="0"/>
              <w:right w:val="single" w:color="000000" w:sz="4" w:space="0"/>
            </w:tcBorders>
            <w:noWrap w:val="0"/>
            <w:vAlign w:val="center"/>
          </w:tcPr>
          <w:p w14:paraId="6717E244">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发动机上线、装工艺支腿、上线。装配前检查支腿螺栓，是否损坏，若损坏立即更换，且按工艺定期更换，连接发动机进、回燃油管。改制发动机去除隔热罩条码，改制发动机去除隔热罩条码，返修等发动机叉车运输上线工作等工作。</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23066437">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2</w:t>
            </w:r>
          </w:p>
        </w:tc>
      </w:tr>
      <w:tr w14:paraId="07DA0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881" w:type="dxa"/>
            <w:vMerge w:val="continue"/>
            <w:tcBorders>
              <w:top w:val="single" w:color="000000" w:sz="4" w:space="0"/>
              <w:left w:val="single" w:color="000000" w:sz="4" w:space="0"/>
              <w:bottom w:val="single" w:color="000000" w:sz="4" w:space="0"/>
              <w:right w:val="single" w:color="000000" w:sz="4" w:space="0"/>
            </w:tcBorders>
            <w:noWrap/>
            <w:vAlign w:val="center"/>
          </w:tcPr>
          <w:p w14:paraId="6AED3164">
            <w:pPr>
              <w:spacing w:line="240" w:lineRule="auto"/>
              <w:ind w:firstLine="0" w:firstLineChars="0"/>
              <w:jc w:val="center"/>
              <w:rPr>
                <w:rFonts w:hint="eastAsia" w:ascii="宋体" w:hAnsi="宋体" w:eastAsia="宋体" w:cs="宋体"/>
                <w:i w:val="0"/>
                <w:iCs w:val="0"/>
                <w:color w:val="auto"/>
                <w:sz w:val="16"/>
                <w:szCs w:val="16"/>
                <w:highlight w:val="none"/>
                <w:u w:val="none"/>
              </w:rPr>
            </w:pP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700BC5E7">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OP4020</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3D36C700">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连接工艺管路</w:t>
            </w:r>
          </w:p>
        </w:tc>
        <w:tc>
          <w:tcPr>
            <w:tcW w:w="4660" w:type="dxa"/>
            <w:tcBorders>
              <w:top w:val="single" w:color="000000" w:sz="4" w:space="0"/>
              <w:left w:val="single" w:color="000000" w:sz="4" w:space="0"/>
              <w:bottom w:val="single" w:color="000000" w:sz="4" w:space="0"/>
              <w:right w:val="single" w:color="000000" w:sz="4" w:space="0"/>
            </w:tcBorders>
            <w:noWrap w:val="0"/>
            <w:vAlign w:val="center"/>
          </w:tcPr>
          <w:p w14:paraId="313FAF63">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装工艺用进水管并打紧卡箍。装暖风进回水管工艺堵盖并打紧卡箍。改制机更换节温器等工作。</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0080BF00">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1</w:t>
            </w:r>
          </w:p>
        </w:tc>
      </w:tr>
      <w:tr w14:paraId="66B96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881" w:type="dxa"/>
            <w:vMerge w:val="continue"/>
            <w:tcBorders>
              <w:top w:val="single" w:color="000000" w:sz="4" w:space="0"/>
              <w:left w:val="single" w:color="000000" w:sz="4" w:space="0"/>
              <w:bottom w:val="single" w:color="000000" w:sz="4" w:space="0"/>
              <w:right w:val="single" w:color="000000" w:sz="4" w:space="0"/>
            </w:tcBorders>
            <w:noWrap/>
            <w:vAlign w:val="center"/>
          </w:tcPr>
          <w:p w14:paraId="6331F7BC">
            <w:pPr>
              <w:spacing w:line="240" w:lineRule="auto"/>
              <w:ind w:firstLine="0" w:firstLineChars="0"/>
              <w:jc w:val="center"/>
              <w:rPr>
                <w:rFonts w:hint="eastAsia" w:ascii="宋体" w:hAnsi="宋体" w:eastAsia="宋体" w:cs="宋体"/>
                <w:i w:val="0"/>
                <w:iCs w:val="0"/>
                <w:color w:val="auto"/>
                <w:sz w:val="16"/>
                <w:szCs w:val="16"/>
                <w:highlight w:val="none"/>
                <w:u w:val="none"/>
              </w:rPr>
            </w:pP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3F22F2D6">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OP4030</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72C1EA82">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装飞轮连接盘</w:t>
            </w:r>
          </w:p>
        </w:tc>
        <w:tc>
          <w:tcPr>
            <w:tcW w:w="4660" w:type="dxa"/>
            <w:tcBorders>
              <w:top w:val="single" w:color="000000" w:sz="4" w:space="0"/>
              <w:left w:val="single" w:color="000000" w:sz="4" w:space="0"/>
              <w:bottom w:val="single" w:color="000000" w:sz="4" w:space="0"/>
              <w:right w:val="single" w:color="000000" w:sz="4" w:space="0"/>
            </w:tcBorders>
            <w:noWrap w:val="0"/>
            <w:vAlign w:val="center"/>
          </w:tcPr>
          <w:p w14:paraId="6DDA1738">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用12颗专用飞轮联接螺栓将连接盘装在飞轮上并紧固等工作。打紧力矩：55Nm</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6A4816D7">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1</w:t>
            </w:r>
          </w:p>
        </w:tc>
      </w:tr>
      <w:tr w14:paraId="0484E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881" w:type="dxa"/>
            <w:vMerge w:val="continue"/>
            <w:tcBorders>
              <w:top w:val="single" w:color="000000" w:sz="4" w:space="0"/>
              <w:left w:val="single" w:color="000000" w:sz="4" w:space="0"/>
              <w:bottom w:val="single" w:color="000000" w:sz="4" w:space="0"/>
              <w:right w:val="single" w:color="000000" w:sz="4" w:space="0"/>
            </w:tcBorders>
            <w:noWrap/>
            <w:vAlign w:val="center"/>
          </w:tcPr>
          <w:p w14:paraId="116F51E9">
            <w:pPr>
              <w:spacing w:line="240" w:lineRule="auto"/>
              <w:ind w:firstLine="0" w:firstLineChars="0"/>
              <w:jc w:val="center"/>
              <w:rPr>
                <w:rFonts w:hint="eastAsia" w:ascii="宋体" w:hAnsi="宋体" w:eastAsia="宋体" w:cs="宋体"/>
                <w:i w:val="0"/>
                <w:iCs w:val="0"/>
                <w:color w:val="auto"/>
                <w:sz w:val="16"/>
                <w:szCs w:val="16"/>
                <w:highlight w:val="none"/>
                <w:u w:val="none"/>
              </w:rPr>
            </w:pP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730B12E8">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OP4060</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226D10C6">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连接起动机电源线</w:t>
            </w:r>
          </w:p>
        </w:tc>
        <w:tc>
          <w:tcPr>
            <w:tcW w:w="4660" w:type="dxa"/>
            <w:tcBorders>
              <w:top w:val="single" w:color="000000" w:sz="4" w:space="0"/>
              <w:left w:val="single" w:color="000000" w:sz="4" w:space="0"/>
              <w:bottom w:val="single" w:color="000000" w:sz="4" w:space="0"/>
              <w:right w:val="single" w:color="000000" w:sz="4" w:space="0"/>
            </w:tcBorders>
            <w:noWrap w:val="0"/>
            <w:vAlign w:val="center"/>
          </w:tcPr>
          <w:p w14:paraId="7BBE2162">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松开进水管、放气管卡箍，对水道吹水≤30S，吹水完毕后增加防护堵盖。拆起工艺动机电源线，连接起动机线束并做好漆标等工作。</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23DB1979">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1</w:t>
            </w:r>
          </w:p>
        </w:tc>
      </w:tr>
      <w:tr w14:paraId="6863D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881" w:type="dxa"/>
            <w:vMerge w:val="continue"/>
            <w:tcBorders>
              <w:top w:val="single" w:color="000000" w:sz="4" w:space="0"/>
              <w:left w:val="single" w:color="000000" w:sz="4" w:space="0"/>
              <w:bottom w:val="single" w:color="000000" w:sz="4" w:space="0"/>
              <w:right w:val="single" w:color="000000" w:sz="4" w:space="0"/>
            </w:tcBorders>
            <w:noWrap/>
            <w:vAlign w:val="center"/>
          </w:tcPr>
          <w:p w14:paraId="1FCC6E71">
            <w:pPr>
              <w:spacing w:line="240" w:lineRule="auto"/>
              <w:ind w:firstLine="0" w:firstLineChars="0"/>
              <w:jc w:val="center"/>
              <w:rPr>
                <w:rFonts w:hint="eastAsia" w:ascii="宋体" w:hAnsi="宋体" w:eastAsia="宋体" w:cs="宋体"/>
                <w:i w:val="0"/>
                <w:iCs w:val="0"/>
                <w:color w:val="auto"/>
                <w:sz w:val="16"/>
                <w:szCs w:val="16"/>
                <w:highlight w:val="none"/>
                <w:u w:val="none"/>
              </w:rPr>
            </w:pP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5C1A0B90">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OP4070</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40BD0AF5">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拆工艺管路</w:t>
            </w:r>
          </w:p>
        </w:tc>
        <w:tc>
          <w:tcPr>
            <w:tcW w:w="4660" w:type="dxa"/>
            <w:tcBorders>
              <w:top w:val="single" w:color="000000" w:sz="4" w:space="0"/>
              <w:left w:val="single" w:color="000000" w:sz="4" w:space="0"/>
              <w:bottom w:val="single" w:color="000000" w:sz="4" w:space="0"/>
              <w:right w:val="single" w:color="000000" w:sz="4" w:space="0"/>
            </w:tcBorders>
            <w:noWrap w:val="0"/>
            <w:vAlign w:val="center"/>
          </w:tcPr>
          <w:p w14:paraId="73EE1AA0">
            <w:pPr>
              <w:keepNext w:val="0"/>
              <w:keepLines w:val="0"/>
              <w:widowControl/>
              <w:suppressLineNumbers w:val="0"/>
              <w:spacing w:line="240" w:lineRule="auto"/>
              <w:ind w:firstLine="0" w:firstLineChars="0"/>
              <w:jc w:val="center"/>
              <w:textAlignment w:val="center"/>
              <w:rPr>
                <w:rFonts w:hint="default" w:ascii="宋体" w:hAnsi="宋体" w:eastAsia="宋体" w:cs="宋体"/>
                <w:i w:val="0"/>
                <w:iCs w:val="0"/>
                <w:color w:val="auto"/>
                <w:sz w:val="16"/>
                <w:szCs w:val="16"/>
                <w:highlight w:val="none"/>
                <w:u w:val="none"/>
                <w:lang w:val="en-US"/>
              </w:rPr>
            </w:pPr>
            <w:r>
              <w:rPr>
                <w:rFonts w:hint="eastAsia" w:ascii="宋体" w:hAnsi="宋体" w:eastAsia="宋体" w:cs="宋体"/>
                <w:i w:val="0"/>
                <w:iCs w:val="0"/>
                <w:color w:val="auto"/>
                <w:kern w:val="0"/>
                <w:sz w:val="16"/>
                <w:szCs w:val="16"/>
                <w:highlight w:val="none"/>
                <w:u w:val="none"/>
                <w:lang w:val="en-US" w:eastAsia="zh-CN" w:bidi="ar"/>
              </w:rPr>
              <w:t>装IU冷却取水管堵盖、节温器壳放气管防护、节温器出水管出厂防护堵盖、尿素加热管堵盖、暖风进水管支管堵盖，安工艺增加清洗防护等</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6C086BD8">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1</w:t>
            </w:r>
          </w:p>
        </w:tc>
      </w:tr>
      <w:tr w14:paraId="4B122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881" w:type="dxa"/>
            <w:vMerge w:val="continue"/>
            <w:tcBorders>
              <w:top w:val="single" w:color="000000" w:sz="4" w:space="0"/>
              <w:left w:val="single" w:color="000000" w:sz="4" w:space="0"/>
              <w:bottom w:val="single" w:color="000000" w:sz="4" w:space="0"/>
              <w:right w:val="single" w:color="000000" w:sz="4" w:space="0"/>
            </w:tcBorders>
            <w:noWrap/>
            <w:vAlign w:val="center"/>
          </w:tcPr>
          <w:p w14:paraId="559406C8">
            <w:pPr>
              <w:spacing w:line="240" w:lineRule="auto"/>
              <w:ind w:firstLine="0" w:firstLineChars="0"/>
              <w:jc w:val="center"/>
              <w:rPr>
                <w:rFonts w:hint="eastAsia" w:ascii="宋体" w:hAnsi="宋体" w:eastAsia="宋体" w:cs="宋体"/>
                <w:i w:val="0"/>
                <w:iCs w:val="0"/>
                <w:color w:val="auto"/>
                <w:sz w:val="16"/>
                <w:szCs w:val="16"/>
                <w:highlight w:val="none"/>
                <w:u w:val="none"/>
              </w:rPr>
            </w:pP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24C5786D">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OP4100</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27EF7242">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拆飞轮连接盘</w:t>
            </w:r>
          </w:p>
        </w:tc>
        <w:tc>
          <w:tcPr>
            <w:tcW w:w="4660" w:type="dxa"/>
            <w:tcBorders>
              <w:top w:val="single" w:color="000000" w:sz="4" w:space="0"/>
              <w:left w:val="single" w:color="000000" w:sz="4" w:space="0"/>
              <w:bottom w:val="single" w:color="000000" w:sz="4" w:space="0"/>
              <w:right w:val="single" w:color="000000" w:sz="4" w:space="0"/>
            </w:tcBorders>
            <w:noWrap w:val="0"/>
            <w:vAlign w:val="center"/>
          </w:tcPr>
          <w:p w14:paraId="64E65F0A">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吊连接盘，松连接盘螺栓，把连接盘吊起放在连接盘货架上等工作。</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34240E38">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1</w:t>
            </w:r>
          </w:p>
        </w:tc>
      </w:tr>
      <w:tr w14:paraId="3B7C2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881" w:type="dxa"/>
            <w:vMerge w:val="continue"/>
            <w:tcBorders>
              <w:top w:val="single" w:color="000000" w:sz="4" w:space="0"/>
              <w:left w:val="single" w:color="000000" w:sz="4" w:space="0"/>
              <w:bottom w:val="single" w:color="000000" w:sz="4" w:space="0"/>
              <w:right w:val="single" w:color="000000" w:sz="4" w:space="0"/>
            </w:tcBorders>
            <w:noWrap/>
            <w:vAlign w:val="center"/>
          </w:tcPr>
          <w:p w14:paraId="0D6DE9F7">
            <w:pPr>
              <w:spacing w:line="240" w:lineRule="auto"/>
              <w:ind w:firstLine="0" w:firstLineChars="0"/>
              <w:jc w:val="center"/>
              <w:rPr>
                <w:rFonts w:hint="eastAsia" w:ascii="宋体" w:hAnsi="宋体" w:eastAsia="宋体" w:cs="宋体"/>
                <w:i w:val="0"/>
                <w:iCs w:val="0"/>
                <w:color w:val="auto"/>
                <w:sz w:val="16"/>
                <w:szCs w:val="16"/>
                <w:highlight w:val="none"/>
                <w:u w:val="none"/>
              </w:rPr>
            </w:pP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3574EE72">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OP4110</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4E22CB2B">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发动机下线</w:t>
            </w:r>
          </w:p>
        </w:tc>
        <w:tc>
          <w:tcPr>
            <w:tcW w:w="4660" w:type="dxa"/>
            <w:tcBorders>
              <w:top w:val="single" w:color="000000" w:sz="4" w:space="0"/>
              <w:left w:val="single" w:color="000000" w:sz="4" w:space="0"/>
              <w:bottom w:val="single" w:color="000000" w:sz="4" w:space="0"/>
              <w:right w:val="single" w:color="000000" w:sz="4" w:space="0"/>
            </w:tcBorders>
            <w:noWrap w:val="0"/>
            <w:vAlign w:val="center"/>
          </w:tcPr>
          <w:p w14:paraId="44BA5105">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加燃油管防护堵盖，空压机防护堵盖，调整吊具高度，松开压板吊起发动机。拆除工艺支腿等工作。</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1929BBA3">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2</w:t>
            </w:r>
          </w:p>
        </w:tc>
      </w:tr>
      <w:tr w14:paraId="640BF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881" w:type="dxa"/>
            <w:vMerge w:val="continue"/>
            <w:tcBorders>
              <w:top w:val="single" w:color="000000" w:sz="4" w:space="0"/>
              <w:left w:val="single" w:color="000000" w:sz="4" w:space="0"/>
              <w:bottom w:val="single" w:color="000000" w:sz="4" w:space="0"/>
              <w:right w:val="single" w:color="000000" w:sz="4" w:space="0"/>
            </w:tcBorders>
            <w:noWrap/>
            <w:vAlign w:val="center"/>
          </w:tcPr>
          <w:p w14:paraId="12C067B6">
            <w:pPr>
              <w:spacing w:line="240" w:lineRule="auto"/>
              <w:ind w:firstLine="0" w:firstLineChars="0"/>
              <w:jc w:val="center"/>
              <w:rPr>
                <w:rFonts w:hint="eastAsia" w:ascii="宋体" w:hAnsi="宋体" w:eastAsia="宋体" w:cs="宋体"/>
                <w:i w:val="0"/>
                <w:iCs w:val="0"/>
                <w:color w:val="auto"/>
                <w:sz w:val="16"/>
                <w:szCs w:val="16"/>
                <w:highlight w:val="none"/>
                <w:u w:val="none"/>
              </w:rPr>
            </w:pP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445469F9">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OP5020</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0A9E85E7">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清洗</w:t>
            </w:r>
          </w:p>
        </w:tc>
        <w:tc>
          <w:tcPr>
            <w:tcW w:w="4660" w:type="dxa"/>
            <w:tcBorders>
              <w:top w:val="single" w:color="000000" w:sz="4" w:space="0"/>
              <w:left w:val="single" w:color="000000" w:sz="4" w:space="0"/>
              <w:bottom w:val="single" w:color="000000" w:sz="4" w:space="0"/>
              <w:right w:val="single" w:color="000000" w:sz="4" w:space="0"/>
            </w:tcBorders>
            <w:noWrap w:val="0"/>
            <w:vAlign w:val="center"/>
          </w:tcPr>
          <w:p w14:paraId="7DEFBF57">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手持喷枪对发动机进行清洗脱脂，主要清洗发动机侧面、油底壳、油底壳与缸体结合面、空压机表面及机油模块下方等部位。脱脂后使用喷枪清洗发动机，注意重点清洗残留脱脂液的部位，尽量避开电器元件及线束接口。吹水：吹净容易积水面的积水。拆除EDC、起动机、发电机等处防护等工作。</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59D3E43F">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2</w:t>
            </w:r>
          </w:p>
        </w:tc>
      </w:tr>
      <w:tr w14:paraId="2E194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881" w:type="dxa"/>
            <w:vMerge w:val="continue"/>
            <w:tcBorders>
              <w:top w:val="single" w:color="000000" w:sz="4" w:space="0"/>
              <w:left w:val="single" w:color="000000" w:sz="4" w:space="0"/>
              <w:bottom w:val="single" w:color="000000" w:sz="4" w:space="0"/>
              <w:right w:val="single" w:color="000000" w:sz="4" w:space="0"/>
            </w:tcBorders>
            <w:noWrap/>
            <w:vAlign w:val="center"/>
          </w:tcPr>
          <w:p w14:paraId="2482EEFE">
            <w:pPr>
              <w:spacing w:line="240" w:lineRule="auto"/>
              <w:ind w:firstLine="0" w:firstLineChars="0"/>
              <w:jc w:val="center"/>
              <w:rPr>
                <w:rFonts w:hint="eastAsia" w:ascii="宋体" w:hAnsi="宋体" w:eastAsia="宋体" w:cs="宋体"/>
                <w:i w:val="0"/>
                <w:iCs w:val="0"/>
                <w:color w:val="auto"/>
                <w:sz w:val="16"/>
                <w:szCs w:val="16"/>
                <w:highlight w:val="none"/>
                <w:u w:val="none"/>
              </w:rPr>
            </w:pP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740B9C3E">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OP5050</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4EA669D3">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喷涂双组份水性漆</w:t>
            </w:r>
          </w:p>
        </w:tc>
        <w:tc>
          <w:tcPr>
            <w:tcW w:w="4660" w:type="dxa"/>
            <w:tcBorders>
              <w:top w:val="single" w:color="000000" w:sz="4" w:space="0"/>
              <w:left w:val="single" w:color="000000" w:sz="4" w:space="0"/>
              <w:bottom w:val="single" w:color="000000" w:sz="4" w:space="0"/>
              <w:right w:val="single" w:color="000000" w:sz="4" w:space="0"/>
            </w:tcBorders>
            <w:noWrap w:val="0"/>
            <w:vAlign w:val="center"/>
          </w:tcPr>
          <w:p w14:paraId="1AD4F51B">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在发动机所有裸露加工面及需要进行防锈处理面喷双组份水性漆，要求连续、均匀、无遗漏流淌。对于夹缝等较难喷涂部位，可通过调节喷枪喷幅、出漆量等措施喷涂。增压器排气管喷清漆等工作。</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445873D0">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4</w:t>
            </w:r>
          </w:p>
        </w:tc>
      </w:tr>
      <w:tr w14:paraId="32CA2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881" w:type="dxa"/>
            <w:vMerge w:val="continue"/>
            <w:tcBorders>
              <w:top w:val="single" w:color="000000" w:sz="4" w:space="0"/>
              <w:left w:val="single" w:color="000000" w:sz="4" w:space="0"/>
              <w:bottom w:val="single" w:color="000000" w:sz="4" w:space="0"/>
              <w:right w:val="single" w:color="000000" w:sz="4" w:space="0"/>
            </w:tcBorders>
            <w:noWrap/>
            <w:vAlign w:val="center"/>
          </w:tcPr>
          <w:p w14:paraId="57A3EB4B">
            <w:pPr>
              <w:spacing w:line="240" w:lineRule="auto"/>
              <w:ind w:firstLine="0" w:firstLineChars="0"/>
              <w:jc w:val="center"/>
              <w:rPr>
                <w:rFonts w:hint="eastAsia" w:ascii="宋体" w:hAnsi="宋体" w:eastAsia="宋体" w:cs="宋体"/>
                <w:i w:val="0"/>
                <w:iCs w:val="0"/>
                <w:color w:val="auto"/>
                <w:sz w:val="16"/>
                <w:szCs w:val="16"/>
                <w:highlight w:val="none"/>
                <w:u w:val="none"/>
              </w:rPr>
            </w:pP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6B542E00">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OP5070</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2D685CB3">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装螺纹孔堵盖</w:t>
            </w:r>
          </w:p>
        </w:tc>
        <w:tc>
          <w:tcPr>
            <w:tcW w:w="4660" w:type="dxa"/>
            <w:tcBorders>
              <w:top w:val="single" w:color="000000" w:sz="4" w:space="0"/>
              <w:left w:val="single" w:color="000000" w:sz="4" w:space="0"/>
              <w:bottom w:val="single" w:color="000000" w:sz="4" w:space="0"/>
              <w:right w:val="single" w:color="000000" w:sz="4" w:space="0"/>
            </w:tcBorders>
            <w:noWrap w:val="0"/>
            <w:vAlign w:val="center"/>
          </w:tcPr>
          <w:p w14:paraId="7574EC47">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加螺纹孔堵盖添加,发动机飞轮以及飞轮壳吊耳边缘刷防锈油，拆空压机盖板，添加防护堵盖等工作</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3300977E">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1</w:t>
            </w:r>
          </w:p>
        </w:tc>
      </w:tr>
      <w:tr w14:paraId="53520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881" w:type="dxa"/>
            <w:vMerge w:val="continue"/>
            <w:tcBorders>
              <w:top w:val="single" w:color="000000" w:sz="4" w:space="0"/>
              <w:left w:val="single" w:color="000000" w:sz="4" w:space="0"/>
              <w:bottom w:val="single" w:color="000000" w:sz="4" w:space="0"/>
              <w:right w:val="single" w:color="000000" w:sz="4" w:space="0"/>
            </w:tcBorders>
            <w:noWrap/>
            <w:vAlign w:val="center"/>
          </w:tcPr>
          <w:p w14:paraId="17962D01">
            <w:pPr>
              <w:spacing w:line="240" w:lineRule="auto"/>
              <w:ind w:firstLine="0" w:firstLineChars="0"/>
              <w:jc w:val="center"/>
              <w:rPr>
                <w:rFonts w:hint="eastAsia" w:ascii="宋体" w:hAnsi="宋体" w:eastAsia="宋体" w:cs="宋体"/>
                <w:i w:val="0"/>
                <w:iCs w:val="0"/>
                <w:color w:val="auto"/>
                <w:sz w:val="16"/>
                <w:szCs w:val="16"/>
                <w:highlight w:val="none"/>
                <w:u w:val="none"/>
              </w:rPr>
            </w:pP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49364978">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OP5110</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398F1A0E">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发动机下链</w:t>
            </w:r>
          </w:p>
        </w:tc>
        <w:tc>
          <w:tcPr>
            <w:tcW w:w="4660" w:type="dxa"/>
            <w:tcBorders>
              <w:top w:val="single" w:color="000000" w:sz="4" w:space="0"/>
              <w:left w:val="single" w:color="000000" w:sz="4" w:space="0"/>
              <w:bottom w:val="single" w:color="000000" w:sz="4" w:space="0"/>
              <w:right w:val="single" w:color="000000" w:sz="4" w:space="0"/>
            </w:tcBorders>
            <w:noWrap w:val="0"/>
            <w:vAlign w:val="center"/>
          </w:tcPr>
          <w:p w14:paraId="13302276">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拆除空压机铁质工艺盖板，安装出厂防护盖板。拆飞轮壳两侧吊耳，注意不可损坏螺纹孔。擦净飞轮壳外结合面。对于外销机根据要求进行防护。发动机套包装袋,固定发动机发交架4颗螺栓.发交架绑定.将发动机机平稳地吊放固定在发动机发交架上等工作。</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0BED7440">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4</w:t>
            </w:r>
          </w:p>
        </w:tc>
      </w:tr>
      <w:tr w14:paraId="4F44E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0" w:hRule="atLeast"/>
        </w:trPr>
        <w:tc>
          <w:tcPr>
            <w:tcW w:w="881" w:type="dxa"/>
            <w:vMerge w:val="continue"/>
            <w:tcBorders>
              <w:top w:val="single" w:color="000000" w:sz="4" w:space="0"/>
              <w:left w:val="single" w:color="000000" w:sz="4" w:space="0"/>
              <w:bottom w:val="single" w:color="000000" w:sz="4" w:space="0"/>
              <w:right w:val="single" w:color="000000" w:sz="4" w:space="0"/>
            </w:tcBorders>
            <w:noWrap/>
            <w:vAlign w:val="center"/>
          </w:tcPr>
          <w:p w14:paraId="4CC60E61">
            <w:pPr>
              <w:spacing w:line="240" w:lineRule="auto"/>
              <w:ind w:firstLine="0" w:firstLineChars="0"/>
              <w:jc w:val="center"/>
              <w:rPr>
                <w:rFonts w:hint="eastAsia" w:ascii="宋体" w:hAnsi="宋体" w:eastAsia="宋体" w:cs="宋体"/>
                <w:i w:val="0"/>
                <w:iCs w:val="0"/>
                <w:color w:val="auto"/>
                <w:sz w:val="16"/>
                <w:szCs w:val="16"/>
                <w:highlight w:val="none"/>
                <w:u w:val="none"/>
              </w:rPr>
            </w:pP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3D5B06A9">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OP5180</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27B2074A">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包装</w:t>
            </w:r>
          </w:p>
        </w:tc>
        <w:tc>
          <w:tcPr>
            <w:tcW w:w="4660" w:type="dxa"/>
            <w:tcBorders>
              <w:top w:val="single" w:color="000000" w:sz="4" w:space="0"/>
              <w:left w:val="single" w:color="000000" w:sz="4" w:space="0"/>
              <w:bottom w:val="single" w:color="000000" w:sz="4" w:space="0"/>
              <w:right w:val="single" w:color="000000" w:sz="4" w:space="0"/>
            </w:tcBorders>
            <w:noWrap w:val="0"/>
            <w:vAlign w:val="center"/>
          </w:tcPr>
          <w:p w14:paraId="3FFB5D8C">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周转运输发动机。检查发动机出厂编号、机体号、铭牌参数、条形码是否一致，并做好相关记录。根据发动机型号将发动机随机附带零件箱、备件箱、放入发交托盘中（若有客户特别要求，按要求执行）。放置防锈包、防锈纸、涂油。对于加长机油尺机型，将机油尺放置在风扇后方避免包装是扎破防护罩衣。将塑料包装袋罩住整个发动机，检查并确认包装袋是否严密、无破损现象，将外条形码贴在发动机飞轮壳左侧罩衣上。启动包装机，将包装用缠绕膜从托盘上部开始匀速向上缠绕，并适当调整转盘速度和涨紧度，当包装缠绕至顶端后再逐步向下缠绕至托盘上部停止包装机，避免将托盘缠绕，使托盘底部保持一定的通风性，确认发动机包装牢固后剪断缠绕膜并封口。将打印好的外条形码粘贴到飞轮壳的左侧面发动机外包装袋和缠绕膜之间。对于外销机根据作业文件要求进行防护包装等工作。</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6C85A38F">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6</w:t>
            </w:r>
          </w:p>
        </w:tc>
      </w:tr>
      <w:tr w14:paraId="08BBD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81" w:type="dxa"/>
            <w:tcBorders>
              <w:top w:val="single" w:color="000000" w:sz="4" w:space="0"/>
              <w:left w:val="single" w:color="000000" w:sz="4" w:space="0"/>
              <w:bottom w:val="single" w:color="000000" w:sz="4" w:space="0"/>
              <w:right w:val="single" w:color="000000" w:sz="4" w:space="0"/>
            </w:tcBorders>
            <w:noWrap/>
            <w:vAlign w:val="center"/>
          </w:tcPr>
          <w:p w14:paraId="4F73B05E">
            <w:pPr>
              <w:keepNext w:val="0"/>
              <w:keepLines w:val="0"/>
              <w:widowControl/>
              <w:suppressLineNumbers w:val="0"/>
              <w:spacing w:line="240" w:lineRule="auto"/>
              <w:ind w:firstLine="0" w:firstLineChars="0"/>
              <w:jc w:val="left"/>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项目二</w:t>
            </w: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5BCF0700">
            <w:pPr>
              <w:spacing w:line="240" w:lineRule="auto"/>
              <w:ind w:firstLine="0" w:firstLineChars="0"/>
              <w:jc w:val="center"/>
              <w:rPr>
                <w:rFonts w:hint="eastAsia" w:ascii="宋体" w:hAnsi="宋体" w:eastAsia="宋体" w:cs="宋体"/>
                <w:i w:val="0"/>
                <w:iCs w:val="0"/>
                <w:color w:val="auto"/>
                <w:sz w:val="16"/>
                <w:szCs w:val="16"/>
                <w:highlight w:val="none"/>
                <w:u w:val="none"/>
                <w:lang w:val="en-US" w:eastAsia="zh-CN"/>
              </w:rPr>
            </w:pPr>
            <w:r>
              <w:rPr>
                <w:rFonts w:hint="eastAsia" w:ascii="宋体" w:hAnsi="宋体" w:eastAsia="宋体" w:cs="宋体"/>
                <w:i w:val="0"/>
                <w:iCs w:val="0"/>
                <w:color w:val="auto"/>
                <w:sz w:val="16"/>
                <w:szCs w:val="16"/>
                <w:highlight w:val="none"/>
                <w:u w:val="none"/>
                <w:lang w:val="en-US" w:eastAsia="zh-CN"/>
              </w:rPr>
              <w:t>/</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5BF88135">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江准外销发动机SCR分装</w:t>
            </w:r>
          </w:p>
        </w:tc>
        <w:tc>
          <w:tcPr>
            <w:tcW w:w="4660" w:type="dxa"/>
            <w:tcBorders>
              <w:top w:val="single" w:color="000000" w:sz="4" w:space="0"/>
              <w:left w:val="single" w:color="000000" w:sz="4" w:space="0"/>
              <w:bottom w:val="single" w:color="000000" w:sz="4" w:space="0"/>
              <w:right w:val="single" w:color="000000" w:sz="4" w:space="0"/>
            </w:tcBorders>
            <w:noWrap/>
            <w:vAlign w:val="center"/>
          </w:tcPr>
          <w:p w14:paraId="3CB30F19">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按附件箱产品件明细装箱，用专用胶带封箱等工作。</w:t>
            </w:r>
          </w:p>
        </w:tc>
        <w:tc>
          <w:tcPr>
            <w:tcW w:w="930" w:type="dxa"/>
            <w:tcBorders>
              <w:top w:val="single" w:color="000000" w:sz="4" w:space="0"/>
              <w:left w:val="single" w:color="000000" w:sz="4" w:space="0"/>
              <w:bottom w:val="single" w:color="000000" w:sz="4" w:space="0"/>
              <w:right w:val="single" w:color="000000" w:sz="4" w:space="0"/>
            </w:tcBorders>
            <w:noWrap/>
            <w:vAlign w:val="center"/>
          </w:tcPr>
          <w:p w14:paraId="69195CB3">
            <w:pPr>
              <w:spacing w:line="240" w:lineRule="auto"/>
              <w:ind w:firstLine="0" w:firstLineChars="0"/>
              <w:jc w:val="center"/>
              <w:rPr>
                <w:rFonts w:hint="default" w:ascii="宋体" w:hAnsi="宋体" w:eastAsia="宋体" w:cs="宋体"/>
                <w:i w:val="0"/>
                <w:iCs w:val="0"/>
                <w:color w:val="auto"/>
                <w:sz w:val="16"/>
                <w:szCs w:val="16"/>
                <w:highlight w:val="none"/>
                <w:u w:val="none"/>
                <w:lang w:val="en-US" w:eastAsia="zh-CN"/>
              </w:rPr>
            </w:pPr>
            <w:r>
              <w:rPr>
                <w:rFonts w:hint="eastAsia" w:ascii="宋体" w:hAnsi="宋体" w:eastAsia="宋体" w:cs="宋体"/>
                <w:i w:val="0"/>
                <w:iCs w:val="0"/>
                <w:color w:val="auto"/>
                <w:sz w:val="16"/>
                <w:szCs w:val="16"/>
                <w:highlight w:val="none"/>
                <w:u w:val="none"/>
                <w:lang w:val="en-US" w:eastAsia="zh-CN"/>
              </w:rPr>
              <w:t>/</w:t>
            </w:r>
          </w:p>
        </w:tc>
      </w:tr>
      <w:tr w14:paraId="4CF05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81" w:type="dxa"/>
            <w:tcBorders>
              <w:top w:val="single" w:color="000000" w:sz="4" w:space="0"/>
              <w:left w:val="single" w:color="000000" w:sz="4" w:space="0"/>
              <w:bottom w:val="single" w:color="000000" w:sz="4" w:space="0"/>
              <w:right w:val="single" w:color="000000" w:sz="4" w:space="0"/>
            </w:tcBorders>
            <w:noWrap/>
            <w:vAlign w:val="center"/>
          </w:tcPr>
          <w:p w14:paraId="2E89AD96">
            <w:pPr>
              <w:keepNext w:val="0"/>
              <w:keepLines w:val="0"/>
              <w:widowControl/>
              <w:suppressLineNumbers w:val="0"/>
              <w:spacing w:line="240" w:lineRule="auto"/>
              <w:ind w:firstLine="0" w:firstLineChars="0"/>
              <w:jc w:val="left"/>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项目三</w:t>
            </w: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0955B791">
            <w:pPr>
              <w:spacing w:line="240" w:lineRule="auto"/>
              <w:ind w:firstLine="0" w:firstLineChars="0"/>
              <w:jc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sz w:val="16"/>
                <w:szCs w:val="16"/>
                <w:highlight w:val="none"/>
                <w:u w:val="none"/>
                <w:lang w:val="en-US" w:eastAsia="zh-CN"/>
              </w:rPr>
              <w:t>/</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59EC5A12">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徐重外销发动机SCR分装</w:t>
            </w:r>
          </w:p>
        </w:tc>
        <w:tc>
          <w:tcPr>
            <w:tcW w:w="4660" w:type="dxa"/>
            <w:tcBorders>
              <w:top w:val="single" w:color="000000" w:sz="4" w:space="0"/>
              <w:left w:val="single" w:color="000000" w:sz="4" w:space="0"/>
              <w:bottom w:val="single" w:color="000000" w:sz="4" w:space="0"/>
              <w:right w:val="single" w:color="000000" w:sz="4" w:space="0"/>
            </w:tcBorders>
            <w:noWrap/>
            <w:vAlign w:val="center"/>
          </w:tcPr>
          <w:p w14:paraId="7DED92C6">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按附件箱产品件明细装箱，用专用胶带封箱等工作。</w:t>
            </w:r>
          </w:p>
        </w:tc>
        <w:tc>
          <w:tcPr>
            <w:tcW w:w="930" w:type="dxa"/>
            <w:tcBorders>
              <w:top w:val="single" w:color="000000" w:sz="4" w:space="0"/>
              <w:left w:val="single" w:color="000000" w:sz="4" w:space="0"/>
              <w:bottom w:val="single" w:color="000000" w:sz="4" w:space="0"/>
              <w:right w:val="single" w:color="000000" w:sz="4" w:space="0"/>
            </w:tcBorders>
            <w:noWrap/>
            <w:vAlign w:val="center"/>
          </w:tcPr>
          <w:p w14:paraId="5BE68AEB">
            <w:pPr>
              <w:spacing w:line="240" w:lineRule="auto"/>
              <w:ind w:firstLine="0" w:firstLineChars="0"/>
              <w:jc w:val="center"/>
              <w:rPr>
                <w:rFonts w:hint="default" w:ascii="宋体" w:hAnsi="宋体" w:eastAsia="宋体" w:cs="宋体"/>
                <w:i w:val="0"/>
                <w:iCs w:val="0"/>
                <w:color w:val="auto"/>
                <w:sz w:val="16"/>
                <w:szCs w:val="16"/>
                <w:highlight w:val="none"/>
                <w:u w:val="none"/>
                <w:lang w:val="en-US" w:eastAsia="zh-CN"/>
              </w:rPr>
            </w:pPr>
            <w:r>
              <w:rPr>
                <w:rFonts w:hint="eastAsia" w:ascii="宋体" w:hAnsi="宋体" w:eastAsia="宋体" w:cs="宋体"/>
                <w:i w:val="0"/>
                <w:iCs w:val="0"/>
                <w:color w:val="auto"/>
                <w:sz w:val="16"/>
                <w:szCs w:val="16"/>
                <w:highlight w:val="none"/>
                <w:u w:val="none"/>
                <w:lang w:val="en-US" w:eastAsia="zh-CN"/>
              </w:rPr>
              <w:t>/</w:t>
            </w:r>
          </w:p>
        </w:tc>
      </w:tr>
      <w:tr w14:paraId="2FB6E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81" w:type="dxa"/>
            <w:tcBorders>
              <w:top w:val="single" w:color="000000" w:sz="4" w:space="0"/>
              <w:left w:val="single" w:color="000000" w:sz="4" w:space="0"/>
              <w:bottom w:val="single" w:color="000000" w:sz="4" w:space="0"/>
              <w:right w:val="single" w:color="000000" w:sz="4" w:space="0"/>
            </w:tcBorders>
            <w:noWrap/>
            <w:vAlign w:val="center"/>
          </w:tcPr>
          <w:p w14:paraId="1D01314E">
            <w:pPr>
              <w:keepNext w:val="0"/>
              <w:keepLines w:val="0"/>
              <w:widowControl/>
              <w:suppressLineNumbers w:val="0"/>
              <w:spacing w:line="240" w:lineRule="auto"/>
              <w:ind w:firstLine="0" w:firstLineChars="0"/>
              <w:jc w:val="left"/>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项目四</w:t>
            </w: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26BC3C5B">
            <w:pPr>
              <w:spacing w:line="240" w:lineRule="auto"/>
              <w:ind w:firstLine="0" w:firstLineChars="0"/>
              <w:jc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sz w:val="16"/>
                <w:szCs w:val="16"/>
                <w:highlight w:val="none"/>
                <w:u w:val="none"/>
                <w:lang w:val="en-US" w:eastAsia="zh-CN"/>
              </w:rPr>
              <w:t>/</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5CD74C5E">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气体机附件箱分装</w:t>
            </w:r>
          </w:p>
        </w:tc>
        <w:tc>
          <w:tcPr>
            <w:tcW w:w="4660" w:type="dxa"/>
            <w:tcBorders>
              <w:top w:val="single" w:color="000000" w:sz="4" w:space="0"/>
              <w:left w:val="single" w:color="000000" w:sz="4" w:space="0"/>
              <w:bottom w:val="single" w:color="000000" w:sz="4" w:space="0"/>
              <w:right w:val="single" w:color="000000" w:sz="4" w:space="0"/>
            </w:tcBorders>
            <w:noWrap/>
            <w:vAlign w:val="center"/>
          </w:tcPr>
          <w:p w14:paraId="0676F3C7">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按附件箱产品件明细装箱，用专用胶带封箱等工作。</w:t>
            </w:r>
          </w:p>
        </w:tc>
        <w:tc>
          <w:tcPr>
            <w:tcW w:w="930" w:type="dxa"/>
            <w:tcBorders>
              <w:top w:val="single" w:color="000000" w:sz="4" w:space="0"/>
              <w:left w:val="single" w:color="000000" w:sz="4" w:space="0"/>
              <w:bottom w:val="single" w:color="000000" w:sz="4" w:space="0"/>
              <w:right w:val="single" w:color="000000" w:sz="4" w:space="0"/>
            </w:tcBorders>
            <w:noWrap/>
            <w:vAlign w:val="center"/>
          </w:tcPr>
          <w:p w14:paraId="14E461B7">
            <w:pPr>
              <w:spacing w:line="240" w:lineRule="auto"/>
              <w:ind w:firstLine="0" w:firstLineChars="0"/>
              <w:jc w:val="center"/>
              <w:rPr>
                <w:rFonts w:hint="default" w:ascii="宋体" w:hAnsi="宋体" w:eastAsia="宋体" w:cs="宋体"/>
                <w:i w:val="0"/>
                <w:iCs w:val="0"/>
                <w:color w:val="auto"/>
                <w:sz w:val="16"/>
                <w:szCs w:val="16"/>
                <w:highlight w:val="none"/>
                <w:u w:val="none"/>
                <w:lang w:val="en-US" w:eastAsia="zh-CN"/>
              </w:rPr>
            </w:pPr>
            <w:r>
              <w:rPr>
                <w:rFonts w:hint="eastAsia" w:ascii="宋体" w:hAnsi="宋体" w:eastAsia="宋体" w:cs="宋体"/>
                <w:i w:val="0"/>
                <w:iCs w:val="0"/>
                <w:color w:val="auto"/>
                <w:sz w:val="16"/>
                <w:szCs w:val="16"/>
                <w:highlight w:val="none"/>
                <w:u w:val="none"/>
                <w:lang w:val="en-US" w:eastAsia="zh-CN"/>
              </w:rPr>
              <w:t>/</w:t>
            </w:r>
          </w:p>
        </w:tc>
      </w:tr>
      <w:tr w14:paraId="243F6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81" w:type="dxa"/>
            <w:tcBorders>
              <w:top w:val="single" w:color="000000" w:sz="4" w:space="0"/>
              <w:left w:val="single" w:color="000000" w:sz="4" w:space="0"/>
              <w:bottom w:val="single" w:color="000000" w:sz="4" w:space="0"/>
              <w:right w:val="single" w:color="000000" w:sz="4" w:space="0"/>
            </w:tcBorders>
            <w:noWrap/>
            <w:vAlign w:val="center"/>
          </w:tcPr>
          <w:p w14:paraId="70DC9B3B">
            <w:pPr>
              <w:keepNext w:val="0"/>
              <w:keepLines w:val="0"/>
              <w:widowControl/>
              <w:suppressLineNumbers w:val="0"/>
              <w:spacing w:line="240" w:lineRule="auto"/>
              <w:ind w:firstLine="0" w:firstLineChars="0"/>
              <w:jc w:val="left"/>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项目五</w:t>
            </w: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17F5C916">
            <w:pPr>
              <w:spacing w:line="240" w:lineRule="auto"/>
              <w:ind w:firstLine="0" w:firstLineChars="0"/>
              <w:jc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sz w:val="16"/>
                <w:szCs w:val="16"/>
                <w:highlight w:val="none"/>
                <w:u w:val="none"/>
                <w:lang w:val="en-US" w:eastAsia="zh-CN"/>
              </w:rPr>
              <w:t>/</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3F04B7ED">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外销机附件箱分装</w:t>
            </w:r>
          </w:p>
        </w:tc>
        <w:tc>
          <w:tcPr>
            <w:tcW w:w="4660" w:type="dxa"/>
            <w:tcBorders>
              <w:top w:val="single" w:color="000000" w:sz="4" w:space="0"/>
              <w:left w:val="single" w:color="000000" w:sz="4" w:space="0"/>
              <w:bottom w:val="single" w:color="000000" w:sz="4" w:space="0"/>
              <w:right w:val="single" w:color="000000" w:sz="4" w:space="0"/>
            </w:tcBorders>
            <w:noWrap/>
            <w:vAlign w:val="center"/>
          </w:tcPr>
          <w:p w14:paraId="484B9F6D">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按附件箱产品件明细装箱，用专用胶带封箱等工作。</w:t>
            </w:r>
          </w:p>
        </w:tc>
        <w:tc>
          <w:tcPr>
            <w:tcW w:w="930" w:type="dxa"/>
            <w:tcBorders>
              <w:top w:val="single" w:color="000000" w:sz="4" w:space="0"/>
              <w:left w:val="single" w:color="000000" w:sz="4" w:space="0"/>
              <w:bottom w:val="single" w:color="000000" w:sz="4" w:space="0"/>
              <w:right w:val="single" w:color="000000" w:sz="4" w:space="0"/>
            </w:tcBorders>
            <w:noWrap/>
            <w:vAlign w:val="center"/>
          </w:tcPr>
          <w:p w14:paraId="1655CD42">
            <w:pPr>
              <w:spacing w:line="240" w:lineRule="auto"/>
              <w:ind w:firstLine="0" w:firstLineChars="0"/>
              <w:jc w:val="center"/>
              <w:rPr>
                <w:rFonts w:hint="default" w:ascii="宋体" w:hAnsi="宋体" w:eastAsia="宋体" w:cs="宋体"/>
                <w:i w:val="0"/>
                <w:iCs w:val="0"/>
                <w:color w:val="auto"/>
                <w:sz w:val="16"/>
                <w:szCs w:val="16"/>
                <w:highlight w:val="none"/>
                <w:u w:val="none"/>
                <w:lang w:val="en-US" w:eastAsia="zh-CN"/>
              </w:rPr>
            </w:pPr>
            <w:r>
              <w:rPr>
                <w:rFonts w:hint="eastAsia" w:ascii="宋体" w:hAnsi="宋体" w:eastAsia="宋体" w:cs="宋体"/>
                <w:i w:val="0"/>
                <w:iCs w:val="0"/>
                <w:color w:val="auto"/>
                <w:sz w:val="16"/>
                <w:szCs w:val="16"/>
                <w:highlight w:val="none"/>
                <w:u w:val="none"/>
                <w:lang w:val="en-US" w:eastAsia="zh-CN"/>
              </w:rPr>
              <w:t>/</w:t>
            </w:r>
          </w:p>
        </w:tc>
      </w:tr>
      <w:tr w14:paraId="42CEA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881" w:type="dxa"/>
            <w:tcBorders>
              <w:top w:val="single" w:color="000000" w:sz="4" w:space="0"/>
              <w:left w:val="single" w:color="000000" w:sz="4" w:space="0"/>
              <w:bottom w:val="single" w:color="000000" w:sz="4" w:space="0"/>
              <w:right w:val="single" w:color="000000" w:sz="4" w:space="0"/>
            </w:tcBorders>
            <w:noWrap/>
            <w:vAlign w:val="center"/>
          </w:tcPr>
          <w:p w14:paraId="217C3F90">
            <w:pPr>
              <w:keepNext w:val="0"/>
              <w:keepLines w:val="0"/>
              <w:widowControl/>
              <w:suppressLineNumbers w:val="0"/>
              <w:spacing w:line="240" w:lineRule="auto"/>
              <w:ind w:firstLine="0" w:firstLineChars="0"/>
              <w:jc w:val="left"/>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项目六</w:t>
            </w:r>
          </w:p>
        </w:tc>
        <w:tc>
          <w:tcPr>
            <w:tcW w:w="789" w:type="dxa"/>
            <w:tcBorders>
              <w:top w:val="single" w:color="000000" w:sz="4" w:space="0"/>
              <w:left w:val="single" w:color="000000" w:sz="4" w:space="0"/>
              <w:bottom w:val="single" w:color="000000" w:sz="4" w:space="0"/>
              <w:right w:val="single" w:color="000000" w:sz="4" w:space="0"/>
            </w:tcBorders>
            <w:noWrap/>
            <w:vAlign w:val="center"/>
          </w:tcPr>
          <w:p w14:paraId="23ACECB4">
            <w:pPr>
              <w:spacing w:line="240" w:lineRule="auto"/>
              <w:ind w:firstLine="0" w:firstLineChars="0"/>
              <w:jc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sz w:val="16"/>
                <w:szCs w:val="16"/>
                <w:highlight w:val="none"/>
                <w:u w:val="none"/>
                <w:lang w:val="en-US" w:eastAsia="zh-CN"/>
              </w:rPr>
              <w:t>/</w:t>
            </w:r>
          </w:p>
        </w:tc>
        <w:tc>
          <w:tcPr>
            <w:tcW w:w="1908" w:type="dxa"/>
            <w:tcBorders>
              <w:top w:val="single" w:color="000000" w:sz="4" w:space="0"/>
              <w:left w:val="single" w:color="000000" w:sz="4" w:space="0"/>
              <w:bottom w:val="single" w:color="000000" w:sz="4" w:space="0"/>
              <w:right w:val="single" w:color="000000" w:sz="4" w:space="0"/>
            </w:tcBorders>
            <w:noWrap/>
            <w:vAlign w:val="center"/>
          </w:tcPr>
          <w:p w14:paraId="1D548745">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寒区包分装</w:t>
            </w:r>
          </w:p>
        </w:tc>
        <w:tc>
          <w:tcPr>
            <w:tcW w:w="4660" w:type="dxa"/>
            <w:tcBorders>
              <w:top w:val="single" w:color="000000" w:sz="4" w:space="0"/>
              <w:left w:val="single" w:color="000000" w:sz="4" w:space="0"/>
              <w:bottom w:val="single" w:color="000000" w:sz="4" w:space="0"/>
              <w:right w:val="single" w:color="000000" w:sz="4" w:space="0"/>
            </w:tcBorders>
            <w:noWrap/>
            <w:vAlign w:val="center"/>
          </w:tcPr>
          <w:p w14:paraId="42F06211">
            <w:pPr>
              <w:keepNext w:val="0"/>
              <w:keepLines w:val="0"/>
              <w:widowControl/>
              <w:suppressLineNumbers w:val="0"/>
              <w:spacing w:line="240" w:lineRule="auto"/>
              <w:ind w:firstLine="0" w:firstLineChars="0"/>
              <w:jc w:val="center"/>
              <w:textAlignment w:val="center"/>
              <w:rPr>
                <w:rFonts w:hint="eastAsia" w:ascii="宋体" w:hAnsi="宋体" w:eastAsia="宋体" w:cs="宋体"/>
                <w:i w:val="0"/>
                <w:iCs w:val="0"/>
                <w:color w:val="auto"/>
                <w:sz w:val="16"/>
                <w:szCs w:val="16"/>
                <w:highlight w:val="none"/>
                <w:u w:val="none"/>
              </w:rPr>
            </w:pPr>
            <w:r>
              <w:rPr>
                <w:rFonts w:hint="eastAsia" w:ascii="宋体" w:hAnsi="宋体" w:eastAsia="宋体" w:cs="宋体"/>
                <w:i w:val="0"/>
                <w:iCs w:val="0"/>
                <w:color w:val="auto"/>
                <w:kern w:val="0"/>
                <w:sz w:val="16"/>
                <w:szCs w:val="16"/>
                <w:highlight w:val="none"/>
                <w:u w:val="none"/>
                <w:lang w:val="en-US" w:eastAsia="zh-CN" w:bidi="ar"/>
              </w:rPr>
              <w:t>按附件箱产品件明细装箱，用专用胶带封箱等工作。</w:t>
            </w:r>
          </w:p>
        </w:tc>
        <w:tc>
          <w:tcPr>
            <w:tcW w:w="930" w:type="dxa"/>
            <w:tcBorders>
              <w:top w:val="single" w:color="000000" w:sz="4" w:space="0"/>
              <w:left w:val="single" w:color="000000" w:sz="4" w:space="0"/>
              <w:bottom w:val="single" w:color="000000" w:sz="4" w:space="0"/>
              <w:right w:val="single" w:color="000000" w:sz="4" w:space="0"/>
            </w:tcBorders>
            <w:noWrap/>
            <w:vAlign w:val="center"/>
          </w:tcPr>
          <w:p w14:paraId="7D1F008F">
            <w:pPr>
              <w:spacing w:line="240" w:lineRule="auto"/>
              <w:ind w:firstLine="0" w:firstLineChars="0"/>
              <w:jc w:val="center"/>
              <w:rPr>
                <w:rFonts w:hint="default" w:ascii="宋体" w:hAnsi="宋体" w:eastAsia="宋体" w:cs="宋体"/>
                <w:i w:val="0"/>
                <w:iCs w:val="0"/>
                <w:color w:val="auto"/>
                <w:sz w:val="16"/>
                <w:szCs w:val="16"/>
                <w:highlight w:val="none"/>
                <w:u w:val="none"/>
                <w:lang w:val="en-US" w:eastAsia="zh-CN"/>
              </w:rPr>
            </w:pPr>
            <w:r>
              <w:rPr>
                <w:rFonts w:hint="eastAsia" w:ascii="宋体" w:hAnsi="宋体" w:eastAsia="宋体" w:cs="宋体"/>
                <w:i w:val="0"/>
                <w:iCs w:val="0"/>
                <w:color w:val="auto"/>
                <w:sz w:val="16"/>
                <w:szCs w:val="16"/>
                <w:highlight w:val="none"/>
                <w:u w:val="none"/>
                <w:lang w:val="en-US" w:eastAsia="zh-CN"/>
              </w:rPr>
              <w:t>/</w:t>
            </w:r>
          </w:p>
        </w:tc>
      </w:tr>
    </w:tbl>
    <w:p w14:paraId="186D05BD">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240" w:lineRule="auto"/>
        <w:textAlignment w:val="auto"/>
        <w:rPr>
          <w:rFonts w:hint="eastAsia" w:ascii="仿宋_GB2312" w:eastAsia="仿宋_GB2312" w:cs="Times New Roman"/>
          <w:color w:val="auto"/>
          <w:sz w:val="28"/>
          <w:szCs w:val="28"/>
          <w:highlight w:val="none"/>
          <w:lang w:val="en-US" w:eastAsia="zh-CN"/>
        </w:rPr>
      </w:pPr>
    </w:p>
    <w:p w14:paraId="24E724FF">
      <w:pPr>
        <w:pageBreakBefore w:val="0"/>
        <w:numPr>
          <w:ilvl w:val="0"/>
          <w:numId w:val="7"/>
        </w:numPr>
        <w:kinsoku/>
        <w:wordWrap/>
        <w:overflowPunct/>
        <w:topLinePunct w:val="0"/>
        <w:autoSpaceDE w:val="0"/>
        <w:autoSpaceDN w:val="0"/>
        <w:bidi w:val="0"/>
        <w:adjustRightInd w:val="0"/>
        <w:spacing w:line="240" w:lineRule="auto"/>
        <w:ind w:left="0" w:leftChars="0"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人员管理及岗位优化</w:t>
      </w:r>
    </w:p>
    <w:p w14:paraId="44D80741">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4.1</w:t>
      </w:r>
      <w:r>
        <w:rPr>
          <w:rFonts w:hint="eastAsia" w:ascii="Times New Roman" w:hAnsi="Times New Roman" w:eastAsia="仿宋_GB2312" w:cs="Times New Roman"/>
          <w:b w:val="0"/>
          <w:bCs w:val="0"/>
          <w:color w:val="auto"/>
          <w:kern w:val="2"/>
          <w:sz w:val="28"/>
          <w:szCs w:val="28"/>
          <w:highlight w:val="none"/>
          <w:lang w:val="en-US" w:eastAsia="zh-CN" w:bidi="ar-SA"/>
        </w:rPr>
        <w:t>、技术与专业知识</w:t>
      </w:r>
    </w:p>
    <w:p w14:paraId="57551E21">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外包方应该储备充足的专业操作人员及生产管理、技术质量人员，负责新进人员的技能培训。新进人员需符合安全及环保职业健康要求，培训合格后方可上岗。</w:t>
      </w:r>
    </w:p>
    <w:p w14:paraId="0E3ED2F7">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4.2人员管理</w:t>
      </w:r>
    </w:p>
    <w:p w14:paraId="3740D95A">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外包方应按照济南发动机厂相关要求，组织业务开展，负责对所用人员的管理，包括签署劳动合同、购买工伤保险、支付报酬等，并确保派驻至济南发动机厂的人员均已签署正式劳动合同，同时需确保人员稳定性，且要求全部为男职工，男职工不超过55岁；喷涂人员更换不允许一年超过两人次，其余人员整体每月更换不超过1人次，要建立完善的工作，交接制度，出现人员更换时，新进人员应熟练掌握业务技能，并符合相关安全及环保职业健康要求。</w:t>
      </w:r>
    </w:p>
    <w:p w14:paraId="342BB366">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仿宋" w:hAnsi="仿宋" w:eastAsia="仿宋" w:cs="仿宋"/>
          <w:color w:val="auto"/>
          <w:sz w:val="28"/>
          <w:szCs w:val="28"/>
          <w:highlight w:val="none"/>
          <w:lang w:val="en-US" w:eastAsia="zh-CN"/>
        </w:rPr>
      </w:pPr>
      <w:r>
        <w:rPr>
          <w:rFonts w:hint="eastAsia" w:eastAsia="仿宋_GB2312" w:cs="Times New Roman"/>
          <w:b w:val="0"/>
          <w:bCs w:val="0"/>
          <w:color w:val="auto"/>
          <w:kern w:val="2"/>
          <w:sz w:val="28"/>
          <w:szCs w:val="28"/>
          <w:highlight w:val="none"/>
          <w:lang w:val="en-US" w:eastAsia="zh-CN" w:bidi="ar-SA"/>
        </w:rPr>
        <w:t>4.3</w:t>
      </w:r>
      <w:r>
        <w:rPr>
          <w:rFonts w:hint="eastAsia" w:ascii="Times New Roman" w:hAnsi="Times New Roman" w:eastAsia="仿宋_GB2312" w:cs="Times New Roman"/>
          <w:b w:val="0"/>
          <w:bCs w:val="0"/>
          <w:color w:val="auto"/>
          <w:kern w:val="2"/>
          <w:sz w:val="28"/>
          <w:szCs w:val="28"/>
          <w:highlight w:val="none"/>
          <w:lang w:val="en-US" w:eastAsia="zh-CN" w:bidi="ar-SA"/>
        </w:rPr>
        <w:t>人员要求：外包方必须按照额定工艺定员配置人员，</w:t>
      </w:r>
      <w:r>
        <w:rPr>
          <w:rFonts w:hint="eastAsia" w:ascii="仿宋" w:hAnsi="仿宋" w:eastAsia="仿宋" w:cs="仿宋"/>
          <w:color w:val="auto"/>
          <w:sz w:val="28"/>
          <w:szCs w:val="28"/>
          <w:highlight w:val="none"/>
          <w:lang w:val="en-US" w:eastAsia="zh-CN"/>
        </w:rPr>
        <w:t>不允许因人员问题影响生产秩序。外包方需建立人员储备预案，保证产品保质保量按期交付，整体应至少保证储备1人。</w:t>
      </w:r>
    </w:p>
    <w:p w14:paraId="5CE25CD7">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default"/>
          <w:color w:val="auto"/>
          <w:sz w:val="20"/>
          <w:szCs w:val="18"/>
          <w:highlight w:val="none"/>
          <w:lang w:val="en-US" w:eastAsia="zh-CN"/>
        </w:rPr>
      </w:pPr>
      <w:r>
        <w:rPr>
          <w:rFonts w:hint="eastAsia" w:eastAsia="仿宋_GB2312" w:cs="Times New Roman"/>
          <w:b w:val="0"/>
          <w:bCs w:val="0"/>
          <w:color w:val="auto"/>
          <w:kern w:val="2"/>
          <w:sz w:val="28"/>
          <w:szCs w:val="28"/>
          <w:highlight w:val="none"/>
          <w:lang w:val="en-US" w:eastAsia="zh-CN" w:bidi="ar-SA"/>
        </w:rPr>
        <w:t>4.4</w:t>
      </w:r>
      <w:r>
        <w:rPr>
          <w:rFonts w:hint="eastAsia" w:ascii="Times New Roman" w:hAnsi="Times New Roman" w:eastAsia="仿宋_GB2312" w:cs="Times New Roman"/>
          <w:b w:val="0"/>
          <w:bCs w:val="0"/>
          <w:color w:val="auto"/>
          <w:kern w:val="2"/>
          <w:sz w:val="28"/>
          <w:szCs w:val="28"/>
          <w:highlight w:val="none"/>
          <w:lang w:val="en-US" w:eastAsia="zh-CN" w:bidi="ar-SA"/>
        </w:rPr>
        <w:t>出勤管理：外包方对业务承包范围内的人员出勤情况负责，要求外包单位配备独立的信息化考勤系统（人脸识别考勤机等）并确保考勤记录情况真实，严禁委托他人或代替他人考勤，严禁工作时长造假。外包方要保留员工考勤原始数据，济南发动机厂定期对外包方考勤记录进行核实。出勤期间，外包单位人员要严格遵守济南发动机厂各项劳动纪律，多次违反或严重违反劳动纪律的，予以辞退。</w:t>
      </w:r>
    </w:p>
    <w:p w14:paraId="48193553">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4.5</w:t>
      </w:r>
      <w:r>
        <w:rPr>
          <w:rFonts w:hint="eastAsia" w:ascii="Times New Roman" w:hAnsi="Times New Roman" w:eastAsia="仿宋_GB2312" w:cs="Times New Roman"/>
          <w:b w:val="0"/>
          <w:bCs w:val="0"/>
          <w:color w:val="auto"/>
          <w:kern w:val="2"/>
          <w:sz w:val="28"/>
          <w:szCs w:val="28"/>
          <w:highlight w:val="none"/>
          <w:lang w:val="en-US" w:eastAsia="zh-CN" w:bidi="ar-SA"/>
        </w:rPr>
        <w:t>文化认同：外包单位员工在济南发动机厂工作期间，需认同企业文化，奉公守法，如有违反中国重汽集团管理规定或触犯国家法律法规的，予以辞退。</w:t>
      </w:r>
    </w:p>
    <w:p w14:paraId="57EC606A">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4.6</w:t>
      </w:r>
      <w:r>
        <w:rPr>
          <w:rFonts w:hint="eastAsia" w:ascii="Times New Roman" w:hAnsi="Times New Roman" w:eastAsia="仿宋_GB2312" w:cs="Times New Roman"/>
          <w:b w:val="0"/>
          <w:bCs w:val="0"/>
          <w:color w:val="auto"/>
          <w:kern w:val="2"/>
          <w:sz w:val="28"/>
          <w:szCs w:val="28"/>
          <w:highlight w:val="none"/>
          <w:lang w:val="en-US" w:eastAsia="zh-CN" w:bidi="ar-SA"/>
        </w:rPr>
        <w:t>安全责任：外包单位人员需经过三级安全教育，熟知安全操作规程及现场各种警示标识，并保留相关培训记录，济南发动机厂按规定对各级培训记录进行核查。因外包单位人员未按照安全操作规程和作业指导书违章操作，导致产生安全、质量、生产事故，由外包方承担所有损失，如因此给济南发动机厂或第三方造成任何损失，外包方承担全部赔偿责任。</w:t>
      </w:r>
    </w:p>
    <w:p w14:paraId="2522B321">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4.7</w:t>
      </w:r>
      <w:r>
        <w:rPr>
          <w:rFonts w:hint="eastAsia" w:ascii="Times New Roman" w:hAnsi="Times New Roman" w:eastAsia="仿宋_GB2312" w:cs="Times New Roman"/>
          <w:b w:val="0"/>
          <w:bCs w:val="0"/>
          <w:color w:val="auto"/>
          <w:kern w:val="2"/>
          <w:sz w:val="28"/>
          <w:szCs w:val="28"/>
          <w:highlight w:val="none"/>
          <w:lang w:val="en-US" w:eastAsia="zh-CN" w:bidi="ar-SA"/>
        </w:rPr>
        <w:t>保密义务：需对合作过程中的接触到的所有文件内容和数据、信息等保密，并需按照要求签订《保密协议》，如因此给济南发动机厂或第三方造成任何损失，外包方应按照保密协议要求承担赔偿责任。</w:t>
      </w:r>
    </w:p>
    <w:p w14:paraId="266A5FE5">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4.8</w:t>
      </w:r>
      <w:r>
        <w:rPr>
          <w:rFonts w:hint="eastAsia" w:ascii="Times New Roman" w:hAnsi="Times New Roman" w:eastAsia="仿宋_GB2312" w:cs="Times New Roman"/>
          <w:b w:val="0"/>
          <w:bCs w:val="0"/>
          <w:color w:val="auto"/>
          <w:kern w:val="2"/>
          <w:sz w:val="28"/>
          <w:szCs w:val="28"/>
          <w:highlight w:val="none"/>
          <w:lang w:val="en-US" w:eastAsia="zh-CN" w:bidi="ar-SA"/>
        </w:rPr>
        <w:t>生活费用：外包方员工的乘用车及食宿费用由外包方自行解决。</w:t>
      </w:r>
    </w:p>
    <w:p w14:paraId="0328B847">
      <w:pPr>
        <w:pageBreakBefore w:val="0"/>
        <w:numPr>
          <w:ilvl w:val="0"/>
          <w:numId w:val="0"/>
        </w:numPr>
        <w:kinsoku/>
        <w:wordWrap/>
        <w:overflowPunct/>
        <w:topLinePunct w:val="0"/>
        <w:autoSpaceDE w:val="0"/>
        <w:autoSpaceDN w:val="0"/>
        <w:bidi w:val="0"/>
        <w:adjustRightInd w:val="0"/>
        <w:spacing w:line="240" w:lineRule="auto"/>
        <w:ind w:leftChars="0"/>
        <w:jc w:val="left"/>
        <w:rPr>
          <w:rFonts w:hint="eastAsia" w:ascii="仿宋_GB2312" w:hAnsi="仿宋_GB2312" w:eastAsia="仿宋_GB2312" w:cs="仿宋_GB2312"/>
          <w:color w:val="auto"/>
          <w:sz w:val="28"/>
          <w:szCs w:val="28"/>
          <w:highlight w:val="none"/>
        </w:rPr>
      </w:pPr>
    </w:p>
    <w:p w14:paraId="208AAAD9">
      <w:pPr>
        <w:pageBreakBefore w:val="0"/>
        <w:numPr>
          <w:ilvl w:val="0"/>
          <w:numId w:val="7"/>
        </w:numPr>
        <w:kinsoku/>
        <w:wordWrap/>
        <w:overflowPunct/>
        <w:topLinePunct w:val="0"/>
        <w:autoSpaceDE w:val="0"/>
        <w:autoSpaceDN w:val="0"/>
        <w:bidi w:val="0"/>
        <w:adjustRightInd w:val="0"/>
        <w:spacing w:line="240" w:lineRule="auto"/>
        <w:ind w:left="0" w:leftChars="0"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设备管理</w:t>
      </w:r>
    </w:p>
    <w:p w14:paraId="3E1E32B8">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5.1、明确设备管理责任</w:t>
      </w:r>
    </w:p>
    <w:p w14:paraId="1F2E2326">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济南发动机厂对设备完好和维护保养负责，并对外包方提出具体使用要求和培训设备相关操作规程，外包方应根据管理制度和作业指导书，做好设备的日常</w:t>
      </w:r>
      <w:r>
        <w:rPr>
          <w:rFonts w:hint="eastAsia" w:eastAsia="仿宋_GB2312" w:cs="Times New Roman"/>
          <w:b w:val="0"/>
          <w:bCs w:val="0"/>
          <w:color w:val="auto"/>
          <w:kern w:val="2"/>
          <w:sz w:val="28"/>
          <w:szCs w:val="28"/>
          <w:highlight w:val="none"/>
          <w:lang w:val="en-US" w:eastAsia="zh-CN" w:bidi="ar-SA"/>
        </w:rPr>
        <w:t>点检、并报本部人员确认</w:t>
      </w:r>
      <w:r>
        <w:rPr>
          <w:rFonts w:hint="eastAsia" w:ascii="Times New Roman" w:hAnsi="Times New Roman" w:eastAsia="仿宋_GB2312" w:cs="Times New Roman"/>
          <w:b w:val="0"/>
          <w:bCs w:val="0"/>
          <w:color w:val="auto"/>
          <w:kern w:val="2"/>
          <w:sz w:val="28"/>
          <w:szCs w:val="28"/>
          <w:highlight w:val="none"/>
          <w:lang w:val="en-US" w:eastAsia="zh-CN" w:bidi="ar-SA"/>
        </w:rPr>
        <w:t>。</w:t>
      </w:r>
    </w:p>
    <w:p w14:paraId="3DFD299A">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济南发动机厂对上岗人员开展岗前的设备培训工作，定期对设备的操作者进行培训和指导，确保一线操作人员持证上岗，并了解设备的使用情况和维护情况。</w:t>
      </w:r>
    </w:p>
    <w:p w14:paraId="7AA9E5D9">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5.2、设备管理具体说明</w:t>
      </w:r>
    </w:p>
    <w:p w14:paraId="4E66840C">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厂</w:t>
      </w:r>
      <w:r>
        <w:rPr>
          <w:rFonts w:hint="eastAsia" w:eastAsia="仿宋_GB2312" w:cs="Times New Roman"/>
          <w:b w:val="0"/>
          <w:bCs w:val="0"/>
          <w:color w:val="auto"/>
          <w:kern w:val="2"/>
          <w:sz w:val="28"/>
          <w:szCs w:val="28"/>
          <w:highlight w:val="none"/>
          <w:lang w:val="en-US" w:eastAsia="zh-CN" w:bidi="ar-SA"/>
        </w:rPr>
        <w:t>内</w:t>
      </w:r>
      <w:r>
        <w:rPr>
          <w:rFonts w:hint="eastAsia" w:ascii="Times New Roman" w:hAnsi="Times New Roman" w:eastAsia="仿宋_GB2312" w:cs="Times New Roman"/>
          <w:b w:val="0"/>
          <w:bCs w:val="0"/>
          <w:color w:val="auto"/>
          <w:kern w:val="2"/>
          <w:sz w:val="28"/>
          <w:szCs w:val="28"/>
          <w:highlight w:val="none"/>
          <w:lang w:val="en-US" w:eastAsia="zh-CN" w:bidi="ar-SA"/>
        </w:rPr>
        <w:t>设备所有权归济南发动机厂所有，主要包括输送链、滑橇等输送系统、供漆系统、喷漆室等设备及配套设施等。</w:t>
      </w:r>
    </w:p>
    <w:p w14:paraId="708DC82C">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济南发动机厂在设备EAM系统中开展设备自主保全及定期维护，制定并更新设备日常维护基准及定期维护基准。外包方根据设备说明书及济南发动机厂要求，严格按照设备管理系统中任务开展其负责的设备自主保全作业内容，济南发动机厂按计划对设备点检记录进行检查。维护保养所使用易耗品（如清洁剂、润滑油等）、易损件、非使用不当或者操作不当原因造成需更换设备备件的，均由济南发动机厂提供相应设备备件</w:t>
      </w:r>
      <w:r>
        <w:rPr>
          <w:rFonts w:hint="eastAsia" w:eastAsia="仿宋_GB2312" w:cs="Times New Roman"/>
          <w:b w:val="0"/>
          <w:bCs w:val="0"/>
          <w:color w:val="auto"/>
          <w:kern w:val="2"/>
          <w:sz w:val="28"/>
          <w:szCs w:val="28"/>
          <w:highlight w:val="none"/>
          <w:lang w:val="en-US" w:eastAsia="zh-CN" w:bidi="ar-SA"/>
        </w:rPr>
        <w:t>，设备定期维护及保养由济南发动机厂本部人员负责</w:t>
      </w:r>
      <w:r>
        <w:rPr>
          <w:rFonts w:hint="eastAsia" w:ascii="Times New Roman" w:hAnsi="Times New Roman" w:eastAsia="仿宋_GB2312" w:cs="Times New Roman"/>
          <w:b w:val="0"/>
          <w:bCs w:val="0"/>
          <w:color w:val="auto"/>
          <w:kern w:val="2"/>
          <w:sz w:val="28"/>
          <w:szCs w:val="28"/>
          <w:highlight w:val="none"/>
          <w:lang w:val="en-US" w:eastAsia="zh-CN" w:bidi="ar-SA"/>
        </w:rPr>
        <w:t>。</w:t>
      </w:r>
    </w:p>
    <w:p w14:paraId="16E4F560">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外包方需确保设备保持完好状态，若设备发生故障或者出现异常，需立即向济南发动机厂汇报，由济南发动机厂负责现场确认后判定故障责任；非使用不当或者操作不当原因造成设备的项修及大修均由济南发动机厂负责；济南发动机厂对设备设备状态、设备使用进行检查，对未按要求进行</w:t>
      </w:r>
      <w:r>
        <w:rPr>
          <w:rFonts w:hint="eastAsia" w:eastAsia="仿宋_GB2312" w:cs="Times New Roman"/>
          <w:b w:val="0"/>
          <w:bCs w:val="0"/>
          <w:color w:val="auto"/>
          <w:kern w:val="2"/>
          <w:sz w:val="28"/>
          <w:szCs w:val="28"/>
          <w:highlight w:val="none"/>
          <w:lang w:val="en-US" w:eastAsia="zh-CN" w:bidi="ar-SA"/>
        </w:rPr>
        <w:t>点检</w:t>
      </w:r>
      <w:r>
        <w:rPr>
          <w:rFonts w:hint="eastAsia" w:ascii="Times New Roman" w:hAnsi="Times New Roman" w:eastAsia="仿宋_GB2312" w:cs="Times New Roman"/>
          <w:b w:val="0"/>
          <w:bCs w:val="0"/>
          <w:color w:val="auto"/>
          <w:kern w:val="2"/>
          <w:sz w:val="28"/>
          <w:szCs w:val="28"/>
          <w:highlight w:val="none"/>
          <w:lang w:val="en-US" w:eastAsia="zh-CN" w:bidi="ar-SA"/>
        </w:rPr>
        <w:t>，设备状态异常，违规使用设备情况进行通报，情况严重时按照规定对外包方进行考核。</w:t>
      </w:r>
    </w:p>
    <w:p w14:paraId="51552CB5">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外包方必须遵守济南发动机厂设备安全操作规程以及标准作业要求，因外包方操作失误或维护不当，引起的设备故障，产生的设备维修费用及停产损失全部由外包方负责。如果外包方拒不执行修复工作，或设备维修后达不到济南发动机厂要求，济南发动机厂可自行组织对设备维修、保全，所发生费用以及济南发动机厂停产所造成损失，由外包方承担。</w:t>
      </w:r>
    </w:p>
    <w:p w14:paraId="77B00409">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仿宋_GB2312" w:hAnsi="仿宋_GB2312" w:eastAsia="仿宋_GB2312" w:cs="仿宋_GB2312"/>
          <w:color w:val="auto"/>
          <w:sz w:val="28"/>
          <w:szCs w:val="28"/>
          <w:highlight w:val="none"/>
        </w:rPr>
      </w:pPr>
      <w:r>
        <w:rPr>
          <w:rFonts w:hint="eastAsia" w:ascii="Times New Roman" w:hAnsi="Times New Roman" w:eastAsia="仿宋_GB2312" w:cs="Times New Roman"/>
          <w:b w:val="0"/>
          <w:bCs w:val="0"/>
          <w:color w:val="auto"/>
          <w:kern w:val="2"/>
          <w:sz w:val="28"/>
          <w:szCs w:val="28"/>
          <w:highlight w:val="none"/>
          <w:lang w:val="en-US" w:eastAsia="zh-CN" w:bidi="ar-SA"/>
        </w:rPr>
        <w:t>外包方设备操作人员必须经过安全和技能培训，根据济南发动机厂要求取得设备操作资质，持证上岗；无证人员不得操作设备。因外包方人员的违规作业导致产生安全、质量、生产事故，由外包方承担所有损失，如因此给济南发动机厂或第三方造成任何损失，外包方承担全部赔偿责任。</w:t>
      </w:r>
    </w:p>
    <w:p w14:paraId="628E50AB">
      <w:pPr>
        <w:pageBreakBefore w:val="0"/>
        <w:numPr>
          <w:ilvl w:val="0"/>
          <w:numId w:val="7"/>
        </w:numPr>
        <w:kinsoku/>
        <w:wordWrap/>
        <w:overflowPunct/>
        <w:topLinePunct w:val="0"/>
        <w:autoSpaceDE w:val="0"/>
        <w:autoSpaceDN w:val="0"/>
        <w:bidi w:val="0"/>
        <w:adjustRightInd w:val="0"/>
        <w:spacing w:line="240" w:lineRule="auto"/>
        <w:ind w:left="0" w:leftChars="0"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物料计划</w:t>
      </w:r>
    </w:p>
    <w:p w14:paraId="12A2A156">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6.1、生产作业计划</w:t>
      </w:r>
    </w:p>
    <w:p w14:paraId="09BB149E">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根据济南发动机厂下发的生产计划，制定发动机喷涂作业计划，保证发动机及时流转至下一工序。</w:t>
      </w:r>
    </w:p>
    <w:p w14:paraId="4AF36222">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紧急调整：紧急情况下，济南发动机厂因特殊原因，需要紧急调整生产作业计划时，需及时通知外包方，并提供相关支持，外包方必须全力配合保证生产；外包方因特殊原因，需要调整生产计划时，必须经济南发动机厂同意后方可实施，以保证生产秩序稳定。</w:t>
      </w:r>
    </w:p>
    <w:p w14:paraId="3E4F0BBF">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6.2、物资管理</w:t>
      </w:r>
    </w:p>
    <w:p w14:paraId="3A2C990A">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记录台账管理：外包方建立使用设备、工装、工具等物资台账，指定专人负责维护，保证现场实物、台账、单据与系统信息一致。</w:t>
      </w:r>
    </w:p>
    <w:p w14:paraId="668BF577">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物资盘点：外包方执行济南发动机厂盘点工作要求，由所在区域部门统一协调组织物资盘点工作。</w:t>
      </w:r>
    </w:p>
    <w:p w14:paraId="190147C8">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外包方应按照济南发动机厂要求，对属于外包方管理区域内的物资进行盘点，并形成盘点报告，盘点范围包含外包方现场管理区域内所有未喷涂和已喷涂未交接的发动机及相应的配套件和辅料。外包方对盘点结果数据准确性负责。</w:t>
      </w:r>
    </w:p>
    <w:p w14:paraId="34045933">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盘点监督：济南发动机厂负责对外包方的记录、盘点工作进行监督、核对，并有权对外包方的工作失误予以考核。</w:t>
      </w:r>
    </w:p>
    <w:p w14:paraId="7320AEDB">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原辅材料以及低值易耗品领用：外包方应按照济南发动机厂制定的产品工艺定额领用物料，生产中所用的各类辅料由济南发动机厂提供，按需领取，外包方不得使用济南发动机厂规定范围外的物料。外包方需指定专人负责对领取的物料进行妥善管理，包括物料的接收、消耗、领用等全过程。</w:t>
      </w:r>
    </w:p>
    <w:p w14:paraId="5F8D081A">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济南发动机厂负责对外包方生产过程中发生的低值易耗、辅料等的数量进行监控，低值易耗品、辅料消耗量超过辅料定额的20%以上的，应由外包方立即分析原因并组织整改，济南发动机厂依据相关管理办法进行考核。</w:t>
      </w:r>
    </w:p>
    <w:p w14:paraId="4585EE18">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工装器具：发动机喷涂过程中所需工装、工具和工位器具等，由济南发动机厂提供。</w:t>
      </w:r>
    </w:p>
    <w:p w14:paraId="5E9F178A">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能源消耗：外包业务所需的压缩空气、水、电、天然气等能源费用由济南发动机厂承担。</w:t>
      </w:r>
    </w:p>
    <w:p w14:paraId="49D05A22">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济南发动机厂提供给外包方的车辆用油由济南发动机厂负责提供，单车每月不超过 250 升，超出部分由外包方自行承担。</w:t>
      </w:r>
    </w:p>
    <w:p w14:paraId="5CBA85ED">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劳保用品：外包方员工使用的工作服、手套、劳保鞋、防毒口罩、防噪耳塞、面罩等劳保用品、特种设备使用及审验费用、特种作业人员的培训复审费用、尘毒作业人员职业健康查体费用等均由外包方自行承担，且作业人员所使用的劳保防护用品必须符合济南发动机厂及相关安环部门要求。</w:t>
      </w:r>
    </w:p>
    <w:p w14:paraId="45258663">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办公用品：外包业务所需的电话、电脑、打印机等办公设备由外包方自备。</w:t>
      </w:r>
    </w:p>
    <w:p w14:paraId="34448F51">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废料：日常生产所产生的废料，</w:t>
      </w:r>
      <w:r>
        <w:rPr>
          <w:rFonts w:hint="eastAsia" w:eastAsia="仿宋_GB2312" w:cs="Times New Roman"/>
          <w:b w:val="0"/>
          <w:bCs w:val="0"/>
          <w:color w:val="auto"/>
          <w:kern w:val="2"/>
          <w:sz w:val="28"/>
          <w:szCs w:val="28"/>
          <w:highlight w:val="none"/>
          <w:lang w:val="en-US" w:eastAsia="zh-CN" w:bidi="ar-SA"/>
        </w:rPr>
        <w:t>由济南发动机厂本部人员判定、处理，</w:t>
      </w:r>
      <w:r>
        <w:rPr>
          <w:rFonts w:hint="eastAsia" w:ascii="Times New Roman" w:hAnsi="Times New Roman" w:eastAsia="仿宋_GB2312" w:cs="Times New Roman"/>
          <w:b w:val="0"/>
          <w:bCs w:val="0"/>
          <w:color w:val="auto"/>
          <w:kern w:val="2"/>
          <w:sz w:val="28"/>
          <w:szCs w:val="28"/>
          <w:highlight w:val="none"/>
          <w:lang w:val="en-US" w:eastAsia="zh-CN" w:bidi="ar-SA"/>
        </w:rPr>
        <w:t>按照济南发动机厂要求规范储存、转运到指定位置。</w:t>
      </w:r>
    </w:p>
    <w:p w14:paraId="76CCD0D7">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物资以及器具摆放：外包方应执行济南发动机厂现场管理要求，规范使用工装、工具和工位器具，并按定置定位摆放整齐，不准出现超高、杂乱、混放、磕碰等现象，执行济南发动机厂现场物资管理标准。</w:t>
      </w:r>
    </w:p>
    <w:p w14:paraId="3E48CA46">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仿宋_GB2312" w:hAnsi="仿宋_GB2312" w:eastAsia="仿宋_GB2312" w:cs="仿宋_GB2312"/>
          <w:color w:val="auto"/>
          <w:sz w:val="28"/>
          <w:szCs w:val="28"/>
          <w:highlight w:val="none"/>
        </w:rPr>
      </w:pPr>
      <w:r>
        <w:rPr>
          <w:rFonts w:hint="eastAsia" w:ascii="Times New Roman" w:hAnsi="Times New Roman" w:eastAsia="仿宋_GB2312" w:cs="Times New Roman"/>
          <w:b w:val="0"/>
          <w:bCs w:val="0"/>
          <w:color w:val="auto"/>
          <w:kern w:val="2"/>
          <w:sz w:val="28"/>
          <w:szCs w:val="28"/>
          <w:highlight w:val="none"/>
          <w:lang w:val="en-US" w:eastAsia="zh-CN" w:bidi="ar-SA"/>
        </w:rPr>
        <w:t>现场管理：外包方负责相关工作区域内的卫生清理、保洁，执行公司“5S”管理要求，按照济南发动机厂要求存储、转运危废物品和各类垃圾等。</w:t>
      </w:r>
    </w:p>
    <w:p w14:paraId="1DD3782F">
      <w:pPr>
        <w:pageBreakBefore w:val="0"/>
        <w:numPr>
          <w:ilvl w:val="0"/>
          <w:numId w:val="7"/>
        </w:numPr>
        <w:kinsoku/>
        <w:wordWrap/>
        <w:overflowPunct/>
        <w:topLinePunct w:val="0"/>
        <w:autoSpaceDE w:val="0"/>
        <w:autoSpaceDN w:val="0"/>
        <w:bidi w:val="0"/>
        <w:adjustRightInd w:val="0"/>
        <w:spacing w:line="240" w:lineRule="auto"/>
        <w:ind w:left="0" w:leftChars="0"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工艺方案</w:t>
      </w:r>
    </w:p>
    <w:p w14:paraId="2BEE7B20">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7.1、现场布局</w:t>
      </w:r>
    </w:p>
    <w:p w14:paraId="53F2FFBA">
      <w:pPr>
        <w:pStyle w:val="4"/>
        <w:pageBreakBefore w:val="0"/>
        <w:kinsoku/>
        <w:wordWrap/>
        <w:overflowPunct/>
        <w:topLinePunct w:val="0"/>
        <w:bidi w:val="0"/>
        <w:spacing w:line="240" w:lineRule="auto"/>
        <w:ind w:left="0" w:leftChars="0" w:firstLine="0" w:firstLineChars="0"/>
        <w:jc w:val="center"/>
        <w:rPr>
          <w:rFonts w:hint="eastAsia" w:ascii="仿宋" w:hAnsi="仿宋" w:eastAsia="仿宋" w:cs="仿宋"/>
          <w:color w:val="auto"/>
          <w:sz w:val="28"/>
          <w:szCs w:val="28"/>
          <w:highlight w:val="none"/>
          <w:lang w:eastAsia="zh-CN"/>
        </w:rPr>
      </w:pPr>
      <w:r>
        <w:rPr>
          <w:color w:val="auto"/>
          <w:sz w:val="28"/>
          <w:szCs w:val="28"/>
          <w:highlight w:val="none"/>
        </w:rPr>
        <w:drawing>
          <wp:inline distT="0" distB="0" distL="114300" distR="114300">
            <wp:extent cx="2256790" cy="3630295"/>
            <wp:effectExtent l="0" t="0" r="3810" b="1905"/>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17"/>
                    <a:stretch>
                      <a:fillRect/>
                    </a:stretch>
                  </pic:blipFill>
                  <pic:spPr>
                    <a:xfrm>
                      <a:off x="0" y="0"/>
                      <a:ext cx="2256790" cy="3630295"/>
                    </a:xfrm>
                    <a:prstGeom prst="rect">
                      <a:avLst/>
                    </a:prstGeom>
                    <a:noFill/>
                    <a:ln>
                      <a:noFill/>
                    </a:ln>
                  </pic:spPr>
                </pic:pic>
              </a:graphicData>
            </a:graphic>
          </wp:inline>
        </w:drawing>
      </w:r>
    </w:p>
    <w:p w14:paraId="4C82FF4D">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7.2涉及工序</w:t>
      </w:r>
    </w:p>
    <w:p w14:paraId="52C430B4">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外包工序：预装线7个工序、整理线5个工序，共计12个工序，操作者人员为26人</w:t>
      </w:r>
      <w:r>
        <w:rPr>
          <w:rFonts w:hint="eastAsia" w:ascii="仿宋_GB2312" w:eastAsia="仿宋_GB2312" w:cs="Times New Roman"/>
          <w:color w:val="auto"/>
          <w:sz w:val="28"/>
          <w:szCs w:val="28"/>
          <w:highlight w:val="none"/>
          <w:lang w:eastAsia="zh-CN"/>
        </w:rPr>
        <w:t>，</w:t>
      </w:r>
      <w:r>
        <w:rPr>
          <w:rFonts w:hint="eastAsia" w:ascii="Times New Roman" w:hAnsi="Times New Roman" w:eastAsia="仿宋_GB2312" w:cs="Times New Roman"/>
          <w:b w:val="0"/>
          <w:bCs w:val="0"/>
          <w:color w:val="auto"/>
          <w:kern w:val="2"/>
          <w:sz w:val="28"/>
          <w:szCs w:val="28"/>
          <w:highlight w:val="none"/>
          <w:lang w:val="en-US" w:eastAsia="zh-CN" w:bidi="ar-SA"/>
        </w:rPr>
        <w:t>另外需单独配备1名管理人员，共计27人</w:t>
      </w:r>
      <w:r>
        <w:rPr>
          <w:rFonts w:hint="eastAsia" w:eastAsia="仿宋_GB2312" w:cs="Times New Roman"/>
          <w:b w:val="0"/>
          <w:bCs w:val="0"/>
          <w:color w:val="auto"/>
          <w:kern w:val="2"/>
          <w:sz w:val="28"/>
          <w:szCs w:val="28"/>
          <w:highlight w:val="none"/>
          <w:lang w:val="en-US" w:eastAsia="zh-CN" w:bidi="ar-SA"/>
        </w:rPr>
        <w:t>，另外需配备2名储备人员</w:t>
      </w:r>
      <w:r>
        <w:rPr>
          <w:rFonts w:hint="eastAsia" w:ascii="Times New Roman" w:hAnsi="Times New Roman" w:eastAsia="仿宋_GB2312" w:cs="Times New Roman"/>
          <w:b w:val="0"/>
          <w:bCs w:val="0"/>
          <w:color w:val="auto"/>
          <w:kern w:val="2"/>
          <w:sz w:val="28"/>
          <w:szCs w:val="28"/>
          <w:highlight w:val="none"/>
          <w:lang w:val="en-US" w:eastAsia="zh-CN" w:bidi="ar-SA"/>
        </w:rPr>
        <w:t>。</w:t>
      </w:r>
    </w:p>
    <w:p w14:paraId="34834077">
      <w:pPr>
        <w:pageBreakBefore w:val="0"/>
        <w:numPr>
          <w:ilvl w:val="0"/>
          <w:numId w:val="7"/>
        </w:numPr>
        <w:kinsoku/>
        <w:wordWrap/>
        <w:overflowPunct/>
        <w:topLinePunct w:val="0"/>
        <w:autoSpaceDE w:val="0"/>
        <w:autoSpaceDN w:val="0"/>
        <w:bidi w:val="0"/>
        <w:adjustRightInd w:val="0"/>
        <w:spacing w:line="240" w:lineRule="auto"/>
        <w:ind w:left="0" w:leftChars="0"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场地要求</w:t>
      </w:r>
    </w:p>
    <w:p w14:paraId="74829366">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8.1、场地概况</w:t>
      </w:r>
    </w:p>
    <w:p w14:paraId="40E36B74">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按照定置图（见上图）规划的设备设施进行建设。电源、气源根据规划后的总布置按需分配到相关工位，消防设施根据安技环保要求布置。</w:t>
      </w:r>
    </w:p>
    <w:p w14:paraId="70846550">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8.2、生产环境要求</w:t>
      </w:r>
    </w:p>
    <w:p w14:paraId="54DF2F95">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动能能源参数</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1604"/>
        <w:gridCol w:w="2121"/>
        <w:gridCol w:w="2971"/>
        <w:gridCol w:w="1887"/>
      </w:tblGrid>
      <w:tr w14:paraId="6042F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703" w:type="dxa"/>
            <w:noWrap w:val="0"/>
            <w:vAlign w:val="center"/>
          </w:tcPr>
          <w:p w14:paraId="1BCB21E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b/>
                <w:bCs/>
                <w:color w:val="auto"/>
                <w:sz w:val="20"/>
                <w:szCs w:val="20"/>
                <w:highlight w:val="none"/>
              </w:rPr>
            </w:pPr>
            <w:r>
              <w:rPr>
                <w:rFonts w:hint="eastAsia" w:ascii="仿宋" w:hAnsi="仿宋" w:eastAsia="仿宋" w:cs="仿宋"/>
                <w:b/>
                <w:bCs/>
                <w:color w:val="auto"/>
                <w:sz w:val="20"/>
                <w:szCs w:val="20"/>
                <w:highlight w:val="none"/>
              </w:rPr>
              <w:t>序号</w:t>
            </w:r>
          </w:p>
        </w:tc>
        <w:tc>
          <w:tcPr>
            <w:tcW w:w="1604" w:type="dxa"/>
            <w:noWrap w:val="0"/>
            <w:vAlign w:val="center"/>
          </w:tcPr>
          <w:p w14:paraId="7DCC9C1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b/>
                <w:bCs/>
                <w:color w:val="auto"/>
                <w:sz w:val="20"/>
                <w:szCs w:val="20"/>
                <w:highlight w:val="none"/>
              </w:rPr>
            </w:pPr>
            <w:r>
              <w:rPr>
                <w:rFonts w:hint="eastAsia" w:ascii="仿宋" w:hAnsi="仿宋" w:eastAsia="仿宋" w:cs="仿宋"/>
                <w:b/>
                <w:bCs/>
                <w:color w:val="auto"/>
                <w:sz w:val="20"/>
                <w:szCs w:val="20"/>
                <w:highlight w:val="none"/>
              </w:rPr>
              <w:t>能源类型</w:t>
            </w:r>
          </w:p>
        </w:tc>
        <w:tc>
          <w:tcPr>
            <w:tcW w:w="2121" w:type="dxa"/>
            <w:noWrap w:val="0"/>
            <w:vAlign w:val="center"/>
          </w:tcPr>
          <w:p w14:paraId="37DD707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b/>
                <w:bCs/>
                <w:color w:val="auto"/>
                <w:sz w:val="20"/>
                <w:szCs w:val="20"/>
                <w:highlight w:val="none"/>
              </w:rPr>
            </w:pPr>
            <w:r>
              <w:rPr>
                <w:rFonts w:hint="eastAsia" w:ascii="仿宋" w:hAnsi="仿宋" w:eastAsia="仿宋" w:cs="仿宋"/>
                <w:b/>
                <w:bCs/>
                <w:color w:val="auto"/>
                <w:sz w:val="20"/>
                <w:szCs w:val="20"/>
                <w:highlight w:val="none"/>
              </w:rPr>
              <w:t>项目</w:t>
            </w:r>
          </w:p>
        </w:tc>
        <w:tc>
          <w:tcPr>
            <w:tcW w:w="2971" w:type="dxa"/>
            <w:noWrap w:val="0"/>
            <w:vAlign w:val="center"/>
          </w:tcPr>
          <w:p w14:paraId="08031F0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b/>
                <w:bCs/>
                <w:color w:val="auto"/>
                <w:sz w:val="20"/>
                <w:szCs w:val="20"/>
                <w:highlight w:val="none"/>
              </w:rPr>
            </w:pPr>
            <w:r>
              <w:rPr>
                <w:rFonts w:hint="eastAsia" w:ascii="仿宋" w:hAnsi="仿宋" w:eastAsia="仿宋" w:cs="仿宋"/>
                <w:b/>
                <w:bCs/>
                <w:color w:val="auto"/>
                <w:sz w:val="20"/>
                <w:szCs w:val="20"/>
                <w:highlight w:val="none"/>
              </w:rPr>
              <w:t>参数</w:t>
            </w:r>
          </w:p>
        </w:tc>
        <w:tc>
          <w:tcPr>
            <w:tcW w:w="1887" w:type="dxa"/>
            <w:noWrap w:val="0"/>
            <w:vAlign w:val="center"/>
          </w:tcPr>
          <w:p w14:paraId="3AA09F9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b/>
                <w:bCs/>
                <w:color w:val="auto"/>
                <w:sz w:val="20"/>
                <w:szCs w:val="20"/>
                <w:highlight w:val="none"/>
              </w:rPr>
            </w:pPr>
            <w:r>
              <w:rPr>
                <w:rFonts w:hint="eastAsia" w:ascii="仿宋" w:hAnsi="仿宋" w:eastAsia="仿宋" w:cs="仿宋"/>
                <w:b/>
                <w:bCs/>
                <w:color w:val="auto"/>
                <w:sz w:val="20"/>
                <w:szCs w:val="20"/>
                <w:highlight w:val="none"/>
              </w:rPr>
              <w:t>备注</w:t>
            </w:r>
          </w:p>
        </w:tc>
      </w:tr>
      <w:tr w14:paraId="7BF46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3" w:type="dxa"/>
            <w:shd w:val="clear" w:color="auto" w:fill="auto"/>
            <w:noWrap w:val="0"/>
            <w:vAlign w:val="center"/>
          </w:tcPr>
          <w:p w14:paraId="29D6133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1</w:t>
            </w:r>
          </w:p>
        </w:tc>
        <w:tc>
          <w:tcPr>
            <w:tcW w:w="1604" w:type="dxa"/>
            <w:vMerge w:val="restart"/>
            <w:shd w:val="clear" w:color="auto" w:fill="auto"/>
            <w:noWrap w:val="0"/>
            <w:vAlign w:val="center"/>
          </w:tcPr>
          <w:p w14:paraId="02A3317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电</w:t>
            </w:r>
          </w:p>
        </w:tc>
        <w:tc>
          <w:tcPr>
            <w:tcW w:w="2121" w:type="dxa"/>
            <w:vMerge w:val="restart"/>
            <w:shd w:val="clear" w:color="auto" w:fill="auto"/>
            <w:noWrap w:val="0"/>
            <w:vAlign w:val="center"/>
          </w:tcPr>
          <w:p w14:paraId="1DCD105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电压/频率</w:t>
            </w:r>
          </w:p>
        </w:tc>
        <w:tc>
          <w:tcPr>
            <w:tcW w:w="2971" w:type="dxa"/>
            <w:shd w:val="clear" w:color="auto" w:fill="FFFFFF"/>
            <w:noWrap w:val="0"/>
            <w:vAlign w:val="center"/>
          </w:tcPr>
          <w:p w14:paraId="313E2D4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三相：380V±10%/50Hz</w:t>
            </w:r>
          </w:p>
        </w:tc>
        <w:tc>
          <w:tcPr>
            <w:tcW w:w="1887" w:type="dxa"/>
            <w:noWrap w:val="0"/>
            <w:vAlign w:val="center"/>
          </w:tcPr>
          <w:p w14:paraId="549CCA34">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0"/>
                <w:szCs w:val="20"/>
                <w:highlight w:val="none"/>
              </w:rPr>
            </w:pPr>
          </w:p>
        </w:tc>
      </w:tr>
      <w:tr w14:paraId="3880E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3" w:type="dxa"/>
            <w:shd w:val="clear" w:color="auto" w:fill="auto"/>
            <w:noWrap w:val="0"/>
            <w:vAlign w:val="center"/>
          </w:tcPr>
          <w:p w14:paraId="150D5E7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2</w:t>
            </w:r>
          </w:p>
        </w:tc>
        <w:tc>
          <w:tcPr>
            <w:tcW w:w="1604" w:type="dxa"/>
            <w:vMerge w:val="continue"/>
            <w:shd w:val="clear" w:color="auto" w:fill="auto"/>
            <w:noWrap w:val="0"/>
            <w:vAlign w:val="center"/>
          </w:tcPr>
          <w:p w14:paraId="300E0FF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p>
        </w:tc>
        <w:tc>
          <w:tcPr>
            <w:tcW w:w="2121" w:type="dxa"/>
            <w:vMerge w:val="continue"/>
            <w:shd w:val="clear" w:color="auto" w:fill="auto"/>
            <w:noWrap w:val="0"/>
            <w:vAlign w:val="center"/>
          </w:tcPr>
          <w:p w14:paraId="085F379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p>
        </w:tc>
        <w:tc>
          <w:tcPr>
            <w:tcW w:w="2971" w:type="dxa"/>
            <w:shd w:val="clear" w:color="auto" w:fill="FFFFFF"/>
            <w:noWrap w:val="0"/>
            <w:vAlign w:val="center"/>
          </w:tcPr>
          <w:p w14:paraId="782E711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单相：220V±10%/50Hz</w:t>
            </w:r>
          </w:p>
        </w:tc>
        <w:tc>
          <w:tcPr>
            <w:tcW w:w="1887" w:type="dxa"/>
            <w:noWrap w:val="0"/>
            <w:vAlign w:val="center"/>
          </w:tcPr>
          <w:p w14:paraId="01CBC88D">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0"/>
                <w:szCs w:val="20"/>
                <w:highlight w:val="none"/>
              </w:rPr>
            </w:pPr>
          </w:p>
        </w:tc>
      </w:tr>
      <w:tr w14:paraId="6507E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3" w:type="dxa"/>
            <w:shd w:val="clear" w:color="auto" w:fill="auto"/>
            <w:noWrap w:val="0"/>
            <w:vAlign w:val="center"/>
          </w:tcPr>
          <w:p w14:paraId="3511FC8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3</w:t>
            </w:r>
          </w:p>
        </w:tc>
        <w:tc>
          <w:tcPr>
            <w:tcW w:w="1604" w:type="dxa"/>
            <w:vMerge w:val="restart"/>
            <w:shd w:val="clear" w:color="auto" w:fill="auto"/>
            <w:noWrap w:val="0"/>
            <w:vAlign w:val="center"/>
          </w:tcPr>
          <w:p w14:paraId="564E159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水</w:t>
            </w:r>
          </w:p>
        </w:tc>
        <w:tc>
          <w:tcPr>
            <w:tcW w:w="2121" w:type="dxa"/>
            <w:shd w:val="clear" w:color="auto" w:fill="auto"/>
            <w:noWrap w:val="0"/>
            <w:vAlign w:val="center"/>
          </w:tcPr>
          <w:p w14:paraId="4613B24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压力</w:t>
            </w:r>
          </w:p>
        </w:tc>
        <w:tc>
          <w:tcPr>
            <w:tcW w:w="2971" w:type="dxa"/>
            <w:shd w:val="clear" w:color="auto" w:fill="FFFFFF"/>
            <w:noWrap w:val="0"/>
            <w:vAlign w:val="center"/>
          </w:tcPr>
          <w:p w14:paraId="4120889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0.2～0.3MPa</w:t>
            </w:r>
          </w:p>
        </w:tc>
        <w:tc>
          <w:tcPr>
            <w:tcW w:w="1887" w:type="dxa"/>
            <w:noWrap w:val="0"/>
            <w:vAlign w:val="center"/>
          </w:tcPr>
          <w:p w14:paraId="59A3438D">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0"/>
                <w:szCs w:val="20"/>
                <w:highlight w:val="none"/>
              </w:rPr>
            </w:pPr>
          </w:p>
        </w:tc>
      </w:tr>
      <w:tr w14:paraId="1C654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3" w:type="dxa"/>
            <w:shd w:val="clear" w:color="auto" w:fill="auto"/>
            <w:noWrap w:val="0"/>
            <w:vAlign w:val="center"/>
          </w:tcPr>
          <w:p w14:paraId="64F9482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4</w:t>
            </w:r>
          </w:p>
        </w:tc>
        <w:tc>
          <w:tcPr>
            <w:tcW w:w="1604" w:type="dxa"/>
            <w:vMerge w:val="continue"/>
            <w:shd w:val="clear" w:color="auto" w:fill="auto"/>
            <w:noWrap w:val="0"/>
            <w:vAlign w:val="center"/>
          </w:tcPr>
          <w:p w14:paraId="506DC07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p>
        </w:tc>
        <w:tc>
          <w:tcPr>
            <w:tcW w:w="2121" w:type="dxa"/>
            <w:shd w:val="clear" w:color="auto" w:fill="auto"/>
            <w:noWrap w:val="0"/>
            <w:vAlign w:val="center"/>
          </w:tcPr>
          <w:p w14:paraId="60A1AC9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水质</w:t>
            </w:r>
          </w:p>
        </w:tc>
        <w:tc>
          <w:tcPr>
            <w:tcW w:w="2971" w:type="dxa"/>
            <w:shd w:val="clear" w:color="auto" w:fill="FFFFFF"/>
            <w:noWrap w:val="0"/>
            <w:vAlign w:val="center"/>
          </w:tcPr>
          <w:p w14:paraId="62C8F4F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详见水质报告</w:t>
            </w:r>
          </w:p>
        </w:tc>
        <w:tc>
          <w:tcPr>
            <w:tcW w:w="1887" w:type="dxa"/>
            <w:noWrap w:val="0"/>
            <w:vAlign w:val="center"/>
          </w:tcPr>
          <w:p w14:paraId="3EA5294C">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0"/>
                <w:szCs w:val="20"/>
                <w:highlight w:val="none"/>
              </w:rPr>
            </w:pPr>
          </w:p>
        </w:tc>
      </w:tr>
      <w:tr w14:paraId="7C1EC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3" w:type="dxa"/>
            <w:shd w:val="clear" w:color="auto" w:fill="auto"/>
            <w:noWrap w:val="0"/>
            <w:vAlign w:val="center"/>
          </w:tcPr>
          <w:p w14:paraId="46447D3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5</w:t>
            </w:r>
          </w:p>
        </w:tc>
        <w:tc>
          <w:tcPr>
            <w:tcW w:w="1604" w:type="dxa"/>
            <w:vMerge w:val="restart"/>
            <w:shd w:val="clear" w:color="auto" w:fill="auto"/>
            <w:noWrap w:val="0"/>
            <w:vAlign w:val="center"/>
          </w:tcPr>
          <w:p w14:paraId="6D25DA5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天然气</w:t>
            </w:r>
          </w:p>
        </w:tc>
        <w:tc>
          <w:tcPr>
            <w:tcW w:w="2121" w:type="dxa"/>
            <w:shd w:val="clear" w:color="auto" w:fill="auto"/>
            <w:noWrap w:val="0"/>
            <w:vAlign w:val="center"/>
          </w:tcPr>
          <w:p w14:paraId="4D497B9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热值</w:t>
            </w:r>
          </w:p>
        </w:tc>
        <w:tc>
          <w:tcPr>
            <w:tcW w:w="2971" w:type="dxa"/>
            <w:shd w:val="clear" w:color="auto" w:fill="FFFFFF"/>
            <w:noWrap w:val="0"/>
            <w:vAlign w:val="center"/>
          </w:tcPr>
          <w:p w14:paraId="6453DBA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8400Kcal/Nm³</w:t>
            </w:r>
          </w:p>
        </w:tc>
        <w:tc>
          <w:tcPr>
            <w:tcW w:w="1887" w:type="dxa"/>
            <w:noWrap w:val="0"/>
            <w:vAlign w:val="center"/>
          </w:tcPr>
          <w:p w14:paraId="1D253705">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0"/>
                <w:szCs w:val="20"/>
                <w:highlight w:val="none"/>
              </w:rPr>
            </w:pPr>
          </w:p>
        </w:tc>
      </w:tr>
      <w:tr w14:paraId="2F0B6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3" w:type="dxa"/>
            <w:shd w:val="clear" w:color="auto" w:fill="auto"/>
            <w:noWrap w:val="0"/>
            <w:vAlign w:val="center"/>
          </w:tcPr>
          <w:p w14:paraId="2576217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6</w:t>
            </w:r>
          </w:p>
        </w:tc>
        <w:tc>
          <w:tcPr>
            <w:tcW w:w="1604" w:type="dxa"/>
            <w:vMerge w:val="continue"/>
            <w:shd w:val="clear" w:color="auto" w:fill="auto"/>
            <w:noWrap w:val="0"/>
            <w:vAlign w:val="center"/>
          </w:tcPr>
          <w:p w14:paraId="186DE3B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p>
        </w:tc>
        <w:tc>
          <w:tcPr>
            <w:tcW w:w="2121" w:type="dxa"/>
            <w:shd w:val="clear" w:color="auto" w:fill="auto"/>
            <w:noWrap w:val="0"/>
            <w:vAlign w:val="center"/>
          </w:tcPr>
          <w:p w14:paraId="206B07D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供气压力</w:t>
            </w:r>
          </w:p>
        </w:tc>
        <w:tc>
          <w:tcPr>
            <w:tcW w:w="2971" w:type="dxa"/>
            <w:shd w:val="clear" w:color="auto" w:fill="FFFFFF"/>
            <w:noWrap w:val="0"/>
            <w:vAlign w:val="center"/>
          </w:tcPr>
          <w:p w14:paraId="21B3303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0.05～0.1Mpa</w:t>
            </w:r>
          </w:p>
        </w:tc>
        <w:tc>
          <w:tcPr>
            <w:tcW w:w="1887" w:type="dxa"/>
            <w:noWrap w:val="0"/>
            <w:vAlign w:val="center"/>
          </w:tcPr>
          <w:p w14:paraId="04B0D512">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0"/>
                <w:szCs w:val="20"/>
                <w:highlight w:val="none"/>
              </w:rPr>
            </w:pPr>
          </w:p>
        </w:tc>
      </w:tr>
      <w:tr w14:paraId="785A1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3" w:type="dxa"/>
            <w:shd w:val="clear" w:color="auto" w:fill="auto"/>
            <w:noWrap w:val="0"/>
            <w:vAlign w:val="center"/>
          </w:tcPr>
          <w:p w14:paraId="23CEFA7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7</w:t>
            </w:r>
          </w:p>
        </w:tc>
        <w:tc>
          <w:tcPr>
            <w:tcW w:w="1604" w:type="dxa"/>
            <w:vMerge w:val="restart"/>
            <w:shd w:val="clear" w:color="auto" w:fill="auto"/>
            <w:noWrap w:val="0"/>
            <w:vAlign w:val="center"/>
          </w:tcPr>
          <w:p w14:paraId="6F6E99B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压缩空气</w:t>
            </w:r>
          </w:p>
        </w:tc>
        <w:tc>
          <w:tcPr>
            <w:tcW w:w="2121" w:type="dxa"/>
            <w:shd w:val="clear" w:color="auto" w:fill="auto"/>
            <w:noWrap w:val="0"/>
            <w:vAlign w:val="center"/>
          </w:tcPr>
          <w:p w14:paraId="28A08F3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压力</w:t>
            </w:r>
          </w:p>
        </w:tc>
        <w:tc>
          <w:tcPr>
            <w:tcW w:w="2971" w:type="dxa"/>
            <w:shd w:val="clear" w:color="auto" w:fill="FFFFFF"/>
            <w:noWrap w:val="0"/>
            <w:vAlign w:val="center"/>
          </w:tcPr>
          <w:p w14:paraId="028DADB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0.6Mpa</w:t>
            </w:r>
          </w:p>
        </w:tc>
        <w:tc>
          <w:tcPr>
            <w:tcW w:w="1887" w:type="dxa"/>
            <w:noWrap w:val="0"/>
            <w:vAlign w:val="center"/>
          </w:tcPr>
          <w:p w14:paraId="1E73B17B">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0"/>
                <w:szCs w:val="20"/>
                <w:highlight w:val="none"/>
              </w:rPr>
            </w:pPr>
          </w:p>
        </w:tc>
      </w:tr>
      <w:tr w14:paraId="69BD4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3" w:type="dxa"/>
            <w:shd w:val="clear" w:color="auto" w:fill="auto"/>
            <w:noWrap w:val="0"/>
            <w:vAlign w:val="center"/>
          </w:tcPr>
          <w:p w14:paraId="03BB31D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8</w:t>
            </w:r>
          </w:p>
        </w:tc>
        <w:tc>
          <w:tcPr>
            <w:tcW w:w="1604" w:type="dxa"/>
            <w:vMerge w:val="continue"/>
            <w:shd w:val="clear" w:color="auto" w:fill="auto"/>
            <w:noWrap w:val="0"/>
            <w:vAlign w:val="center"/>
          </w:tcPr>
          <w:p w14:paraId="68D59F20">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0"/>
                <w:szCs w:val="20"/>
                <w:highlight w:val="none"/>
              </w:rPr>
            </w:pPr>
          </w:p>
        </w:tc>
        <w:tc>
          <w:tcPr>
            <w:tcW w:w="2121" w:type="dxa"/>
            <w:shd w:val="clear" w:color="auto" w:fill="auto"/>
            <w:noWrap w:val="0"/>
            <w:vAlign w:val="center"/>
          </w:tcPr>
          <w:p w14:paraId="52797A9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露点温度</w:t>
            </w:r>
          </w:p>
        </w:tc>
        <w:tc>
          <w:tcPr>
            <w:tcW w:w="2971" w:type="dxa"/>
            <w:shd w:val="clear" w:color="auto" w:fill="FFFFFF"/>
            <w:noWrap w:val="0"/>
            <w:vAlign w:val="center"/>
          </w:tcPr>
          <w:p w14:paraId="0A0B110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≤-20℃</w:t>
            </w:r>
          </w:p>
        </w:tc>
        <w:tc>
          <w:tcPr>
            <w:tcW w:w="1887" w:type="dxa"/>
            <w:noWrap w:val="0"/>
            <w:vAlign w:val="center"/>
          </w:tcPr>
          <w:p w14:paraId="10BCB14E">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0"/>
                <w:szCs w:val="20"/>
                <w:highlight w:val="none"/>
              </w:rPr>
            </w:pPr>
          </w:p>
        </w:tc>
      </w:tr>
      <w:tr w14:paraId="6F516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3" w:type="dxa"/>
            <w:shd w:val="clear" w:color="auto" w:fill="auto"/>
            <w:noWrap w:val="0"/>
            <w:vAlign w:val="center"/>
          </w:tcPr>
          <w:p w14:paraId="1A42F7D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9</w:t>
            </w:r>
          </w:p>
        </w:tc>
        <w:tc>
          <w:tcPr>
            <w:tcW w:w="1604" w:type="dxa"/>
            <w:vMerge w:val="continue"/>
            <w:shd w:val="clear" w:color="auto" w:fill="auto"/>
            <w:noWrap w:val="0"/>
            <w:vAlign w:val="center"/>
          </w:tcPr>
          <w:p w14:paraId="627956E6">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0"/>
                <w:szCs w:val="20"/>
                <w:highlight w:val="none"/>
              </w:rPr>
            </w:pPr>
          </w:p>
        </w:tc>
        <w:tc>
          <w:tcPr>
            <w:tcW w:w="2121" w:type="dxa"/>
            <w:shd w:val="clear" w:color="auto" w:fill="auto"/>
            <w:noWrap w:val="0"/>
            <w:vAlign w:val="center"/>
          </w:tcPr>
          <w:p w14:paraId="28D4598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含油量</w:t>
            </w:r>
          </w:p>
        </w:tc>
        <w:tc>
          <w:tcPr>
            <w:tcW w:w="2971" w:type="dxa"/>
            <w:shd w:val="clear" w:color="auto" w:fill="FFFFFF"/>
            <w:noWrap w:val="0"/>
            <w:vAlign w:val="center"/>
          </w:tcPr>
          <w:p w14:paraId="2A1D7E5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≤0.01mg/m³</w:t>
            </w:r>
          </w:p>
        </w:tc>
        <w:tc>
          <w:tcPr>
            <w:tcW w:w="1887" w:type="dxa"/>
            <w:noWrap w:val="0"/>
            <w:vAlign w:val="center"/>
          </w:tcPr>
          <w:p w14:paraId="16D42FAF">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0"/>
                <w:szCs w:val="20"/>
                <w:highlight w:val="none"/>
              </w:rPr>
            </w:pPr>
          </w:p>
        </w:tc>
      </w:tr>
      <w:tr w14:paraId="36BC8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3" w:type="dxa"/>
            <w:shd w:val="clear" w:color="auto" w:fill="auto"/>
            <w:noWrap w:val="0"/>
            <w:vAlign w:val="center"/>
          </w:tcPr>
          <w:p w14:paraId="0CEE2F4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10</w:t>
            </w:r>
          </w:p>
        </w:tc>
        <w:tc>
          <w:tcPr>
            <w:tcW w:w="1604" w:type="dxa"/>
            <w:vMerge w:val="continue"/>
            <w:shd w:val="clear" w:color="auto" w:fill="auto"/>
            <w:noWrap w:val="0"/>
            <w:vAlign w:val="center"/>
          </w:tcPr>
          <w:p w14:paraId="5CDA1D80">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0"/>
                <w:szCs w:val="20"/>
                <w:highlight w:val="none"/>
              </w:rPr>
            </w:pPr>
          </w:p>
        </w:tc>
        <w:tc>
          <w:tcPr>
            <w:tcW w:w="2121" w:type="dxa"/>
            <w:shd w:val="clear" w:color="auto" w:fill="auto"/>
            <w:noWrap w:val="0"/>
            <w:vAlign w:val="center"/>
          </w:tcPr>
          <w:p w14:paraId="1CD0A45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固体颗粒直径</w:t>
            </w:r>
          </w:p>
        </w:tc>
        <w:tc>
          <w:tcPr>
            <w:tcW w:w="2971" w:type="dxa"/>
            <w:shd w:val="clear" w:color="auto" w:fill="FFFFFF"/>
            <w:noWrap w:val="0"/>
            <w:vAlign w:val="center"/>
          </w:tcPr>
          <w:p w14:paraId="047041B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仿宋" w:hAnsi="仿宋" w:eastAsia="仿宋" w:cs="仿宋"/>
                <w:color w:val="auto"/>
                <w:sz w:val="20"/>
                <w:szCs w:val="20"/>
                <w:highlight w:val="none"/>
              </w:rPr>
            </w:pPr>
            <w:r>
              <w:rPr>
                <w:rFonts w:hint="eastAsia" w:ascii="仿宋" w:hAnsi="仿宋" w:eastAsia="仿宋" w:cs="仿宋"/>
                <w:color w:val="auto"/>
                <w:sz w:val="20"/>
                <w:szCs w:val="20"/>
                <w:highlight w:val="none"/>
              </w:rPr>
              <w:t>≤0.1μm</w:t>
            </w:r>
          </w:p>
        </w:tc>
        <w:tc>
          <w:tcPr>
            <w:tcW w:w="1887" w:type="dxa"/>
            <w:noWrap w:val="0"/>
            <w:vAlign w:val="center"/>
          </w:tcPr>
          <w:p w14:paraId="340203E4">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仿宋" w:hAnsi="仿宋" w:eastAsia="仿宋" w:cs="仿宋"/>
                <w:color w:val="auto"/>
                <w:sz w:val="20"/>
                <w:szCs w:val="20"/>
                <w:highlight w:val="none"/>
              </w:rPr>
            </w:pPr>
          </w:p>
        </w:tc>
      </w:tr>
    </w:tbl>
    <w:p w14:paraId="0463E945">
      <w:pPr>
        <w:pageBreakBefore w:val="0"/>
        <w:numPr>
          <w:ilvl w:val="0"/>
          <w:numId w:val="7"/>
        </w:numPr>
        <w:kinsoku/>
        <w:wordWrap/>
        <w:overflowPunct/>
        <w:topLinePunct w:val="0"/>
        <w:autoSpaceDE w:val="0"/>
        <w:autoSpaceDN w:val="0"/>
        <w:bidi w:val="0"/>
        <w:adjustRightInd w:val="0"/>
        <w:spacing w:line="240" w:lineRule="auto"/>
        <w:ind w:left="0" w:leftChars="0"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质量管控措施</w:t>
      </w:r>
    </w:p>
    <w:p w14:paraId="79BD2496">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9.1、外包方管理要求</w:t>
      </w:r>
    </w:p>
    <w:p w14:paraId="1EAC461B">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外包方负责按照要求完成外包方质量体系相关证明文件提交，济南发动机厂负责对工序外包方的质量保证能力进行审核。</w:t>
      </w:r>
    </w:p>
    <w:p w14:paraId="10EFCEA6">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外包方负责业务外包方案中质量检验策划等，济南发动机厂负责对外包方的策划方案进行审核。</w:t>
      </w:r>
    </w:p>
    <w:p w14:paraId="2408C186">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外包方负责配合济南发动机厂组织过程审核、产品审核、过程稽查，派负责人全程陪同。</w:t>
      </w:r>
    </w:p>
    <w:p w14:paraId="71D091B2">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济南发动机厂负责对在过程审核、产品审核、过程稽查中发现的问题组织开展问题整改，外包方配合整改。</w:t>
      </w:r>
    </w:p>
    <w:p w14:paraId="0FAB528C">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外包方对新员工开展安全、质量、工艺、现场5S等相关培训，并留存培训记录。针对生产过程中发现的质量问题，济南发动机厂组织外包方对涉及员工进行专项培训，并留存培训记录。</w:t>
      </w:r>
    </w:p>
    <w:p w14:paraId="3D2CFC27">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外包方接收后的发动机，应首先进行质量状态自查和确认，因外包方在作业过程中导致的磕碰、划伤、损坏、防护破损导致被防护件污染等质量问题由外包方负责，承担相应费用追偿。</w:t>
      </w:r>
    </w:p>
    <w:p w14:paraId="32B94C7B">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外包方对在线、下线、入库发动机出现质量问题或工艺变更时要服从济南发动机厂统一安排进行作业。</w:t>
      </w:r>
    </w:p>
    <w:p w14:paraId="27CC2FBC">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承包范围内的总成零件在发动机发交前，如出现质量问题，发动机厂按照规定零公里索赔外包方，发动机发交后出现质量问题，视具体质量问题类别划分责任。</w:t>
      </w:r>
    </w:p>
    <w:p w14:paraId="303A9167">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质量管控指标</w:t>
      </w:r>
      <w:r>
        <w:rPr>
          <w:rFonts w:hint="eastAsia" w:eastAsia="仿宋_GB2312" w:cs="Times New Roman"/>
          <w:b w:val="0"/>
          <w:bCs w:val="0"/>
          <w:color w:val="auto"/>
          <w:kern w:val="2"/>
          <w:sz w:val="28"/>
          <w:szCs w:val="28"/>
          <w:highlight w:val="none"/>
          <w:lang w:val="en-US" w:eastAsia="zh-CN" w:bidi="ar-SA"/>
        </w:rPr>
        <w:t>：</w:t>
      </w:r>
    </w:p>
    <w:p w14:paraId="0CE43617">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工艺管路连接可靠、无松脱，无错漏装；</w:t>
      </w:r>
    </w:p>
    <w:p w14:paraId="734AA8FC">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发动机表面无防冻液残留；</w:t>
      </w:r>
    </w:p>
    <w:p w14:paraId="462888B2">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工艺试车连接盘按照力矩及顺序要求拧紧；</w:t>
      </w:r>
    </w:p>
    <w:p w14:paraId="4E0474CD">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起动机螺母按工艺要求进行拧紧，吹水保证吹水时间；</w:t>
      </w:r>
    </w:p>
    <w:p w14:paraId="0B4B0476">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发动机清洗全面，无油污，无水渍；</w:t>
      </w:r>
    </w:p>
    <w:p w14:paraId="63A6F32F">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水性漆喷涂全面，无漏喷，漆膜厚度符合要求，</w:t>
      </w:r>
    </w:p>
    <w:p w14:paraId="7CFFFC7A">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零件装配齐全，无漏装、装配不到位、错装情况；</w:t>
      </w:r>
    </w:p>
    <w:p w14:paraId="1BC07414">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发动机外观无磕碰、划伤、锈蚀情况；</w:t>
      </w:r>
    </w:p>
    <w:p w14:paraId="5DD4B44B">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default"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发动机干燥包按要求放置在指定位置；</w:t>
      </w:r>
    </w:p>
    <w:p w14:paraId="747376FF">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对于专用工具，工装，设备不允许私自停用，装配要符合装配工艺要求。</w:t>
      </w:r>
    </w:p>
    <w:p w14:paraId="1C16BE8B">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漆膜质量要求：漆膜厚度≥40μm，缸体打码位置漆膜厚度（25-95）μm。漆膜外观要求喷涂均匀，无遗漏，漆膜硬度≥HB，漆膜附着力≤1。</w:t>
      </w:r>
    </w:p>
    <w:p w14:paraId="68938853">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外包方进行喷涂的产品下线后发现有缺陷，由外包方承担整修，由于外包方原因导致的产品质量返修、点修费用由外包方承担。</w:t>
      </w:r>
    </w:p>
    <w:p w14:paraId="5D93710D">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240" w:lineRule="auto"/>
        <w:ind w:leftChars="0" w:firstLine="560" w:firstLineChars="200"/>
        <w:textAlignment w:val="auto"/>
        <w:rPr>
          <w:rFonts w:hint="default"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9.2、发动机厂管理要求</w:t>
      </w:r>
    </w:p>
    <w:p w14:paraId="2DE7531D">
      <w:pPr>
        <w:keepNext w:val="0"/>
        <w:keepLines w:val="0"/>
        <w:pageBreakBefore w:val="0"/>
        <w:widowControl w:val="0"/>
        <w:kinsoku/>
        <w:wordWrap/>
        <w:overflowPunct/>
        <w:topLinePunct w:val="0"/>
        <w:autoSpaceDE/>
        <w:autoSpaceDN/>
        <w:bidi w:val="0"/>
        <w:adjustRightInd/>
        <w:snapToGrid/>
        <w:spacing w:line="240" w:lineRule="auto"/>
        <w:ind w:left="0" w:leftChars="0" w:firstLine="560" w:firstLineChars="200"/>
        <w:textAlignment w:val="auto"/>
        <w:rPr>
          <w:rFonts w:hint="eastAsia"/>
          <w:color w:val="auto"/>
          <w:sz w:val="20"/>
          <w:szCs w:val="18"/>
          <w:highlight w:val="none"/>
          <w:lang w:val="en-US" w:eastAsia="zh-CN"/>
        </w:rPr>
      </w:pPr>
      <w:r>
        <w:rPr>
          <w:rFonts w:hint="eastAsia" w:ascii="仿宋" w:hAnsi="仿宋" w:eastAsia="仿宋" w:cs="仿宋"/>
          <w:color w:val="auto"/>
          <w:sz w:val="28"/>
          <w:szCs w:val="28"/>
          <w:highlight w:val="none"/>
          <w:lang w:val="en-US" w:eastAsia="zh-CN"/>
        </w:rPr>
        <w:t>发动机厂设置专职质量检验人员对喷漆质量进行100%在线检查，发现问题及时反馈外包方返修及排查，对外包方的产品及过程整改情况进行确认。</w:t>
      </w:r>
    </w:p>
    <w:p w14:paraId="51CD5F3D">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仿宋" w:hAnsi="仿宋" w:eastAsia="仿宋" w:cs="仿宋"/>
          <w:color w:val="auto"/>
          <w:sz w:val="28"/>
          <w:szCs w:val="28"/>
          <w:highlight w:val="none"/>
          <w:lang w:val="en-US" w:eastAsia="zh-CN"/>
        </w:rPr>
        <w:t>发动机厂</w:t>
      </w:r>
      <w:r>
        <w:rPr>
          <w:rFonts w:hint="eastAsia" w:ascii="Times New Roman" w:hAnsi="Times New Roman" w:eastAsia="仿宋_GB2312" w:cs="Times New Roman"/>
          <w:b w:val="0"/>
          <w:bCs w:val="0"/>
          <w:color w:val="auto"/>
          <w:kern w:val="2"/>
          <w:sz w:val="28"/>
          <w:szCs w:val="28"/>
          <w:highlight w:val="none"/>
          <w:lang w:val="en-US" w:eastAsia="zh-CN" w:bidi="ar-SA"/>
        </w:rPr>
        <w:t>负责现场作业指导书的检查和更新，对作业文件的指导操作性及操作符合性进行检查及不断完善。</w:t>
      </w:r>
    </w:p>
    <w:p w14:paraId="4FD1623B">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针对包括但不限于图纸、产品特性、工艺参数等发生改变时，</w:t>
      </w:r>
      <w:r>
        <w:rPr>
          <w:rFonts w:hint="eastAsia" w:ascii="仿宋" w:hAnsi="仿宋" w:eastAsia="仿宋" w:cs="仿宋"/>
          <w:color w:val="auto"/>
          <w:sz w:val="28"/>
          <w:szCs w:val="28"/>
          <w:highlight w:val="none"/>
          <w:lang w:val="en-US" w:eastAsia="zh-CN"/>
        </w:rPr>
        <w:t>发动机厂</w:t>
      </w:r>
      <w:r>
        <w:rPr>
          <w:rFonts w:hint="eastAsia" w:ascii="Times New Roman" w:hAnsi="Times New Roman" w:eastAsia="仿宋_GB2312" w:cs="Times New Roman"/>
          <w:b w:val="0"/>
          <w:bCs w:val="0"/>
          <w:color w:val="auto"/>
          <w:kern w:val="2"/>
          <w:sz w:val="28"/>
          <w:szCs w:val="28"/>
          <w:highlight w:val="none"/>
          <w:lang w:val="en-US" w:eastAsia="zh-CN" w:bidi="ar-SA"/>
        </w:rPr>
        <w:t>在24小时内通过可追溯的途径将信息传递给外包方，并根据更改内容对作业文件进行修改。济南发动机厂联合外包方对更改前的库存进行确认，是否符合后续的要求，确定是否消化、改制或报废处理，并针对更改后的过程、产品进行稽查，保留稽查证据。</w:t>
      </w:r>
    </w:p>
    <w:p w14:paraId="4677485C">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仿宋" w:hAnsi="仿宋" w:eastAsia="仿宋" w:cs="仿宋"/>
          <w:color w:val="auto"/>
          <w:sz w:val="28"/>
          <w:szCs w:val="28"/>
          <w:highlight w:val="none"/>
          <w:lang w:val="en-US" w:eastAsia="zh-CN"/>
        </w:rPr>
        <w:t>发动机厂</w:t>
      </w:r>
      <w:r>
        <w:rPr>
          <w:rFonts w:hint="eastAsia" w:ascii="Times New Roman" w:hAnsi="Times New Roman" w:eastAsia="仿宋_GB2312" w:cs="Times New Roman"/>
          <w:b w:val="0"/>
          <w:bCs w:val="0"/>
          <w:color w:val="auto"/>
          <w:kern w:val="2"/>
          <w:sz w:val="28"/>
          <w:szCs w:val="28"/>
          <w:highlight w:val="none"/>
          <w:lang w:val="en-US" w:eastAsia="zh-CN" w:bidi="ar-SA"/>
        </w:rPr>
        <w:t>对外包方的质量体系搭建、完善、更新等工作进行审核和稽查，并保留审核和稽查证据。</w:t>
      </w:r>
    </w:p>
    <w:p w14:paraId="1D0C832E">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仿宋" w:hAnsi="仿宋" w:eastAsia="仿宋" w:cs="仿宋"/>
          <w:color w:val="auto"/>
          <w:sz w:val="28"/>
          <w:szCs w:val="28"/>
          <w:highlight w:val="none"/>
          <w:lang w:val="en-US" w:eastAsia="zh-CN"/>
        </w:rPr>
        <w:t>发动机厂</w:t>
      </w:r>
      <w:r>
        <w:rPr>
          <w:rFonts w:hint="eastAsia" w:ascii="Times New Roman" w:hAnsi="Times New Roman" w:eastAsia="仿宋_GB2312" w:cs="Times New Roman"/>
          <w:b w:val="0"/>
          <w:bCs w:val="0"/>
          <w:color w:val="auto"/>
          <w:kern w:val="2"/>
          <w:sz w:val="28"/>
          <w:szCs w:val="28"/>
          <w:highlight w:val="none"/>
          <w:lang w:val="en-US" w:eastAsia="zh-CN" w:bidi="ar-SA"/>
        </w:rPr>
        <w:t>开展每周一次的工艺纪律检查，建立工艺纪律检查台账，负责督促外包方进行整改，并跟踪整改进度、更新整改完成情况。</w:t>
      </w:r>
    </w:p>
    <w:p w14:paraId="2B5BD302">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仿宋" w:hAnsi="仿宋" w:eastAsia="仿宋" w:cs="仿宋"/>
          <w:color w:val="auto"/>
          <w:sz w:val="28"/>
          <w:szCs w:val="28"/>
          <w:highlight w:val="none"/>
          <w:lang w:val="en-US" w:eastAsia="zh-CN"/>
        </w:rPr>
        <w:t>发动机厂</w:t>
      </w:r>
      <w:r>
        <w:rPr>
          <w:rFonts w:hint="eastAsia" w:ascii="Times New Roman" w:hAnsi="Times New Roman" w:eastAsia="仿宋_GB2312" w:cs="Times New Roman"/>
          <w:b w:val="0"/>
          <w:bCs w:val="0"/>
          <w:color w:val="auto"/>
          <w:kern w:val="2"/>
          <w:sz w:val="28"/>
          <w:szCs w:val="28"/>
          <w:highlight w:val="none"/>
          <w:lang w:val="en-US" w:eastAsia="zh-CN" w:bidi="ar-SA"/>
        </w:rPr>
        <w:t>对外包方开展每季度一次的产品审核，每年一次的过程审核，建立审核稽查台账，督促外包方进行整改，并跟踪整改进度、更新整改完成情况。</w:t>
      </w:r>
    </w:p>
    <w:p w14:paraId="0021980A">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发动机厂负责根据控制计划，编制标准作业指导书，外包方严格执行，济南发动机厂对现场作业文件的有效性进行稽查。</w:t>
      </w:r>
    </w:p>
    <w:p w14:paraId="5FAE9A5D">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仿宋_GB2312" w:hAnsi="仿宋_GB2312" w:eastAsia="仿宋_GB2312" w:cs="仿宋_GB2312"/>
          <w:color w:val="auto"/>
          <w:sz w:val="28"/>
          <w:szCs w:val="28"/>
          <w:highlight w:val="none"/>
        </w:rPr>
      </w:pPr>
      <w:r>
        <w:rPr>
          <w:rFonts w:hint="eastAsia" w:ascii="Times New Roman" w:hAnsi="Times New Roman" w:eastAsia="仿宋_GB2312" w:cs="Times New Roman"/>
          <w:b w:val="0"/>
          <w:bCs w:val="0"/>
          <w:color w:val="auto"/>
          <w:kern w:val="2"/>
          <w:sz w:val="28"/>
          <w:szCs w:val="28"/>
          <w:highlight w:val="none"/>
          <w:lang w:val="en-US" w:eastAsia="zh-CN" w:bidi="ar-SA"/>
        </w:rPr>
        <w:t>济南发动机厂派驻现场工艺、质量人员，每日对发动机装配、喷涂过程和实物质量进行现场稽查。</w:t>
      </w:r>
    </w:p>
    <w:p w14:paraId="450CB750">
      <w:pPr>
        <w:pageBreakBefore w:val="0"/>
        <w:numPr>
          <w:ilvl w:val="0"/>
          <w:numId w:val="7"/>
        </w:numPr>
        <w:kinsoku/>
        <w:wordWrap/>
        <w:overflowPunct/>
        <w:topLinePunct w:val="0"/>
        <w:autoSpaceDE w:val="0"/>
        <w:autoSpaceDN w:val="0"/>
        <w:bidi w:val="0"/>
        <w:adjustRightInd w:val="0"/>
        <w:spacing w:line="240" w:lineRule="auto"/>
        <w:ind w:left="0" w:leftChars="0"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业务外包有效期</w:t>
      </w:r>
    </w:p>
    <w:p w14:paraId="42015D0A">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ascii="Times New Roman" w:hAnsi="Times New Roman" w:eastAsia="仿宋_GB2312" w:cs="Times New Roman"/>
          <w:b w:val="0"/>
          <w:bCs w:val="0"/>
          <w:color w:val="auto"/>
          <w:kern w:val="2"/>
          <w:sz w:val="28"/>
          <w:szCs w:val="28"/>
          <w:highlight w:val="none"/>
          <w:lang w:val="en-US" w:eastAsia="zh-CN" w:bidi="ar-SA"/>
        </w:rPr>
      </w:pPr>
      <w:r>
        <w:rPr>
          <w:rFonts w:hint="eastAsia" w:ascii="Times New Roman" w:hAnsi="Times New Roman" w:eastAsia="仿宋_GB2312" w:cs="Times New Roman"/>
          <w:b w:val="0"/>
          <w:bCs w:val="0"/>
          <w:color w:val="auto"/>
          <w:kern w:val="2"/>
          <w:sz w:val="28"/>
          <w:szCs w:val="28"/>
          <w:highlight w:val="none"/>
          <w:lang w:val="en-US" w:eastAsia="zh-CN" w:bidi="ar-SA"/>
        </w:rPr>
        <w:t>业务外包有效期自202</w:t>
      </w:r>
      <w:r>
        <w:rPr>
          <w:rFonts w:hint="eastAsia" w:eastAsia="仿宋_GB2312" w:cs="Times New Roman"/>
          <w:b w:val="0"/>
          <w:bCs w:val="0"/>
          <w:color w:val="auto"/>
          <w:kern w:val="2"/>
          <w:sz w:val="28"/>
          <w:szCs w:val="28"/>
          <w:highlight w:val="none"/>
          <w:lang w:val="en-US" w:eastAsia="zh-CN" w:bidi="ar-SA"/>
        </w:rPr>
        <w:t>6</w:t>
      </w:r>
      <w:r>
        <w:rPr>
          <w:rFonts w:hint="eastAsia" w:ascii="Times New Roman" w:hAnsi="Times New Roman" w:eastAsia="仿宋_GB2312" w:cs="Times New Roman"/>
          <w:b w:val="0"/>
          <w:bCs w:val="0"/>
          <w:color w:val="auto"/>
          <w:kern w:val="2"/>
          <w:sz w:val="28"/>
          <w:szCs w:val="28"/>
          <w:highlight w:val="none"/>
          <w:lang w:val="en-US" w:eastAsia="zh-CN" w:bidi="ar-SA"/>
        </w:rPr>
        <w:t>年1月1日至202</w:t>
      </w:r>
      <w:r>
        <w:rPr>
          <w:rFonts w:hint="eastAsia" w:eastAsia="仿宋_GB2312" w:cs="Times New Roman"/>
          <w:b w:val="0"/>
          <w:bCs w:val="0"/>
          <w:color w:val="auto"/>
          <w:kern w:val="2"/>
          <w:sz w:val="28"/>
          <w:szCs w:val="28"/>
          <w:highlight w:val="none"/>
          <w:lang w:val="en-US" w:eastAsia="zh-CN" w:bidi="ar-SA"/>
        </w:rPr>
        <w:t>6</w:t>
      </w:r>
      <w:r>
        <w:rPr>
          <w:rFonts w:hint="eastAsia" w:ascii="Times New Roman" w:hAnsi="Times New Roman" w:eastAsia="仿宋_GB2312" w:cs="Times New Roman"/>
          <w:b w:val="0"/>
          <w:bCs w:val="0"/>
          <w:color w:val="auto"/>
          <w:kern w:val="2"/>
          <w:sz w:val="28"/>
          <w:szCs w:val="28"/>
          <w:highlight w:val="none"/>
          <w:lang w:val="en-US" w:eastAsia="zh-CN" w:bidi="ar-SA"/>
        </w:rPr>
        <w:t>年12月31日。</w:t>
      </w:r>
    </w:p>
    <w:p w14:paraId="083392A5">
      <w:pPr>
        <w:pageBreakBefore w:val="0"/>
        <w:kinsoku/>
        <w:wordWrap/>
        <w:overflowPunct/>
        <w:topLinePunct w:val="0"/>
        <w:autoSpaceDE w:val="0"/>
        <w:autoSpaceDN w:val="0"/>
        <w:bidi w:val="0"/>
        <w:adjustRightInd w:val="0"/>
        <w:spacing w:line="240" w:lineRule="auto"/>
        <w:ind w:firstLine="0" w:firstLineChars="0"/>
        <w:jc w:val="left"/>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十一、其他</w:t>
      </w:r>
    </w:p>
    <w:p w14:paraId="0DA4F4E6">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优化提升方向：</w:t>
      </w:r>
    </w:p>
    <w:p w14:paraId="22276BC7">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eastAsia"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11.1、增加人员管控措施，限制人员更换频率，对于喷漆关键工序，</w:t>
      </w:r>
      <w:r>
        <w:rPr>
          <w:rFonts w:hint="eastAsia" w:ascii="Times New Roman" w:hAnsi="Times New Roman" w:eastAsia="仿宋_GB2312" w:cs="Times New Roman"/>
          <w:b w:val="0"/>
          <w:bCs w:val="0"/>
          <w:color w:val="auto"/>
          <w:kern w:val="2"/>
          <w:sz w:val="28"/>
          <w:szCs w:val="28"/>
          <w:highlight w:val="none"/>
          <w:lang w:val="en-US" w:eastAsia="zh-CN" w:bidi="ar-SA"/>
        </w:rPr>
        <w:t>喷涂人员更换不允许一年超过两人次，其余人员整体每月更换不超过1人次</w:t>
      </w:r>
      <w:r>
        <w:rPr>
          <w:rFonts w:hint="eastAsia" w:eastAsia="仿宋_GB2312" w:cs="Times New Roman"/>
          <w:b w:val="0"/>
          <w:bCs w:val="0"/>
          <w:color w:val="auto"/>
          <w:kern w:val="2"/>
          <w:sz w:val="28"/>
          <w:szCs w:val="28"/>
          <w:highlight w:val="none"/>
          <w:lang w:val="en-US" w:eastAsia="zh-CN" w:bidi="ar-SA"/>
        </w:rPr>
        <w:t>。</w:t>
      </w:r>
    </w:p>
    <w:p w14:paraId="76ADFCA3">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560" w:firstLineChars="200"/>
        <w:textAlignment w:val="auto"/>
        <w:rPr>
          <w:rFonts w:hint="default" w:eastAsia="仿宋_GB2312" w:cs="Times New Roman"/>
          <w:b w:val="0"/>
          <w:bCs w:val="0"/>
          <w:color w:val="auto"/>
          <w:kern w:val="2"/>
          <w:sz w:val="28"/>
          <w:szCs w:val="28"/>
          <w:highlight w:val="none"/>
          <w:lang w:val="en-US" w:eastAsia="zh-CN" w:bidi="ar-SA"/>
        </w:rPr>
      </w:pPr>
      <w:r>
        <w:rPr>
          <w:rFonts w:hint="eastAsia" w:eastAsia="仿宋_GB2312" w:cs="Times New Roman"/>
          <w:b w:val="0"/>
          <w:bCs w:val="0"/>
          <w:color w:val="auto"/>
          <w:kern w:val="2"/>
          <w:sz w:val="28"/>
          <w:szCs w:val="28"/>
          <w:highlight w:val="none"/>
          <w:lang w:val="en-US" w:eastAsia="zh-CN" w:bidi="ar-SA"/>
        </w:rPr>
        <w:t>11.2提高设备管理能力，由外包方对所使用设备进行点检，并提报本部人员进行确认，设备维护、保养由济南发动机厂本部人员负责。</w:t>
      </w:r>
    </w:p>
    <w:p w14:paraId="22C1FD88">
      <w:pPr>
        <w:pageBreakBefore w:val="0"/>
        <w:numPr>
          <w:ilvl w:val="0"/>
          <w:numId w:val="0"/>
        </w:numPr>
        <w:kinsoku/>
        <w:wordWrap/>
        <w:overflowPunct/>
        <w:topLinePunct w:val="0"/>
        <w:autoSpaceDE w:val="0"/>
        <w:autoSpaceDN w:val="0"/>
        <w:bidi w:val="0"/>
        <w:adjustRightInd w:val="0"/>
        <w:spacing w:line="240" w:lineRule="auto"/>
        <w:ind w:leftChars="0"/>
        <w:jc w:val="left"/>
        <w:rPr>
          <w:rFonts w:hint="eastAsia" w:ascii="仿宋_GB2312" w:hAnsi="仿宋_GB2312" w:eastAsia="仿宋_GB2312" w:cs="仿宋_GB2312"/>
          <w:color w:val="auto"/>
          <w:sz w:val="32"/>
          <w:szCs w:val="32"/>
          <w:highlight w:val="none"/>
        </w:rPr>
      </w:pPr>
    </w:p>
    <w:p w14:paraId="0B0C2D7B">
      <w:pPr>
        <w:keepNext w:val="0"/>
        <w:keepLines w:val="0"/>
        <w:pageBreakBefore w:val="0"/>
        <w:widowControl w:val="0"/>
        <w:shd w:val="clear" w:color="auto" w:fill="auto"/>
        <w:kinsoku/>
        <w:wordWrap/>
        <w:overflowPunct/>
        <w:topLinePunct w:val="0"/>
        <w:autoSpaceDE/>
        <w:autoSpaceDN/>
        <w:bidi w:val="0"/>
        <w:adjustRightInd/>
        <w:snapToGrid/>
        <w:spacing w:line="240" w:lineRule="auto"/>
        <w:ind w:left="0" w:leftChars="0" w:firstLine="420" w:firstLineChars="200"/>
        <w:textAlignment w:val="auto"/>
        <w:rPr>
          <w:rFonts w:hint="eastAsia" w:ascii="仿宋" w:hAnsi="仿宋" w:eastAsia="仿宋" w:cs="仿宋"/>
          <w:color w:val="auto"/>
          <w:highlight w:val="none"/>
        </w:rPr>
      </w:pPr>
    </w:p>
    <w:p w14:paraId="49646E7B">
      <w:pPr>
        <w:pStyle w:val="11"/>
        <w:rPr>
          <w:rFonts w:hint="eastAsia"/>
          <w:szCs w:val="22"/>
        </w:rPr>
      </w:pPr>
    </w:p>
    <w:p w14:paraId="713E186F">
      <w:pPr>
        <w:pStyle w:val="11"/>
        <w:rPr>
          <w:rFonts w:hint="eastAsia"/>
          <w:szCs w:val="22"/>
        </w:rPr>
      </w:pPr>
    </w:p>
    <w:p w14:paraId="5E11E156">
      <w:pPr>
        <w:pStyle w:val="11"/>
        <w:rPr>
          <w:rFonts w:hint="eastAsia"/>
          <w:szCs w:val="22"/>
        </w:rPr>
      </w:pPr>
    </w:p>
    <w:p w14:paraId="35D97DB6">
      <w:pPr>
        <w:pStyle w:val="11"/>
        <w:rPr>
          <w:rFonts w:hint="eastAsia"/>
          <w:szCs w:val="22"/>
        </w:rPr>
      </w:pPr>
    </w:p>
    <w:p w14:paraId="418F6E07">
      <w:pPr>
        <w:pStyle w:val="11"/>
        <w:rPr>
          <w:rFonts w:hint="eastAsia"/>
          <w:szCs w:val="22"/>
        </w:rPr>
      </w:pPr>
    </w:p>
    <w:p w14:paraId="3562FDF6">
      <w:pPr>
        <w:pStyle w:val="11"/>
        <w:rPr>
          <w:rFonts w:hint="eastAsia"/>
          <w:szCs w:val="22"/>
        </w:rPr>
      </w:pPr>
    </w:p>
    <w:p w14:paraId="30749C8E">
      <w:pPr>
        <w:pStyle w:val="11"/>
        <w:rPr>
          <w:rFonts w:hint="eastAsia"/>
          <w:szCs w:val="22"/>
        </w:rPr>
      </w:pPr>
    </w:p>
    <w:p w14:paraId="095E0EFC">
      <w:pPr>
        <w:pStyle w:val="11"/>
        <w:rPr>
          <w:rFonts w:hint="eastAsia"/>
          <w:szCs w:val="22"/>
        </w:rPr>
      </w:pPr>
    </w:p>
    <w:p w14:paraId="368F612F">
      <w:pPr>
        <w:pStyle w:val="11"/>
        <w:rPr>
          <w:rFonts w:hint="eastAsia"/>
          <w:szCs w:val="22"/>
        </w:rPr>
      </w:pPr>
    </w:p>
    <w:p w14:paraId="6B88783C">
      <w:pPr>
        <w:pStyle w:val="11"/>
        <w:rPr>
          <w:rFonts w:hint="eastAsia"/>
          <w:szCs w:val="22"/>
        </w:rPr>
      </w:pPr>
    </w:p>
    <w:p w14:paraId="569B35A4">
      <w:pPr>
        <w:pStyle w:val="11"/>
        <w:rPr>
          <w:rFonts w:hint="eastAsia"/>
          <w:szCs w:val="22"/>
        </w:rPr>
      </w:pPr>
    </w:p>
    <w:p w14:paraId="0DF8E4BE">
      <w:pPr>
        <w:pStyle w:val="11"/>
        <w:rPr>
          <w:rFonts w:hint="eastAsia"/>
          <w:szCs w:val="22"/>
        </w:rPr>
      </w:pPr>
    </w:p>
    <w:p w14:paraId="3E7DB430">
      <w:pPr>
        <w:pStyle w:val="11"/>
        <w:rPr>
          <w:rFonts w:hint="eastAsia"/>
          <w:szCs w:val="22"/>
        </w:rPr>
      </w:pPr>
    </w:p>
    <w:p w14:paraId="6CAFDD18">
      <w:pPr>
        <w:pStyle w:val="11"/>
        <w:rPr>
          <w:rFonts w:hint="eastAsia"/>
          <w:szCs w:val="22"/>
        </w:rPr>
      </w:pPr>
    </w:p>
    <w:p w14:paraId="38AD0BF1">
      <w:pPr>
        <w:pStyle w:val="11"/>
        <w:rPr>
          <w:rFonts w:hint="eastAsia"/>
          <w:szCs w:val="22"/>
        </w:rPr>
      </w:pPr>
    </w:p>
    <w:p w14:paraId="5FFCF5D9">
      <w:pPr>
        <w:pStyle w:val="11"/>
        <w:rPr>
          <w:rFonts w:hint="eastAsia"/>
          <w:szCs w:val="22"/>
        </w:rPr>
      </w:pPr>
    </w:p>
    <w:p w14:paraId="61F31285">
      <w:pPr>
        <w:pStyle w:val="11"/>
        <w:rPr>
          <w:rFonts w:hint="eastAsia"/>
          <w:szCs w:val="22"/>
        </w:rPr>
      </w:pPr>
    </w:p>
    <w:p w14:paraId="068568B7">
      <w:pPr>
        <w:pStyle w:val="11"/>
        <w:rPr>
          <w:rFonts w:hint="eastAsia"/>
          <w:szCs w:val="22"/>
        </w:rPr>
      </w:pPr>
    </w:p>
    <w:p w14:paraId="0425CD51">
      <w:pPr>
        <w:pStyle w:val="11"/>
        <w:rPr>
          <w:rFonts w:hint="eastAsia"/>
          <w:szCs w:val="22"/>
        </w:rPr>
      </w:pPr>
    </w:p>
    <w:p w14:paraId="1B358CCD">
      <w:pPr>
        <w:pStyle w:val="11"/>
        <w:rPr>
          <w:rFonts w:hint="eastAsia"/>
          <w:szCs w:val="22"/>
        </w:rPr>
      </w:pPr>
    </w:p>
    <w:p w14:paraId="587D8BD7">
      <w:pPr>
        <w:pStyle w:val="11"/>
        <w:rPr>
          <w:rFonts w:hint="eastAsia"/>
          <w:szCs w:val="22"/>
        </w:rPr>
      </w:pPr>
    </w:p>
    <w:p w14:paraId="2DCA9914">
      <w:pPr>
        <w:pStyle w:val="11"/>
        <w:rPr>
          <w:rFonts w:hint="eastAsia"/>
          <w:szCs w:val="22"/>
        </w:rPr>
      </w:pPr>
    </w:p>
    <w:p w14:paraId="1B567780">
      <w:pPr>
        <w:pStyle w:val="11"/>
        <w:rPr>
          <w:rFonts w:hint="eastAsia"/>
          <w:szCs w:val="22"/>
        </w:rPr>
      </w:pPr>
    </w:p>
    <w:p w14:paraId="0020B433">
      <w:pPr>
        <w:pStyle w:val="11"/>
        <w:rPr>
          <w:rFonts w:hint="eastAsia"/>
          <w:szCs w:val="22"/>
        </w:rPr>
      </w:pPr>
    </w:p>
    <w:p w14:paraId="4433BAFD">
      <w:pPr>
        <w:pStyle w:val="11"/>
        <w:rPr>
          <w:rFonts w:hint="eastAsia"/>
          <w:szCs w:val="22"/>
        </w:rPr>
      </w:pPr>
    </w:p>
    <w:p w14:paraId="4FBA9A8D">
      <w:pPr>
        <w:pStyle w:val="11"/>
        <w:rPr>
          <w:rFonts w:hint="eastAsia"/>
          <w:szCs w:val="22"/>
        </w:rPr>
      </w:pPr>
    </w:p>
    <w:p w14:paraId="48EFCFED">
      <w:pPr>
        <w:pStyle w:val="11"/>
        <w:rPr>
          <w:rFonts w:hint="eastAsia"/>
          <w:szCs w:val="22"/>
        </w:rPr>
      </w:pPr>
    </w:p>
    <w:p w14:paraId="61D7D657">
      <w:pPr>
        <w:pStyle w:val="11"/>
        <w:rPr>
          <w:rFonts w:hint="eastAsia"/>
          <w:szCs w:val="22"/>
        </w:rPr>
      </w:pPr>
    </w:p>
    <w:p w14:paraId="2C6E9C68">
      <w:pPr>
        <w:pStyle w:val="11"/>
        <w:rPr>
          <w:rFonts w:hint="eastAsia"/>
          <w:szCs w:val="22"/>
        </w:rPr>
      </w:pPr>
    </w:p>
    <w:p w14:paraId="07B01C82">
      <w:pPr>
        <w:pStyle w:val="11"/>
        <w:rPr>
          <w:rFonts w:hint="eastAsia"/>
          <w:szCs w:val="22"/>
        </w:rPr>
      </w:pPr>
    </w:p>
    <w:p w14:paraId="4B9BB831">
      <w:pPr>
        <w:pStyle w:val="2"/>
        <w:bidi w:val="0"/>
        <w:jc w:val="center"/>
        <w:rPr>
          <w:rFonts w:hint="default" w:eastAsia="宋体"/>
          <w:lang w:val="en-US" w:eastAsia="zh-CN"/>
        </w:rPr>
      </w:pPr>
      <w:bookmarkStart w:id="5" w:name="_Toc20595"/>
      <w:bookmarkStart w:id="6" w:name="_Toc3402"/>
      <w:bookmarkStart w:id="7" w:name="_Toc47976609"/>
      <w:r>
        <w:rPr>
          <w:rFonts w:hint="eastAsia"/>
        </w:rPr>
        <w:t>第三部分　合同主要条款</w:t>
      </w:r>
      <w:bookmarkEnd w:id="5"/>
      <w:bookmarkEnd w:id="6"/>
      <w:bookmarkEnd w:id="7"/>
      <w:r>
        <w:rPr>
          <w:rFonts w:hint="eastAsia"/>
          <w:lang w:eastAsia="zh-CN"/>
        </w:rPr>
        <w:t>（</w:t>
      </w:r>
      <w:r>
        <w:rPr>
          <w:rFonts w:hint="eastAsia"/>
          <w:lang w:val="en-US" w:eastAsia="zh-CN"/>
        </w:rPr>
        <w:t>参考）</w:t>
      </w:r>
    </w:p>
    <w:p w14:paraId="54C11F99">
      <w:pPr>
        <w:bidi w:val="0"/>
        <w:rPr>
          <w:rFonts w:hint="eastAsia"/>
        </w:rPr>
      </w:pPr>
    </w:p>
    <w:p w14:paraId="08D9FC00">
      <w:pPr>
        <w:bidi w:val="0"/>
        <w:rPr>
          <w:rFonts w:hint="eastAsia"/>
        </w:rPr>
      </w:pPr>
    </w:p>
    <w:p w14:paraId="23914DBE">
      <w:pPr>
        <w:pStyle w:val="110"/>
        <w:numPr>
          <w:ilvl w:val="0"/>
          <w:numId w:val="8"/>
        </w:numPr>
        <w:ind w:left="420"/>
      </w:pPr>
      <w:bookmarkStart w:id="8" w:name="_Toc47976610"/>
      <w:r>
        <w:rPr>
          <w:rFonts w:hint="eastAsia"/>
          <w:lang w:val="en-US" w:eastAsia="zh-CN"/>
        </w:rPr>
        <w:t>标的、数量、</w:t>
      </w:r>
      <w:r>
        <w:rPr>
          <w:rFonts w:hint="eastAsia"/>
        </w:rPr>
        <w:t>交货期</w:t>
      </w:r>
      <w:bookmarkEnd w:id="8"/>
    </w:p>
    <w:p w14:paraId="18603CA8">
      <w:pPr>
        <w:pStyle w:val="110"/>
      </w:pPr>
      <w:bookmarkStart w:id="9" w:name="_Toc47976611"/>
      <w:r>
        <w:rPr>
          <w:rFonts w:hint="eastAsia"/>
        </w:rPr>
        <w:t>交货地点</w:t>
      </w:r>
      <w:bookmarkEnd w:id="9"/>
    </w:p>
    <w:p w14:paraId="3F03A936">
      <w:pPr>
        <w:pStyle w:val="110"/>
      </w:pPr>
      <w:bookmarkStart w:id="10" w:name="_Toc47976612"/>
      <w:r>
        <w:rPr>
          <w:rFonts w:hint="eastAsia"/>
          <w:lang w:val="en-US" w:eastAsia="zh-CN"/>
        </w:rPr>
        <w:t>价款及</w:t>
      </w:r>
      <w:r>
        <w:rPr>
          <w:rFonts w:hint="eastAsia"/>
        </w:rPr>
        <w:t>付款方式</w:t>
      </w:r>
      <w:bookmarkEnd w:id="10"/>
    </w:p>
    <w:p w14:paraId="0A7F4E98">
      <w:pPr>
        <w:pStyle w:val="110"/>
      </w:pPr>
      <w:bookmarkStart w:id="11" w:name="_Toc47976613"/>
      <w:r>
        <w:rPr>
          <w:rFonts w:hint="eastAsia"/>
          <w:lang w:val="en-US" w:eastAsia="zh-CN"/>
        </w:rPr>
        <w:t>质量要求、</w:t>
      </w:r>
      <w:r>
        <w:rPr>
          <w:rFonts w:hint="eastAsia"/>
        </w:rPr>
        <w:t>保修期及售后服务</w:t>
      </w:r>
      <w:bookmarkEnd w:id="11"/>
    </w:p>
    <w:p w14:paraId="50F6C5C1">
      <w:pPr>
        <w:pStyle w:val="110"/>
      </w:pPr>
      <w:bookmarkStart w:id="12" w:name="_Toc47976614"/>
      <w:r>
        <w:rPr>
          <w:rFonts w:hint="eastAsia"/>
        </w:rPr>
        <w:t>安装、调试及验收要求</w:t>
      </w:r>
      <w:bookmarkEnd w:id="12"/>
    </w:p>
    <w:p w14:paraId="7FDA440C">
      <w:pPr>
        <w:pStyle w:val="110"/>
      </w:pPr>
      <w:r>
        <w:rPr>
          <w:rFonts w:hint="eastAsia"/>
          <w:lang w:val="en-US" w:eastAsia="zh-CN"/>
        </w:rPr>
        <w:t>违约责任</w:t>
      </w:r>
    </w:p>
    <w:p w14:paraId="599B1E0A">
      <w:pPr>
        <w:pStyle w:val="110"/>
        <w:rPr>
          <w:rFonts w:hint="eastAsia"/>
          <w:szCs w:val="22"/>
        </w:rPr>
        <w:sectPr>
          <w:headerReference r:id="rId12" w:type="first"/>
          <w:footerReference r:id="rId14" w:type="first"/>
          <w:headerReference r:id="rId11" w:type="default"/>
          <w:footerReference r:id="rId13" w:type="default"/>
          <w:pgSz w:w="11906" w:h="16838"/>
          <w:pgMar w:top="1701" w:right="1418" w:bottom="1134" w:left="1418" w:header="851" w:footer="992" w:gutter="0"/>
          <w:pgNumType w:fmt="numberInDash"/>
          <w:cols w:space="720" w:num="1"/>
          <w:titlePg/>
          <w:docGrid w:type="lines" w:linePitch="312" w:charSpace="0"/>
        </w:sectPr>
      </w:pPr>
      <w:r>
        <w:rPr>
          <w:rFonts w:hint="eastAsia"/>
          <w:lang w:val="en-US" w:eastAsia="zh-CN"/>
        </w:rPr>
        <w:t>争议解决方式</w:t>
      </w:r>
    </w:p>
    <w:p w14:paraId="362A4B65">
      <w:pPr>
        <w:pStyle w:val="2"/>
        <w:jc w:val="center"/>
        <w:rPr>
          <w:rFonts w:hint="eastAsia"/>
        </w:rPr>
      </w:pPr>
      <w:bookmarkStart w:id="13" w:name="_Toc25512"/>
      <w:r>
        <w:rPr>
          <w:rFonts w:hint="eastAsia" w:eastAsia="黑体"/>
          <w:sz w:val="36"/>
          <w:szCs w:val="36"/>
        </w:rPr>
        <w:t>第</w:t>
      </w:r>
      <w:r>
        <w:rPr>
          <w:rFonts w:hint="eastAsia" w:eastAsia="黑体"/>
          <w:sz w:val="36"/>
          <w:szCs w:val="36"/>
          <w:lang w:val="en-US" w:eastAsia="zh-CN"/>
        </w:rPr>
        <w:t>四</w:t>
      </w:r>
      <w:r>
        <w:rPr>
          <w:rFonts w:hint="eastAsia" w:eastAsia="黑体"/>
          <w:sz w:val="36"/>
          <w:szCs w:val="36"/>
        </w:rPr>
        <w:t xml:space="preserve">章  </w:t>
      </w:r>
      <w:r>
        <w:rPr>
          <w:rFonts w:hint="eastAsia" w:eastAsia="黑体"/>
          <w:sz w:val="36"/>
          <w:szCs w:val="36"/>
          <w:lang w:val="en-US" w:eastAsia="zh-CN"/>
        </w:rPr>
        <w:t>附件</w:t>
      </w:r>
      <w:bookmarkEnd w:id="13"/>
    </w:p>
    <w:p w14:paraId="1DA0FDFF">
      <w:pPr>
        <w:pStyle w:val="11"/>
        <w:numPr>
          <w:ilvl w:val="1"/>
          <w:numId w:val="9"/>
        </w:numPr>
        <w:spacing w:line="360" w:lineRule="auto"/>
        <w:rPr>
          <w:rFonts w:eastAsia="黑体"/>
          <w:b/>
          <w:bCs/>
          <w:sz w:val="28"/>
        </w:rPr>
      </w:pPr>
      <w:r>
        <w:rPr>
          <w:rFonts w:hint="eastAsia" w:ascii="黑体" w:hAnsi="黑体" w:eastAsia="黑体"/>
          <w:b/>
          <w:bCs/>
          <w:sz w:val="28"/>
          <w:szCs w:val="28"/>
        </w:rPr>
        <w:t>投标文件格式要求：</w:t>
      </w:r>
      <w:bookmarkStart w:id="14" w:name="_Toc37685732"/>
    </w:p>
    <w:p w14:paraId="11F4B564">
      <w:pPr>
        <w:rPr>
          <w:rFonts w:eastAsia="黑体"/>
          <w:b/>
          <w:bCs/>
          <w:sz w:val="28"/>
        </w:rPr>
      </w:pPr>
      <w:r>
        <w:rPr>
          <w:rFonts w:hint="eastAsia" w:eastAsia="黑体"/>
          <w:b/>
          <w:bCs/>
          <w:sz w:val="28"/>
        </w:rPr>
        <w:t>格式1</w:t>
      </w:r>
    </w:p>
    <w:p w14:paraId="0B116261">
      <w:pPr>
        <w:rPr>
          <w:rFonts w:ascii="宋体"/>
        </w:rPr>
      </w:pPr>
      <w:r>
        <w:rPr>
          <w:rFonts w:hint="eastAsia" w:ascii="宋体"/>
        </w:rPr>
        <w:t>项目名称：</w:t>
      </w:r>
    </w:p>
    <w:p w14:paraId="2EE287F8">
      <w:pPr>
        <w:rPr>
          <w:rFonts w:ascii="宋体"/>
        </w:rPr>
      </w:pPr>
    </w:p>
    <w:p w14:paraId="6A6F73AD">
      <w:pPr>
        <w:jc w:val="center"/>
        <w:rPr>
          <w:rFonts w:eastAsia="黑体"/>
          <w:b/>
          <w:bCs/>
          <w:sz w:val="28"/>
        </w:rPr>
      </w:pPr>
      <w:r>
        <w:rPr>
          <w:rFonts w:hint="eastAsia" w:eastAsia="黑体"/>
          <w:b/>
          <w:bCs/>
          <w:sz w:val="28"/>
        </w:rPr>
        <w:t>投标书</w:t>
      </w:r>
    </w:p>
    <w:p w14:paraId="70E9DC00">
      <w:pPr>
        <w:rPr>
          <w:rFonts w:ascii="宋体"/>
          <w:u w:val="single"/>
        </w:rPr>
      </w:pPr>
      <w:r>
        <w:rPr>
          <w:rFonts w:hint="eastAsia" w:ascii="宋体"/>
        </w:rPr>
        <w:t>致</w:t>
      </w:r>
      <w:r>
        <w:rPr>
          <w:rFonts w:hint="eastAsia" w:ascii="宋体"/>
          <w:u w:val="single"/>
        </w:rPr>
        <w:t>（招标人名称）                            ：</w:t>
      </w:r>
    </w:p>
    <w:p w14:paraId="0C1C58C6">
      <w:pPr>
        <w:ind w:firstLine="645"/>
        <w:rPr>
          <w:rFonts w:ascii="宋体"/>
        </w:rPr>
      </w:pPr>
      <w:r>
        <w:rPr>
          <w:rFonts w:hint="eastAsia" w:ascii="宋体"/>
        </w:rPr>
        <w:t>根据贵方为（</w:t>
      </w:r>
      <w:r>
        <w:rPr>
          <w:rFonts w:hint="eastAsia" w:ascii="宋体"/>
          <w:u w:val="single"/>
        </w:rPr>
        <w:t xml:space="preserve">项目名称）                         </w:t>
      </w:r>
      <w:r>
        <w:rPr>
          <w:rFonts w:hint="eastAsia" w:ascii="宋体"/>
        </w:rPr>
        <w:t>招标书，签字代表</w:t>
      </w:r>
      <w:r>
        <w:rPr>
          <w:rFonts w:hint="eastAsia" w:ascii="宋体"/>
          <w:u w:val="single"/>
        </w:rPr>
        <w:t xml:space="preserve">（全名、职务）           </w:t>
      </w:r>
      <w:r>
        <w:rPr>
          <w:rFonts w:hint="eastAsia" w:ascii="宋体"/>
        </w:rPr>
        <w:t>经正式授权并代表投标人</w:t>
      </w:r>
      <w:r>
        <w:rPr>
          <w:rFonts w:hint="eastAsia" w:ascii="宋体"/>
          <w:u w:val="single"/>
        </w:rPr>
        <w:t xml:space="preserve">（投标人名称、地址）              </w:t>
      </w:r>
      <w:r>
        <w:rPr>
          <w:rFonts w:hint="eastAsia" w:ascii="宋体"/>
        </w:rPr>
        <w:t>提交下述文件：</w:t>
      </w:r>
    </w:p>
    <w:p w14:paraId="4C4C73A0">
      <w:pPr>
        <w:rPr>
          <w:rFonts w:ascii="宋体"/>
        </w:rPr>
      </w:pPr>
      <w:r>
        <w:rPr>
          <w:rFonts w:hint="eastAsia" w:ascii="宋体"/>
        </w:rPr>
        <w:t>标书（正本</w:t>
      </w:r>
      <w:r>
        <w:rPr>
          <w:rFonts w:hint="eastAsia" w:ascii="宋体"/>
          <w:u w:val="single"/>
        </w:rPr>
        <w:t>X</w:t>
      </w:r>
      <w:r>
        <w:rPr>
          <w:rFonts w:hint="eastAsia" w:ascii="宋体"/>
        </w:rPr>
        <w:t>份和副本一式</w:t>
      </w:r>
      <w:r>
        <w:rPr>
          <w:rFonts w:hint="eastAsia" w:ascii="宋体"/>
          <w:u w:val="single"/>
        </w:rPr>
        <w:t>X</w:t>
      </w:r>
      <w:r>
        <w:rPr>
          <w:rFonts w:hint="eastAsia" w:ascii="宋体"/>
        </w:rPr>
        <w:t>份）</w:t>
      </w:r>
    </w:p>
    <w:p w14:paraId="117F4ED4">
      <w:pPr>
        <w:rPr>
          <w:rFonts w:ascii="宋体"/>
        </w:rPr>
      </w:pPr>
      <w:r>
        <w:rPr>
          <w:rFonts w:hint="eastAsia" w:ascii="宋体"/>
        </w:rPr>
        <w:t>资质证明文件（2份）</w:t>
      </w:r>
    </w:p>
    <w:p w14:paraId="5EF348C8">
      <w:pPr>
        <w:rPr>
          <w:rFonts w:ascii="宋体"/>
        </w:rPr>
      </w:pPr>
      <w:r>
        <w:rPr>
          <w:rFonts w:hint="eastAsia" w:ascii="宋体"/>
        </w:rPr>
        <w:t>据此，签字代表宣布同意如下：</w:t>
      </w:r>
    </w:p>
    <w:p w14:paraId="5A78B2A3">
      <w:pPr>
        <w:numPr>
          <w:ilvl w:val="0"/>
          <w:numId w:val="10"/>
        </w:numPr>
        <w:rPr>
          <w:rFonts w:ascii="宋体"/>
          <w:u w:val="single"/>
        </w:rPr>
      </w:pPr>
      <w:r>
        <w:rPr>
          <w:rFonts w:hint="eastAsia" w:ascii="宋体"/>
        </w:rPr>
        <w:t>所附投标报价表中规定的应提供的投标总价</w:t>
      </w:r>
      <w:r>
        <w:rPr>
          <w:rFonts w:hint="eastAsia" w:ascii="宋体"/>
          <w:b/>
          <w:bCs/>
        </w:rPr>
        <w:t>（</w:t>
      </w:r>
      <w:r>
        <w:rPr>
          <w:rFonts w:hint="eastAsia" w:ascii="宋体"/>
          <w:b/>
          <w:bCs/>
        </w:rPr>
        <w:tab/>
      </w:r>
      <w:r>
        <w:rPr>
          <w:rFonts w:hint="eastAsia" w:ascii="宋体"/>
          <w:b/>
          <w:bCs/>
        </w:rPr>
        <w:t>未税价</w:t>
      </w:r>
      <w:r>
        <w:rPr>
          <w:rFonts w:hint="eastAsia" w:ascii="宋体"/>
        </w:rPr>
        <w:t>）为</w:t>
      </w:r>
      <w:r>
        <w:rPr>
          <w:rFonts w:hint="eastAsia" w:ascii="宋体"/>
          <w:u w:val="single"/>
        </w:rPr>
        <w:t>（注明币种和金额）    ，</w:t>
      </w:r>
    </w:p>
    <w:p w14:paraId="2DE7AC05">
      <w:pPr>
        <w:ind w:firstLine="840" w:firstLineChars="400"/>
        <w:rPr>
          <w:rFonts w:ascii="宋体"/>
        </w:rPr>
      </w:pPr>
      <w:r>
        <w:rPr>
          <w:rFonts w:hint="eastAsia" w:ascii="宋体"/>
          <w:u w:val="single"/>
        </w:rPr>
        <w:t xml:space="preserve">即（中文文字描述）                                      </w:t>
      </w:r>
      <w:r>
        <w:rPr>
          <w:rFonts w:hint="eastAsia" w:ascii="宋体"/>
        </w:rPr>
        <w:t>。</w:t>
      </w:r>
    </w:p>
    <w:p w14:paraId="0D2CB492">
      <w:pPr>
        <w:numPr>
          <w:ilvl w:val="0"/>
          <w:numId w:val="10"/>
        </w:numPr>
        <w:rPr>
          <w:rFonts w:ascii="宋体"/>
        </w:rPr>
      </w:pPr>
      <w:r>
        <w:rPr>
          <w:rFonts w:hint="eastAsia" w:ascii="宋体"/>
        </w:rPr>
        <w:t>投标人将按招标文件的规定履行合同责任和义务。</w:t>
      </w:r>
    </w:p>
    <w:p w14:paraId="44840435">
      <w:pPr>
        <w:numPr>
          <w:ilvl w:val="0"/>
          <w:numId w:val="10"/>
        </w:numPr>
        <w:rPr>
          <w:rFonts w:ascii="宋体"/>
        </w:rPr>
      </w:pPr>
      <w:r>
        <w:rPr>
          <w:rFonts w:hint="eastAsia" w:ascii="宋体"/>
        </w:rPr>
        <w:t>投标人已详细审查全部招标文件，包括修改文件（如有的话）以及全部参考资料和有关附件，我们完全理解并同意放弃对这方面有不明及误解的权利。</w:t>
      </w:r>
    </w:p>
    <w:p w14:paraId="4346401E">
      <w:pPr>
        <w:numPr>
          <w:ilvl w:val="0"/>
          <w:numId w:val="10"/>
        </w:numPr>
        <w:rPr>
          <w:rFonts w:ascii="宋体"/>
        </w:rPr>
      </w:pPr>
      <w:r>
        <w:rPr>
          <w:rFonts w:hint="eastAsia"/>
          <w:szCs w:val="21"/>
        </w:rPr>
        <w:t>投标有效期：自投标截止之日起至合同签署日一直有效</w:t>
      </w:r>
      <w:r>
        <w:rPr>
          <w:rFonts w:hint="eastAsia" w:ascii="宋体"/>
          <w:szCs w:val="21"/>
        </w:rPr>
        <w:t>。</w:t>
      </w:r>
    </w:p>
    <w:p w14:paraId="3A246457">
      <w:pPr>
        <w:numPr>
          <w:ilvl w:val="0"/>
          <w:numId w:val="10"/>
        </w:numPr>
        <w:rPr>
          <w:rFonts w:ascii="宋体"/>
        </w:rPr>
      </w:pPr>
      <w:r>
        <w:rPr>
          <w:rFonts w:hint="eastAsia" w:ascii="宋体"/>
        </w:rPr>
        <w:t>投标人同意提供贵方要求的可能与投标有关的一切数据和资料，完全理解贵方不一定要接受最低价的投标或收到的任何投标。</w:t>
      </w:r>
    </w:p>
    <w:p w14:paraId="7871883C">
      <w:pPr>
        <w:numPr>
          <w:ilvl w:val="0"/>
          <w:numId w:val="10"/>
        </w:numPr>
        <w:rPr>
          <w:rFonts w:ascii="宋体"/>
        </w:rPr>
      </w:pPr>
      <w:r>
        <w:rPr>
          <w:rFonts w:hint="eastAsia" w:ascii="宋体"/>
        </w:rPr>
        <w:t>投标人承诺所提供的所有数据和资料均真实有效，如存在虚报情况，投标人愿为此承担一切法律责任，并主动退出本项目竞标。</w:t>
      </w:r>
    </w:p>
    <w:p w14:paraId="76BF4B74">
      <w:pPr>
        <w:numPr>
          <w:ilvl w:val="0"/>
          <w:numId w:val="10"/>
        </w:numPr>
        <w:rPr>
          <w:rFonts w:ascii="宋体"/>
        </w:rPr>
      </w:pPr>
      <w:r>
        <w:rPr>
          <w:rFonts w:hint="eastAsia" w:ascii="宋体"/>
        </w:rPr>
        <w:t>与本投标有关的一切正式往来通讯请寄：</w:t>
      </w:r>
    </w:p>
    <w:p w14:paraId="77B91F8B">
      <w:pPr>
        <w:ind w:left="795"/>
        <w:rPr>
          <w:rFonts w:ascii="宋体"/>
        </w:rPr>
      </w:pPr>
      <w:r>
        <w:rPr>
          <w:rFonts w:hint="eastAsia" w:ascii="宋体"/>
        </w:rPr>
        <w:t>地址：                                   邮编：</w:t>
      </w:r>
    </w:p>
    <w:p w14:paraId="01360DAF">
      <w:pPr>
        <w:ind w:left="795"/>
        <w:rPr>
          <w:rFonts w:ascii="宋体"/>
        </w:rPr>
      </w:pPr>
      <w:r>
        <w:rPr>
          <w:rFonts w:hint="eastAsia" w:ascii="宋体"/>
        </w:rPr>
        <w:t>电话：                                   传真：</w:t>
      </w:r>
    </w:p>
    <w:p w14:paraId="68D9393B">
      <w:pPr>
        <w:ind w:left="795"/>
      </w:pPr>
    </w:p>
    <w:p w14:paraId="6047314E">
      <w:pPr>
        <w:ind w:left="795"/>
      </w:pPr>
    </w:p>
    <w:p w14:paraId="1E59E389">
      <w:pPr>
        <w:ind w:left="795"/>
      </w:pPr>
      <w:r>
        <w:rPr>
          <w:rFonts w:hint="eastAsia"/>
        </w:rPr>
        <w:t>投标人授权代表签字：                 职务：                 日期：</w:t>
      </w:r>
    </w:p>
    <w:p w14:paraId="2ED65105">
      <w:pPr>
        <w:spacing w:line="480" w:lineRule="auto"/>
        <w:ind w:left="795"/>
      </w:pPr>
      <w:r>
        <w:rPr>
          <w:rFonts w:hint="eastAsia"/>
        </w:rPr>
        <w:t>投标人名称（及公章）：</w:t>
      </w:r>
    </w:p>
    <w:p w14:paraId="06D019DB">
      <w:pPr>
        <w:ind w:left="795"/>
      </w:pPr>
      <w:r>
        <w:rPr>
          <w:rFonts w:hint="eastAsia"/>
        </w:rPr>
        <w:t>日期：        年       月       日</w:t>
      </w:r>
    </w:p>
    <w:p w14:paraId="2717C9FD">
      <w:pPr>
        <w:rPr>
          <w:rFonts w:ascii="黑体" w:eastAsia="黑体"/>
          <w:sz w:val="30"/>
        </w:rPr>
      </w:pPr>
    </w:p>
    <w:bookmarkEnd w:id="14"/>
    <w:p w14:paraId="0C1DBAA5">
      <w:pPr>
        <w:rPr>
          <w:rFonts w:ascii="黑体" w:eastAsia="黑体"/>
          <w:sz w:val="30"/>
        </w:rPr>
      </w:pPr>
    </w:p>
    <w:p w14:paraId="0E44AFBA">
      <w:pPr>
        <w:rPr>
          <w:rFonts w:eastAsia="黑体"/>
          <w:b/>
          <w:bCs/>
          <w:sz w:val="28"/>
        </w:rPr>
      </w:pPr>
    </w:p>
    <w:p w14:paraId="4DEEBB03">
      <w:pPr>
        <w:rPr>
          <w:rFonts w:eastAsia="黑体"/>
          <w:b/>
          <w:bCs/>
          <w:sz w:val="28"/>
        </w:rPr>
      </w:pPr>
      <w:r>
        <w:rPr>
          <w:rFonts w:hint="eastAsia" w:eastAsia="黑体"/>
          <w:b/>
          <w:bCs/>
          <w:sz w:val="28"/>
        </w:rPr>
        <w:t>格式3</w:t>
      </w:r>
    </w:p>
    <w:p w14:paraId="67691516">
      <w:pPr>
        <w:rPr>
          <w:rFonts w:ascii="宋体"/>
        </w:rPr>
      </w:pPr>
      <w:r>
        <w:rPr>
          <w:rFonts w:hint="eastAsia" w:ascii="宋体"/>
        </w:rPr>
        <w:t>项目名称：</w:t>
      </w:r>
    </w:p>
    <w:p w14:paraId="79C08E63">
      <w:pPr>
        <w:rPr>
          <w:rFonts w:ascii="宋体"/>
          <w:szCs w:val="21"/>
        </w:rPr>
      </w:pPr>
      <w:r>
        <w:rPr>
          <w:rFonts w:hint="eastAsia" w:ascii="宋体"/>
          <w:szCs w:val="21"/>
        </w:rPr>
        <w:t>日期：  年   月   日</w:t>
      </w:r>
    </w:p>
    <w:p w14:paraId="75F0ED0F">
      <w:pPr>
        <w:spacing w:line="400" w:lineRule="exact"/>
        <w:jc w:val="center"/>
        <w:rPr>
          <w:rFonts w:ascii="黑体" w:eastAsia="黑体"/>
          <w:sz w:val="30"/>
        </w:rPr>
      </w:pPr>
      <w:r>
        <w:rPr>
          <w:rFonts w:hint="eastAsia" w:ascii="黑体" w:eastAsia="黑体"/>
          <w:sz w:val="30"/>
        </w:rPr>
        <w:t>开标一览表</w:t>
      </w:r>
    </w:p>
    <w:tbl>
      <w:tblPr>
        <w:tblStyle w:val="20"/>
        <w:tblW w:w="71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lang w:val="en-US" w:eastAsia="zh-CN"/>
              </w:rPr>
              <w:t>项目</w:t>
            </w:r>
            <w:r>
              <w:rPr>
                <w:rFonts w:hint="eastAsia" w:ascii="Times New Roman" w:hAnsi="Times New Roman" w:eastAsia="宋体" w:cs="Times New Roman"/>
                <w:b/>
                <w:szCs w:val="20"/>
              </w:rPr>
              <w:t>名称</w:t>
            </w:r>
          </w:p>
        </w:tc>
        <w:tc>
          <w:tcPr>
            <w:tcW w:w="848" w:type="dxa"/>
            <w:vAlign w:val="center"/>
          </w:tcPr>
          <w:p w14:paraId="7FD1C6AE">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人数</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43B51BBB">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付款方式及比例是否偏离</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1</w:t>
            </w:r>
          </w:p>
        </w:tc>
        <w:tc>
          <w:tcPr>
            <w:tcW w:w="1518" w:type="dxa"/>
            <w:vAlign w:val="center"/>
          </w:tcPr>
          <w:p w14:paraId="01DDB5C4">
            <w:pPr>
              <w:jc w:val="center"/>
              <w:rPr>
                <w:rFonts w:hint="eastAsia" w:ascii="Times New Roman" w:hAnsi="Times New Roman" w:eastAsia="宋体" w:cs="Times New Roman"/>
                <w:b/>
                <w:szCs w:val="20"/>
                <w:lang w:eastAsia="zh-CN"/>
              </w:rPr>
            </w:pPr>
          </w:p>
        </w:tc>
        <w:tc>
          <w:tcPr>
            <w:tcW w:w="848" w:type="dxa"/>
            <w:vAlign w:val="center"/>
          </w:tcPr>
          <w:p w14:paraId="5754ED5A">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按技术要求</w:t>
            </w: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1E0AF0C2">
            <w:pPr>
              <w:jc w:val="center"/>
              <w:rPr>
                <w:rFonts w:ascii="Times New Roman" w:hAnsi="Times New Roman" w:eastAsia="宋体" w:cs="Times New Roman"/>
                <w:b/>
                <w:szCs w:val="20"/>
              </w:rPr>
            </w:pPr>
          </w:p>
        </w:tc>
        <w:tc>
          <w:tcPr>
            <w:tcW w:w="699" w:type="dxa"/>
            <w:vAlign w:val="center"/>
          </w:tcPr>
          <w:p w14:paraId="14D620AB">
            <w:pPr>
              <w:jc w:val="center"/>
              <w:rPr>
                <w:rFonts w:ascii="Times New Roman" w:hAnsi="Times New Roman" w:eastAsia="宋体" w:cs="Times New Roman"/>
                <w:b/>
                <w:szCs w:val="20"/>
              </w:rPr>
            </w:pPr>
          </w:p>
        </w:tc>
      </w:tr>
    </w:tbl>
    <w:p w14:paraId="7195D093">
      <w:pPr>
        <w:spacing w:line="400" w:lineRule="exact"/>
        <w:rPr>
          <w:rFonts w:ascii="宋体"/>
          <w:b/>
          <w:bCs/>
        </w:rPr>
      </w:pPr>
    </w:p>
    <w:p w14:paraId="4F833298">
      <w:pPr>
        <w:spacing w:line="400" w:lineRule="exact"/>
        <w:rPr>
          <w:rFonts w:ascii="宋体"/>
        </w:rPr>
      </w:pPr>
      <w:r>
        <w:rPr>
          <w:rFonts w:hint="eastAsia" w:ascii="宋体"/>
          <w:b/>
          <w:bCs/>
        </w:rPr>
        <w:t>注：</w:t>
      </w:r>
    </w:p>
    <w:p w14:paraId="509BD9A8">
      <w:pPr>
        <w:spacing w:line="520" w:lineRule="exact"/>
        <w:rPr>
          <w:rFonts w:ascii="宋体"/>
          <w:b/>
          <w:bCs/>
        </w:rPr>
      </w:pPr>
      <w:r>
        <w:rPr>
          <w:rFonts w:hint="eastAsia" w:ascii="宋体"/>
          <w:b/>
          <w:bCs/>
        </w:rPr>
        <w:t>1、此表中的报价必须与相应的报价明细表中的报价一致。</w:t>
      </w:r>
    </w:p>
    <w:p w14:paraId="619187C7">
      <w:pPr>
        <w:spacing w:line="300" w:lineRule="auto"/>
        <w:rPr>
          <w:rFonts w:ascii="宋体"/>
          <w:b/>
          <w:bCs/>
        </w:rPr>
      </w:pPr>
      <w:r>
        <w:rPr>
          <w:rFonts w:hint="eastAsia" w:ascii="宋体"/>
          <w:b/>
          <w:bCs/>
        </w:rPr>
        <w:t>2、本表除附在投标文件中外，还应一式贰份单独密封，以便唱标。</w:t>
      </w:r>
    </w:p>
    <w:p w14:paraId="32B3085C">
      <w:pPr>
        <w:spacing w:line="300" w:lineRule="auto"/>
        <w:rPr>
          <w:rFonts w:ascii="宋体"/>
          <w:b/>
          <w:bCs/>
        </w:rPr>
      </w:pPr>
    </w:p>
    <w:p w14:paraId="6FEBFB2F">
      <w:pPr>
        <w:spacing w:line="300" w:lineRule="auto"/>
        <w:rPr>
          <w:rFonts w:ascii="宋体"/>
          <w:b/>
          <w:bCs/>
        </w:rPr>
      </w:pPr>
    </w:p>
    <w:p w14:paraId="4F4DCA2A">
      <w:pPr>
        <w:spacing w:line="300" w:lineRule="auto"/>
        <w:rPr>
          <w:rFonts w:ascii="宋体"/>
          <w:b/>
          <w:bCs/>
        </w:rPr>
      </w:pPr>
    </w:p>
    <w:p w14:paraId="1CD825C0">
      <w:pPr>
        <w:spacing w:line="660" w:lineRule="exact"/>
        <w:rPr>
          <w:rFonts w:ascii="宋体"/>
          <w:sz w:val="24"/>
        </w:rPr>
      </w:pPr>
      <w:r>
        <w:rPr>
          <w:rFonts w:hint="eastAsia" w:ascii="宋体"/>
          <w:sz w:val="24"/>
        </w:rPr>
        <w:t>投标单位：（盖章）</w:t>
      </w:r>
    </w:p>
    <w:p w14:paraId="5DFD2524">
      <w:pPr>
        <w:spacing w:line="660" w:lineRule="exact"/>
        <w:rPr>
          <w:rFonts w:ascii="宋体"/>
          <w:sz w:val="24"/>
        </w:rPr>
      </w:pPr>
      <w:r>
        <w:rPr>
          <w:rFonts w:hint="eastAsia" w:ascii="宋体"/>
          <w:sz w:val="24"/>
        </w:rPr>
        <w:t>法定代表人（授权代表）：（签字）</w:t>
      </w:r>
    </w:p>
    <w:p w14:paraId="1DA000DB">
      <w:pPr>
        <w:spacing w:line="660" w:lineRule="exact"/>
        <w:rPr>
          <w:rFonts w:eastAsia="黑体"/>
          <w:b/>
          <w:bCs/>
          <w:sz w:val="28"/>
        </w:rPr>
      </w:pPr>
      <w:r>
        <w:rPr>
          <w:rFonts w:hint="eastAsia" w:ascii="宋体"/>
          <w:sz w:val="24"/>
        </w:rPr>
        <w:t>日  期：</w:t>
      </w:r>
      <w:r>
        <w:rPr>
          <w:rFonts w:hint="eastAsia" w:ascii="宋体"/>
          <w:sz w:val="24"/>
          <w:u w:val="single"/>
        </w:rPr>
        <w:t xml:space="preserve">       </w:t>
      </w:r>
      <w:r>
        <w:rPr>
          <w:rFonts w:hint="eastAsia" w:ascii="宋体"/>
          <w:sz w:val="24"/>
        </w:rPr>
        <w:t>年</w:t>
      </w:r>
      <w:r>
        <w:rPr>
          <w:rFonts w:hint="eastAsia" w:ascii="宋体"/>
          <w:sz w:val="24"/>
          <w:u w:val="single"/>
        </w:rPr>
        <w:t xml:space="preserve">    </w:t>
      </w:r>
      <w:r>
        <w:rPr>
          <w:rFonts w:hint="eastAsia" w:ascii="宋体"/>
          <w:sz w:val="24"/>
        </w:rPr>
        <w:t>月</w:t>
      </w:r>
      <w:r>
        <w:rPr>
          <w:rFonts w:hint="eastAsia" w:ascii="宋体"/>
          <w:sz w:val="24"/>
          <w:u w:val="single"/>
        </w:rPr>
        <w:t xml:space="preserve">    </w:t>
      </w:r>
      <w:r>
        <w:rPr>
          <w:rFonts w:hint="eastAsia" w:ascii="宋体"/>
          <w:sz w:val="24"/>
        </w:rPr>
        <w:t>日</w:t>
      </w:r>
      <w:r>
        <w:rPr>
          <w:rFonts w:ascii="宋体"/>
          <w:sz w:val="24"/>
        </w:rPr>
        <w:br w:type="page"/>
      </w:r>
      <w:r>
        <w:rPr>
          <w:rFonts w:hint="eastAsia" w:eastAsia="黑体"/>
          <w:b/>
          <w:bCs/>
          <w:sz w:val="28"/>
        </w:rPr>
        <w:t>格式4</w:t>
      </w:r>
    </w:p>
    <w:p w14:paraId="3A712B02">
      <w:r>
        <w:rPr>
          <w:rFonts w:hint="eastAsia" w:ascii="宋体"/>
        </w:rPr>
        <w:t>项目名称：</w:t>
      </w:r>
    </w:p>
    <w:p w14:paraId="1D91900F">
      <w:pPr>
        <w:rPr>
          <w:rFonts w:ascii="宋体"/>
          <w:szCs w:val="21"/>
        </w:rPr>
      </w:pPr>
      <w:r>
        <w:rPr>
          <w:rFonts w:hint="eastAsia" w:ascii="宋体"/>
          <w:szCs w:val="21"/>
        </w:rPr>
        <w:t>日期：  年   月   日</w:t>
      </w:r>
    </w:p>
    <w:p w14:paraId="639AF4BB">
      <w:pPr>
        <w:jc w:val="center"/>
        <w:rPr>
          <w:rFonts w:eastAsia="黑体"/>
          <w:b/>
          <w:bCs/>
          <w:sz w:val="28"/>
        </w:rPr>
      </w:pP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77D04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Borders>
              <w:top w:val="single" w:color="auto" w:sz="4" w:space="0"/>
              <w:left w:val="single" w:color="auto" w:sz="4" w:space="0"/>
              <w:bottom w:val="single" w:color="auto" w:sz="4" w:space="0"/>
              <w:right w:val="single" w:color="auto" w:sz="4" w:space="0"/>
            </w:tcBorders>
            <w:noWrap/>
          </w:tcPr>
          <w:p w14:paraId="4EEB8196">
            <w:pPr>
              <w:rPr>
                <w:rFonts w:ascii="仿宋_GB2312" w:eastAsia="仿宋_GB2312"/>
                <w:sz w:val="24"/>
              </w:rPr>
            </w:pPr>
            <w:r>
              <w:rPr>
                <w:rFonts w:hint="eastAsia" w:ascii="仿宋_GB2312" w:eastAsia="仿宋_GB2312"/>
                <w:sz w:val="24"/>
              </w:rPr>
              <w:t>投标人承诺：</w:t>
            </w:r>
          </w:p>
          <w:p w14:paraId="2C03D139">
            <w:pPr>
              <w:pStyle w:val="11"/>
              <w:spacing w:line="360" w:lineRule="auto"/>
              <w:ind w:firstLine="480" w:firstLineChars="200"/>
              <w:rPr>
                <w:rFonts w:ascii="仿宋_GB2312" w:eastAsia="仿宋_GB2312"/>
                <w:sz w:val="24"/>
              </w:rPr>
            </w:pPr>
            <w:r>
              <w:rPr>
                <w:rFonts w:hint="eastAsia" w:ascii="仿宋_GB2312" w:eastAsia="仿宋_GB2312"/>
                <w:sz w:val="24"/>
              </w:rPr>
              <w:t>我公司承诺遵守贵公司由于招标人公司政策变化引起的随时终止项目的要求并承担由此带来的一切损失。</w:t>
            </w:r>
          </w:p>
          <w:p w14:paraId="7F128A02">
            <w:pPr>
              <w:rPr>
                <w:rFonts w:ascii="仿宋_GB2312" w:eastAsia="仿宋_GB2312"/>
                <w:sz w:val="24"/>
              </w:rPr>
            </w:pPr>
          </w:p>
        </w:tc>
      </w:tr>
    </w:tbl>
    <w:p w14:paraId="5C759908">
      <w:pPr>
        <w:rPr>
          <w:rFonts w:ascii="仿宋_GB2312" w:eastAsia="仿宋_GB2312"/>
          <w:sz w:val="24"/>
        </w:rPr>
      </w:pPr>
    </w:p>
    <w:p w14:paraId="68726955">
      <w:pPr>
        <w:rPr>
          <w:rFonts w:ascii="仿宋_GB2312" w:eastAsia="仿宋_GB2312"/>
          <w:sz w:val="24"/>
        </w:rPr>
      </w:pPr>
    </w:p>
    <w:p w14:paraId="20EF1D98">
      <w:pPr>
        <w:rPr>
          <w:rFonts w:ascii="仿宋_GB2312" w:eastAsia="仿宋_GB2312"/>
          <w:sz w:val="24"/>
        </w:rPr>
      </w:pPr>
    </w:p>
    <w:p w14:paraId="4521811C">
      <w:pPr>
        <w:rPr>
          <w:rFonts w:ascii="仿宋_GB2312" w:eastAsia="仿宋_GB2312"/>
          <w:sz w:val="24"/>
        </w:rPr>
      </w:pPr>
    </w:p>
    <w:p w14:paraId="307726CD">
      <w:pPr>
        <w:rPr>
          <w:rFonts w:ascii="仿宋_GB2312" w:eastAsia="仿宋_GB2312"/>
          <w:sz w:val="24"/>
        </w:rPr>
      </w:pPr>
    </w:p>
    <w:p w14:paraId="453B9AF1">
      <w:pPr>
        <w:rPr>
          <w:rFonts w:ascii="仿宋_GB2312" w:eastAsia="仿宋_GB2312"/>
          <w:sz w:val="24"/>
        </w:rPr>
      </w:pPr>
    </w:p>
    <w:p w14:paraId="2CCAFF69">
      <w:pPr>
        <w:rPr>
          <w:rFonts w:ascii="仿宋_GB2312" w:eastAsia="仿宋_GB2312"/>
          <w:sz w:val="24"/>
        </w:rPr>
      </w:pPr>
    </w:p>
    <w:p w14:paraId="10578857">
      <w:pPr>
        <w:rPr>
          <w:rFonts w:ascii="仿宋_GB2312" w:eastAsia="仿宋_GB2312"/>
          <w:sz w:val="24"/>
        </w:rPr>
      </w:pPr>
    </w:p>
    <w:p w14:paraId="1CB40C89">
      <w:pPr>
        <w:rPr>
          <w:rFonts w:ascii="仿宋_GB2312" w:eastAsia="仿宋_GB2312"/>
          <w:sz w:val="24"/>
        </w:rPr>
      </w:pPr>
    </w:p>
    <w:p w14:paraId="783CA485">
      <w:pPr>
        <w:rPr>
          <w:rFonts w:ascii="仿宋_GB2312" w:eastAsia="仿宋_GB2312"/>
          <w:sz w:val="24"/>
        </w:rPr>
      </w:pPr>
      <w:r>
        <w:rPr>
          <w:rFonts w:hint="eastAsia" w:ascii="仿宋_GB2312" w:eastAsia="仿宋_GB2312"/>
          <w:sz w:val="24"/>
        </w:rPr>
        <w:t>投标人名称（盖章）：              法定代表人或授权代表签字：</w:t>
      </w:r>
    </w:p>
    <w:p w14:paraId="5E409C59">
      <w:pPr>
        <w:rPr>
          <w:rFonts w:ascii="宋体"/>
          <w:sz w:val="24"/>
        </w:rPr>
      </w:pPr>
    </w:p>
    <w:p w14:paraId="55F86BB6">
      <w:pPr>
        <w:rPr>
          <w:rFonts w:ascii="宋体"/>
          <w:sz w:val="24"/>
        </w:rPr>
      </w:pPr>
    </w:p>
    <w:p w14:paraId="658813E4">
      <w:pPr>
        <w:rPr>
          <w:rFonts w:ascii="宋体"/>
          <w:sz w:val="24"/>
        </w:rPr>
      </w:pPr>
    </w:p>
    <w:p w14:paraId="0BAC68E0">
      <w:pPr>
        <w:rPr>
          <w:rFonts w:ascii="宋体"/>
          <w:sz w:val="24"/>
        </w:rPr>
      </w:pPr>
    </w:p>
    <w:p w14:paraId="26C69551">
      <w:pPr>
        <w:rPr>
          <w:rFonts w:hint="eastAsia" w:eastAsia="黑体"/>
          <w:b/>
          <w:bCs/>
          <w:sz w:val="28"/>
        </w:rPr>
      </w:pPr>
    </w:p>
    <w:p w14:paraId="47B08E7D">
      <w:pPr>
        <w:rPr>
          <w:rFonts w:hint="eastAsia" w:eastAsia="黑体"/>
          <w:b/>
          <w:bCs/>
          <w:sz w:val="28"/>
        </w:rPr>
      </w:pPr>
    </w:p>
    <w:p w14:paraId="69D70E99">
      <w:pPr>
        <w:rPr>
          <w:rFonts w:hint="eastAsia" w:eastAsia="黑体"/>
          <w:b/>
          <w:bCs/>
          <w:sz w:val="28"/>
        </w:rPr>
      </w:pPr>
    </w:p>
    <w:p w14:paraId="2731AA06">
      <w:pPr>
        <w:rPr>
          <w:rFonts w:hint="eastAsia" w:eastAsia="黑体"/>
          <w:b/>
          <w:bCs/>
          <w:sz w:val="28"/>
        </w:rPr>
      </w:pPr>
    </w:p>
    <w:p w14:paraId="090491F7">
      <w:pPr>
        <w:rPr>
          <w:rFonts w:hint="eastAsia" w:eastAsia="黑体"/>
          <w:b/>
          <w:bCs/>
          <w:sz w:val="28"/>
        </w:rPr>
      </w:pPr>
    </w:p>
    <w:p w14:paraId="3A9A5425">
      <w:pPr>
        <w:rPr>
          <w:rFonts w:eastAsia="黑体"/>
          <w:b/>
          <w:bCs/>
          <w:sz w:val="28"/>
        </w:rPr>
      </w:pPr>
      <w:r>
        <w:rPr>
          <w:rFonts w:hint="eastAsia" w:eastAsia="黑体"/>
          <w:b/>
          <w:bCs/>
          <w:sz w:val="28"/>
        </w:rPr>
        <w:t>格式5</w:t>
      </w:r>
    </w:p>
    <w:p w14:paraId="630510E9">
      <w:pPr>
        <w:rPr>
          <w:rFonts w:ascii="宋体"/>
        </w:rPr>
      </w:pPr>
      <w:r>
        <w:rPr>
          <w:rFonts w:hint="eastAsia" w:ascii="宋体"/>
        </w:rPr>
        <w:t>项目名称：</w:t>
      </w:r>
    </w:p>
    <w:p w14:paraId="2AB48DAD">
      <w:pPr>
        <w:rPr>
          <w:rFonts w:ascii="宋体"/>
        </w:rPr>
      </w:pPr>
    </w:p>
    <w:p w14:paraId="110B682A">
      <w:pPr>
        <w:rPr>
          <w:rFonts w:ascii="宋体"/>
          <w:szCs w:val="21"/>
        </w:rPr>
      </w:pPr>
      <w:r>
        <w:rPr>
          <w:rFonts w:hint="eastAsia" w:ascii="宋体"/>
          <w:szCs w:val="21"/>
        </w:rPr>
        <w:t>日期：  年   月   日</w:t>
      </w:r>
    </w:p>
    <w:p w14:paraId="75FF526C">
      <w:pPr>
        <w:jc w:val="center"/>
        <w:rPr>
          <w:rFonts w:eastAsia="黑体"/>
          <w:b/>
          <w:bCs/>
          <w:sz w:val="28"/>
        </w:rPr>
      </w:pPr>
    </w:p>
    <w:p w14:paraId="001594AE">
      <w:pPr>
        <w:jc w:val="center"/>
        <w:rPr>
          <w:rFonts w:eastAsia="黑体"/>
          <w:b/>
          <w:bCs/>
          <w:sz w:val="28"/>
        </w:rPr>
      </w:pPr>
      <w:r>
        <w:rPr>
          <w:rFonts w:hint="eastAsia" w:eastAsia="黑体"/>
          <w:b/>
          <w:bCs/>
          <w:sz w:val="28"/>
        </w:rPr>
        <w:t>相关条款偏离表（含商务偏离及技术偏离）</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26E8D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tcBorders>
              <w:top w:val="single" w:color="auto" w:sz="4" w:space="0"/>
              <w:left w:val="single" w:color="auto" w:sz="4" w:space="0"/>
              <w:bottom w:val="single" w:color="auto" w:sz="4" w:space="0"/>
              <w:right w:val="single" w:color="auto" w:sz="4" w:space="0"/>
            </w:tcBorders>
            <w:noWrap/>
            <w:vAlign w:val="center"/>
          </w:tcPr>
          <w:p w14:paraId="02E19883">
            <w:pPr>
              <w:jc w:val="center"/>
              <w:rPr>
                <w:rFonts w:ascii="宋体"/>
                <w:sz w:val="24"/>
              </w:rPr>
            </w:pPr>
            <w:r>
              <w:rPr>
                <w:rFonts w:hint="eastAsia" w:ascii="宋体"/>
                <w:sz w:val="24"/>
              </w:rPr>
              <w:t>序号</w:t>
            </w:r>
          </w:p>
        </w:tc>
        <w:tc>
          <w:tcPr>
            <w:tcW w:w="4140" w:type="dxa"/>
            <w:gridSpan w:val="2"/>
            <w:tcBorders>
              <w:top w:val="single" w:color="auto" w:sz="4" w:space="0"/>
              <w:left w:val="single" w:color="auto" w:sz="4" w:space="0"/>
              <w:bottom w:val="single" w:color="auto" w:sz="4" w:space="0"/>
              <w:right w:val="single" w:color="auto" w:sz="4" w:space="0"/>
            </w:tcBorders>
            <w:noWrap/>
            <w:vAlign w:val="center"/>
          </w:tcPr>
          <w:p w14:paraId="29E16748">
            <w:pPr>
              <w:jc w:val="center"/>
              <w:rPr>
                <w:rFonts w:ascii="宋体"/>
                <w:sz w:val="24"/>
              </w:rPr>
            </w:pPr>
            <w:r>
              <w:rPr>
                <w:rFonts w:hint="eastAsia" w:ascii="宋体"/>
                <w:sz w:val="24"/>
              </w:rPr>
              <w:t>招标文件条款</w:t>
            </w:r>
          </w:p>
        </w:tc>
        <w:tc>
          <w:tcPr>
            <w:tcW w:w="3554" w:type="dxa"/>
            <w:vMerge w:val="restart"/>
            <w:tcBorders>
              <w:top w:val="single" w:color="auto" w:sz="4" w:space="0"/>
              <w:left w:val="single" w:color="auto" w:sz="4" w:space="0"/>
              <w:bottom w:val="single" w:color="auto" w:sz="4" w:space="0"/>
              <w:right w:val="single" w:color="auto" w:sz="4" w:space="0"/>
            </w:tcBorders>
            <w:noWrap/>
            <w:vAlign w:val="center"/>
          </w:tcPr>
          <w:p w14:paraId="7BA39D68">
            <w:pPr>
              <w:jc w:val="center"/>
              <w:rPr>
                <w:rFonts w:ascii="宋体"/>
                <w:sz w:val="24"/>
              </w:rPr>
            </w:pPr>
            <w:r>
              <w:rPr>
                <w:rFonts w:hint="eastAsia" w:ascii="宋体"/>
                <w:sz w:val="24"/>
              </w:rPr>
              <w:t>偏离内容</w:t>
            </w:r>
          </w:p>
        </w:tc>
      </w:tr>
      <w:tr w14:paraId="6047F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tcBorders>
              <w:top w:val="single" w:color="auto" w:sz="4" w:space="0"/>
              <w:left w:val="single" w:color="auto" w:sz="4" w:space="0"/>
              <w:bottom w:val="single" w:color="auto" w:sz="4" w:space="0"/>
              <w:right w:val="single" w:color="auto" w:sz="4" w:space="0"/>
            </w:tcBorders>
            <w:noWrap/>
            <w:vAlign w:val="center"/>
          </w:tcPr>
          <w:p w14:paraId="2A950966"/>
        </w:tc>
        <w:tc>
          <w:tcPr>
            <w:tcW w:w="1080" w:type="dxa"/>
            <w:tcBorders>
              <w:top w:val="single" w:color="auto" w:sz="4" w:space="0"/>
              <w:left w:val="single" w:color="auto" w:sz="4" w:space="0"/>
              <w:bottom w:val="single" w:color="auto" w:sz="4" w:space="0"/>
              <w:right w:val="single" w:color="auto" w:sz="4" w:space="0"/>
            </w:tcBorders>
            <w:noWrap/>
            <w:vAlign w:val="center"/>
          </w:tcPr>
          <w:p w14:paraId="7176598C">
            <w:pPr>
              <w:jc w:val="center"/>
              <w:rPr>
                <w:rFonts w:ascii="宋体"/>
                <w:sz w:val="24"/>
              </w:rPr>
            </w:pPr>
            <w:r>
              <w:rPr>
                <w:rFonts w:hint="eastAsia" w:ascii="宋体"/>
                <w:sz w:val="24"/>
              </w:rPr>
              <w:t>条款号</w:t>
            </w:r>
          </w:p>
        </w:tc>
        <w:tc>
          <w:tcPr>
            <w:tcW w:w="3060" w:type="dxa"/>
            <w:tcBorders>
              <w:top w:val="single" w:color="auto" w:sz="4" w:space="0"/>
              <w:left w:val="single" w:color="auto" w:sz="4" w:space="0"/>
              <w:bottom w:val="single" w:color="auto" w:sz="4" w:space="0"/>
              <w:right w:val="single" w:color="auto" w:sz="4" w:space="0"/>
            </w:tcBorders>
            <w:noWrap/>
            <w:vAlign w:val="center"/>
          </w:tcPr>
          <w:p w14:paraId="57AC1DF1">
            <w:pPr>
              <w:jc w:val="center"/>
              <w:rPr>
                <w:rFonts w:ascii="宋体"/>
                <w:sz w:val="24"/>
              </w:rPr>
            </w:pPr>
            <w:r>
              <w:rPr>
                <w:rFonts w:hint="eastAsia" w:ascii="宋体"/>
                <w:sz w:val="24"/>
              </w:rPr>
              <w:t>条款要求</w:t>
            </w:r>
          </w:p>
        </w:tc>
        <w:tc>
          <w:tcPr>
            <w:tcW w:w="3554" w:type="dxa"/>
            <w:vMerge w:val="continue"/>
            <w:tcBorders>
              <w:top w:val="single" w:color="auto" w:sz="4" w:space="0"/>
              <w:left w:val="single" w:color="auto" w:sz="4" w:space="0"/>
              <w:bottom w:val="single" w:color="auto" w:sz="4" w:space="0"/>
              <w:right w:val="single" w:color="auto" w:sz="4" w:space="0"/>
            </w:tcBorders>
            <w:noWrap/>
            <w:vAlign w:val="center"/>
          </w:tcPr>
          <w:p w14:paraId="379ED2F3"/>
        </w:tc>
      </w:tr>
      <w:tr w14:paraId="2FD5F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7338034D">
            <w:pPr>
              <w:jc w:val="center"/>
              <w:rPr>
                <w:rFonts w:ascii="宋体"/>
                <w:sz w:val="24"/>
              </w:rPr>
            </w:pPr>
            <w:r>
              <w:rPr>
                <w:rFonts w:hint="eastAsia" w:ascii="宋体"/>
                <w:sz w:val="24"/>
              </w:rPr>
              <w:t>1</w:t>
            </w:r>
          </w:p>
        </w:tc>
        <w:tc>
          <w:tcPr>
            <w:tcW w:w="1080" w:type="dxa"/>
            <w:tcBorders>
              <w:top w:val="single" w:color="auto" w:sz="4" w:space="0"/>
              <w:left w:val="single" w:color="auto" w:sz="4" w:space="0"/>
              <w:bottom w:val="single" w:color="auto" w:sz="4" w:space="0"/>
              <w:right w:val="single" w:color="auto" w:sz="4" w:space="0"/>
            </w:tcBorders>
            <w:noWrap/>
            <w:vAlign w:val="center"/>
          </w:tcPr>
          <w:p w14:paraId="2A8F79A9">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360748FB">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457B08DE">
            <w:pPr>
              <w:rPr>
                <w:rFonts w:ascii="宋体"/>
                <w:sz w:val="24"/>
              </w:rPr>
            </w:pPr>
          </w:p>
        </w:tc>
      </w:tr>
      <w:tr w14:paraId="379EA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33999B6D">
            <w:pPr>
              <w:jc w:val="center"/>
              <w:rPr>
                <w:rFonts w:ascii="宋体"/>
                <w:sz w:val="24"/>
              </w:rPr>
            </w:pPr>
            <w:r>
              <w:rPr>
                <w:rFonts w:hint="eastAsia" w:ascii="宋体"/>
                <w:sz w:val="24"/>
              </w:rPr>
              <w:t>2</w:t>
            </w:r>
          </w:p>
        </w:tc>
        <w:tc>
          <w:tcPr>
            <w:tcW w:w="1080" w:type="dxa"/>
            <w:tcBorders>
              <w:top w:val="single" w:color="auto" w:sz="4" w:space="0"/>
              <w:left w:val="single" w:color="auto" w:sz="4" w:space="0"/>
              <w:bottom w:val="single" w:color="auto" w:sz="4" w:space="0"/>
              <w:right w:val="single" w:color="auto" w:sz="4" w:space="0"/>
            </w:tcBorders>
            <w:noWrap/>
            <w:vAlign w:val="center"/>
          </w:tcPr>
          <w:p w14:paraId="2243C1B7">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1C2FA3C1">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41698C1A">
            <w:pPr>
              <w:rPr>
                <w:rFonts w:ascii="宋体"/>
                <w:sz w:val="24"/>
              </w:rPr>
            </w:pPr>
          </w:p>
        </w:tc>
      </w:tr>
      <w:tr w14:paraId="273B2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51D6DBD1">
            <w:pPr>
              <w:jc w:val="center"/>
              <w:rPr>
                <w:rFonts w:ascii="宋体"/>
                <w:sz w:val="24"/>
              </w:rPr>
            </w:pPr>
            <w:r>
              <w:rPr>
                <w:rFonts w:hint="eastAsia" w:ascii="宋体"/>
                <w:sz w:val="24"/>
              </w:rPr>
              <w:t>3</w:t>
            </w:r>
          </w:p>
        </w:tc>
        <w:tc>
          <w:tcPr>
            <w:tcW w:w="1080" w:type="dxa"/>
            <w:tcBorders>
              <w:top w:val="single" w:color="auto" w:sz="4" w:space="0"/>
              <w:left w:val="single" w:color="auto" w:sz="4" w:space="0"/>
              <w:bottom w:val="single" w:color="auto" w:sz="4" w:space="0"/>
              <w:right w:val="single" w:color="auto" w:sz="4" w:space="0"/>
            </w:tcBorders>
            <w:noWrap/>
            <w:vAlign w:val="center"/>
          </w:tcPr>
          <w:p w14:paraId="6FD05509">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0EAE1257">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7E919A1D">
            <w:pPr>
              <w:rPr>
                <w:rFonts w:ascii="宋体"/>
                <w:sz w:val="24"/>
              </w:rPr>
            </w:pPr>
          </w:p>
        </w:tc>
      </w:tr>
      <w:tr w14:paraId="5737F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55E97ED0">
            <w:pPr>
              <w:jc w:val="center"/>
              <w:rPr>
                <w:rFonts w:ascii="宋体"/>
                <w:sz w:val="24"/>
              </w:rPr>
            </w:pPr>
            <w:r>
              <w:rPr>
                <w:rFonts w:hint="eastAsia" w:ascii="宋体"/>
                <w:sz w:val="24"/>
              </w:rPr>
              <w:t>4</w:t>
            </w:r>
          </w:p>
        </w:tc>
        <w:tc>
          <w:tcPr>
            <w:tcW w:w="1080" w:type="dxa"/>
            <w:tcBorders>
              <w:top w:val="single" w:color="auto" w:sz="4" w:space="0"/>
              <w:left w:val="single" w:color="auto" w:sz="4" w:space="0"/>
              <w:bottom w:val="single" w:color="auto" w:sz="4" w:space="0"/>
              <w:right w:val="single" w:color="auto" w:sz="4" w:space="0"/>
            </w:tcBorders>
            <w:noWrap/>
            <w:vAlign w:val="center"/>
          </w:tcPr>
          <w:p w14:paraId="6F8BE757">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3B67597B">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3789D30E">
            <w:pPr>
              <w:rPr>
                <w:rFonts w:ascii="宋体"/>
                <w:sz w:val="24"/>
              </w:rPr>
            </w:pPr>
          </w:p>
        </w:tc>
      </w:tr>
      <w:tr w14:paraId="04A68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0DE02831">
            <w:pPr>
              <w:jc w:val="center"/>
              <w:rPr>
                <w:rFonts w:ascii="宋体"/>
                <w:sz w:val="24"/>
              </w:rPr>
            </w:pPr>
            <w:r>
              <w:rPr>
                <w:rFonts w:hint="eastAsia" w:ascii="宋体"/>
                <w:sz w:val="24"/>
              </w:rPr>
              <w:t>5</w:t>
            </w:r>
          </w:p>
        </w:tc>
        <w:tc>
          <w:tcPr>
            <w:tcW w:w="1080" w:type="dxa"/>
            <w:tcBorders>
              <w:top w:val="single" w:color="auto" w:sz="4" w:space="0"/>
              <w:left w:val="single" w:color="auto" w:sz="4" w:space="0"/>
              <w:bottom w:val="single" w:color="auto" w:sz="4" w:space="0"/>
              <w:right w:val="single" w:color="auto" w:sz="4" w:space="0"/>
            </w:tcBorders>
            <w:noWrap/>
            <w:vAlign w:val="center"/>
          </w:tcPr>
          <w:p w14:paraId="5A96E79F">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5164BCFF">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60F808C8">
            <w:pPr>
              <w:rPr>
                <w:rFonts w:ascii="宋体"/>
                <w:sz w:val="24"/>
              </w:rPr>
            </w:pPr>
          </w:p>
        </w:tc>
      </w:tr>
      <w:tr w14:paraId="60B4C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5ADA3347">
            <w:pPr>
              <w:jc w:val="center"/>
              <w:rPr>
                <w:rFonts w:ascii="宋体"/>
                <w:sz w:val="24"/>
              </w:rPr>
            </w:pPr>
            <w:r>
              <w:rPr>
                <w:rFonts w:hint="eastAsia" w:ascii="宋体"/>
                <w:sz w:val="24"/>
              </w:rPr>
              <w:t>6</w:t>
            </w:r>
          </w:p>
        </w:tc>
        <w:tc>
          <w:tcPr>
            <w:tcW w:w="1080" w:type="dxa"/>
            <w:tcBorders>
              <w:top w:val="single" w:color="auto" w:sz="4" w:space="0"/>
              <w:left w:val="single" w:color="auto" w:sz="4" w:space="0"/>
              <w:bottom w:val="single" w:color="auto" w:sz="4" w:space="0"/>
              <w:right w:val="single" w:color="auto" w:sz="4" w:space="0"/>
            </w:tcBorders>
            <w:noWrap/>
            <w:vAlign w:val="center"/>
          </w:tcPr>
          <w:p w14:paraId="147560F8">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3661CB2A">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22A5FF34">
            <w:pPr>
              <w:rPr>
                <w:rFonts w:ascii="宋体"/>
                <w:sz w:val="24"/>
              </w:rPr>
            </w:pPr>
          </w:p>
        </w:tc>
      </w:tr>
      <w:tr w14:paraId="63D4F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0FD65122">
            <w:pPr>
              <w:jc w:val="center"/>
              <w:rPr>
                <w:rFonts w:ascii="宋体"/>
                <w:sz w:val="24"/>
              </w:rPr>
            </w:pPr>
            <w:r>
              <w:rPr>
                <w:rFonts w:hint="eastAsia" w:ascii="宋体"/>
                <w:sz w:val="24"/>
              </w:rPr>
              <w:t>7</w:t>
            </w:r>
          </w:p>
        </w:tc>
        <w:tc>
          <w:tcPr>
            <w:tcW w:w="1080" w:type="dxa"/>
            <w:tcBorders>
              <w:top w:val="single" w:color="auto" w:sz="4" w:space="0"/>
              <w:left w:val="single" w:color="auto" w:sz="4" w:space="0"/>
              <w:bottom w:val="single" w:color="auto" w:sz="4" w:space="0"/>
              <w:right w:val="single" w:color="auto" w:sz="4" w:space="0"/>
            </w:tcBorders>
            <w:noWrap/>
            <w:vAlign w:val="center"/>
          </w:tcPr>
          <w:p w14:paraId="4433BE41">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60A2E479">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2D9C7F6A">
            <w:pPr>
              <w:rPr>
                <w:rFonts w:ascii="宋体"/>
                <w:sz w:val="24"/>
              </w:rPr>
            </w:pPr>
          </w:p>
        </w:tc>
      </w:tr>
      <w:tr w14:paraId="29C33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23780556">
            <w:pPr>
              <w:jc w:val="center"/>
              <w:rPr>
                <w:rFonts w:ascii="宋体"/>
                <w:sz w:val="24"/>
              </w:rPr>
            </w:pPr>
            <w:r>
              <w:rPr>
                <w:rFonts w:hint="eastAsia" w:ascii="宋体"/>
                <w:sz w:val="24"/>
              </w:rPr>
              <w:t>8</w:t>
            </w:r>
          </w:p>
        </w:tc>
        <w:tc>
          <w:tcPr>
            <w:tcW w:w="1080" w:type="dxa"/>
            <w:tcBorders>
              <w:top w:val="single" w:color="auto" w:sz="4" w:space="0"/>
              <w:left w:val="single" w:color="auto" w:sz="4" w:space="0"/>
              <w:bottom w:val="single" w:color="auto" w:sz="4" w:space="0"/>
              <w:right w:val="single" w:color="auto" w:sz="4" w:space="0"/>
            </w:tcBorders>
            <w:noWrap/>
            <w:vAlign w:val="center"/>
          </w:tcPr>
          <w:p w14:paraId="7CB24945">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0B437DA6">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20E13BDA">
            <w:pPr>
              <w:rPr>
                <w:rFonts w:ascii="宋体"/>
                <w:sz w:val="24"/>
              </w:rPr>
            </w:pPr>
          </w:p>
        </w:tc>
      </w:tr>
      <w:tr w14:paraId="3F729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5F1564E0">
            <w:pPr>
              <w:jc w:val="center"/>
              <w:rPr>
                <w:rFonts w:ascii="宋体"/>
                <w:sz w:val="24"/>
              </w:rPr>
            </w:pPr>
            <w:r>
              <w:rPr>
                <w:rFonts w:hint="eastAsia" w:ascii="宋体"/>
                <w:sz w:val="24"/>
              </w:rPr>
              <w:t>9</w:t>
            </w:r>
          </w:p>
        </w:tc>
        <w:tc>
          <w:tcPr>
            <w:tcW w:w="1080" w:type="dxa"/>
            <w:tcBorders>
              <w:top w:val="single" w:color="auto" w:sz="4" w:space="0"/>
              <w:left w:val="single" w:color="auto" w:sz="4" w:space="0"/>
              <w:bottom w:val="single" w:color="auto" w:sz="4" w:space="0"/>
              <w:right w:val="single" w:color="auto" w:sz="4" w:space="0"/>
            </w:tcBorders>
            <w:noWrap/>
            <w:vAlign w:val="center"/>
          </w:tcPr>
          <w:p w14:paraId="632AC89C">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5B4E4DA1">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6A7CA5F1">
            <w:pPr>
              <w:rPr>
                <w:rFonts w:ascii="宋体"/>
                <w:sz w:val="24"/>
              </w:rPr>
            </w:pPr>
          </w:p>
        </w:tc>
      </w:tr>
      <w:tr w14:paraId="6EFDB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47E3C317">
            <w:pPr>
              <w:jc w:val="center"/>
              <w:rPr>
                <w:rFonts w:ascii="宋体"/>
                <w:sz w:val="24"/>
              </w:rPr>
            </w:pPr>
            <w:r>
              <w:rPr>
                <w:rFonts w:hint="eastAsia" w:ascii="宋体"/>
                <w:sz w:val="24"/>
              </w:rPr>
              <w:t>10</w:t>
            </w:r>
          </w:p>
        </w:tc>
        <w:tc>
          <w:tcPr>
            <w:tcW w:w="1080" w:type="dxa"/>
            <w:tcBorders>
              <w:top w:val="single" w:color="auto" w:sz="4" w:space="0"/>
              <w:left w:val="single" w:color="auto" w:sz="4" w:space="0"/>
              <w:bottom w:val="single" w:color="auto" w:sz="4" w:space="0"/>
              <w:right w:val="single" w:color="auto" w:sz="4" w:space="0"/>
            </w:tcBorders>
            <w:noWrap/>
            <w:vAlign w:val="center"/>
          </w:tcPr>
          <w:p w14:paraId="4F1823F7">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40A506B7">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45802FCA">
            <w:pPr>
              <w:rPr>
                <w:rFonts w:ascii="宋体"/>
                <w:sz w:val="24"/>
              </w:rPr>
            </w:pPr>
          </w:p>
        </w:tc>
      </w:tr>
    </w:tbl>
    <w:p w14:paraId="6F74CF48">
      <w:pPr>
        <w:rPr>
          <w:rFonts w:ascii="宋体"/>
          <w:sz w:val="24"/>
        </w:rPr>
      </w:pPr>
    </w:p>
    <w:p w14:paraId="3EFD2311">
      <w:pPr>
        <w:rPr>
          <w:rFonts w:ascii="仿宋_GB2312" w:eastAsia="仿宋_GB2312"/>
          <w:sz w:val="24"/>
        </w:rPr>
      </w:pPr>
      <w:r>
        <w:rPr>
          <w:rFonts w:hint="eastAsia" w:ascii="仿宋_GB2312" w:eastAsia="仿宋_GB2312"/>
          <w:sz w:val="24"/>
        </w:rPr>
        <w:t>投标人名称（盖章）：              法定代表人或授权代表签字：</w:t>
      </w:r>
    </w:p>
    <w:p w14:paraId="24F4117F">
      <w:pPr>
        <w:rPr>
          <w:rFonts w:ascii="宋体"/>
          <w:sz w:val="24"/>
        </w:rPr>
      </w:pPr>
    </w:p>
    <w:p w14:paraId="3F82DCA6">
      <w:pPr>
        <w:rPr>
          <w:rFonts w:ascii="宋体"/>
          <w:sz w:val="24"/>
        </w:rPr>
      </w:pPr>
    </w:p>
    <w:p w14:paraId="2B37726B">
      <w:pPr>
        <w:rPr>
          <w:rFonts w:ascii="宋体"/>
          <w:sz w:val="24"/>
        </w:rPr>
      </w:pPr>
      <w:r>
        <w:rPr>
          <w:rFonts w:hint="eastAsia" w:ascii="宋体"/>
          <w:b/>
          <w:sz w:val="24"/>
        </w:rPr>
        <w:t>注：</w:t>
      </w:r>
      <w:r>
        <w:rPr>
          <w:rFonts w:hint="eastAsia" w:ascii="宋体"/>
          <w:sz w:val="24"/>
        </w:rPr>
        <w:t>为避免歧义，无偏离也应要提报该表，并注明“无”字。如无该表则即使在其它部分已反映，将也被视为“无偏离”。</w:t>
      </w:r>
    </w:p>
    <w:p w14:paraId="41B6EF0C">
      <w:pPr>
        <w:rPr>
          <w:rFonts w:ascii="宋体"/>
          <w:sz w:val="24"/>
        </w:rPr>
      </w:pPr>
    </w:p>
    <w:p w14:paraId="6C797499">
      <w:pPr>
        <w:pStyle w:val="11"/>
        <w:numPr>
          <w:ilvl w:val="0"/>
          <w:numId w:val="0"/>
        </w:numPr>
        <w:spacing w:line="360" w:lineRule="auto"/>
        <w:rPr>
          <w:sz w:val="22"/>
        </w:rPr>
      </w:pPr>
    </w:p>
    <w:p w14:paraId="4B457AED">
      <w:pPr>
        <w:rPr>
          <w:rFonts w:hint="eastAsia" w:eastAsia="黑体"/>
          <w:b/>
          <w:bCs/>
          <w:sz w:val="28"/>
        </w:rPr>
      </w:pPr>
    </w:p>
    <w:p w14:paraId="257D9F71">
      <w:pPr>
        <w:rPr>
          <w:rFonts w:eastAsia="黑体"/>
          <w:b/>
          <w:bCs/>
          <w:sz w:val="28"/>
        </w:rPr>
      </w:pPr>
      <w:r>
        <w:rPr>
          <w:rFonts w:hint="eastAsia" w:eastAsia="黑体"/>
          <w:b/>
          <w:bCs/>
          <w:sz w:val="28"/>
        </w:rPr>
        <w:t>格式7</w:t>
      </w:r>
    </w:p>
    <w:p w14:paraId="2CD48F98">
      <w:pPr>
        <w:rPr>
          <w:b/>
        </w:rPr>
      </w:pPr>
      <w:r>
        <w:rPr>
          <w:rFonts w:hint="eastAsia" w:ascii="宋体"/>
        </w:rPr>
        <w:t>项目名称：</w:t>
      </w:r>
    </w:p>
    <w:p w14:paraId="086462FE">
      <w:pPr>
        <w:rPr>
          <w:szCs w:val="21"/>
        </w:rPr>
      </w:pPr>
      <w:r>
        <w:rPr>
          <w:rFonts w:hint="eastAsia"/>
          <w:szCs w:val="21"/>
        </w:rPr>
        <w:t>日期：  年   月   日</w:t>
      </w:r>
    </w:p>
    <w:p w14:paraId="1FBB49DF">
      <w:pPr>
        <w:jc w:val="center"/>
        <w:rPr>
          <w:rFonts w:eastAsia="黑体"/>
          <w:b/>
          <w:bCs/>
          <w:sz w:val="28"/>
        </w:rPr>
      </w:pPr>
      <w:r>
        <w:rPr>
          <w:rFonts w:hint="eastAsia" w:eastAsia="黑体"/>
          <w:b/>
          <w:bCs/>
          <w:sz w:val="28"/>
        </w:rPr>
        <w:t>法人授权委托书</w:t>
      </w:r>
    </w:p>
    <w:p w14:paraId="5130F754">
      <w:pPr>
        <w:rPr>
          <w:rFonts w:ascii="宋体"/>
          <w:u w:val="single"/>
        </w:rPr>
      </w:pPr>
      <w:r>
        <w:rPr>
          <w:rFonts w:hint="eastAsia" w:ascii="宋体"/>
        </w:rPr>
        <w:t>致</w:t>
      </w:r>
      <w:r>
        <w:rPr>
          <w:rFonts w:hint="eastAsia" w:ascii="宋体"/>
          <w:u w:val="single"/>
        </w:rPr>
        <w:t>（招标人名称）                            ：</w:t>
      </w:r>
    </w:p>
    <w:p w14:paraId="26D05B4A">
      <w:pPr>
        <w:spacing w:line="360" w:lineRule="auto"/>
        <w:ind w:firstLine="420" w:firstLineChars="200"/>
        <w:rPr>
          <w:rFonts w:ascii="宋体"/>
          <w:kern w:val="0"/>
          <w:szCs w:val="21"/>
        </w:rPr>
      </w:pPr>
      <w:r>
        <w:rPr>
          <w:rFonts w:hint="eastAsia" w:ascii="宋体"/>
          <w:kern w:val="0"/>
          <w:szCs w:val="21"/>
        </w:rPr>
        <w:t>本授权委托书声明：我</w:t>
      </w:r>
      <w:r>
        <w:rPr>
          <w:rFonts w:hint="eastAsia" w:ascii="宋体"/>
          <w:kern w:val="0"/>
          <w:szCs w:val="21"/>
          <w:u w:val="single"/>
        </w:rPr>
        <w:t xml:space="preserve">（法人姓名）       </w:t>
      </w:r>
      <w:r>
        <w:rPr>
          <w:rFonts w:hint="eastAsia" w:ascii="宋体"/>
          <w:kern w:val="0"/>
          <w:szCs w:val="21"/>
        </w:rPr>
        <w:t>系</w:t>
      </w:r>
      <w:r>
        <w:rPr>
          <w:rFonts w:hint="eastAsia" w:ascii="宋体"/>
          <w:u w:val="single"/>
        </w:rPr>
        <w:t>（投标人名称）</w:t>
      </w:r>
      <w:r>
        <w:rPr>
          <w:rFonts w:hint="eastAsia" w:ascii="宋体"/>
          <w:kern w:val="0"/>
          <w:szCs w:val="21"/>
          <w:u w:val="single"/>
        </w:rPr>
        <w:t xml:space="preserve">                   </w:t>
      </w:r>
      <w:r>
        <w:rPr>
          <w:rFonts w:hint="eastAsia" w:ascii="宋体"/>
          <w:kern w:val="0"/>
          <w:szCs w:val="21"/>
        </w:rPr>
        <w:t>的法定代表人，现授权委托</w:t>
      </w:r>
      <w:r>
        <w:rPr>
          <w:rFonts w:hint="eastAsia" w:ascii="宋体"/>
          <w:u w:val="single"/>
        </w:rPr>
        <w:t>（投标人名称）</w:t>
      </w:r>
      <w:r>
        <w:rPr>
          <w:rFonts w:hint="eastAsia" w:ascii="宋体"/>
          <w:kern w:val="0"/>
          <w:szCs w:val="21"/>
          <w:u w:val="single"/>
        </w:rPr>
        <w:t xml:space="preserve">                    </w:t>
      </w:r>
      <w:r>
        <w:rPr>
          <w:rFonts w:hint="eastAsia" w:ascii="宋体"/>
          <w:kern w:val="0"/>
          <w:szCs w:val="21"/>
        </w:rPr>
        <w:t>的</w:t>
      </w:r>
      <w:r>
        <w:rPr>
          <w:rFonts w:hint="eastAsia" w:ascii="宋体"/>
          <w:kern w:val="0"/>
          <w:szCs w:val="21"/>
          <w:u w:val="single"/>
        </w:rPr>
        <w:t xml:space="preserve"> （授权委托代理人姓名）        </w:t>
      </w:r>
      <w:r>
        <w:rPr>
          <w:rFonts w:hint="eastAsia" w:ascii="宋体"/>
          <w:kern w:val="0"/>
          <w:szCs w:val="21"/>
        </w:rPr>
        <w:t>为我公司参加贵方组织的</w:t>
      </w:r>
      <w:r>
        <w:rPr>
          <w:rFonts w:hint="eastAsia" w:cs="宋体"/>
          <w:kern w:val="0"/>
          <w:szCs w:val="21"/>
          <w:u w:val="single"/>
        </w:rPr>
        <w:t xml:space="preserve"> XX项目 </w:t>
      </w:r>
      <w:r>
        <w:rPr>
          <w:rFonts w:hint="eastAsia" w:asci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3F5994A3">
      <w:pPr>
        <w:spacing w:line="360" w:lineRule="auto"/>
        <w:ind w:firstLine="420" w:firstLineChars="200"/>
        <w:rPr>
          <w:rFonts w:ascii="宋体"/>
          <w:kern w:val="0"/>
          <w:szCs w:val="21"/>
        </w:rPr>
      </w:pPr>
      <w:r>
        <w:rPr>
          <w:rFonts w:hint="eastAsia" w:ascii="宋体"/>
          <w:kern w:val="0"/>
          <w:szCs w:val="21"/>
        </w:rPr>
        <w:t>委托期限：</w:t>
      </w:r>
      <w:r>
        <w:rPr>
          <w:rFonts w:ascii="宋体"/>
          <w:kern w:val="0"/>
          <w:szCs w:val="21"/>
          <w:u w:val="single"/>
        </w:rPr>
        <w:t>20</w:t>
      </w:r>
      <w:r>
        <w:rPr>
          <w:rFonts w:hint="eastAsia" w:ascii="宋体"/>
          <w:kern w:val="0"/>
          <w:szCs w:val="21"/>
          <w:u w:val="single"/>
        </w:rPr>
        <w:t>XX</w:t>
      </w:r>
      <w:r>
        <w:rPr>
          <w:rFonts w:ascii="宋体"/>
          <w:kern w:val="0"/>
          <w:szCs w:val="21"/>
          <w:u w:val="single"/>
        </w:rPr>
        <w:t xml:space="preserve">  </w:t>
      </w:r>
      <w:r>
        <w:rPr>
          <w:rFonts w:hint="eastAsia" w:ascii="宋体"/>
          <w:kern w:val="0"/>
          <w:szCs w:val="21"/>
          <w:u w:val="single"/>
        </w:rPr>
        <w:t>年X</w:t>
      </w:r>
      <w:r>
        <w:rPr>
          <w:rFonts w:ascii="宋体"/>
          <w:kern w:val="0"/>
          <w:szCs w:val="21"/>
          <w:u w:val="single"/>
        </w:rPr>
        <w:t xml:space="preserve"> </w:t>
      </w:r>
      <w:r>
        <w:rPr>
          <w:rFonts w:hint="eastAsia" w:ascii="宋体"/>
          <w:kern w:val="0"/>
          <w:szCs w:val="21"/>
          <w:u w:val="single"/>
        </w:rPr>
        <w:t>月</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日至</w:t>
      </w:r>
      <w:r>
        <w:rPr>
          <w:rFonts w:ascii="宋体"/>
          <w:kern w:val="0"/>
          <w:szCs w:val="21"/>
          <w:u w:val="single"/>
        </w:rPr>
        <w:t xml:space="preserve"> 20</w:t>
      </w:r>
      <w:r>
        <w:rPr>
          <w:rFonts w:hint="eastAsia" w:ascii="宋体"/>
          <w:kern w:val="0"/>
          <w:szCs w:val="21"/>
          <w:u w:val="single"/>
        </w:rPr>
        <w:t>XX</w:t>
      </w:r>
      <w:r>
        <w:rPr>
          <w:rFonts w:ascii="宋体"/>
          <w:kern w:val="0"/>
          <w:szCs w:val="21"/>
          <w:u w:val="single"/>
        </w:rPr>
        <w:t xml:space="preserve">  </w:t>
      </w:r>
      <w:r>
        <w:rPr>
          <w:rFonts w:hint="eastAsia" w:ascii="宋体"/>
          <w:kern w:val="0"/>
          <w:szCs w:val="21"/>
          <w:u w:val="single"/>
        </w:rPr>
        <w:t>年</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月</w:t>
      </w:r>
      <w:r>
        <w:rPr>
          <w:rFonts w:ascii="宋体"/>
          <w:kern w:val="0"/>
          <w:szCs w:val="21"/>
          <w:u w:val="single"/>
        </w:rPr>
        <w:t xml:space="preserve"> </w:t>
      </w:r>
      <w:r>
        <w:rPr>
          <w:rFonts w:hint="eastAsia" w:ascii="宋体"/>
          <w:kern w:val="0"/>
          <w:szCs w:val="21"/>
          <w:u w:val="single"/>
        </w:rPr>
        <w:t>X</w:t>
      </w:r>
      <w:r>
        <w:rPr>
          <w:rFonts w:ascii="宋体"/>
          <w:kern w:val="0"/>
          <w:szCs w:val="21"/>
          <w:u w:val="single"/>
        </w:rPr>
        <w:t xml:space="preserve"> </w:t>
      </w:r>
      <w:r>
        <w:rPr>
          <w:rFonts w:hint="eastAsia" w:ascii="宋体"/>
          <w:kern w:val="0"/>
          <w:szCs w:val="21"/>
          <w:u w:val="single"/>
        </w:rPr>
        <w:t>日</w:t>
      </w:r>
    </w:p>
    <w:p w14:paraId="41F41F08">
      <w:pPr>
        <w:spacing w:line="360" w:lineRule="auto"/>
        <w:ind w:firstLine="420" w:firstLineChars="200"/>
        <w:rPr>
          <w:rFonts w:ascii="宋体"/>
          <w:kern w:val="0"/>
          <w:szCs w:val="21"/>
        </w:rPr>
      </w:pPr>
      <w:r>
        <w:rPr>
          <w:rFonts w:hint="eastAsia" w:ascii="宋体"/>
          <w:kern w:val="0"/>
          <w:szCs w:val="21"/>
        </w:rPr>
        <w:t>代理人无转委托权，特此委托。</w:t>
      </w:r>
    </w:p>
    <w:p w14:paraId="3CC08DA2">
      <w:pPr>
        <w:spacing w:line="360" w:lineRule="auto"/>
        <w:ind w:firstLine="420" w:firstLineChars="200"/>
        <w:rPr>
          <w:rFonts w:ascii="宋体"/>
          <w:kern w:val="0"/>
          <w:szCs w:val="21"/>
        </w:rPr>
      </w:pPr>
      <w:r>
        <w:rPr>
          <w:rFonts w:hint="eastAsia" w:ascii="宋体"/>
          <w:kern w:val="0"/>
          <w:szCs w:val="21"/>
        </w:rPr>
        <w:t>代理人姓名：</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性别：</w:t>
      </w:r>
      <w:r>
        <w:rPr>
          <w:rFonts w:ascii="宋体"/>
          <w:kern w:val="0"/>
          <w:szCs w:val="21"/>
        </w:rPr>
        <w:t xml:space="preserve"> </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年龄：</w:t>
      </w:r>
      <w:r>
        <w:rPr>
          <w:rFonts w:ascii="宋体"/>
          <w:kern w:val="0"/>
          <w:szCs w:val="21"/>
        </w:rPr>
        <w:t xml:space="preserve"> </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p>
    <w:p w14:paraId="08667DC3">
      <w:pPr>
        <w:spacing w:line="360" w:lineRule="auto"/>
        <w:ind w:firstLine="420" w:firstLineChars="200"/>
        <w:rPr>
          <w:rFonts w:ascii="宋体"/>
          <w:kern w:val="0"/>
          <w:szCs w:val="21"/>
        </w:rPr>
      </w:pPr>
      <w:r>
        <w:rPr>
          <w:rFonts w:hint="eastAsia" w:ascii="宋体"/>
          <w:kern w:val="0"/>
          <w:szCs w:val="21"/>
        </w:rPr>
        <w:t>身份证号码：</w:t>
      </w:r>
      <w:r>
        <w:rPr>
          <w:rFonts w:ascii="宋体"/>
          <w:kern w:val="0"/>
          <w:szCs w:val="21"/>
          <w:u w:val="single"/>
        </w:rPr>
        <w:t xml:space="preserve"> </w:t>
      </w:r>
      <w:r>
        <w:rPr>
          <w:rFonts w:hint="eastAsia" w:ascii="宋体"/>
          <w:kern w:val="0"/>
          <w:szCs w:val="21"/>
          <w:u w:val="single"/>
        </w:rPr>
        <w:t xml:space="preserve">                  </w:t>
      </w:r>
      <w:r>
        <w:rPr>
          <w:rFonts w:ascii="宋体"/>
          <w:kern w:val="0"/>
          <w:szCs w:val="21"/>
          <w:u w:val="single"/>
        </w:rPr>
        <w:t xml:space="preserve"> </w:t>
      </w:r>
      <w:r>
        <w:rPr>
          <w:rFonts w:ascii="宋体"/>
          <w:kern w:val="0"/>
          <w:szCs w:val="21"/>
        </w:rPr>
        <w:t xml:space="preserve">  </w:t>
      </w:r>
      <w:r>
        <w:rPr>
          <w:rFonts w:hint="eastAsia" w:ascii="宋体"/>
          <w:kern w:val="0"/>
          <w:szCs w:val="21"/>
        </w:rPr>
        <w:t>职务：</w:t>
      </w:r>
      <w:r>
        <w:rPr>
          <w:rFonts w:ascii="宋体"/>
          <w:kern w:val="0"/>
          <w:szCs w:val="21"/>
        </w:rPr>
        <w:t xml:space="preserve"> </w:t>
      </w:r>
      <w:r>
        <w:rPr>
          <w:rFonts w:hint="eastAsia" w:ascii="宋体"/>
          <w:kern w:val="0"/>
          <w:szCs w:val="21"/>
          <w:u w:val="single"/>
        </w:rPr>
        <w:t xml:space="preserve">       </w:t>
      </w:r>
      <w:r>
        <w:rPr>
          <w:rFonts w:ascii="宋体"/>
          <w:kern w:val="0"/>
          <w:szCs w:val="21"/>
        </w:rPr>
        <w:t xml:space="preserve">    </w:t>
      </w:r>
    </w:p>
    <w:p w14:paraId="03AE9A36">
      <w:pPr>
        <w:spacing w:line="360" w:lineRule="auto"/>
        <w:ind w:firstLine="420" w:firstLineChars="200"/>
        <w:rPr>
          <w:rFonts w:ascii="宋体"/>
          <w:kern w:val="0"/>
          <w:szCs w:val="21"/>
        </w:rPr>
      </w:pPr>
      <w:r>
        <w:rPr>
          <w:rFonts w:hint="eastAsia" w:ascii="宋体"/>
          <w:kern w:val="0"/>
          <w:szCs w:val="21"/>
        </w:rPr>
        <w:t>投标人名称：（盖单位公章）</w:t>
      </w:r>
    </w:p>
    <w:p w14:paraId="6DF31067">
      <w:pPr>
        <w:spacing w:line="360" w:lineRule="auto"/>
        <w:ind w:firstLine="420" w:firstLineChars="200"/>
        <w:rPr>
          <w:rFonts w:ascii="宋体"/>
          <w:kern w:val="0"/>
          <w:szCs w:val="21"/>
        </w:rPr>
      </w:pPr>
      <w:r>
        <w:rPr>
          <w:rFonts w:hint="eastAsia" w:ascii="宋体"/>
          <w:kern w:val="0"/>
          <w:szCs w:val="21"/>
        </w:rPr>
        <w:t>法定代表人：（签字）</w:t>
      </w:r>
    </w:p>
    <w:p w14:paraId="2C99792D">
      <w:pPr>
        <w:spacing w:line="360" w:lineRule="auto"/>
        <w:ind w:firstLine="420" w:firstLineChars="200"/>
        <w:rPr>
          <w:rFonts w:ascii="宋体"/>
          <w:kern w:val="0"/>
          <w:szCs w:val="21"/>
        </w:rPr>
      </w:pPr>
    </w:p>
    <w:p w14:paraId="6947454D">
      <w:pPr>
        <w:spacing w:line="360" w:lineRule="auto"/>
        <w:ind w:firstLine="420" w:firstLineChars="200"/>
        <w:rPr>
          <w:rFonts w:ascii="宋体"/>
          <w:kern w:val="0"/>
          <w:szCs w:val="21"/>
        </w:rPr>
      </w:pPr>
    </w:p>
    <w:p w14:paraId="0B11DDEF">
      <w:pPr>
        <w:adjustRightInd w:val="0"/>
        <w:spacing w:line="480" w:lineRule="exact"/>
        <w:jc w:val="left"/>
        <w:textAlignment w:val="baseline"/>
        <w:rPr>
          <w:rFonts w:ascii="宋体"/>
          <w:b/>
          <w:kern w:val="0"/>
          <w:szCs w:val="21"/>
        </w:rPr>
      </w:pPr>
      <w:r>
        <w:rPr>
          <w:rFonts w:hint="eastAsia" w:ascii="宋体"/>
          <w:b/>
          <w:kern w:val="0"/>
          <w:szCs w:val="21"/>
        </w:rPr>
        <w:t>附授权人与被授权人有效的身份证正反两面复印件</w:t>
      </w:r>
    </w:p>
    <w:p w14:paraId="0D103E19">
      <w:pPr>
        <w:spacing w:line="360" w:lineRule="auto"/>
        <w:rPr>
          <w:rFonts w:ascii="宋体"/>
          <w:kern w:val="0"/>
          <w:szCs w:val="21"/>
        </w:rPr>
      </w:pPr>
    </w:p>
    <w:p w14:paraId="51D60428">
      <w:pPr>
        <w:spacing w:line="360" w:lineRule="auto"/>
        <w:rPr>
          <w:rFonts w:ascii="宋体"/>
          <w:kern w:val="0"/>
          <w:szCs w:val="21"/>
        </w:rPr>
      </w:pPr>
    </w:p>
    <w:p w14:paraId="5B9718BD">
      <w:pPr>
        <w:spacing w:line="360" w:lineRule="auto"/>
        <w:rPr>
          <w:rFonts w:ascii="宋体"/>
          <w:kern w:val="0"/>
          <w:szCs w:val="21"/>
        </w:rPr>
      </w:pPr>
    </w:p>
    <w:p w14:paraId="753969C0">
      <w:pPr>
        <w:spacing w:line="360" w:lineRule="auto"/>
        <w:rPr>
          <w:rFonts w:ascii="宋体"/>
          <w:kern w:val="0"/>
          <w:szCs w:val="21"/>
        </w:rPr>
      </w:pPr>
    </w:p>
    <w:p w14:paraId="5CF4CA26">
      <w:pPr>
        <w:spacing w:line="360" w:lineRule="auto"/>
        <w:rPr>
          <w:rFonts w:ascii="宋体"/>
          <w:kern w:val="0"/>
          <w:szCs w:val="21"/>
        </w:rPr>
      </w:pPr>
    </w:p>
    <w:p w14:paraId="0F9EA970">
      <w:pPr>
        <w:spacing w:line="360" w:lineRule="auto"/>
        <w:rPr>
          <w:rFonts w:ascii="宋体"/>
          <w:kern w:val="0"/>
          <w:szCs w:val="21"/>
        </w:rPr>
      </w:pPr>
    </w:p>
    <w:p w14:paraId="2420121D">
      <w:pPr>
        <w:spacing w:line="360" w:lineRule="auto"/>
        <w:rPr>
          <w:rFonts w:ascii="宋体"/>
          <w:kern w:val="0"/>
          <w:szCs w:val="21"/>
        </w:rPr>
      </w:pPr>
    </w:p>
    <w:p w14:paraId="396B5597">
      <w:pPr>
        <w:spacing w:line="360" w:lineRule="auto"/>
        <w:rPr>
          <w:rFonts w:ascii="宋体"/>
          <w:kern w:val="0"/>
          <w:szCs w:val="21"/>
        </w:rPr>
      </w:pPr>
    </w:p>
    <w:p w14:paraId="1CB119BC">
      <w:pPr>
        <w:spacing w:line="360" w:lineRule="auto"/>
        <w:rPr>
          <w:rFonts w:ascii="宋体"/>
          <w:kern w:val="0"/>
          <w:szCs w:val="21"/>
        </w:rPr>
      </w:pPr>
    </w:p>
    <w:p w14:paraId="4CB31C6B">
      <w:pPr>
        <w:spacing w:line="360" w:lineRule="auto"/>
        <w:rPr>
          <w:rFonts w:ascii="宋体"/>
          <w:kern w:val="0"/>
          <w:szCs w:val="21"/>
        </w:rPr>
      </w:pPr>
    </w:p>
    <w:p w14:paraId="10BF3FE4">
      <w:pPr>
        <w:rPr>
          <w:rFonts w:eastAsia="黑体"/>
          <w:b/>
          <w:bCs/>
          <w:sz w:val="28"/>
        </w:rPr>
      </w:pPr>
      <w:r>
        <w:rPr>
          <w:rFonts w:hint="eastAsia" w:eastAsia="黑体"/>
          <w:b/>
          <w:bCs/>
          <w:sz w:val="28"/>
        </w:rPr>
        <w:t>格式8</w:t>
      </w:r>
    </w:p>
    <w:p w14:paraId="13F6B397">
      <w:pPr>
        <w:rPr>
          <w:rFonts w:hint="eastAsia" w:ascii="宋体" w:hAnsi="宋体"/>
        </w:rPr>
      </w:pPr>
      <w:r>
        <w:rPr>
          <w:rFonts w:hint="eastAsia" w:ascii="宋体" w:hAnsi="宋体"/>
        </w:rPr>
        <w:t>项目名称：</w:t>
      </w:r>
    </w:p>
    <w:p w14:paraId="58D86C0A">
      <w:pPr>
        <w:pStyle w:val="11"/>
        <w:spacing w:line="360" w:lineRule="auto"/>
        <w:ind w:left="885" w:leftChars="-6" w:hanging="898" w:hangingChars="428"/>
        <w:rPr>
          <w:rFonts w:hint="eastAsia" w:hAnsi="宋体"/>
          <w:szCs w:val="21"/>
        </w:rPr>
      </w:pPr>
      <w:r>
        <w:rPr>
          <w:rFonts w:hint="eastAsia" w:hAnsi="宋体"/>
          <w:szCs w:val="21"/>
        </w:rPr>
        <w:t>日期：  年   月   日</w:t>
      </w:r>
    </w:p>
    <w:p w14:paraId="30FE2F85">
      <w:pPr>
        <w:jc w:val="center"/>
        <w:rPr>
          <w:rFonts w:eastAsia="黑体"/>
          <w:b/>
          <w:bCs/>
          <w:sz w:val="28"/>
        </w:rPr>
      </w:pPr>
      <w:r>
        <w:rPr>
          <w:rFonts w:hint="eastAsia" w:eastAsia="黑体"/>
          <w:b/>
          <w:bCs/>
          <w:sz w:val="28"/>
        </w:rPr>
        <w:t>投标保证金退付表</w:t>
      </w:r>
    </w:p>
    <w:tbl>
      <w:tblPr>
        <w:tblStyle w:val="2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3FB0A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EA01A62">
            <w:pPr>
              <w:pStyle w:val="11"/>
              <w:spacing w:line="360" w:lineRule="auto"/>
            </w:pPr>
            <w:r>
              <w:rPr>
                <w:rFonts w:hint="eastAsia"/>
              </w:rPr>
              <w:t>投标人单位名称：</w:t>
            </w:r>
          </w:p>
        </w:tc>
      </w:tr>
      <w:tr w14:paraId="045FB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E46D895">
            <w:pPr>
              <w:pStyle w:val="11"/>
              <w:spacing w:line="360" w:lineRule="auto"/>
            </w:pPr>
            <w:r>
              <w:rPr>
                <w:rFonts w:hint="eastAsia"/>
              </w:rPr>
              <w:t>开户银行：</w:t>
            </w:r>
          </w:p>
        </w:tc>
      </w:tr>
      <w:tr w14:paraId="13B52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C84A7C4">
            <w:pPr>
              <w:pStyle w:val="11"/>
              <w:spacing w:line="360" w:lineRule="auto"/>
            </w:pPr>
            <w:r>
              <w:rPr>
                <w:rFonts w:hint="eastAsia"/>
              </w:rPr>
              <w:t>开户银行行号：</w:t>
            </w:r>
          </w:p>
        </w:tc>
      </w:tr>
      <w:tr w14:paraId="68428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4F7EA5B1">
            <w:pPr>
              <w:pStyle w:val="11"/>
              <w:spacing w:line="360" w:lineRule="auto"/>
            </w:pPr>
            <w:r>
              <w:rPr>
                <w:rFonts w:hint="eastAsia"/>
              </w:rPr>
              <w:t>户名：</w:t>
            </w:r>
          </w:p>
        </w:tc>
      </w:tr>
      <w:tr w14:paraId="4D315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1F12141">
            <w:pPr>
              <w:pStyle w:val="11"/>
              <w:spacing w:line="360" w:lineRule="auto"/>
            </w:pPr>
            <w:r>
              <w:rPr>
                <w:rFonts w:hint="eastAsia"/>
              </w:rPr>
              <w:t>账号：</w:t>
            </w:r>
          </w:p>
        </w:tc>
      </w:tr>
      <w:tr w14:paraId="755C8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01319B7">
            <w:pPr>
              <w:pStyle w:val="11"/>
              <w:spacing w:line="360" w:lineRule="auto"/>
            </w:pPr>
            <w:r>
              <w:rPr>
                <w:rFonts w:hint="eastAsia"/>
              </w:rPr>
              <w:t>纳税人识别号：</w:t>
            </w:r>
          </w:p>
        </w:tc>
      </w:tr>
    </w:tbl>
    <w:p w14:paraId="01445B4B">
      <w:pPr>
        <w:pStyle w:val="11"/>
        <w:spacing w:line="360" w:lineRule="auto"/>
        <w:ind w:firstLine="240" w:firstLineChars="100"/>
        <w:rPr>
          <w:rFonts w:hint="eastAsia" w:ascii="仿宋_GB2312" w:hAnsi="宋体" w:eastAsia="仿宋_GB2312"/>
          <w:sz w:val="24"/>
        </w:rPr>
      </w:pPr>
    </w:p>
    <w:p w14:paraId="0F368D34">
      <w:pPr>
        <w:pStyle w:val="11"/>
        <w:spacing w:line="360" w:lineRule="auto"/>
        <w:ind w:firstLine="240" w:firstLineChars="100"/>
        <w:rPr>
          <w:rFonts w:hint="eastAsia" w:hAnsi="宋体"/>
          <w:b/>
          <w:sz w:val="24"/>
          <w:szCs w:val="24"/>
        </w:rPr>
      </w:pPr>
      <w:r>
        <w:rPr>
          <w:rFonts w:hint="eastAsia" w:ascii="仿宋_GB2312" w:hAnsi="宋体" w:eastAsia="仿宋_GB2312"/>
          <w:sz w:val="24"/>
        </w:rPr>
        <w:t>投标人名称（盖章）：              法定代表人或授权代表签字：</w:t>
      </w:r>
    </w:p>
    <w:p w14:paraId="097D15E2">
      <w:pPr>
        <w:spacing w:line="360" w:lineRule="auto"/>
        <w:rPr>
          <w:rFonts w:ascii="宋体"/>
          <w:kern w:val="0"/>
          <w:szCs w:val="21"/>
        </w:rPr>
      </w:pPr>
    </w:p>
    <w:p w14:paraId="1F975719">
      <w:pPr>
        <w:spacing w:line="360" w:lineRule="auto"/>
        <w:rPr>
          <w:rFonts w:ascii="宋体"/>
          <w:kern w:val="0"/>
          <w:szCs w:val="21"/>
        </w:rPr>
      </w:pPr>
    </w:p>
    <w:p w14:paraId="291E5E3E">
      <w:pPr>
        <w:spacing w:line="360" w:lineRule="auto"/>
        <w:rPr>
          <w:rFonts w:ascii="宋体"/>
          <w:kern w:val="0"/>
          <w:szCs w:val="21"/>
        </w:rPr>
      </w:pPr>
    </w:p>
    <w:p w14:paraId="68A478C2">
      <w:pPr>
        <w:spacing w:line="360" w:lineRule="auto"/>
        <w:rPr>
          <w:rFonts w:ascii="宋体"/>
          <w:kern w:val="0"/>
          <w:szCs w:val="21"/>
        </w:rPr>
      </w:pPr>
    </w:p>
    <w:p w14:paraId="2C9E0656">
      <w:pPr>
        <w:spacing w:line="360" w:lineRule="auto"/>
        <w:rPr>
          <w:rFonts w:ascii="宋体"/>
          <w:kern w:val="0"/>
          <w:szCs w:val="21"/>
        </w:rPr>
      </w:pPr>
    </w:p>
    <w:p w14:paraId="7F054A8B">
      <w:pPr>
        <w:spacing w:line="360" w:lineRule="auto"/>
        <w:rPr>
          <w:rFonts w:ascii="宋体"/>
          <w:kern w:val="0"/>
          <w:szCs w:val="21"/>
        </w:rPr>
      </w:pPr>
    </w:p>
    <w:p w14:paraId="156D1AED">
      <w:pPr>
        <w:spacing w:line="360" w:lineRule="auto"/>
        <w:rPr>
          <w:rFonts w:ascii="宋体"/>
          <w:kern w:val="0"/>
          <w:szCs w:val="21"/>
        </w:rPr>
      </w:pPr>
    </w:p>
    <w:p w14:paraId="34DEBA38">
      <w:pPr>
        <w:spacing w:line="360" w:lineRule="auto"/>
        <w:rPr>
          <w:rFonts w:ascii="宋体"/>
          <w:kern w:val="0"/>
          <w:szCs w:val="21"/>
        </w:rPr>
      </w:pPr>
    </w:p>
    <w:p w14:paraId="546713E4">
      <w:pPr>
        <w:spacing w:line="360" w:lineRule="auto"/>
        <w:rPr>
          <w:rFonts w:ascii="宋体"/>
          <w:kern w:val="0"/>
          <w:szCs w:val="21"/>
        </w:rPr>
      </w:pPr>
    </w:p>
    <w:p w14:paraId="6A50CECE">
      <w:pPr>
        <w:spacing w:line="360" w:lineRule="auto"/>
        <w:rPr>
          <w:rFonts w:ascii="宋体"/>
          <w:kern w:val="0"/>
          <w:szCs w:val="21"/>
        </w:rPr>
      </w:pPr>
    </w:p>
    <w:p w14:paraId="2D9BA291">
      <w:pPr>
        <w:spacing w:line="360" w:lineRule="auto"/>
        <w:rPr>
          <w:rFonts w:ascii="宋体"/>
          <w:kern w:val="0"/>
          <w:szCs w:val="21"/>
        </w:rPr>
      </w:pPr>
    </w:p>
    <w:p w14:paraId="50BB94F4">
      <w:pPr>
        <w:spacing w:line="360" w:lineRule="auto"/>
        <w:rPr>
          <w:rFonts w:ascii="宋体"/>
          <w:kern w:val="0"/>
          <w:szCs w:val="21"/>
        </w:rPr>
      </w:pPr>
    </w:p>
    <w:p w14:paraId="0359EAFB">
      <w:pPr>
        <w:spacing w:line="360" w:lineRule="auto"/>
        <w:rPr>
          <w:rFonts w:ascii="宋体"/>
          <w:kern w:val="0"/>
          <w:szCs w:val="21"/>
        </w:rPr>
      </w:pPr>
    </w:p>
    <w:p w14:paraId="286ACBAF">
      <w:pPr>
        <w:spacing w:line="360" w:lineRule="auto"/>
        <w:rPr>
          <w:rFonts w:ascii="宋体"/>
          <w:kern w:val="0"/>
          <w:szCs w:val="21"/>
        </w:rPr>
      </w:pPr>
    </w:p>
    <w:p w14:paraId="0E92FF61">
      <w:pPr>
        <w:adjustRightInd w:val="0"/>
        <w:snapToGrid w:val="0"/>
        <w:spacing w:line="360" w:lineRule="auto"/>
        <w:jc w:val="both"/>
        <w:rPr>
          <w:rFonts w:ascii="宋体" w:hAnsi="宋体"/>
          <w:b/>
          <w:sz w:val="28"/>
          <w:szCs w:val="28"/>
        </w:rPr>
      </w:pPr>
      <w:bookmarkStart w:id="15" w:name="_Hlk184992650"/>
      <w:bookmarkStart w:id="16" w:name="_Hlk158216588"/>
    </w:p>
    <w:p w14:paraId="372202E9">
      <w:pPr>
        <w:pStyle w:val="11"/>
        <w:keepNext w:val="0"/>
        <w:keepLines w:val="0"/>
        <w:pageBreakBefore w:val="0"/>
        <w:widowControl w:val="0"/>
        <w:kinsoku/>
        <w:wordWrap/>
        <w:overflowPunct/>
        <w:topLinePunct w:val="0"/>
        <w:autoSpaceDE/>
        <w:autoSpaceDN/>
        <w:bidi w:val="0"/>
        <w:spacing w:line="500" w:lineRule="exact"/>
        <w:jc w:val="center"/>
        <w:textAlignment w:val="auto"/>
        <w:outlineLvl w:val="1"/>
        <w:rPr>
          <w:rFonts w:ascii="Times New Roman" w:hAnsi="Times New Roman" w:eastAsia="黑体" w:cs="Times New Roman"/>
          <w:b/>
          <w:bCs/>
          <w:sz w:val="36"/>
          <w:highlight w:val="none"/>
        </w:rPr>
      </w:pPr>
      <w:r>
        <w:rPr>
          <w:rFonts w:hint="eastAsia" w:ascii="Times New Roman" w:hAnsi="Times New Roman" w:eastAsia="黑体" w:cs="Times New Roman"/>
          <w:b/>
          <w:bCs/>
          <w:sz w:val="36"/>
          <w:highlight w:val="none"/>
        </w:rPr>
        <w:t>SRM非生产供应商注册操作手册</w:t>
      </w:r>
    </w:p>
    <w:p w14:paraId="63DC5BB0">
      <w:pPr>
        <w:pStyle w:val="11"/>
        <w:keepNext w:val="0"/>
        <w:keepLines w:val="0"/>
        <w:pageBreakBefore w:val="0"/>
        <w:widowControl w:val="0"/>
        <w:kinsoku/>
        <w:wordWrap/>
        <w:overflowPunct/>
        <w:topLinePunct w:val="0"/>
        <w:autoSpaceDE/>
        <w:autoSpaceDN/>
        <w:bidi w:val="0"/>
        <w:spacing w:line="500" w:lineRule="exact"/>
        <w:jc w:val="center"/>
        <w:textAlignment w:val="auto"/>
        <w:rPr>
          <w:highlight w:val="none"/>
        </w:rPr>
      </w:pPr>
    </w:p>
    <w:p w14:paraId="4FD800ED">
      <w:pPr>
        <w:keepNext w:val="0"/>
        <w:keepLines w:val="0"/>
        <w:pageBreakBefore w:val="0"/>
        <w:widowControl w:val="0"/>
        <w:kinsoku/>
        <w:wordWrap/>
        <w:overflowPunct/>
        <w:topLinePunct w:val="0"/>
        <w:autoSpaceDE/>
        <w:autoSpaceDN/>
        <w:bidi w:val="0"/>
        <w:adjustRightInd w:val="0"/>
        <w:snapToGrid w:val="0"/>
        <w:spacing w:line="500" w:lineRule="exact"/>
        <w:jc w:val="left"/>
        <w:textAlignment w:val="auto"/>
        <w:rPr>
          <w:rFonts w:ascii="宋体" w:hAnsi="宋体" w:cs="宋体"/>
          <w:sz w:val="24"/>
          <w:szCs w:val="24"/>
          <w:highlight w:val="none"/>
        </w:rPr>
      </w:pPr>
      <w:r>
        <w:rPr>
          <w:rFonts w:ascii="宋体" w:hAnsi="宋体" w:cs="宋体"/>
          <w:sz w:val="24"/>
          <w:szCs w:val="24"/>
          <w:highlight w:val="none"/>
        </w:rPr>
        <w:t>浏览器中输入地址;</w:t>
      </w:r>
    </w:p>
    <w:p w14:paraId="1D06A4E6">
      <w:pPr>
        <w:keepNext w:val="0"/>
        <w:keepLines w:val="0"/>
        <w:pageBreakBefore w:val="0"/>
        <w:widowControl w:val="0"/>
        <w:kinsoku/>
        <w:wordWrap/>
        <w:overflowPunct/>
        <w:topLinePunct w:val="0"/>
        <w:autoSpaceDE/>
        <w:autoSpaceDN/>
        <w:bidi w:val="0"/>
        <w:adjustRightInd w:val="0"/>
        <w:snapToGrid w:val="0"/>
        <w:spacing w:line="500" w:lineRule="exact"/>
        <w:jc w:val="left"/>
        <w:textAlignment w:val="auto"/>
        <w:rPr>
          <w:rFonts w:ascii="宋体" w:hAnsi="宋体" w:cs="宋体"/>
          <w:sz w:val="24"/>
          <w:szCs w:val="24"/>
          <w:highlight w:val="none"/>
        </w:rPr>
      </w:pPr>
      <w:r>
        <w:rPr>
          <w:highlight w:val="none"/>
        </w:rPr>
        <w:fldChar w:fldCharType="begin"/>
      </w:r>
      <w:r>
        <w:rPr>
          <w:highlight w:val="none"/>
        </w:rPr>
        <w:instrText xml:space="preserve"> HYPERLINK "http://ecaitong.sinotruk.com:8012/#/login" \t "dlt" </w:instrText>
      </w:r>
      <w:r>
        <w:rPr>
          <w:highlight w:val="none"/>
        </w:rPr>
        <w:fldChar w:fldCharType="separate"/>
      </w:r>
      <w:r>
        <w:rPr>
          <w:rFonts w:ascii="宋体" w:hAnsi="宋体" w:cs="宋体"/>
          <w:sz w:val="24"/>
          <w:szCs w:val="24"/>
          <w:highlight w:val="none"/>
        </w:rPr>
        <w:t>http</w:t>
      </w:r>
      <w:r>
        <w:rPr>
          <w:rFonts w:hint="eastAsia" w:ascii="宋体" w:hAnsi="宋体" w:cs="宋体"/>
          <w:sz w:val="24"/>
          <w:szCs w:val="24"/>
          <w:highlight w:val="none"/>
        </w:rPr>
        <w:t>s</w:t>
      </w:r>
      <w:r>
        <w:rPr>
          <w:rFonts w:ascii="宋体" w:hAnsi="宋体" w:cs="宋体"/>
          <w:sz w:val="24"/>
          <w:szCs w:val="24"/>
          <w:highlight w:val="none"/>
        </w:rPr>
        <w:t>://ecaitong.sinotruk.com:8012/#/login</w:t>
      </w:r>
      <w:r>
        <w:rPr>
          <w:rFonts w:ascii="宋体" w:hAnsi="宋体" w:cs="宋体"/>
          <w:sz w:val="24"/>
          <w:szCs w:val="24"/>
          <w:highlight w:val="none"/>
        </w:rPr>
        <w:fldChar w:fldCharType="end"/>
      </w:r>
    </w:p>
    <w:p w14:paraId="3C459B1C">
      <w:pPr>
        <w:adjustRightInd w:val="0"/>
        <w:snapToGrid w:val="0"/>
        <w:spacing w:line="360" w:lineRule="auto"/>
        <w:jc w:val="left"/>
        <w:outlineLvl w:val="1"/>
        <w:rPr>
          <w:rFonts w:ascii="宋体" w:hAnsi="宋体" w:cs="宋体"/>
          <w:sz w:val="24"/>
          <w:szCs w:val="24"/>
          <w:highlight w:val="none"/>
        </w:rPr>
      </w:pPr>
      <w:r>
        <w:rPr>
          <w:rFonts w:ascii="宋体" w:hAnsi="宋体" w:cs="宋体"/>
          <w:sz w:val="24"/>
          <w:szCs w:val="24"/>
          <w:highlight w:val="none"/>
        </w:rPr>
        <w:t>1.点击立即注册</w:t>
      </w:r>
    </w:p>
    <w:p w14:paraId="5BF0276E">
      <w:pPr>
        <w:snapToGrid w:val="0"/>
        <w:spacing w:line="312" w:lineRule="auto"/>
        <w:rPr>
          <w:highlight w:val="none"/>
        </w:rPr>
      </w:pPr>
      <w:r>
        <w:rPr>
          <w:highlight w:val="none"/>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8"/>
                    <a:stretch>
                      <a:fillRect/>
                    </a:stretch>
                  </pic:blipFill>
                  <pic:spPr>
                    <a:xfrm>
                      <a:off x="0" y="0"/>
                      <a:ext cx="5760085" cy="2933377"/>
                    </a:xfrm>
                    <a:prstGeom prst="rect">
                      <a:avLst/>
                    </a:prstGeom>
                  </pic:spPr>
                </pic:pic>
              </a:graphicData>
            </a:graphic>
          </wp:inline>
        </w:drawing>
      </w:r>
    </w:p>
    <w:p w14:paraId="18A6DB35">
      <w:pPr>
        <w:spacing w:line="360" w:lineRule="auto"/>
        <w:outlineLvl w:val="1"/>
        <w:rPr>
          <w:rFonts w:ascii="宋体" w:hAnsi="宋体" w:cs="宋体"/>
          <w:sz w:val="24"/>
          <w:szCs w:val="28"/>
          <w:highlight w:val="none"/>
        </w:rPr>
      </w:pPr>
      <w:r>
        <w:rPr>
          <w:rFonts w:hint="eastAsia" w:ascii="宋体" w:hAnsi="宋体" w:cs="宋体"/>
          <w:color w:val="000000"/>
          <w:sz w:val="24"/>
          <w:szCs w:val="28"/>
          <w:highlight w:val="none"/>
        </w:rPr>
        <w:t>2.</w:t>
      </w:r>
      <w:r>
        <w:rPr>
          <w:rFonts w:ascii="宋体" w:hAnsi="宋体" w:cs="宋体"/>
          <w:color w:val="000000"/>
          <w:sz w:val="24"/>
          <w:szCs w:val="28"/>
          <w:highlight w:val="none"/>
        </w:rPr>
        <w:t>填写手机号码（没有注册过的）</w:t>
      </w:r>
    </w:p>
    <w:p w14:paraId="418B25C8">
      <w:pPr>
        <w:snapToGrid w:val="0"/>
        <w:spacing w:line="312" w:lineRule="auto"/>
        <w:rPr>
          <w:highlight w:val="none"/>
        </w:rPr>
      </w:pPr>
      <w:r>
        <w:rPr>
          <w:highlight w:val="none"/>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9"/>
                    <a:stretch>
                      <a:fillRect/>
                    </a:stretch>
                  </pic:blipFill>
                  <pic:spPr>
                    <a:xfrm>
                      <a:off x="0" y="0"/>
                      <a:ext cx="5760085" cy="2766707"/>
                    </a:xfrm>
                    <a:prstGeom prst="rect">
                      <a:avLst/>
                    </a:prstGeom>
                  </pic:spPr>
                </pic:pic>
              </a:graphicData>
            </a:graphic>
          </wp:inline>
        </w:drawing>
      </w:r>
    </w:p>
    <w:p w14:paraId="5EB0E82E">
      <w:pPr>
        <w:spacing w:line="360" w:lineRule="auto"/>
        <w:outlineLvl w:val="1"/>
        <w:rPr>
          <w:rFonts w:ascii="宋体" w:hAnsi="宋体" w:cs="宋体"/>
          <w:sz w:val="24"/>
          <w:szCs w:val="28"/>
          <w:highlight w:val="none"/>
        </w:rPr>
      </w:pPr>
      <w:r>
        <w:rPr>
          <w:rFonts w:hint="eastAsia" w:ascii="宋体" w:hAnsi="宋体" w:cs="宋体"/>
          <w:color w:val="000000"/>
          <w:sz w:val="24"/>
          <w:szCs w:val="28"/>
          <w:highlight w:val="none"/>
        </w:rPr>
        <w:t>3.</w:t>
      </w:r>
      <w:r>
        <w:rPr>
          <w:rFonts w:ascii="宋体" w:hAnsi="宋体" w:cs="宋体"/>
          <w:color w:val="000000"/>
          <w:sz w:val="24"/>
          <w:szCs w:val="28"/>
          <w:highlight w:val="none"/>
        </w:rPr>
        <w:t>注册成功登录这个手机号码的账号进入系统，点击供应商注册</w:t>
      </w:r>
    </w:p>
    <w:p w14:paraId="326C4DA8">
      <w:pPr>
        <w:snapToGrid w:val="0"/>
        <w:spacing w:line="312" w:lineRule="auto"/>
        <w:rPr>
          <w:highlight w:val="none"/>
        </w:rPr>
      </w:pPr>
      <w:r>
        <w:rPr>
          <w:highlight w:val="none"/>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20"/>
                    <a:stretch>
                      <a:fillRect/>
                    </a:stretch>
                  </pic:blipFill>
                  <pic:spPr>
                    <a:xfrm>
                      <a:off x="0" y="0"/>
                      <a:ext cx="5760085" cy="2870054"/>
                    </a:xfrm>
                    <a:prstGeom prst="rect">
                      <a:avLst/>
                    </a:prstGeom>
                  </pic:spPr>
                </pic:pic>
              </a:graphicData>
            </a:graphic>
          </wp:inline>
        </w:drawing>
      </w:r>
    </w:p>
    <w:p w14:paraId="5F111323">
      <w:pPr>
        <w:spacing w:line="360" w:lineRule="auto"/>
        <w:outlineLvl w:val="1"/>
        <w:rPr>
          <w:rFonts w:ascii="宋体" w:hAnsi="宋体" w:cs="宋体"/>
          <w:sz w:val="24"/>
          <w:szCs w:val="28"/>
          <w:highlight w:val="none"/>
        </w:rPr>
      </w:pPr>
      <w:r>
        <w:rPr>
          <w:rFonts w:hint="eastAsia" w:ascii="宋体" w:hAnsi="宋体" w:cs="宋体"/>
          <w:color w:val="000000"/>
          <w:sz w:val="24"/>
          <w:szCs w:val="28"/>
          <w:highlight w:val="none"/>
        </w:rPr>
        <w:t>4.</w:t>
      </w:r>
      <w:r>
        <w:rPr>
          <w:rFonts w:ascii="宋体" w:hAnsi="宋体" w:cs="宋体"/>
          <w:color w:val="000000"/>
          <w:sz w:val="24"/>
          <w:szCs w:val="28"/>
          <w:highlight w:val="none"/>
        </w:rPr>
        <w:t>点击新增</w:t>
      </w:r>
    </w:p>
    <w:p w14:paraId="7B5C9EB8">
      <w:pPr>
        <w:snapToGrid w:val="0"/>
        <w:spacing w:line="312" w:lineRule="auto"/>
        <w:rPr>
          <w:highlight w:val="none"/>
        </w:rPr>
      </w:pPr>
      <w:r>
        <w:rPr>
          <w:highlight w:val="none"/>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21"/>
                    <a:stretch>
                      <a:fillRect/>
                    </a:stretch>
                  </pic:blipFill>
                  <pic:spPr>
                    <a:xfrm>
                      <a:off x="0" y="0"/>
                      <a:ext cx="5760085" cy="2853375"/>
                    </a:xfrm>
                    <a:prstGeom prst="rect">
                      <a:avLst/>
                    </a:prstGeom>
                  </pic:spPr>
                </pic:pic>
              </a:graphicData>
            </a:graphic>
          </wp:inline>
        </w:drawing>
      </w:r>
    </w:p>
    <w:p w14:paraId="380152E5">
      <w:pPr>
        <w:spacing w:line="360" w:lineRule="auto"/>
        <w:outlineLvl w:val="1"/>
        <w:rPr>
          <w:rFonts w:ascii="宋体" w:hAnsi="宋体" w:cs="宋体"/>
          <w:sz w:val="24"/>
          <w:szCs w:val="28"/>
          <w:highlight w:val="none"/>
        </w:rPr>
      </w:pPr>
      <w:r>
        <w:rPr>
          <w:rFonts w:hint="eastAsia" w:ascii="宋体" w:hAnsi="宋体" w:cs="宋体"/>
          <w:sz w:val="24"/>
          <w:szCs w:val="28"/>
          <w:highlight w:val="none"/>
        </w:rPr>
        <w:t>5</w:t>
      </w:r>
      <w:r>
        <w:rPr>
          <w:rFonts w:hint="eastAsia" w:ascii="宋体" w:hAnsi="宋体" w:cs="宋体"/>
          <w:color w:val="000000"/>
          <w:sz w:val="24"/>
          <w:szCs w:val="28"/>
          <w:highlight w:val="none"/>
        </w:rPr>
        <w:t>.</w:t>
      </w:r>
      <w:r>
        <w:rPr>
          <w:rFonts w:ascii="宋体" w:hAnsi="宋体" w:cs="宋体"/>
          <w:color w:val="000000"/>
          <w:sz w:val="24"/>
          <w:szCs w:val="28"/>
          <w:highlight w:val="none"/>
        </w:rPr>
        <w:t>按要求填写所有信息，注意非生产类要填写合作单位，最后提交审批</w:t>
      </w:r>
    </w:p>
    <w:p w14:paraId="5438C945">
      <w:pPr>
        <w:pStyle w:val="11"/>
        <w:rPr>
          <w:highlight w:val="none"/>
        </w:rPr>
      </w:pPr>
    </w:p>
    <w:p w14:paraId="0B748A22">
      <w:pPr>
        <w:rPr>
          <w:highlight w:val="none"/>
        </w:rPr>
      </w:pPr>
      <w:r>
        <w:rPr>
          <w:highlight w:val="none"/>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22"/>
                    <a:stretch>
                      <a:fillRect/>
                    </a:stretch>
                  </pic:blipFill>
                  <pic:spPr>
                    <a:xfrm>
                      <a:off x="0" y="0"/>
                      <a:ext cx="5760085" cy="2810122"/>
                    </a:xfrm>
                    <a:prstGeom prst="rect">
                      <a:avLst/>
                    </a:prstGeom>
                  </pic:spPr>
                </pic:pic>
              </a:graphicData>
            </a:graphic>
          </wp:inline>
        </w:drawing>
      </w:r>
    </w:p>
    <w:p w14:paraId="35B769B9">
      <w:pPr>
        <w:pStyle w:val="11"/>
        <w:rPr>
          <w:highlight w:val="none"/>
        </w:rPr>
      </w:pPr>
      <w:r>
        <w:rPr>
          <w:highlight w:val="none"/>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3"/>
                    <a:stretch>
                      <a:fillRect/>
                    </a:stretch>
                  </pic:blipFill>
                  <pic:spPr>
                    <a:xfrm>
                      <a:off x="0" y="0"/>
                      <a:ext cx="5760085" cy="2820042"/>
                    </a:xfrm>
                    <a:prstGeom prst="rect">
                      <a:avLst/>
                    </a:prstGeom>
                  </pic:spPr>
                </pic:pic>
              </a:graphicData>
            </a:graphic>
          </wp:inline>
        </w:drawing>
      </w:r>
    </w:p>
    <w:p w14:paraId="77B1C866">
      <w:pPr>
        <w:pStyle w:val="11"/>
        <w:rPr>
          <w:highlight w:val="none"/>
        </w:rPr>
      </w:pPr>
    </w:p>
    <w:p w14:paraId="7BF61909">
      <w:pPr>
        <w:pStyle w:val="11"/>
        <w:rPr>
          <w:rFonts w:hAnsi="宋体" w:cs="Times New Roman"/>
          <w:b/>
          <w:color w:val="000000"/>
          <w:sz w:val="24"/>
          <w:szCs w:val="24"/>
          <w:highlight w:val="none"/>
        </w:rPr>
      </w:pPr>
    </w:p>
    <w:p w14:paraId="4617F3BE">
      <w:pPr>
        <w:pStyle w:val="11"/>
        <w:rPr>
          <w:rFonts w:hAnsi="宋体" w:cs="Times New Roman"/>
          <w:b/>
          <w:color w:val="000000"/>
          <w:sz w:val="24"/>
          <w:szCs w:val="24"/>
          <w:highlight w:val="none"/>
        </w:rPr>
      </w:pPr>
    </w:p>
    <w:p w14:paraId="2720BCCE">
      <w:pPr>
        <w:pStyle w:val="11"/>
        <w:rPr>
          <w:rFonts w:hAnsi="宋体" w:cs="Times New Roman"/>
          <w:b/>
          <w:color w:val="000000"/>
          <w:sz w:val="24"/>
          <w:szCs w:val="24"/>
          <w:highlight w:val="none"/>
        </w:rPr>
      </w:pPr>
    </w:p>
    <w:p w14:paraId="20FBC9DD">
      <w:pPr>
        <w:pStyle w:val="11"/>
        <w:rPr>
          <w:rFonts w:hAnsi="宋体" w:cs="Times New Roman"/>
          <w:b/>
          <w:color w:val="000000"/>
          <w:sz w:val="24"/>
          <w:szCs w:val="24"/>
          <w:highlight w:val="none"/>
        </w:rPr>
      </w:pPr>
    </w:p>
    <w:p w14:paraId="180E0F24">
      <w:pPr>
        <w:pStyle w:val="11"/>
        <w:rPr>
          <w:rFonts w:hAnsi="宋体" w:cs="Times New Roman"/>
          <w:b/>
          <w:color w:val="000000"/>
          <w:sz w:val="24"/>
          <w:szCs w:val="24"/>
          <w:highlight w:val="none"/>
        </w:rPr>
      </w:pPr>
    </w:p>
    <w:p w14:paraId="41C3098C">
      <w:pPr>
        <w:pStyle w:val="11"/>
        <w:rPr>
          <w:rFonts w:hAnsi="宋体" w:cs="Times New Roman"/>
          <w:b/>
          <w:color w:val="000000"/>
          <w:sz w:val="24"/>
          <w:szCs w:val="24"/>
          <w:highlight w:val="none"/>
        </w:rPr>
      </w:pPr>
    </w:p>
    <w:p w14:paraId="2B32CA41">
      <w:pPr>
        <w:pStyle w:val="11"/>
        <w:rPr>
          <w:rFonts w:hAnsi="宋体" w:cs="Times New Roman"/>
          <w:b/>
          <w:color w:val="000000"/>
          <w:sz w:val="24"/>
          <w:szCs w:val="24"/>
          <w:highlight w:val="none"/>
        </w:rPr>
      </w:pPr>
    </w:p>
    <w:p w14:paraId="2C2530FD">
      <w:pPr>
        <w:pStyle w:val="11"/>
        <w:rPr>
          <w:rFonts w:hAnsi="宋体" w:cs="Times New Roman"/>
          <w:b/>
          <w:color w:val="000000"/>
          <w:sz w:val="24"/>
          <w:szCs w:val="24"/>
          <w:highlight w:val="none"/>
        </w:rPr>
      </w:pPr>
    </w:p>
    <w:p w14:paraId="1DA83FAA">
      <w:pPr>
        <w:pStyle w:val="11"/>
        <w:rPr>
          <w:rFonts w:hAnsi="宋体" w:cs="Times New Roman"/>
          <w:b/>
          <w:color w:val="000000"/>
          <w:sz w:val="24"/>
          <w:szCs w:val="24"/>
          <w:highlight w:val="none"/>
        </w:rPr>
      </w:pPr>
    </w:p>
    <w:p w14:paraId="08DCE429">
      <w:pPr>
        <w:pStyle w:val="11"/>
        <w:rPr>
          <w:rFonts w:hAnsi="宋体" w:cs="Times New Roman"/>
          <w:b/>
          <w:color w:val="000000"/>
          <w:sz w:val="24"/>
          <w:szCs w:val="24"/>
          <w:highlight w:val="none"/>
        </w:rPr>
      </w:pPr>
    </w:p>
    <w:p w14:paraId="2CF174A3">
      <w:pPr>
        <w:pStyle w:val="11"/>
        <w:rPr>
          <w:rFonts w:hAnsi="宋体" w:cs="Times New Roman"/>
          <w:b/>
          <w:color w:val="000000"/>
          <w:sz w:val="24"/>
          <w:szCs w:val="24"/>
          <w:highlight w:val="none"/>
        </w:rPr>
      </w:pPr>
    </w:p>
    <w:p w14:paraId="3E475DA3">
      <w:pPr>
        <w:pStyle w:val="11"/>
        <w:rPr>
          <w:rFonts w:hAnsi="宋体" w:cs="Times New Roman"/>
          <w:b/>
          <w:color w:val="000000"/>
          <w:sz w:val="24"/>
          <w:szCs w:val="24"/>
          <w:highlight w:val="none"/>
        </w:rPr>
      </w:pPr>
    </w:p>
    <w:p w14:paraId="58168E4A">
      <w:pPr>
        <w:pStyle w:val="11"/>
        <w:rPr>
          <w:rFonts w:hAnsi="宋体" w:cs="Times New Roman"/>
          <w:b/>
          <w:color w:val="000000"/>
          <w:sz w:val="24"/>
          <w:szCs w:val="24"/>
          <w:highlight w:val="none"/>
        </w:rPr>
      </w:pPr>
    </w:p>
    <w:p w14:paraId="4071E4D9">
      <w:pPr>
        <w:pStyle w:val="11"/>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Ansi="宋体" w:cs="Times New Roman"/>
          <w:b/>
          <w:color w:val="000000"/>
          <w:sz w:val="24"/>
          <w:szCs w:val="24"/>
          <w:highlight w:val="none"/>
        </w:rPr>
      </w:pPr>
    </w:p>
    <w:p w14:paraId="6BE3B9BC">
      <w:pPr>
        <w:pStyle w:val="11"/>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eastAsia" w:ascii="Times New Roman" w:hAnsi="Times New Roman" w:eastAsia="黑体" w:cs="Times New Roman"/>
          <w:b/>
          <w:bCs/>
          <w:sz w:val="36"/>
          <w:highlight w:val="none"/>
        </w:rPr>
      </w:pPr>
      <w:r>
        <w:rPr>
          <w:rFonts w:hint="eastAsia" w:ascii="Times New Roman" w:hAnsi="Times New Roman" w:eastAsia="黑体" w:cs="Times New Roman"/>
          <w:b/>
          <w:bCs/>
          <w:sz w:val="36"/>
          <w:highlight w:val="none"/>
        </w:rPr>
        <w:t>SRM系统供应商用户手册</w:t>
      </w:r>
    </w:p>
    <w:p w14:paraId="70CDCBBD">
      <w:pPr>
        <w:pStyle w:val="11"/>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eastAsia" w:ascii="Times New Roman" w:hAnsi="Times New Roman" w:eastAsia="黑体" w:cs="Times New Roman"/>
          <w:b/>
          <w:bCs/>
          <w:sz w:val="36"/>
          <w:highlight w:val="none"/>
        </w:rPr>
      </w:pPr>
    </w:p>
    <w:p w14:paraId="556949D5">
      <w:pPr>
        <w:spacing w:line="360" w:lineRule="auto"/>
        <w:rPr>
          <w:rFonts w:ascii="宋体" w:hAnsi="宋体" w:cs="宋体"/>
          <w:sz w:val="24"/>
          <w:szCs w:val="24"/>
          <w:highlight w:val="none"/>
        </w:rPr>
      </w:pPr>
      <w:r>
        <w:rPr>
          <w:rFonts w:hint="eastAsia" w:ascii="宋体" w:hAnsi="宋体" w:cs="宋体"/>
          <w:color w:val="000000"/>
          <w:sz w:val="24"/>
          <w:szCs w:val="24"/>
          <w:highlight w:val="none"/>
        </w:rPr>
        <w:t>系统网址：</w:t>
      </w:r>
      <w:r>
        <w:rPr>
          <w:highlight w:val="none"/>
        </w:rPr>
        <w:fldChar w:fldCharType="begin"/>
      </w:r>
      <w:r>
        <w:rPr>
          <w:highlight w:val="none"/>
        </w:rPr>
        <w:instrText xml:space="preserve"> HYPERLINK "http://ecaitong.sinotruk.com:8012/" \t "dlt" </w:instrText>
      </w:r>
      <w:r>
        <w:rPr>
          <w:highlight w:val="none"/>
        </w:rPr>
        <w:fldChar w:fldCharType="separate"/>
      </w:r>
      <w:r>
        <w:rPr>
          <w:rStyle w:val="27"/>
          <w:rFonts w:hint="eastAsia" w:ascii="宋体" w:hAnsi="宋体" w:cs="宋体"/>
          <w:sz w:val="24"/>
          <w:szCs w:val="24"/>
          <w:highlight w:val="none"/>
        </w:rPr>
        <w:t>https://ecaitong.sinotruk.com:8012/</w:t>
      </w:r>
      <w:r>
        <w:rPr>
          <w:rStyle w:val="27"/>
          <w:rFonts w:hint="eastAsia" w:ascii="宋体" w:hAnsi="宋体" w:cs="宋体"/>
          <w:sz w:val="24"/>
          <w:szCs w:val="24"/>
          <w:highlight w:val="none"/>
        </w:rPr>
        <w:fldChar w:fldCharType="end"/>
      </w:r>
    </w:p>
    <w:p w14:paraId="54DB55C3">
      <w:pPr>
        <w:spacing w:line="360" w:lineRule="auto"/>
        <w:rPr>
          <w:rFonts w:ascii="宋体" w:hAnsi="宋体" w:cs="宋体"/>
          <w:sz w:val="24"/>
          <w:szCs w:val="24"/>
          <w:highlight w:val="none"/>
        </w:rPr>
      </w:pPr>
      <w:r>
        <w:rPr>
          <w:rFonts w:hint="eastAsia" w:ascii="宋体" w:hAnsi="宋体" w:cs="宋体"/>
          <w:color w:val="000000"/>
          <w:sz w:val="24"/>
          <w:szCs w:val="24"/>
          <w:highlight w:val="none"/>
        </w:rPr>
        <w:t>用 户 名：gys+供应商代码（</w:t>
      </w:r>
      <w:r>
        <w:rPr>
          <w:rFonts w:hint="eastAsia" w:ascii="宋体" w:hAnsi="宋体" w:cs="宋体"/>
          <w:color w:val="FF0000"/>
          <w:sz w:val="24"/>
          <w:szCs w:val="24"/>
          <w:highlight w:val="none"/>
        </w:rPr>
        <w:t>注意：注册完毕后，用户名不要用手机号登录</w:t>
      </w:r>
      <w:r>
        <w:rPr>
          <w:rFonts w:hint="eastAsia" w:ascii="宋体" w:hAnsi="宋体" w:cs="宋体"/>
          <w:color w:val="000000"/>
          <w:sz w:val="24"/>
          <w:szCs w:val="24"/>
          <w:highlight w:val="none"/>
        </w:rPr>
        <w:t>）</w:t>
      </w:r>
    </w:p>
    <w:p w14:paraId="1A2FE1F4">
      <w:pPr>
        <w:spacing w:line="360" w:lineRule="auto"/>
        <w:rPr>
          <w:rFonts w:ascii="宋体" w:hAnsi="宋体" w:cs="宋体"/>
          <w:sz w:val="24"/>
          <w:szCs w:val="24"/>
          <w:highlight w:val="none"/>
        </w:rPr>
      </w:pPr>
      <w:r>
        <w:rPr>
          <w:rFonts w:hint="eastAsia" w:ascii="宋体" w:hAnsi="宋体" w:cs="宋体"/>
          <w:color w:val="000000"/>
          <w:sz w:val="24"/>
          <w:szCs w:val="24"/>
          <w:highlight w:val="none"/>
        </w:rPr>
        <w:t>初始密码：scm@2022</w:t>
      </w:r>
    </w:p>
    <w:p w14:paraId="205299B3">
      <w:pPr>
        <w:spacing w:line="360" w:lineRule="auto"/>
        <w:outlineLvl w:val="0"/>
        <w:rPr>
          <w:rFonts w:ascii="宋体" w:hAnsi="宋体" w:cs="宋体"/>
          <w:b/>
          <w:bCs/>
          <w:color w:val="000000"/>
          <w:sz w:val="24"/>
          <w:szCs w:val="24"/>
          <w:highlight w:val="none"/>
        </w:rPr>
      </w:pPr>
      <w:bookmarkStart w:id="17" w:name="_Toc3323"/>
      <w:r>
        <w:rPr>
          <w:rFonts w:hint="eastAsia" w:ascii="宋体" w:hAnsi="宋体" w:cs="宋体"/>
          <w:b/>
          <w:bCs/>
          <w:color w:val="000000"/>
          <w:sz w:val="24"/>
          <w:szCs w:val="24"/>
          <w:highlight w:val="none"/>
        </w:rPr>
        <w:t>1.供应商应标</w:t>
      </w:r>
      <w:bookmarkEnd w:id="17"/>
    </w:p>
    <w:p w14:paraId="1FF191E1">
      <w:pP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供应商应标</w:t>
      </w:r>
    </w:p>
    <w:p w14:paraId="5077C650">
      <w:pPr>
        <w:spacing w:line="360" w:lineRule="auto"/>
        <w:rPr>
          <w:rFonts w:ascii="宋体" w:hAnsi="宋体" w:cs="宋体"/>
          <w:color w:val="000000"/>
          <w:sz w:val="24"/>
          <w:szCs w:val="24"/>
          <w:highlight w:val="none"/>
        </w:rPr>
      </w:pPr>
      <w:r>
        <w:rPr>
          <w:rFonts w:ascii="宋体" w:hAnsi="宋体" w:cs="宋体"/>
          <w:color w:val="000000"/>
          <w:sz w:val="24"/>
          <w:szCs w:val="24"/>
          <w:highlight w:val="none"/>
        </w:rPr>
        <w:t>点击应标，上传文件之后点击提交。</w:t>
      </w:r>
    </w:p>
    <w:p w14:paraId="15E9632F">
      <w:pPr>
        <w:rPr>
          <w:highlight w:val="none"/>
        </w:rPr>
      </w:pPr>
      <w:r>
        <w:rPr>
          <w:highlight w:val="none"/>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4"/>
                    <a:stretch>
                      <a:fillRect/>
                    </a:stretch>
                  </pic:blipFill>
                  <pic:spPr>
                    <a:xfrm>
                      <a:off x="0" y="0"/>
                      <a:ext cx="5760085" cy="2269864"/>
                    </a:xfrm>
                    <a:prstGeom prst="rect">
                      <a:avLst/>
                    </a:prstGeom>
                  </pic:spPr>
                </pic:pic>
              </a:graphicData>
            </a:graphic>
          </wp:inline>
        </w:drawing>
      </w:r>
    </w:p>
    <w:p w14:paraId="1C0C8AB8">
      <w:pPr>
        <w:rPr>
          <w:highlight w:val="none"/>
        </w:rPr>
      </w:pPr>
    </w:p>
    <w:p w14:paraId="6C095091">
      <w:pPr>
        <w:spacing w:line="360" w:lineRule="auto"/>
        <w:outlineLvl w:val="0"/>
        <w:rPr>
          <w:rFonts w:ascii="宋体" w:hAnsi="宋体" w:cs="宋体"/>
          <w:b/>
          <w:bCs/>
          <w:color w:val="000000"/>
          <w:sz w:val="24"/>
          <w:szCs w:val="24"/>
          <w:highlight w:val="none"/>
        </w:rPr>
      </w:pPr>
      <w:bookmarkStart w:id="18" w:name="_Toc4507"/>
      <w:r>
        <w:rPr>
          <w:rFonts w:hint="eastAsia" w:ascii="宋体" w:hAnsi="宋体" w:cs="宋体"/>
          <w:b/>
          <w:bCs/>
          <w:color w:val="000000"/>
          <w:sz w:val="24"/>
          <w:szCs w:val="24"/>
          <w:highlight w:val="none"/>
        </w:rPr>
        <w:t>2.供应商投标</w:t>
      </w:r>
      <w:bookmarkEnd w:id="18"/>
    </w:p>
    <w:p w14:paraId="0BB24B3A">
      <w:pP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供应商投标</w:t>
      </w:r>
    </w:p>
    <w:p w14:paraId="20042C4F">
      <w:pPr>
        <w:rPr>
          <w:rFonts w:ascii="宋体" w:hAnsi="宋体" w:cs="宋体"/>
          <w:color w:val="000000"/>
          <w:highlight w:val="none"/>
        </w:rPr>
      </w:pPr>
      <w:r>
        <w:rPr>
          <w:rFonts w:ascii="宋体" w:hAnsi="宋体" w:cs="宋体"/>
          <w:color w:val="000000"/>
          <w:highlight w:val="none"/>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5"/>
                    <a:stretch>
                      <a:fillRect/>
                    </a:stretch>
                  </pic:blipFill>
                  <pic:spPr>
                    <a:xfrm>
                      <a:off x="0" y="0"/>
                      <a:ext cx="5760085" cy="2125673"/>
                    </a:xfrm>
                    <a:prstGeom prst="rect">
                      <a:avLst/>
                    </a:prstGeom>
                  </pic:spPr>
                </pic:pic>
              </a:graphicData>
            </a:graphic>
          </wp:inline>
        </w:drawing>
      </w:r>
    </w:p>
    <w:p w14:paraId="0928AC66">
      <w:pPr>
        <w:spacing w:line="360" w:lineRule="auto"/>
        <w:rPr>
          <w:rFonts w:ascii="宋体" w:hAnsi="宋体" w:cs="宋体"/>
          <w:color w:val="000000"/>
          <w:sz w:val="24"/>
          <w:szCs w:val="28"/>
          <w:highlight w:val="none"/>
        </w:rPr>
      </w:pPr>
      <w:r>
        <w:rPr>
          <w:rFonts w:ascii="宋体" w:hAnsi="宋体" w:cs="宋体"/>
          <w:color w:val="000000"/>
          <w:sz w:val="24"/>
          <w:szCs w:val="28"/>
          <w:highlight w:val="none"/>
        </w:rPr>
        <w:t>点击投标按钮，进入详情页，输入投标报价并上传相应的附件。</w:t>
      </w:r>
    </w:p>
    <w:p w14:paraId="73174B96">
      <w:pPr>
        <w:pStyle w:val="11"/>
        <w:rPr>
          <w:highlight w:val="none"/>
        </w:rPr>
      </w:pPr>
      <w:r>
        <w:rPr>
          <w:rFonts w:hint="eastAsia" w:hAnsi="宋体" w:cs="宋体"/>
          <w:color w:val="000000"/>
          <w:sz w:val="24"/>
          <w:szCs w:val="28"/>
          <w:highlight w:val="none"/>
        </w:rPr>
        <w:t>注意：系统内的投标报价单位为“万元”，如开标现场发现填错报价，即直接淘汰。</w:t>
      </w:r>
    </w:p>
    <w:p w14:paraId="0AC9A5E3">
      <w:pPr>
        <w:pStyle w:val="5"/>
        <w:numPr>
          <w:ilvl w:val="0"/>
          <w:numId w:val="0"/>
        </w:numPr>
        <w:rPr>
          <w:rFonts w:eastAsia="Arial" w:cs="Arial"/>
          <w:color w:val="000000"/>
          <w:highlight w:val="none"/>
        </w:rPr>
      </w:pPr>
      <w:r>
        <w:rPr>
          <w:rFonts w:eastAsia="Arial" w:cs="Arial"/>
          <w:color w:val="000000"/>
          <w:highlight w:val="none"/>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6"/>
                    <a:stretch>
                      <a:fillRect/>
                    </a:stretch>
                  </pic:blipFill>
                  <pic:spPr>
                    <a:xfrm>
                      <a:off x="0" y="0"/>
                      <a:ext cx="5490210" cy="2669498"/>
                    </a:xfrm>
                    <a:prstGeom prst="rect">
                      <a:avLst/>
                    </a:prstGeom>
                  </pic:spPr>
                </pic:pic>
              </a:graphicData>
            </a:graphic>
          </wp:inline>
        </w:drawing>
      </w:r>
    </w:p>
    <w:p w14:paraId="36609967">
      <w:pPr>
        <w:spacing w:line="360" w:lineRule="auto"/>
        <w:outlineLvl w:val="0"/>
        <w:rPr>
          <w:rFonts w:ascii="宋体" w:hAnsi="宋体" w:cs="宋体"/>
          <w:b/>
          <w:bCs/>
          <w:color w:val="000000"/>
          <w:sz w:val="24"/>
          <w:szCs w:val="24"/>
          <w:highlight w:val="none"/>
        </w:rPr>
      </w:pPr>
      <w:bookmarkStart w:id="19" w:name="_Toc30037"/>
      <w:r>
        <w:rPr>
          <w:rFonts w:hint="eastAsia" w:ascii="宋体" w:hAnsi="宋体" w:cs="宋体"/>
          <w:b/>
          <w:bCs/>
          <w:color w:val="000000"/>
          <w:sz w:val="24"/>
          <w:szCs w:val="24"/>
          <w:highlight w:val="none"/>
        </w:rPr>
        <w:t>3.供应商技术标澄清函</w:t>
      </w:r>
      <w:bookmarkEnd w:id="19"/>
    </w:p>
    <w:p w14:paraId="1F2BE3A6">
      <w:pP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供应商技术标澄清函</w:t>
      </w:r>
    </w:p>
    <w:p w14:paraId="71EC667E">
      <w:pPr>
        <w:spacing w:line="360" w:lineRule="auto"/>
        <w:rPr>
          <w:rFonts w:ascii="宋体" w:hAnsi="宋体" w:cs="宋体"/>
          <w:sz w:val="24"/>
          <w:szCs w:val="24"/>
          <w:highlight w:val="none"/>
        </w:rPr>
      </w:pPr>
      <w:r>
        <w:rPr>
          <w:rFonts w:ascii="宋体" w:hAnsi="宋体" w:cs="宋体"/>
          <w:color w:val="000000"/>
          <w:sz w:val="24"/>
          <w:szCs w:val="24"/>
          <w:highlight w:val="none"/>
        </w:rPr>
        <w:t>点击编辑按钮进入系统，上传技术标澄清函。</w:t>
      </w:r>
    </w:p>
    <w:p w14:paraId="0F3C10EB">
      <w:pPr>
        <w:spacing w:line="360" w:lineRule="auto"/>
        <w:rPr>
          <w:rFonts w:ascii="Arial" w:hAnsi="Arial" w:eastAsia="Arial" w:cs="Arial"/>
          <w:color w:val="000000"/>
          <w:sz w:val="28"/>
          <w:highlight w:val="none"/>
        </w:rPr>
      </w:pPr>
      <w:r>
        <w:rPr>
          <w:rFonts w:ascii="宋体" w:hAnsi="宋体" w:cs="宋体"/>
          <w:color w:val="000000"/>
          <w:sz w:val="24"/>
          <w:szCs w:val="24"/>
          <w:highlight w:val="none"/>
        </w:rPr>
        <w:t>开标之后所有投标的供应商都可编辑提交，技术标入围之后</w:t>
      </w:r>
      <w:r>
        <w:rPr>
          <w:rFonts w:hint="eastAsia" w:ascii="宋体" w:hAnsi="宋体" w:cs="宋体"/>
          <w:color w:val="000000"/>
          <w:sz w:val="24"/>
          <w:szCs w:val="24"/>
          <w:highlight w:val="none"/>
        </w:rPr>
        <w:t xml:space="preserve"> </w:t>
      </w:r>
      <w:r>
        <w:rPr>
          <w:rFonts w:ascii="宋体" w:hAnsi="宋体" w:cs="宋体"/>
          <w:color w:val="000000"/>
          <w:sz w:val="24"/>
          <w:szCs w:val="24"/>
          <w:highlight w:val="none"/>
        </w:rPr>
        <w:t>都不可编辑</w:t>
      </w:r>
      <w:r>
        <w:rPr>
          <w:rFonts w:ascii="Arial" w:hAnsi="Arial" w:eastAsia="Arial" w:cs="Arial"/>
          <w:color w:val="000000"/>
          <w:sz w:val="28"/>
          <w:highlight w:val="none"/>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7"/>
                    <a:stretch>
                      <a:fillRect/>
                    </a:stretch>
                  </pic:blipFill>
                  <pic:spPr>
                    <a:xfrm>
                      <a:off x="0" y="0"/>
                      <a:ext cx="5490210" cy="1992743"/>
                    </a:xfrm>
                    <a:prstGeom prst="rect">
                      <a:avLst/>
                    </a:prstGeom>
                  </pic:spPr>
                </pic:pic>
              </a:graphicData>
            </a:graphic>
          </wp:inline>
        </w:drawing>
      </w:r>
    </w:p>
    <w:p w14:paraId="6FD24C35">
      <w:pPr>
        <w:spacing w:line="360" w:lineRule="auto"/>
        <w:outlineLvl w:val="0"/>
        <w:rPr>
          <w:rFonts w:ascii="宋体" w:hAnsi="宋体" w:cs="宋体"/>
          <w:b/>
          <w:bCs/>
          <w:color w:val="000000"/>
          <w:sz w:val="24"/>
          <w:szCs w:val="24"/>
          <w:highlight w:val="none"/>
        </w:rPr>
      </w:pPr>
      <w:bookmarkStart w:id="20" w:name="_Toc3204"/>
      <w:r>
        <w:rPr>
          <w:rFonts w:hint="eastAsia" w:ascii="宋体" w:hAnsi="宋体" w:cs="宋体"/>
          <w:b/>
          <w:bCs/>
          <w:color w:val="000000"/>
          <w:sz w:val="24"/>
          <w:szCs w:val="24"/>
          <w:highlight w:val="none"/>
        </w:rPr>
        <w:t>4.供应商报价</w:t>
      </w:r>
      <w:bookmarkEnd w:id="20"/>
    </w:p>
    <w:p w14:paraId="7CEF0847">
      <w:pP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供应商报价</w:t>
      </w:r>
    </w:p>
    <w:p w14:paraId="2C89BEF3">
      <w:pPr>
        <w:spacing w:line="360" w:lineRule="auto"/>
        <w:rPr>
          <w:rFonts w:ascii="宋体" w:hAnsi="宋体" w:cs="宋体"/>
          <w:sz w:val="24"/>
          <w:szCs w:val="24"/>
          <w:highlight w:val="none"/>
        </w:rPr>
      </w:pPr>
      <w:r>
        <w:rPr>
          <w:rFonts w:ascii="宋体" w:hAnsi="宋体" w:cs="宋体"/>
          <w:color w:val="000000"/>
          <w:sz w:val="24"/>
          <w:szCs w:val="24"/>
          <w:highlight w:val="none"/>
        </w:rPr>
        <w:t>点击报价按钮进入报价详情界面，请在此轮报价起止时间内报价，否则无法报价。</w:t>
      </w:r>
    </w:p>
    <w:p w14:paraId="1EA2BB05">
      <w:pPr>
        <w:spacing w:line="360" w:lineRule="auto"/>
        <w:outlineLvl w:val="0"/>
        <w:rPr>
          <w:rFonts w:ascii="宋体" w:hAnsi="宋体" w:cs="宋体"/>
          <w:b/>
          <w:bCs/>
          <w:color w:val="000000"/>
          <w:sz w:val="24"/>
          <w:szCs w:val="24"/>
          <w:highlight w:val="none"/>
        </w:rPr>
      </w:pPr>
      <w:r>
        <w:rPr>
          <w:rFonts w:hint="eastAsia" w:ascii="宋体" w:hAnsi="宋体" w:cs="宋体"/>
          <w:b/>
          <w:bCs/>
          <w:color w:val="000000"/>
          <w:sz w:val="24"/>
          <w:szCs w:val="24"/>
          <w:highlight w:val="none"/>
        </w:rPr>
        <w:t>5.供应商澄清报价</w:t>
      </w:r>
    </w:p>
    <w:p w14:paraId="76723FB3">
      <w:pP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供应商澄清报价</w:t>
      </w:r>
    </w:p>
    <w:p w14:paraId="109D99F2">
      <w:pPr>
        <w:spacing w:line="360" w:lineRule="auto"/>
        <w:rPr>
          <w:rFonts w:ascii="宋体" w:hAnsi="宋体" w:cs="宋体"/>
          <w:sz w:val="24"/>
          <w:szCs w:val="24"/>
          <w:highlight w:val="none"/>
        </w:rPr>
      </w:pPr>
      <w:r>
        <w:rPr>
          <w:rFonts w:ascii="宋体" w:hAnsi="宋体" w:cs="宋体"/>
          <w:color w:val="000000"/>
          <w:sz w:val="24"/>
          <w:szCs w:val="24"/>
          <w:highlight w:val="none"/>
        </w:rPr>
        <w:t>招标发起人接收建议价的同时会给供应商发送澄清报价，供应商在此界面进行澄清报价，点击编辑按钮进入澄清报价详细界面，输入价格并上传澄清函，之后点击提交。</w:t>
      </w:r>
    </w:p>
    <w:p w14:paraId="738F4FBA">
      <w:pPr>
        <w:pStyle w:val="5"/>
        <w:numPr>
          <w:ilvl w:val="0"/>
          <w:numId w:val="0"/>
        </w:numPr>
        <w:rPr>
          <w:rFonts w:eastAsia="Arial" w:cs="Arial"/>
          <w:color w:val="000000"/>
          <w:highlight w:val="none"/>
        </w:rPr>
      </w:pPr>
      <w:r>
        <w:rPr>
          <w:rFonts w:eastAsia="Arial" w:cs="Arial"/>
          <w:color w:val="000000"/>
          <w:highlight w:val="none"/>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8"/>
                    <a:stretch>
                      <a:fillRect/>
                    </a:stretch>
                  </pic:blipFill>
                  <pic:spPr>
                    <a:xfrm>
                      <a:off x="0" y="0"/>
                      <a:ext cx="5490210" cy="2544669"/>
                    </a:xfrm>
                    <a:prstGeom prst="rect">
                      <a:avLst/>
                    </a:prstGeom>
                  </pic:spPr>
                </pic:pic>
              </a:graphicData>
            </a:graphic>
          </wp:inline>
        </w:drawing>
      </w:r>
    </w:p>
    <w:p w14:paraId="3E308773">
      <w:pPr>
        <w:spacing w:line="360" w:lineRule="auto"/>
        <w:outlineLvl w:val="0"/>
        <w:rPr>
          <w:rFonts w:ascii="宋体" w:hAnsi="宋体" w:cs="宋体"/>
          <w:b/>
          <w:bCs/>
          <w:color w:val="000000"/>
          <w:sz w:val="24"/>
          <w:szCs w:val="24"/>
          <w:highlight w:val="none"/>
        </w:rPr>
      </w:pPr>
      <w:bookmarkStart w:id="21" w:name="_Toc26492"/>
      <w:r>
        <w:rPr>
          <w:rFonts w:hint="eastAsia" w:ascii="宋体" w:hAnsi="宋体" w:cs="宋体"/>
          <w:b/>
          <w:bCs/>
          <w:color w:val="000000"/>
          <w:sz w:val="24"/>
          <w:szCs w:val="24"/>
          <w:highlight w:val="none"/>
        </w:rPr>
        <w:t>6.供应商查看中标通知</w:t>
      </w:r>
      <w:bookmarkEnd w:id="21"/>
    </w:p>
    <w:p w14:paraId="2FDE6809">
      <w:pP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中标项目</w:t>
      </w:r>
    </w:p>
    <w:p w14:paraId="36D62DF1">
      <w:pPr>
        <w:spacing w:line="360" w:lineRule="auto"/>
        <w:rPr>
          <w:rFonts w:ascii="宋体" w:hAnsi="宋体" w:cs="宋体"/>
          <w:sz w:val="24"/>
          <w:szCs w:val="24"/>
          <w:highlight w:val="none"/>
        </w:rPr>
      </w:pPr>
      <w:r>
        <w:rPr>
          <w:rFonts w:ascii="宋体" w:hAnsi="宋体" w:cs="宋体"/>
          <w:color w:val="000000"/>
          <w:sz w:val="24"/>
          <w:szCs w:val="24"/>
          <w:highlight w:val="none"/>
        </w:rPr>
        <w:t>点击查看进入查看中标项目详情</w:t>
      </w:r>
    </w:p>
    <w:p w14:paraId="0E1CA1E3">
      <w:pPr>
        <w:rPr>
          <w:highlight w:val="none"/>
        </w:rPr>
      </w:pPr>
      <w:r>
        <w:rPr>
          <w:highlight w:val="none"/>
        </w:rPr>
        <w:drawing>
          <wp:inline distT="0" distB="0" distL="0" distR="0">
            <wp:extent cx="5760085" cy="24898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9"/>
                    <a:stretch>
                      <a:fillRect/>
                    </a:stretch>
                  </pic:blipFill>
                  <pic:spPr>
                    <a:xfrm>
                      <a:off x="0" y="0"/>
                      <a:ext cx="5760085" cy="2489835"/>
                    </a:xfrm>
                    <a:prstGeom prst="rect">
                      <a:avLst/>
                    </a:prstGeom>
                  </pic:spPr>
                </pic:pic>
              </a:graphicData>
            </a:graphic>
          </wp:inline>
        </w:drawing>
      </w:r>
    </w:p>
    <w:p w14:paraId="2202B5EE">
      <w:pPr>
        <w:pStyle w:val="11"/>
        <w:rPr>
          <w:rFonts w:hAnsi="宋体" w:cs="Times New Roman"/>
          <w:b/>
          <w:color w:val="000000"/>
          <w:sz w:val="24"/>
          <w:szCs w:val="24"/>
          <w:highlight w:val="none"/>
        </w:rPr>
      </w:pPr>
    </w:p>
    <w:p w14:paraId="4FD7202B">
      <w:pPr>
        <w:spacing w:line="440" w:lineRule="exact"/>
        <w:ind w:firstLine="420" w:firstLineChars="200"/>
        <w:rPr>
          <w:rFonts w:ascii="宋体" w:hAnsi="Courier New"/>
          <w:highlight w:val="none"/>
        </w:rPr>
      </w:pPr>
    </w:p>
    <w:p w14:paraId="4D537582">
      <w:pPr>
        <w:pStyle w:val="8"/>
        <w:rPr>
          <w:rFonts w:ascii="宋体" w:hAnsi="宋体"/>
          <w:sz w:val="24"/>
          <w:highlight w:val="none"/>
        </w:rPr>
      </w:pPr>
    </w:p>
    <w:p w14:paraId="3038F8C8"/>
    <w:p w14:paraId="7CEB1937"/>
    <w:p w14:paraId="5ADA0A72"/>
    <w:p w14:paraId="795A09AC"/>
    <w:p w14:paraId="0C887F21"/>
    <w:p w14:paraId="20BF6AD5">
      <w:pPr>
        <w:adjustRightInd w:val="0"/>
        <w:snapToGrid w:val="0"/>
        <w:spacing w:line="360" w:lineRule="auto"/>
        <w:jc w:val="both"/>
        <w:rPr>
          <w:rFonts w:ascii="宋体" w:hAnsi="宋体"/>
          <w:b/>
          <w:sz w:val="28"/>
          <w:szCs w:val="28"/>
        </w:rPr>
      </w:pPr>
    </w:p>
    <w:p w14:paraId="6922072C">
      <w:pPr>
        <w:adjustRightInd w:val="0"/>
        <w:snapToGrid w:val="0"/>
        <w:spacing w:line="360" w:lineRule="auto"/>
        <w:jc w:val="right"/>
        <w:rPr>
          <w:rFonts w:ascii="宋体" w:hAnsi="宋体"/>
          <w:b/>
          <w:sz w:val="28"/>
          <w:szCs w:val="28"/>
        </w:rPr>
      </w:pPr>
    </w:p>
    <w:p w14:paraId="2B2DD096">
      <w:pPr>
        <w:adjustRightInd w:val="0"/>
        <w:snapToGrid w:val="0"/>
        <w:spacing w:line="360" w:lineRule="auto"/>
        <w:jc w:val="right"/>
        <w:rPr>
          <w:rFonts w:ascii="宋体" w:hAnsi="宋体"/>
          <w:b/>
          <w:sz w:val="28"/>
          <w:szCs w:val="28"/>
        </w:rPr>
      </w:pPr>
    </w:p>
    <w:p w14:paraId="0679B3AD">
      <w:pPr>
        <w:adjustRightInd w:val="0"/>
        <w:snapToGrid w:val="0"/>
        <w:spacing w:line="360" w:lineRule="auto"/>
        <w:jc w:val="right"/>
        <w:rPr>
          <w:rFonts w:ascii="宋体" w:hAnsi="宋体"/>
          <w:b/>
          <w:sz w:val="28"/>
          <w:szCs w:val="28"/>
        </w:rPr>
      </w:pPr>
    </w:p>
    <w:p w14:paraId="6179DFF4">
      <w:pPr>
        <w:adjustRightInd w:val="0"/>
        <w:snapToGrid w:val="0"/>
        <w:spacing w:line="360" w:lineRule="auto"/>
        <w:jc w:val="right"/>
        <w:rPr>
          <w:rFonts w:ascii="宋体" w:hAnsi="宋体"/>
          <w:b/>
          <w:sz w:val="28"/>
          <w:szCs w:val="28"/>
        </w:rPr>
      </w:pPr>
    </w:p>
    <w:p w14:paraId="1CA1B125">
      <w:pPr>
        <w:adjustRightInd w:val="0"/>
        <w:snapToGrid w:val="0"/>
        <w:spacing w:line="360" w:lineRule="auto"/>
        <w:jc w:val="right"/>
        <w:rPr>
          <w:rFonts w:ascii="宋体" w:hAnsi="宋体"/>
          <w:b/>
          <w:sz w:val="28"/>
          <w:szCs w:val="28"/>
        </w:rPr>
      </w:pPr>
    </w:p>
    <w:p w14:paraId="2A16E382">
      <w:pPr>
        <w:adjustRightInd w:val="0"/>
        <w:snapToGrid w:val="0"/>
        <w:spacing w:line="360" w:lineRule="auto"/>
        <w:jc w:val="right"/>
        <w:rPr>
          <w:rFonts w:ascii="宋体" w:hAnsi="宋体"/>
          <w:b/>
          <w:sz w:val="28"/>
          <w:szCs w:val="28"/>
        </w:rPr>
      </w:pPr>
    </w:p>
    <w:p w14:paraId="44A8ADB1">
      <w:pPr>
        <w:adjustRightInd w:val="0"/>
        <w:snapToGrid w:val="0"/>
        <w:spacing w:line="360" w:lineRule="auto"/>
        <w:jc w:val="right"/>
        <w:rPr>
          <w:rFonts w:ascii="宋体" w:hAnsi="宋体"/>
          <w:b/>
          <w:sz w:val="28"/>
          <w:szCs w:val="28"/>
        </w:rPr>
      </w:pPr>
    </w:p>
    <w:bookmarkEnd w:id="15"/>
    <w:bookmarkEnd w:id="16"/>
    <w:p w14:paraId="39E6715F">
      <w:pPr>
        <w:spacing w:line="360" w:lineRule="auto"/>
        <w:rPr>
          <w:rFonts w:ascii="宋体"/>
          <w:kern w:val="0"/>
          <w:szCs w:val="21"/>
        </w:rPr>
      </w:pPr>
    </w:p>
    <w:sectPr>
      <w:pgSz w:w="11906" w:h="16838"/>
      <w:pgMar w:top="1701" w:right="1418" w:bottom="1134" w:left="1418"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等线">
    <w:panose1 w:val="02010600030101010101"/>
    <w:charset w:val="86"/>
    <w:family w:val="auto"/>
    <w:pitch w:val="default"/>
    <w:sig w:usb0="A00002BF" w:usb1="38CF7CFA" w:usb2="00000016" w:usb3="00000000" w:csb0="0004000F" w:csb1="00000000"/>
  </w:font>
  <w:font w:name="CIDFon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0EBEF5A0">
        <w:pPr>
          <w:pStyle w:val="13"/>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1E39FA">
    <w:pPr>
      <w:pStyle w:val="13"/>
      <w:framePr w:wrap="around" w:vAnchor="text" w:hAnchor="margin" w:xAlign="center" w:y="1"/>
      <w:rPr>
        <w:rStyle w:val="24"/>
      </w:rPr>
    </w:pPr>
    <w:r>
      <w:fldChar w:fldCharType="begin"/>
    </w:r>
    <w:r>
      <w:rPr>
        <w:rStyle w:val="24"/>
      </w:rPr>
      <w:instrText xml:space="preserve">PAGE  </w:instrText>
    </w:r>
    <w:r>
      <w:fldChar w:fldCharType="end"/>
    </w:r>
  </w:p>
  <w:p w14:paraId="33AE8EAA">
    <w:pPr>
      <w:pStyle w:val="1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26804A">
    <w:pPr>
      <w:pStyle w:val="13"/>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BEE84D">
    <w:pPr>
      <w:pStyle w:val="13"/>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BC7C88">
    <w:pPr>
      <w:pStyle w:val="13"/>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A52B4C">
    <w:pPr>
      <w:pStyle w:val="13"/>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803817610"/>
                          </w:sdtPr>
                          <w:sdtContent>
                            <w:p w14:paraId="5FC2E552">
                              <w:pPr>
                                <w:pStyle w:val="13"/>
                                <w:jc w:val="center"/>
                              </w:pPr>
                              <w:r>
                                <w:fldChar w:fldCharType="begin"/>
                              </w:r>
                              <w:r>
                                <w:instrText xml:space="preserve">PAGE   \* MERGEFORMAT</w:instrText>
                              </w:r>
                              <w:r>
                                <w:fldChar w:fldCharType="separate"/>
                              </w:r>
                              <w:r>
                                <w:rPr>
                                  <w:lang w:val="zh-CN"/>
                                </w:rPr>
                                <w:t>-</w:t>
                              </w:r>
                              <w:r>
                                <w:t xml:space="preserve"> 20 -</w:t>
                              </w:r>
                              <w:r>
                                <w:fldChar w:fldCharType="end"/>
                              </w:r>
                            </w:p>
                          </w:sdtContent>
                        </w:sdt>
                        <w:p w14:paraId="1ECCA718">
                          <w:pPr>
                            <w:pStyle w:val="11"/>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sdt>
                    <w:sdtPr>
                      <w:id w:val="803817610"/>
                    </w:sdtPr>
                    <w:sdtContent>
                      <w:p w14:paraId="5FC2E552">
                        <w:pPr>
                          <w:pStyle w:val="13"/>
                          <w:jc w:val="center"/>
                        </w:pPr>
                        <w:r>
                          <w:fldChar w:fldCharType="begin"/>
                        </w:r>
                        <w:r>
                          <w:instrText xml:space="preserve">PAGE   \* MERGEFORMAT</w:instrText>
                        </w:r>
                        <w:r>
                          <w:fldChar w:fldCharType="separate"/>
                        </w:r>
                        <w:r>
                          <w:rPr>
                            <w:lang w:val="zh-CN"/>
                          </w:rPr>
                          <w:t>-</w:t>
                        </w:r>
                        <w:r>
                          <w:t xml:space="preserve"> 20 -</w:t>
                        </w:r>
                        <w:r>
                          <w:fldChar w:fldCharType="end"/>
                        </w:r>
                      </w:p>
                    </w:sdtContent>
                  </w:sdt>
                  <w:p w14:paraId="1ECCA718">
                    <w:pPr>
                      <w:pStyle w:val="11"/>
                    </w:pPr>
                  </w:p>
                </w:txbxContent>
              </v:textbox>
            </v:shape>
          </w:pict>
        </mc:Fallback>
      </mc:AlternateContent>
    </w:r>
  </w:p>
  <w:p w14:paraId="2AFB8980">
    <w:pPr>
      <w:pStyle w:val="13"/>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1477ED">
    <w:pPr>
      <w:pStyle w:val="13"/>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344704680"/>
                          </w:sdtPr>
                          <w:sdtContent>
                            <w:p w14:paraId="1E121641">
                              <w:pPr>
                                <w:pStyle w:val="13"/>
                                <w:jc w:val="center"/>
                              </w:pPr>
                              <w:r>
                                <w:fldChar w:fldCharType="begin"/>
                              </w:r>
                              <w:r>
                                <w:instrText xml:space="preserve">PAGE   \* MERGEFORMAT</w:instrText>
                              </w:r>
                              <w:r>
                                <w:fldChar w:fldCharType="separate"/>
                              </w:r>
                              <w:r>
                                <w:rPr>
                                  <w:lang w:val="zh-CN"/>
                                </w:rPr>
                                <w:t>-</w:t>
                              </w:r>
                              <w:r>
                                <w:t xml:space="preserve"> 1 -</w:t>
                              </w:r>
                              <w:r>
                                <w:fldChar w:fldCharType="end"/>
                              </w:r>
                            </w:p>
                          </w:sdtContent>
                        </w:sdt>
                        <w:p w14:paraId="0158D2A0">
                          <w:pPr>
                            <w:pStyle w:val="11"/>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sdt>
                    <w:sdtPr>
                      <w:id w:val="-1344704680"/>
                    </w:sdtPr>
                    <w:sdtContent>
                      <w:p w14:paraId="1E121641">
                        <w:pPr>
                          <w:pStyle w:val="13"/>
                          <w:jc w:val="center"/>
                        </w:pPr>
                        <w:r>
                          <w:fldChar w:fldCharType="begin"/>
                        </w:r>
                        <w:r>
                          <w:instrText xml:space="preserve">PAGE   \* MERGEFORMAT</w:instrText>
                        </w:r>
                        <w:r>
                          <w:fldChar w:fldCharType="separate"/>
                        </w:r>
                        <w:r>
                          <w:rPr>
                            <w:lang w:val="zh-CN"/>
                          </w:rPr>
                          <w:t>-</w:t>
                        </w:r>
                        <w:r>
                          <w:t xml:space="preserve"> 1 -</w:t>
                        </w:r>
                        <w:r>
                          <w:fldChar w:fldCharType="end"/>
                        </w:r>
                      </w:p>
                    </w:sdtContent>
                  </w:sdt>
                  <w:p w14:paraId="0158D2A0">
                    <w:pPr>
                      <w:pStyle w:val="11"/>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C4DF36">
    <w:pPr>
      <w:pStyle w:val="14"/>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264DD2">
    <w:pPr>
      <w:pStyle w:val="14"/>
      <w:ind w:right="180"/>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2786CF">
    <w:pPr>
      <w:pStyle w:val="14"/>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124427">
    <w:pPr>
      <w:pStyle w:val="14"/>
      <w:ind w:right="180"/>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48DD50">
    <w:pPr>
      <w:pStyle w:val="14"/>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31F2B4"/>
    <w:multiLevelType w:val="singleLevel"/>
    <w:tmpl w:val="8F31F2B4"/>
    <w:lvl w:ilvl="0" w:tentative="0">
      <w:start w:val="1"/>
      <w:numFmt w:val="chineseCounting"/>
      <w:suff w:val="nothing"/>
      <w:lvlText w:val="%1、"/>
      <w:lvlJc w:val="left"/>
      <w:rPr>
        <w:rFonts w:hint="eastAsia"/>
      </w:rPr>
    </w:lvl>
  </w:abstractNum>
  <w:abstractNum w:abstractNumId="1">
    <w:nsid w:val="06882CE3"/>
    <w:multiLevelType w:val="multilevel"/>
    <w:tmpl w:val="06882CE3"/>
    <w:lvl w:ilvl="0" w:tentative="0">
      <w:start w:val="1"/>
      <w:numFmt w:val="decimal"/>
      <w:pStyle w:val="109"/>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2">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3">
    <w:nsid w:val="452FBAFD"/>
    <w:multiLevelType w:val="singleLevel"/>
    <w:tmpl w:val="452FBAFD"/>
    <w:lvl w:ilvl="0" w:tentative="0">
      <w:start w:val="6"/>
      <w:numFmt w:val="decimal"/>
      <w:suff w:val="nothing"/>
      <w:lvlText w:val="%1、"/>
      <w:lvlJc w:val="left"/>
    </w:lvl>
  </w:abstractNum>
  <w:abstractNum w:abstractNumId="4">
    <w:nsid w:val="4EAF4B5A"/>
    <w:multiLevelType w:val="multilevel"/>
    <w:tmpl w:val="4EAF4B5A"/>
    <w:lvl w:ilvl="0" w:tentative="0">
      <w:start w:val="1"/>
      <w:numFmt w:val="chineseCountingThousand"/>
      <w:lvlText w:val="%1、"/>
      <w:lvlJc w:val="left"/>
      <w:pPr>
        <w:ind w:left="420" w:hanging="420"/>
      </w:pPr>
    </w:lvl>
    <w:lvl w:ilvl="1" w:tentative="0">
      <w:start w:val="1"/>
      <w:numFmt w:val="chineseCountingThousand"/>
      <w:suff w:val="nothing"/>
      <w:lvlText w:val="%2、"/>
      <w:lvlJc w:val="left"/>
      <w:pPr>
        <w:ind w:left="420" w:hanging="420"/>
      </w:pPr>
      <w:rPr>
        <w:rFonts w:hint="eastAsia"/>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520018B0"/>
    <w:multiLevelType w:val="multilevel"/>
    <w:tmpl w:val="520018B0"/>
    <w:lvl w:ilvl="0" w:tentative="0">
      <w:start w:val="1"/>
      <w:numFmt w:val="decimal"/>
      <w:pStyle w:val="108"/>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6">
    <w:nsid w:val="56D20133"/>
    <w:multiLevelType w:val="multilevel"/>
    <w:tmpl w:val="56D20133"/>
    <w:lvl w:ilvl="0" w:tentative="0">
      <w:start w:val="1"/>
      <w:numFmt w:val="chineseCountingThousand"/>
      <w:pStyle w:val="107"/>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7">
    <w:nsid w:val="5B61E924"/>
    <w:multiLevelType w:val="singleLevel"/>
    <w:tmpl w:val="5B61E924"/>
    <w:lvl w:ilvl="0" w:tentative="0">
      <w:start w:val="3"/>
      <w:numFmt w:val="decimal"/>
      <w:lvlText w:val="%1."/>
      <w:lvlJc w:val="left"/>
      <w:pPr>
        <w:tabs>
          <w:tab w:val="left" w:pos="312"/>
        </w:tabs>
      </w:pPr>
    </w:lvl>
  </w:abstractNum>
  <w:abstractNum w:abstractNumId="8">
    <w:nsid w:val="656A6EAE"/>
    <w:multiLevelType w:val="multilevel"/>
    <w:tmpl w:val="656A6EAE"/>
    <w:lvl w:ilvl="0" w:tentative="0">
      <w:start w:val="1"/>
      <w:numFmt w:val="chineseCountingThousand"/>
      <w:pStyle w:val="110"/>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6"/>
  </w:num>
  <w:num w:numId="2">
    <w:abstractNumId w:val="5"/>
  </w:num>
  <w:num w:numId="3">
    <w:abstractNumId w:val="1"/>
  </w:num>
  <w:num w:numId="4">
    <w:abstractNumId w:val="8"/>
  </w:num>
  <w:num w:numId="5">
    <w:abstractNumId w:val="3"/>
  </w:num>
  <w:num w:numId="6">
    <w:abstractNumId w:val="7"/>
  </w:num>
  <w:num w:numId="7">
    <w:abstractNumId w:val="0"/>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JhYWIwOTE2MjY5Nzc5MTM0ZDdmYWE4MDc1OWI1NjAifQ=="/>
  </w:docVars>
  <w:rsids>
    <w:rsidRoot w:val="003447BF"/>
    <w:rsid w:val="0000027A"/>
    <w:rsid w:val="00001090"/>
    <w:rsid w:val="00002019"/>
    <w:rsid w:val="00002207"/>
    <w:rsid w:val="0000340B"/>
    <w:rsid w:val="000035F7"/>
    <w:rsid w:val="00003F46"/>
    <w:rsid w:val="000048DB"/>
    <w:rsid w:val="00005610"/>
    <w:rsid w:val="000056AD"/>
    <w:rsid w:val="00006391"/>
    <w:rsid w:val="000066B1"/>
    <w:rsid w:val="00007938"/>
    <w:rsid w:val="000109D5"/>
    <w:rsid w:val="00011368"/>
    <w:rsid w:val="00011ED8"/>
    <w:rsid w:val="000126A7"/>
    <w:rsid w:val="00012F60"/>
    <w:rsid w:val="00013B94"/>
    <w:rsid w:val="00013CCE"/>
    <w:rsid w:val="00013EAD"/>
    <w:rsid w:val="000140D2"/>
    <w:rsid w:val="00015473"/>
    <w:rsid w:val="00016598"/>
    <w:rsid w:val="00016867"/>
    <w:rsid w:val="00016CB2"/>
    <w:rsid w:val="000176E1"/>
    <w:rsid w:val="000178CC"/>
    <w:rsid w:val="0002035A"/>
    <w:rsid w:val="000203CA"/>
    <w:rsid w:val="00021C66"/>
    <w:rsid w:val="00022189"/>
    <w:rsid w:val="000226D8"/>
    <w:rsid w:val="00022BFC"/>
    <w:rsid w:val="000235F1"/>
    <w:rsid w:val="00027A64"/>
    <w:rsid w:val="00027F24"/>
    <w:rsid w:val="000305C9"/>
    <w:rsid w:val="0003105F"/>
    <w:rsid w:val="00031718"/>
    <w:rsid w:val="0003264D"/>
    <w:rsid w:val="0003278E"/>
    <w:rsid w:val="00033243"/>
    <w:rsid w:val="00033657"/>
    <w:rsid w:val="00033970"/>
    <w:rsid w:val="00034F4C"/>
    <w:rsid w:val="00035188"/>
    <w:rsid w:val="00035689"/>
    <w:rsid w:val="00035C9C"/>
    <w:rsid w:val="00035E1B"/>
    <w:rsid w:val="0003685E"/>
    <w:rsid w:val="000368DB"/>
    <w:rsid w:val="000370BC"/>
    <w:rsid w:val="00037DE7"/>
    <w:rsid w:val="00042463"/>
    <w:rsid w:val="00042AB2"/>
    <w:rsid w:val="000433A7"/>
    <w:rsid w:val="00043A88"/>
    <w:rsid w:val="00043CE0"/>
    <w:rsid w:val="00043FE0"/>
    <w:rsid w:val="00044C76"/>
    <w:rsid w:val="00045598"/>
    <w:rsid w:val="00046197"/>
    <w:rsid w:val="0004713F"/>
    <w:rsid w:val="0005010C"/>
    <w:rsid w:val="00050BF7"/>
    <w:rsid w:val="00050FAE"/>
    <w:rsid w:val="0005230D"/>
    <w:rsid w:val="00052373"/>
    <w:rsid w:val="0005298D"/>
    <w:rsid w:val="00053A3B"/>
    <w:rsid w:val="00053CA8"/>
    <w:rsid w:val="00054226"/>
    <w:rsid w:val="000547D0"/>
    <w:rsid w:val="000551E5"/>
    <w:rsid w:val="000552DD"/>
    <w:rsid w:val="00055490"/>
    <w:rsid w:val="00057C2D"/>
    <w:rsid w:val="000602B2"/>
    <w:rsid w:val="0006147C"/>
    <w:rsid w:val="0006230D"/>
    <w:rsid w:val="000629E2"/>
    <w:rsid w:val="00062D25"/>
    <w:rsid w:val="00064E83"/>
    <w:rsid w:val="000656D0"/>
    <w:rsid w:val="00066685"/>
    <w:rsid w:val="00066946"/>
    <w:rsid w:val="00067687"/>
    <w:rsid w:val="00067980"/>
    <w:rsid w:val="000702C7"/>
    <w:rsid w:val="0007042D"/>
    <w:rsid w:val="00070E1E"/>
    <w:rsid w:val="000711E0"/>
    <w:rsid w:val="000711E8"/>
    <w:rsid w:val="00071B86"/>
    <w:rsid w:val="00073D78"/>
    <w:rsid w:val="00073F28"/>
    <w:rsid w:val="00074924"/>
    <w:rsid w:val="00074B3E"/>
    <w:rsid w:val="00075794"/>
    <w:rsid w:val="00075EE4"/>
    <w:rsid w:val="00076460"/>
    <w:rsid w:val="000769C0"/>
    <w:rsid w:val="0008030B"/>
    <w:rsid w:val="00080724"/>
    <w:rsid w:val="0008074A"/>
    <w:rsid w:val="00080AC1"/>
    <w:rsid w:val="00080FDE"/>
    <w:rsid w:val="00080FEA"/>
    <w:rsid w:val="00081392"/>
    <w:rsid w:val="000825CD"/>
    <w:rsid w:val="00082C65"/>
    <w:rsid w:val="00082E41"/>
    <w:rsid w:val="00083710"/>
    <w:rsid w:val="00083C90"/>
    <w:rsid w:val="00083F30"/>
    <w:rsid w:val="0008411B"/>
    <w:rsid w:val="00084463"/>
    <w:rsid w:val="00084746"/>
    <w:rsid w:val="000850E9"/>
    <w:rsid w:val="000859E7"/>
    <w:rsid w:val="00085F92"/>
    <w:rsid w:val="00086313"/>
    <w:rsid w:val="000866E7"/>
    <w:rsid w:val="00086CF7"/>
    <w:rsid w:val="00086DF0"/>
    <w:rsid w:val="000903E0"/>
    <w:rsid w:val="00090426"/>
    <w:rsid w:val="0009085D"/>
    <w:rsid w:val="000915B5"/>
    <w:rsid w:val="0009177F"/>
    <w:rsid w:val="000924E1"/>
    <w:rsid w:val="00092ABD"/>
    <w:rsid w:val="000934EF"/>
    <w:rsid w:val="00093597"/>
    <w:rsid w:val="00093F23"/>
    <w:rsid w:val="000940E3"/>
    <w:rsid w:val="00095825"/>
    <w:rsid w:val="000977D2"/>
    <w:rsid w:val="00097E39"/>
    <w:rsid w:val="000A23F5"/>
    <w:rsid w:val="000A2765"/>
    <w:rsid w:val="000A424B"/>
    <w:rsid w:val="000A477E"/>
    <w:rsid w:val="000A5072"/>
    <w:rsid w:val="000A6D9E"/>
    <w:rsid w:val="000A6ED8"/>
    <w:rsid w:val="000A70C0"/>
    <w:rsid w:val="000A76FF"/>
    <w:rsid w:val="000B005C"/>
    <w:rsid w:val="000B08E0"/>
    <w:rsid w:val="000B0F49"/>
    <w:rsid w:val="000B1025"/>
    <w:rsid w:val="000B1727"/>
    <w:rsid w:val="000B2779"/>
    <w:rsid w:val="000B47AD"/>
    <w:rsid w:val="000B4DB8"/>
    <w:rsid w:val="000B6146"/>
    <w:rsid w:val="000B663B"/>
    <w:rsid w:val="000B6DD8"/>
    <w:rsid w:val="000C0825"/>
    <w:rsid w:val="000C1581"/>
    <w:rsid w:val="000C1777"/>
    <w:rsid w:val="000C17A9"/>
    <w:rsid w:val="000C3ED3"/>
    <w:rsid w:val="000C530E"/>
    <w:rsid w:val="000C542C"/>
    <w:rsid w:val="000C59BA"/>
    <w:rsid w:val="000C6390"/>
    <w:rsid w:val="000C6793"/>
    <w:rsid w:val="000C6B8A"/>
    <w:rsid w:val="000C7700"/>
    <w:rsid w:val="000C79E7"/>
    <w:rsid w:val="000C7F80"/>
    <w:rsid w:val="000D0155"/>
    <w:rsid w:val="000D07ED"/>
    <w:rsid w:val="000D14A9"/>
    <w:rsid w:val="000D191B"/>
    <w:rsid w:val="000D192E"/>
    <w:rsid w:val="000D1930"/>
    <w:rsid w:val="000D208A"/>
    <w:rsid w:val="000D2F21"/>
    <w:rsid w:val="000D3FBC"/>
    <w:rsid w:val="000D486A"/>
    <w:rsid w:val="000D486E"/>
    <w:rsid w:val="000D4B05"/>
    <w:rsid w:val="000D4D7C"/>
    <w:rsid w:val="000D4D91"/>
    <w:rsid w:val="000D4EA2"/>
    <w:rsid w:val="000D523E"/>
    <w:rsid w:val="000D55C4"/>
    <w:rsid w:val="000D696D"/>
    <w:rsid w:val="000D6E05"/>
    <w:rsid w:val="000D6EF1"/>
    <w:rsid w:val="000D6F72"/>
    <w:rsid w:val="000D7392"/>
    <w:rsid w:val="000D7A5B"/>
    <w:rsid w:val="000E0577"/>
    <w:rsid w:val="000E0D71"/>
    <w:rsid w:val="000E13AD"/>
    <w:rsid w:val="000E2607"/>
    <w:rsid w:val="000E3A8A"/>
    <w:rsid w:val="000E406C"/>
    <w:rsid w:val="000E444B"/>
    <w:rsid w:val="000E5428"/>
    <w:rsid w:val="000E5A9F"/>
    <w:rsid w:val="000F02A3"/>
    <w:rsid w:val="000F0526"/>
    <w:rsid w:val="000F1557"/>
    <w:rsid w:val="000F16A9"/>
    <w:rsid w:val="000F1864"/>
    <w:rsid w:val="000F259B"/>
    <w:rsid w:val="000F427B"/>
    <w:rsid w:val="000F42DF"/>
    <w:rsid w:val="000F4554"/>
    <w:rsid w:val="000F456F"/>
    <w:rsid w:val="000F47D9"/>
    <w:rsid w:val="000F513A"/>
    <w:rsid w:val="000F53D5"/>
    <w:rsid w:val="000F653C"/>
    <w:rsid w:val="000F7555"/>
    <w:rsid w:val="001005DF"/>
    <w:rsid w:val="00100B27"/>
    <w:rsid w:val="00101696"/>
    <w:rsid w:val="00102526"/>
    <w:rsid w:val="0010264B"/>
    <w:rsid w:val="00102A52"/>
    <w:rsid w:val="001043B1"/>
    <w:rsid w:val="00104A1E"/>
    <w:rsid w:val="00104B25"/>
    <w:rsid w:val="001057C3"/>
    <w:rsid w:val="00105D37"/>
    <w:rsid w:val="00106888"/>
    <w:rsid w:val="00107537"/>
    <w:rsid w:val="001112B1"/>
    <w:rsid w:val="0011183F"/>
    <w:rsid w:val="00112A18"/>
    <w:rsid w:val="0011354F"/>
    <w:rsid w:val="00113C11"/>
    <w:rsid w:val="00114457"/>
    <w:rsid w:val="00114A6A"/>
    <w:rsid w:val="00114E84"/>
    <w:rsid w:val="0011558A"/>
    <w:rsid w:val="001158C7"/>
    <w:rsid w:val="00115A10"/>
    <w:rsid w:val="001160D8"/>
    <w:rsid w:val="00120F1C"/>
    <w:rsid w:val="00122003"/>
    <w:rsid w:val="001228DF"/>
    <w:rsid w:val="00123312"/>
    <w:rsid w:val="00123E58"/>
    <w:rsid w:val="00125049"/>
    <w:rsid w:val="00125659"/>
    <w:rsid w:val="001258FA"/>
    <w:rsid w:val="001263DC"/>
    <w:rsid w:val="0012656C"/>
    <w:rsid w:val="00126F12"/>
    <w:rsid w:val="001277F0"/>
    <w:rsid w:val="00127F28"/>
    <w:rsid w:val="001302A7"/>
    <w:rsid w:val="001302DE"/>
    <w:rsid w:val="001306E4"/>
    <w:rsid w:val="00130FCA"/>
    <w:rsid w:val="00131E0F"/>
    <w:rsid w:val="001328C8"/>
    <w:rsid w:val="001335B2"/>
    <w:rsid w:val="0013423B"/>
    <w:rsid w:val="00134F74"/>
    <w:rsid w:val="00136356"/>
    <w:rsid w:val="001366B0"/>
    <w:rsid w:val="0013681A"/>
    <w:rsid w:val="001369FF"/>
    <w:rsid w:val="00136D53"/>
    <w:rsid w:val="0014056C"/>
    <w:rsid w:val="00140987"/>
    <w:rsid w:val="00142434"/>
    <w:rsid w:val="00144DE1"/>
    <w:rsid w:val="00144EE4"/>
    <w:rsid w:val="001450B9"/>
    <w:rsid w:val="00145D8B"/>
    <w:rsid w:val="00146A76"/>
    <w:rsid w:val="001471B2"/>
    <w:rsid w:val="001471D4"/>
    <w:rsid w:val="0015024C"/>
    <w:rsid w:val="00152E22"/>
    <w:rsid w:val="0015365C"/>
    <w:rsid w:val="00154D0D"/>
    <w:rsid w:val="001560B9"/>
    <w:rsid w:val="00156776"/>
    <w:rsid w:val="00156A1E"/>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708B6"/>
    <w:rsid w:val="00171392"/>
    <w:rsid w:val="00171559"/>
    <w:rsid w:val="00172ADC"/>
    <w:rsid w:val="00175B6B"/>
    <w:rsid w:val="00176026"/>
    <w:rsid w:val="001764BB"/>
    <w:rsid w:val="00177487"/>
    <w:rsid w:val="001778BA"/>
    <w:rsid w:val="00177CEC"/>
    <w:rsid w:val="001801B1"/>
    <w:rsid w:val="00180DE7"/>
    <w:rsid w:val="001813B3"/>
    <w:rsid w:val="00181668"/>
    <w:rsid w:val="0018208D"/>
    <w:rsid w:val="001825E7"/>
    <w:rsid w:val="0018438A"/>
    <w:rsid w:val="0018443E"/>
    <w:rsid w:val="00184A4E"/>
    <w:rsid w:val="001851E0"/>
    <w:rsid w:val="001853C2"/>
    <w:rsid w:val="00185A05"/>
    <w:rsid w:val="00185FEE"/>
    <w:rsid w:val="001864A2"/>
    <w:rsid w:val="00187848"/>
    <w:rsid w:val="00187F43"/>
    <w:rsid w:val="00190182"/>
    <w:rsid w:val="0019057F"/>
    <w:rsid w:val="00191F3F"/>
    <w:rsid w:val="0019365A"/>
    <w:rsid w:val="00193B06"/>
    <w:rsid w:val="001953D9"/>
    <w:rsid w:val="00196915"/>
    <w:rsid w:val="001A0476"/>
    <w:rsid w:val="001A0538"/>
    <w:rsid w:val="001A0FCA"/>
    <w:rsid w:val="001A15A7"/>
    <w:rsid w:val="001A3DE7"/>
    <w:rsid w:val="001A54BF"/>
    <w:rsid w:val="001A65C4"/>
    <w:rsid w:val="001A703C"/>
    <w:rsid w:val="001A70BD"/>
    <w:rsid w:val="001A7DCC"/>
    <w:rsid w:val="001A7F57"/>
    <w:rsid w:val="001B00E7"/>
    <w:rsid w:val="001B1B87"/>
    <w:rsid w:val="001B6A93"/>
    <w:rsid w:val="001C109C"/>
    <w:rsid w:val="001C29AC"/>
    <w:rsid w:val="001C3E8E"/>
    <w:rsid w:val="001C6385"/>
    <w:rsid w:val="001C67D3"/>
    <w:rsid w:val="001C70F9"/>
    <w:rsid w:val="001C7893"/>
    <w:rsid w:val="001C7D8C"/>
    <w:rsid w:val="001C7D91"/>
    <w:rsid w:val="001D06C5"/>
    <w:rsid w:val="001D0776"/>
    <w:rsid w:val="001D09BD"/>
    <w:rsid w:val="001D1C32"/>
    <w:rsid w:val="001D1CE6"/>
    <w:rsid w:val="001D1DF0"/>
    <w:rsid w:val="001D3404"/>
    <w:rsid w:val="001D3B13"/>
    <w:rsid w:val="001D41DF"/>
    <w:rsid w:val="001D5539"/>
    <w:rsid w:val="001D59EF"/>
    <w:rsid w:val="001D6703"/>
    <w:rsid w:val="001D6A5D"/>
    <w:rsid w:val="001D71CD"/>
    <w:rsid w:val="001D757B"/>
    <w:rsid w:val="001D7B27"/>
    <w:rsid w:val="001E174C"/>
    <w:rsid w:val="001E1FE5"/>
    <w:rsid w:val="001E2AFF"/>
    <w:rsid w:val="001E345D"/>
    <w:rsid w:val="001E39F6"/>
    <w:rsid w:val="001E4164"/>
    <w:rsid w:val="001E4691"/>
    <w:rsid w:val="001E4E03"/>
    <w:rsid w:val="001E516F"/>
    <w:rsid w:val="001E5248"/>
    <w:rsid w:val="001E5675"/>
    <w:rsid w:val="001E5BFD"/>
    <w:rsid w:val="001E70F0"/>
    <w:rsid w:val="001E79B9"/>
    <w:rsid w:val="001F0C45"/>
    <w:rsid w:val="001F0E74"/>
    <w:rsid w:val="001F139E"/>
    <w:rsid w:val="001F245F"/>
    <w:rsid w:val="001F2532"/>
    <w:rsid w:val="001F25F8"/>
    <w:rsid w:val="001F2BB0"/>
    <w:rsid w:val="001F337F"/>
    <w:rsid w:val="001F3A41"/>
    <w:rsid w:val="001F421A"/>
    <w:rsid w:val="001F46E7"/>
    <w:rsid w:val="001F4DAB"/>
    <w:rsid w:val="001F6864"/>
    <w:rsid w:val="001F7DFE"/>
    <w:rsid w:val="0020049E"/>
    <w:rsid w:val="00201AF3"/>
    <w:rsid w:val="00203CF7"/>
    <w:rsid w:val="00203E0E"/>
    <w:rsid w:val="002047D2"/>
    <w:rsid w:val="002049D9"/>
    <w:rsid w:val="00205850"/>
    <w:rsid w:val="00206C49"/>
    <w:rsid w:val="002071C3"/>
    <w:rsid w:val="002072BC"/>
    <w:rsid w:val="002106C9"/>
    <w:rsid w:val="00211EEF"/>
    <w:rsid w:val="00212730"/>
    <w:rsid w:val="00213214"/>
    <w:rsid w:val="002140B9"/>
    <w:rsid w:val="00215B5E"/>
    <w:rsid w:val="0021691A"/>
    <w:rsid w:val="00216AA3"/>
    <w:rsid w:val="00221870"/>
    <w:rsid w:val="002230A3"/>
    <w:rsid w:val="00223BB6"/>
    <w:rsid w:val="00223D75"/>
    <w:rsid w:val="00225B3C"/>
    <w:rsid w:val="002272FC"/>
    <w:rsid w:val="00227783"/>
    <w:rsid w:val="00227E8F"/>
    <w:rsid w:val="0023041A"/>
    <w:rsid w:val="002332EF"/>
    <w:rsid w:val="00233517"/>
    <w:rsid w:val="00233CAC"/>
    <w:rsid w:val="00234927"/>
    <w:rsid w:val="00234ABD"/>
    <w:rsid w:val="00234FBE"/>
    <w:rsid w:val="00234FC1"/>
    <w:rsid w:val="00236056"/>
    <w:rsid w:val="002363AE"/>
    <w:rsid w:val="0023657F"/>
    <w:rsid w:val="00236F49"/>
    <w:rsid w:val="00237B23"/>
    <w:rsid w:val="00237E16"/>
    <w:rsid w:val="002401A4"/>
    <w:rsid w:val="002404EF"/>
    <w:rsid w:val="00240742"/>
    <w:rsid w:val="00240890"/>
    <w:rsid w:val="0024103C"/>
    <w:rsid w:val="0024104A"/>
    <w:rsid w:val="00241721"/>
    <w:rsid w:val="002418C4"/>
    <w:rsid w:val="00241F46"/>
    <w:rsid w:val="0024334D"/>
    <w:rsid w:val="002437BF"/>
    <w:rsid w:val="00243ABB"/>
    <w:rsid w:val="00243AF4"/>
    <w:rsid w:val="002444B8"/>
    <w:rsid w:val="00244CAA"/>
    <w:rsid w:val="00245A2F"/>
    <w:rsid w:val="00245CCD"/>
    <w:rsid w:val="00245F4A"/>
    <w:rsid w:val="00246113"/>
    <w:rsid w:val="00247266"/>
    <w:rsid w:val="00247518"/>
    <w:rsid w:val="002504C0"/>
    <w:rsid w:val="002516D9"/>
    <w:rsid w:val="00252419"/>
    <w:rsid w:val="0025278D"/>
    <w:rsid w:val="002536E2"/>
    <w:rsid w:val="00253B8D"/>
    <w:rsid w:val="0025474D"/>
    <w:rsid w:val="0025548A"/>
    <w:rsid w:val="00256532"/>
    <w:rsid w:val="00256680"/>
    <w:rsid w:val="00256758"/>
    <w:rsid w:val="002575B7"/>
    <w:rsid w:val="00257BC9"/>
    <w:rsid w:val="0026082D"/>
    <w:rsid w:val="0026150E"/>
    <w:rsid w:val="00261D7B"/>
    <w:rsid w:val="00261FDD"/>
    <w:rsid w:val="00262D2F"/>
    <w:rsid w:val="00263675"/>
    <w:rsid w:val="002638BB"/>
    <w:rsid w:val="0026442A"/>
    <w:rsid w:val="0026483C"/>
    <w:rsid w:val="00264C0E"/>
    <w:rsid w:val="002650E7"/>
    <w:rsid w:val="002664F7"/>
    <w:rsid w:val="002678C2"/>
    <w:rsid w:val="00270292"/>
    <w:rsid w:val="00270705"/>
    <w:rsid w:val="00271240"/>
    <w:rsid w:val="002718A9"/>
    <w:rsid w:val="00271A2C"/>
    <w:rsid w:val="00271F42"/>
    <w:rsid w:val="002726E6"/>
    <w:rsid w:val="00272AA3"/>
    <w:rsid w:val="00273123"/>
    <w:rsid w:val="0027316E"/>
    <w:rsid w:val="002740CA"/>
    <w:rsid w:val="00274153"/>
    <w:rsid w:val="00274683"/>
    <w:rsid w:val="0027477C"/>
    <w:rsid w:val="00274F6E"/>
    <w:rsid w:val="00275B67"/>
    <w:rsid w:val="002768FA"/>
    <w:rsid w:val="00277AAF"/>
    <w:rsid w:val="00277FD4"/>
    <w:rsid w:val="002806B7"/>
    <w:rsid w:val="00281775"/>
    <w:rsid w:val="0028179E"/>
    <w:rsid w:val="00281AA6"/>
    <w:rsid w:val="00283ACB"/>
    <w:rsid w:val="00285ACC"/>
    <w:rsid w:val="00285C1C"/>
    <w:rsid w:val="00285CB2"/>
    <w:rsid w:val="00285D9D"/>
    <w:rsid w:val="002860C6"/>
    <w:rsid w:val="00286D70"/>
    <w:rsid w:val="00287D90"/>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0D1B"/>
    <w:rsid w:val="002A2078"/>
    <w:rsid w:val="002A2153"/>
    <w:rsid w:val="002A2208"/>
    <w:rsid w:val="002A2AAF"/>
    <w:rsid w:val="002A2DA8"/>
    <w:rsid w:val="002A3F0B"/>
    <w:rsid w:val="002A3FFA"/>
    <w:rsid w:val="002A421A"/>
    <w:rsid w:val="002A564E"/>
    <w:rsid w:val="002A5D95"/>
    <w:rsid w:val="002A5DB0"/>
    <w:rsid w:val="002A63F2"/>
    <w:rsid w:val="002A7007"/>
    <w:rsid w:val="002A7BDF"/>
    <w:rsid w:val="002B01E2"/>
    <w:rsid w:val="002B12F1"/>
    <w:rsid w:val="002B18B8"/>
    <w:rsid w:val="002B1CE6"/>
    <w:rsid w:val="002B2899"/>
    <w:rsid w:val="002B4D3C"/>
    <w:rsid w:val="002B5016"/>
    <w:rsid w:val="002B5135"/>
    <w:rsid w:val="002B5881"/>
    <w:rsid w:val="002B58AB"/>
    <w:rsid w:val="002B5BE4"/>
    <w:rsid w:val="002B6529"/>
    <w:rsid w:val="002B6E49"/>
    <w:rsid w:val="002C05CA"/>
    <w:rsid w:val="002C1DA8"/>
    <w:rsid w:val="002C243C"/>
    <w:rsid w:val="002C296F"/>
    <w:rsid w:val="002C2972"/>
    <w:rsid w:val="002C364F"/>
    <w:rsid w:val="002C44D2"/>
    <w:rsid w:val="002C4507"/>
    <w:rsid w:val="002C4A24"/>
    <w:rsid w:val="002C662D"/>
    <w:rsid w:val="002C6DD5"/>
    <w:rsid w:val="002C7038"/>
    <w:rsid w:val="002C7783"/>
    <w:rsid w:val="002D037B"/>
    <w:rsid w:val="002D046C"/>
    <w:rsid w:val="002D15B4"/>
    <w:rsid w:val="002D185A"/>
    <w:rsid w:val="002D1D78"/>
    <w:rsid w:val="002D1F57"/>
    <w:rsid w:val="002D2A91"/>
    <w:rsid w:val="002D31F5"/>
    <w:rsid w:val="002D32FC"/>
    <w:rsid w:val="002D34FF"/>
    <w:rsid w:val="002D3628"/>
    <w:rsid w:val="002D3B16"/>
    <w:rsid w:val="002D4284"/>
    <w:rsid w:val="002D478F"/>
    <w:rsid w:val="002D50D1"/>
    <w:rsid w:val="002D5583"/>
    <w:rsid w:val="002D5723"/>
    <w:rsid w:val="002D59E9"/>
    <w:rsid w:val="002D5AF4"/>
    <w:rsid w:val="002D700F"/>
    <w:rsid w:val="002D79E9"/>
    <w:rsid w:val="002D7D93"/>
    <w:rsid w:val="002E123C"/>
    <w:rsid w:val="002E16EB"/>
    <w:rsid w:val="002E1A3C"/>
    <w:rsid w:val="002E206E"/>
    <w:rsid w:val="002E24B9"/>
    <w:rsid w:val="002E2A22"/>
    <w:rsid w:val="002E3F33"/>
    <w:rsid w:val="002E50E3"/>
    <w:rsid w:val="002E556A"/>
    <w:rsid w:val="002E7155"/>
    <w:rsid w:val="002F0C2A"/>
    <w:rsid w:val="002F1CFC"/>
    <w:rsid w:val="002F36BB"/>
    <w:rsid w:val="002F48AA"/>
    <w:rsid w:val="002F48AC"/>
    <w:rsid w:val="002F4AC5"/>
    <w:rsid w:val="002F4E1F"/>
    <w:rsid w:val="002F4F1E"/>
    <w:rsid w:val="002F5213"/>
    <w:rsid w:val="002F59F9"/>
    <w:rsid w:val="002F7B85"/>
    <w:rsid w:val="002F7BA7"/>
    <w:rsid w:val="0030183C"/>
    <w:rsid w:val="00303AD0"/>
    <w:rsid w:val="00303C69"/>
    <w:rsid w:val="0030419C"/>
    <w:rsid w:val="00304399"/>
    <w:rsid w:val="0030440D"/>
    <w:rsid w:val="00304740"/>
    <w:rsid w:val="00304D04"/>
    <w:rsid w:val="0030503D"/>
    <w:rsid w:val="003058C6"/>
    <w:rsid w:val="003058F1"/>
    <w:rsid w:val="003059FD"/>
    <w:rsid w:val="0030792A"/>
    <w:rsid w:val="00310426"/>
    <w:rsid w:val="00311F53"/>
    <w:rsid w:val="00312AD3"/>
    <w:rsid w:val="00312C29"/>
    <w:rsid w:val="00313F9C"/>
    <w:rsid w:val="003154DE"/>
    <w:rsid w:val="0031577A"/>
    <w:rsid w:val="00316501"/>
    <w:rsid w:val="0031711A"/>
    <w:rsid w:val="0031770E"/>
    <w:rsid w:val="003200B3"/>
    <w:rsid w:val="003210EA"/>
    <w:rsid w:val="0032300C"/>
    <w:rsid w:val="00323CEF"/>
    <w:rsid w:val="00323D93"/>
    <w:rsid w:val="00324AF8"/>
    <w:rsid w:val="00324E43"/>
    <w:rsid w:val="003250CA"/>
    <w:rsid w:val="003257B8"/>
    <w:rsid w:val="003275B3"/>
    <w:rsid w:val="003275C9"/>
    <w:rsid w:val="003276D0"/>
    <w:rsid w:val="00327747"/>
    <w:rsid w:val="00327895"/>
    <w:rsid w:val="00327E98"/>
    <w:rsid w:val="00330680"/>
    <w:rsid w:val="00330D5E"/>
    <w:rsid w:val="00332BD5"/>
    <w:rsid w:val="00332D92"/>
    <w:rsid w:val="003331CD"/>
    <w:rsid w:val="00333EF5"/>
    <w:rsid w:val="00334FCD"/>
    <w:rsid w:val="00335731"/>
    <w:rsid w:val="00335BD2"/>
    <w:rsid w:val="00335CFC"/>
    <w:rsid w:val="00335FDD"/>
    <w:rsid w:val="00336698"/>
    <w:rsid w:val="0033708F"/>
    <w:rsid w:val="003372AA"/>
    <w:rsid w:val="00337328"/>
    <w:rsid w:val="00337D1A"/>
    <w:rsid w:val="00340410"/>
    <w:rsid w:val="00341DDB"/>
    <w:rsid w:val="00342196"/>
    <w:rsid w:val="00343872"/>
    <w:rsid w:val="003439EC"/>
    <w:rsid w:val="003447BF"/>
    <w:rsid w:val="00344B0C"/>
    <w:rsid w:val="003453AC"/>
    <w:rsid w:val="003453B7"/>
    <w:rsid w:val="003456EA"/>
    <w:rsid w:val="00346B95"/>
    <w:rsid w:val="00347301"/>
    <w:rsid w:val="003513DF"/>
    <w:rsid w:val="003517BF"/>
    <w:rsid w:val="00353563"/>
    <w:rsid w:val="003539D5"/>
    <w:rsid w:val="00354518"/>
    <w:rsid w:val="003548F6"/>
    <w:rsid w:val="00354936"/>
    <w:rsid w:val="00355F34"/>
    <w:rsid w:val="00360B4A"/>
    <w:rsid w:val="0036161B"/>
    <w:rsid w:val="00362AA0"/>
    <w:rsid w:val="00363894"/>
    <w:rsid w:val="0036441D"/>
    <w:rsid w:val="003670E6"/>
    <w:rsid w:val="003673B8"/>
    <w:rsid w:val="00367488"/>
    <w:rsid w:val="003704BC"/>
    <w:rsid w:val="003705D4"/>
    <w:rsid w:val="003712A8"/>
    <w:rsid w:val="0037221C"/>
    <w:rsid w:val="00372CDD"/>
    <w:rsid w:val="00372F98"/>
    <w:rsid w:val="003730E5"/>
    <w:rsid w:val="0037345E"/>
    <w:rsid w:val="0037431E"/>
    <w:rsid w:val="0037492B"/>
    <w:rsid w:val="00376454"/>
    <w:rsid w:val="00376E6B"/>
    <w:rsid w:val="00377054"/>
    <w:rsid w:val="00377C5E"/>
    <w:rsid w:val="00380AC9"/>
    <w:rsid w:val="00380F99"/>
    <w:rsid w:val="003814D2"/>
    <w:rsid w:val="00381DDC"/>
    <w:rsid w:val="0038248B"/>
    <w:rsid w:val="00382E34"/>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65FA"/>
    <w:rsid w:val="003970E1"/>
    <w:rsid w:val="003971A7"/>
    <w:rsid w:val="00397485"/>
    <w:rsid w:val="00397552"/>
    <w:rsid w:val="003A092C"/>
    <w:rsid w:val="003A0D2D"/>
    <w:rsid w:val="003A0FA6"/>
    <w:rsid w:val="003A157A"/>
    <w:rsid w:val="003A1CA9"/>
    <w:rsid w:val="003A22A0"/>
    <w:rsid w:val="003A238B"/>
    <w:rsid w:val="003A2833"/>
    <w:rsid w:val="003A31B0"/>
    <w:rsid w:val="003A4916"/>
    <w:rsid w:val="003A5AB3"/>
    <w:rsid w:val="003A616E"/>
    <w:rsid w:val="003A6EA0"/>
    <w:rsid w:val="003A7020"/>
    <w:rsid w:val="003B0284"/>
    <w:rsid w:val="003B030C"/>
    <w:rsid w:val="003B0768"/>
    <w:rsid w:val="003B12E1"/>
    <w:rsid w:val="003B12F5"/>
    <w:rsid w:val="003B155E"/>
    <w:rsid w:val="003B16CE"/>
    <w:rsid w:val="003B2025"/>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CB8"/>
    <w:rsid w:val="003C5EE4"/>
    <w:rsid w:val="003C7426"/>
    <w:rsid w:val="003C78AD"/>
    <w:rsid w:val="003C7AC5"/>
    <w:rsid w:val="003D06B5"/>
    <w:rsid w:val="003D0FAC"/>
    <w:rsid w:val="003D24E4"/>
    <w:rsid w:val="003D3562"/>
    <w:rsid w:val="003D3921"/>
    <w:rsid w:val="003D3C3E"/>
    <w:rsid w:val="003D427E"/>
    <w:rsid w:val="003D5694"/>
    <w:rsid w:val="003D57CB"/>
    <w:rsid w:val="003D5F94"/>
    <w:rsid w:val="003D691D"/>
    <w:rsid w:val="003D692F"/>
    <w:rsid w:val="003D6C0E"/>
    <w:rsid w:val="003D7160"/>
    <w:rsid w:val="003D77DF"/>
    <w:rsid w:val="003D7BF1"/>
    <w:rsid w:val="003D7CB5"/>
    <w:rsid w:val="003D7FC8"/>
    <w:rsid w:val="003E079B"/>
    <w:rsid w:val="003E104B"/>
    <w:rsid w:val="003E1132"/>
    <w:rsid w:val="003E13BA"/>
    <w:rsid w:val="003E2B07"/>
    <w:rsid w:val="003E2CD9"/>
    <w:rsid w:val="003E2F40"/>
    <w:rsid w:val="003E499F"/>
    <w:rsid w:val="003E4CFF"/>
    <w:rsid w:val="003E5280"/>
    <w:rsid w:val="003E59D2"/>
    <w:rsid w:val="003E61F1"/>
    <w:rsid w:val="003E7138"/>
    <w:rsid w:val="003E7A55"/>
    <w:rsid w:val="003F01B1"/>
    <w:rsid w:val="003F1410"/>
    <w:rsid w:val="003F1823"/>
    <w:rsid w:val="003F18EF"/>
    <w:rsid w:val="003F2A8C"/>
    <w:rsid w:val="003F3000"/>
    <w:rsid w:val="003F336E"/>
    <w:rsid w:val="003F698E"/>
    <w:rsid w:val="003F7389"/>
    <w:rsid w:val="00400481"/>
    <w:rsid w:val="00400E6A"/>
    <w:rsid w:val="00402B19"/>
    <w:rsid w:val="00404624"/>
    <w:rsid w:val="00404B70"/>
    <w:rsid w:val="00405CED"/>
    <w:rsid w:val="00405ED8"/>
    <w:rsid w:val="004060A3"/>
    <w:rsid w:val="00406610"/>
    <w:rsid w:val="004066C6"/>
    <w:rsid w:val="00406D84"/>
    <w:rsid w:val="004103AB"/>
    <w:rsid w:val="00410A29"/>
    <w:rsid w:val="00410BB9"/>
    <w:rsid w:val="00411996"/>
    <w:rsid w:val="00411CDC"/>
    <w:rsid w:val="004122F0"/>
    <w:rsid w:val="00412DC6"/>
    <w:rsid w:val="00413830"/>
    <w:rsid w:val="00413CB8"/>
    <w:rsid w:val="00413FEB"/>
    <w:rsid w:val="00414A75"/>
    <w:rsid w:val="0041517A"/>
    <w:rsid w:val="00417894"/>
    <w:rsid w:val="00417AE1"/>
    <w:rsid w:val="0042005F"/>
    <w:rsid w:val="00420A69"/>
    <w:rsid w:val="004210D1"/>
    <w:rsid w:val="00421609"/>
    <w:rsid w:val="00421618"/>
    <w:rsid w:val="00422C17"/>
    <w:rsid w:val="00425890"/>
    <w:rsid w:val="00425B13"/>
    <w:rsid w:val="00425DD1"/>
    <w:rsid w:val="0042623C"/>
    <w:rsid w:val="004267EC"/>
    <w:rsid w:val="00426915"/>
    <w:rsid w:val="00426AFE"/>
    <w:rsid w:val="00427859"/>
    <w:rsid w:val="0042794B"/>
    <w:rsid w:val="00427FCD"/>
    <w:rsid w:val="0043102F"/>
    <w:rsid w:val="004318F8"/>
    <w:rsid w:val="00431BD5"/>
    <w:rsid w:val="00432D73"/>
    <w:rsid w:val="00432D9A"/>
    <w:rsid w:val="00432F85"/>
    <w:rsid w:val="004331B4"/>
    <w:rsid w:val="00433858"/>
    <w:rsid w:val="004338F3"/>
    <w:rsid w:val="004339F6"/>
    <w:rsid w:val="00433B7C"/>
    <w:rsid w:val="00434598"/>
    <w:rsid w:val="0043469A"/>
    <w:rsid w:val="00434883"/>
    <w:rsid w:val="00434B58"/>
    <w:rsid w:val="0043550A"/>
    <w:rsid w:val="00435A74"/>
    <w:rsid w:val="00435C8F"/>
    <w:rsid w:val="004374EB"/>
    <w:rsid w:val="00437FAC"/>
    <w:rsid w:val="00440142"/>
    <w:rsid w:val="004408FF"/>
    <w:rsid w:val="00440B29"/>
    <w:rsid w:val="00441522"/>
    <w:rsid w:val="00441605"/>
    <w:rsid w:val="004419A1"/>
    <w:rsid w:val="00441A97"/>
    <w:rsid w:val="00441CBC"/>
    <w:rsid w:val="00441D19"/>
    <w:rsid w:val="00441EA6"/>
    <w:rsid w:val="004438E7"/>
    <w:rsid w:val="004439A5"/>
    <w:rsid w:val="00443ED8"/>
    <w:rsid w:val="004442B5"/>
    <w:rsid w:val="004443B1"/>
    <w:rsid w:val="00444776"/>
    <w:rsid w:val="004449C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340"/>
    <w:rsid w:val="00455615"/>
    <w:rsid w:val="004558A9"/>
    <w:rsid w:val="0045620D"/>
    <w:rsid w:val="004563BF"/>
    <w:rsid w:val="00456A3C"/>
    <w:rsid w:val="004577FB"/>
    <w:rsid w:val="00460F4C"/>
    <w:rsid w:val="00461CDA"/>
    <w:rsid w:val="00461D9C"/>
    <w:rsid w:val="00461E1E"/>
    <w:rsid w:val="00462A2F"/>
    <w:rsid w:val="00462BD9"/>
    <w:rsid w:val="00463295"/>
    <w:rsid w:val="00463340"/>
    <w:rsid w:val="004639FF"/>
    <w:rsid w:val="00463F84"/>
    <w:rsid w:val="00464298"/>
    <w:rsid w:val="00464654"/>
    <w:rsid w:val="004650B1"/>
    <w:rsid w:val="00465860"/>
    <w:rsid w:val="004661C7"/>
    <w:rsid w:val="004661E3"/>
    <w:rsid w:val="00467023"/>
    <w:rsid w:val="004673B9"/>
    <w:rsid w:val="0046758A"/>
    <w:rsid w:val="00470699"/>
    <w:rsid w:val="0047223E"/>
    <w:rsid w:val="00472462"/>
    <w:rsid w:val="0047256B"/>
    <w:rsid w:val="00472EA5"/>
    <w:rsid w:val="00474213"/>
    <w:rsid w:val="004742E3"/>
    <w:rsid w:val="00474476"/>
    <w:rsid w:val="004748B0"/>
    <w:rsid w:val="00474F95"/>
    <w:rsid w:val="004752F0"/>
    <w:rsid w:val="00475809"/>
    <w:rsid w:val="00476CF5"/>
    <w:rsid w:val="00480105"/>
    <w:rsid w:val="00480D01"/>
    <w:rsid w:val="00482D97"/>
    <w:rsid w:val="004841A4"/>
    <w:rsid w:val="004843CF"/>
    <w:rsid w:val="00484890"/>
    <w:rsid w:val="00484D5F"/>
    <w:rsid w:val="004859B1"/>
    <w:rsid w:val="00485C5C"/>
    <w:rsid w:val="00486766"/>
    <w:rsid w:val="00487AA4"/>
    <w:rsid w:val="00487DEE"/>
    <w:rsid w:val="00490A89"/>
    <w:rsid w:val="00492103"/>
    <w:rsid w:val="00492A36"/>
    <w:rsid w:val="004940D8"/>
    <w:rsid w:val="00494697"/>
    <w:rsid w:val="00494E61"/>
    <w:rsid w:val="00495B7E"/>
    <w:rsid w:val="00495CBA"/>
    <w:rsid w:val="00495DBB"/>
    <w:rsid w:val="00496126"/>
    <w:rsid w:val="00496877"/>
    <w:rsid w:val="004A023A"/>
    <w:rsid w:val="004A142B"/>
    <w:rsid w:val="004A2863"/>
    <w:rsid w:val="004A2FE3"/>
    <w:rsid w:val="004A362C"/>
    <w:rsid w:val="004A3C44"/>
    <w:rsid w:val="004A40B1"/>
    <w:rsid w:val="004A5113"/>
    <w:rsid w:val="004A5FCD"/>
    <w:rsid w:val="004A67D7"/>
    <w:rsid w:val="004A6A34"/>
    <w:rsid w:val="004A78E9"/>
    <w:rsid w:val="004A7E98"/>
    <w:rsid w:val="004B0197"/>
    <w:rsid w:val="004B07C3"/>
    <w:rsid w:val="004B09C6"/>
    <w:rsid w:val="004B2233"/>
    <w:rsid w:val="004B2775"/>
    <w:rsid w:val="004B2F5D"/>
    <w:rsid w:val="004B31F9"/>
    <w:rsid w:val="004B3759"/>
    <w:rsid w:val="004B4033"/>
    <w:rsid w:val="004B486A"/>
    <w:rsid w:val="004B58F5"/>
    <w:rsid w:val="004B64AF"/>
    <w:rsid w:val="004B691A"/>
    <w:rsid w:val="004B6DF9"/>
    <w:rsid w:val="004B787F"/>
    <w:rsid w:val="004B7898"/>
    <w:rsid w:val="004B7CFB"/>
    <w:rsid w:val="004C0025"/>
    <w:rsid w:val="004C096A"/>
    <w:rsid w:val="004C0D82"/>
    <w:rsid w:val="004C15BD"/>
    <w:rsid w:val="004C1798"/>
    <w:rsid w:val="004C1BCB"/>
    <w:rsid w:val="004C3EB7"/>
    <w:rsid w:val="004C41CE"/>
    <w:rsid w:val="004C443E"/>
    <w:rsid w:val="004C485E"/>
    <w:rsid w:val="004C5A4B"/>
    <w:rsid w:val="004C5B41"/>
    <w:rsid w:val="004C5B91"/>
    <w:rsid w:val="004C6AA1"/>
    <w:rsid w:val="004C6D3B"/>
    <w:rsid w:val="004C7285"/>
    <w:rsid w:val="004D12A5"/>
    <w:rsid w:val="004D1C44"/>
    <w:rsid w:val="004D22A8"/>
    <w:rsid w:val="004D26A6"/>
    <w:rsid w:val="004D278C"/>
    <w:rsid w:val="004D286B"/>
    <w:rsid w:val="004D52BE"/>
    <w:rsid w:val="004D5F57"/>
    <w:rsid w:val="004D6094"/>
    <w:rsid w:val="004D753B"/>
    <w:rsid w:val="004D7EB9"/>
    <w:rsid w:val="004E130F"/>
    <w:rsid w:val="004E277C"/>
    <w:rsid w:val="004E3AEB"/>
    <w:rsid w:val="004E4538"/>
    <w:rsid w:val="004E5730"/>
    <w:rsid w:val="004E66C9"/>
    <w:rsid w:val="004E7146"/>
    <w:rsid w:val="004E76CD"/>
    <w:rsid w:val="004E77B6"/>
    <w:rsid w:val="004F087B"/>
    <w:rsid w:val="004F08D6"/>
    <w:rsid w:val="004F3524"/>
    <w:rsid w:val="004F36AB"/>
    <w:rsid w:val="004F47A8"/>
    <w:rsid w:val="004F50BC"/>
    <w:rsid w:val="004F5278"/>
    <w:rsid w:val="004F6792"/>
    <w:rsid w:val="004F726A"/>
    <w:rsid w:val="004F78CE"/>
    <w:rsid w:val="00502165"/>
    <w:rsid w:val="0050287F"/>
    <w:rsid w:val="005038C5"/>
    <w:rsid w:val="00503E88"/>
    <w:rsid w:val="00505669"/>
    <w:rsid w:val="00505C66"/>
    <w:rsid w:val="00506988"/>
    <w:rsid w:val="005076C6"/>
    <w:rsid w:val="00507DB0"/>
    <w:rsid w:val="00510353"/>
    <w:rsid w:val="005108DF"/>
    <w:rsid w:val="00510ABF"/>
    <w:rsid w:val="0051210D"/>
    <w:rsid w:val="005129AA"/>
    <w:rsid w:val="005129D7"/>
    <w:rsid w:val="00512A10"/>
    <w:rsid w:val="00513345"/>
    <w:rsid w:val="005140BF"/>
    <w:rsid w:val="0051428E"/>
    <w:rsid w:val="00514C00"/>
    <w:rsid w:val="0051575E"/>
    <w:rsid w:val="00516023"/>
    <w:rsid w:val="005207CB"/>
    <w:rsid w:val="00520A52"/>
    <w:rsid w:val="005212AA"/>
    <w:rsid w:val="005215CB"/>
    <w:rsid w:val="00521B6B"/>
    <w:rsid w:val="005225BE"/>
    <w:rsid w:val="00522791"/>
    <w:rsid w:val="005233CF"/>
    <w:rsid w:val="00523559"/>
    <w:rsid w:val="00523C97"/>
    <w:rsid w:val="00524D7D"/>
    <w:rsid w:val="005258B1"/>
    <w:rsid w:val="0052641F"/>
    <w:rsid w:val="00527CA1"/>
    <w:rsid w:val="00527E8D"/>
    <w:rsid w:val="00530470"/>
    <w:rsid w:val="0053060F"/>
    <w:rsid w:val="00530959"/>
    <w:rsid w:val="00530F7A"/>
    <w:rsid w:val="00531335"/>
    <w:rsid w:val="005317B8"/>
    <w:rsid w:val="00532530"/>
    <w:rsid w:val="00532678"/>
    <w:rsid w:val="00532796"/>
    <w:rsid w:val="00534FD6"/>
    <w:rsid w:val="00535273"/>
    <w:rsid w:val="00536068"/>
    <w:rsid w:val="00537577"/>
    <w:rsid w:val="0053797B"/>
    <w:rsid w:val="00537F86"/>
    <w:rsid w:val="00540261"/>
    <w:rsid w:val="005404C5"/>
    <w:rsid w:val="00541DDC"/>
    <w:rsid w:val="005435FD"/>
    <w:rsid w:val="00544E08"/>
    <w:rsid w:val="0054574F"/>
    <w:rsid w:val="00545999"/>
    <w:rsid w:val="0054704E"/>
    <w:rsid w:val="0055043D"/>
    <w:rsid w:val="00550692"/>
    <w:rsid w:val="005508DB"/>
    <w:rsid w:val="00550970"/>
    <w:rsid w:val="00550B76"/>
    <w:rsid w:val="00550E03"/>
    <w:rsid w:val="00551123"/>
    <w:rsid w:val="00551492"/>
    <w:rsid w:val="005515D7"/>
    <w:rsid w:val="00551D52"/>
    <w:rsid w:val="005525F3"/>
    <w:rsid w:val="00552812"/>
    <w:rsid w:val="00552A81"/>
    <w:rsid w:val="00552C0C"/>
    <w:rsid w:val="0055399F"/>
    <w:rsid w:val="00553E3D"/>
    <w:rsid w:val="005540F3"/>
    <w:rsid w:val="00554926"/>
    <w:rsid w:val="00555A6F"/>
    <w:rsid w:val="0055661F"/>
    <w:rsid w:val="00556897"/>
    <w:rsid w:val="0055796F"/>
    <w:rsid w:val="005606F1"/>
    <w:rsid w:val="00560818"/>
    <w:rsid w:val="00560ED1"/>
    <w:rsid w:val="0056246A"/>
    <w:rsid w:val="00562D9E"/>
    <w:rsid w:val="00562F3F"/>
    <w:rsid w:val="00563A17"/>
    <w:rsid w:val="00563BAB"/>
    <w:rsid w:val="005642BB"/>
    <w:rsid w:val="0056430D"/>
    <w:rsid w:val="00564CDE"/>
    <w:rsid w:val="00565140"/>
    <w:rsid w:val="00565D70"/>
    <w:rsid w:val="00566160"/>
    <w:rsid w:val="005666BC"/>
    <w:rsid w:val="005676C4"/>
    <w:rsid w:val="00567A36"/>
    <w:rsid w:val="00567B6C"/>
    <w:rsid w:val="00567EE7"/>
    <w:rsid w:val="00570A08"/>
    <w:rsid w:val="00570BBF"/>
    <w:rsid w:val="00571094"/>
    <w:rsid w:val="00571437"/>
    <w:rsid w:val="00571945"/>
    <w:rsid w:val="00572B4B"/>
    <w:rsid w:val="00572E23"/>
    <w:rsid w:val="00573BFD"/>
    <w:rsid w:val="00573C89"/>
    <w:rsid w:val="0057432F"/>
    <w:rsid w:val="0057441F"/>
    <w:rsid w:val="00574F36"/>
    <w:rsid w:val="0057534A"/>
    <w:rsid w:val="00575765"/>
    <w:rsid w:val="00576B28"/>
    <w:rsid w:val="0058006A"/>
    <w:rsid w:val="005802C4"/>
    <w:rsid w:val="00580BF4"/>
    <w:rsid w:val="00580F44"/>
    <w:rsid w:val="0058179B"/>
    <w:rsid w:val="005819DF"/>
    <w:rsid w:val="00581E43"/>
    <w:rsid w:val="00582FC4"/>
    <w:rsid w:val="0058351A"/>
    <w:rsid w:val="00584C6D"/>
    <w:rsid w:val="0058593C"/>
    <w:rsid w:val="00585AB5"/>
    <w:rsid w:val="005868BF"/>
    <w:rsid w:val="00586EF8"/>
    <w:rsid w:val="0058737F"/>
    <w:rsid w:val="005877F8"/>
    <w:rsid w:val="005901DD"/>
    <w:rsid w:val="00590B6E"/>
    <w:rsid w:val="00591322"/>
    <w:rsid w:val="005917D3"/>
    <w:rsid w:val="005918E8"/>
    <w:rsid w:val="00591B98"/>
    <w:rsid w:val="00591E24"/>
    <w:rsid w:val="00591FD1"/>
    <w:rsid w:val="005922A3"/>
    <w:rsid w:val="00592FAB"/>
    <w:rsid w:val="00593200"/>
    <w:rsid w:val="005933B6"/>
    <w:rsid w:val="00593B50"/>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944"/>
    <w:rsid w:val="005A3A67"/>
    <w:rsid w:val="005A3C1F"/>
    <w:rsid w:val="005A473D"/>
    <w:rsid w:val="005A54E1"/>
    <w:rsid w:val="005A58E1"/>
    <w:rsid w:val="005A5BE6"/>
    <w:rsid w:val="005A686F"/>
    <w:rsid w:val="005A7B11"/>
    <w:rsid w:val="005B02C8"/>
    <w:rsid w:val="005B141F"/>
    <w:rsid w:val="005B1743"/>
    <w:rsid w:val="005B186A"/>
    <w:rsid w:val="005B2A43"/>
    <w:rsid w:val="005B3F35"/>
    <w:rsid w:val="005B4561"/>
    <w:rsid w:val="005B46F9"/>
    <w:rsid w:val="005B4853"/>
    <w:rsid w:val="005B4FD5"/>
    <w:rsid w:val="005B5057"/>
    <w:rsid w:val="005B51F9"/>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975"/>
    <w:rsid w:val="005C79E0"/>
    <w:rsid w:val="005D23D9"/>
    <w:rsid w:val="005D27F2"/>
    <w:rsid w:val="005D2F1F"/>
    <w:rsid w:val="005D304D"/>
    <w:rsid w:val="005D31AB"/>
    <w:rsid w:val="005D3783"/>
    <w:rsid w:val="005D3809"/>
    <w:rsid w:val="005D41F5"/>
    <w:rsid w:val="005D4C08"/>
    <w:rsid w:val="005D59EF"/>
    <w:rsid w:val="005D7CEF"/>
    <w:rsid w:val="005D7E2E"/>
    <w:rsid w:val="005E00BD"/>
    <w:rsid w:val="005E0319"/>
    <w:rsid w:val="005E0C36"/>
    <w:rsid w:val="005E1353"/>
    <w:rsid w:val="005E1ABD"/>
    <w:rsid w:val="005E1C06"/>
    <w:rsid w:val="005E32F1"/>
    <w:rsid w:val="005E368D"/>
    <w:rsid w:val="005E37E2"/>
    <w:rsid w:val="005E3B99"/>
    <w:rsid w:val="005E5036"/>
    <w:rsid w:val="005E50FA"/>
    <w:rsid w:val="005E57C8"/>
    <w:rsid w:val="005E5937"/>
    <w:rsid w:val="005E77EC"/>
    <w:rsid w:val="005F1885"/>
    <w:rsid w:val="005F2F25"/>
    <w:rsid w:val="005F3361"/>
    <w:rsid w:val="005F397E"/>
    <w:rsid w:val="005F42ED"/>
    <w:rsid w:val="005F4439"/>
    <w:rsid w:val="005F522A"/>
    <w:rsid w:val="005F6EEB"/>
    <w:rsid w:val="005F707C"/>
    <w:rsid w:val="005F76A1"/>
    <w:rsid w:val="005F77FD"/>
    <w:rsid w:val="005F79B1"/>
    <w:rsid w:val="005F7C8D"/>
    <w:rsid w:val="0060289E"/>
    <w:rsid w:val="00603910"/>
    <w:rsid w:val="0060404B"/>
    <w:rsid w:val="00604DCF"/>
    <w:rsid w:val="00606725"/>
    <w:rsid w:val="0060689B"/>
    <w:rsid w:val="00606B12"/>
    <w:rsid w:val="00607354"/>
    <w:rsid w:val="006073AC"/>
    <w:rsid w:val="00607BA1"/>
    <w:rsid w:val="00607CCE"/>
    <w:rsid w:val="0061010C"/>
    <w:rsid w:val="00610EC5"/>
    <w:rsid w:val="00611095"/>
    <w:rsid w:val="006115ED"/>
    <w:rsid w:val="00611D3E"/>
    <w:rsid w:val="00616005"/>
    <w:rsid w:val="006171F2"/>
    <w:rsid w:val="0061769B"/>
    <w:rsid w:val="00617B4C"/>
    <w:rsid w:val="0062044E"/>
    <w:rsid w:val="006204A3"/>
    <w:rsid w:val="006208FC"/>
    <w:rsid w:val="0062241E"/>
    <w:rsid w:val="00623088"/>
    <w:rsid w:val="00623524"/>
    <w:rsid w:val="00623739"/>
    <w:rsid w:val="00623FFA"/>
    <w:rsid w:val="00624CCB"/>
    <w:rsid w:val="0062511A"/>
    <w:rsid w:val="006256B2"/>
    <w:rsid w:val="00625D86"/>
    <w:rsid w:val="0062612A"/>
    <w:rsid w:val="0062699C"/>
    <w:rsid w:val="00627615"/>
    <w:rsid w:val="006278E0"/>
    <w:rsid w:val="00627B82"/>
    <w:rsid w:val="00630A88"/>
    <w:rsid w:val="00630EA1"/>
    <w:rsid w:val="00631290"/>
    <w:rsid w:val="006320CB"/>
    <w:rsid w:val="00632470"/>
    <w:rsid w:val="006329B9"/>
    <w:rsid w:val="00632AFC"/>
    <w:rsid w:val="00632CE5"/>
    <w:rsid w:val="006348DA"/>
    <w:rsid w:val="00634CD6"/>
    <w:rsid w:val="00634E9E"/>
    <w:rsid w:val="00635B90"/>
    <w:rsid w:val="006377D1"/>
    <w:rsid w:val="00637C80"/>
    <w:rsid w:val="00640339"/>
    <w:rsid w:val="006411A5"/>
    <w:rsid w:val="006422D1"/>
    <w:rsid w:val="0064270E"/>
    <w:rsid w:val="00642AEC"/>
    <w:rsid w:val="00644084"/>
    <w:rsid w:val="00645A30"/>
    <w:rsid w:val="00645FB2"/>
    <w:rsid w:val="0064671A"/>
    <w:rsid w:val="00646B13"/>
    <w:rsid w:val="00647A96"/>
    <w:rsid w:val="0065024D"/>
    <w:rsid w:val="0065035C"/>
    <w:rsid w:val="006507FE"/>
    <w:rsid w:val="0065326C"/>
    <w:rsid w:val="00653556"/>
    <w:rsid w:val="00654495"/>
    <w:rsid w:val="00654BCD"/>
    <w:rsid w:val="00654FCF"/>
    <w:rsid w:val="006551F0"/>
    <w:rsid w:val="006561E0"/>
    <w:rsid w:val="00656294"/>
    <w:rsid w:val="006565D3"/>
    <w:rsid w:val="006568EC"/>
    <w:rsid w:val="006570AD"/>
    <w:rsid w:val="00660640"/>
    <w:rsid w:val="006606B7"/>
    <w:rsid w:val="0066104F"/>
    <w:rsid w:val="00661A49"/>
    <w:rsid w:val="00661EC3"/>
    <w:rsid w:val="00661FD9"/>
    <w:rsid w:val="006639D2"/>
    <w:rsid w:val="00664009"/>
    <w:rsid w:val="006643FA"/>
    <w:rsid w:val="006657CE"/>
    <w:rsid w:val="00665B7A"/>
    <w:rsid w:val="00670650"/>
    <w:rsid w:val="00670AB2"/>
    <w:rsid w:val="00670BF6"/>
    <w:rsid w:val="00670CC8"/>
    <w:rsid w:val="0067145D"/>
    <w:rsid w:val="00671BAD"/>
    <w:rsid w:val="00672FCF"/>
    <w:rsid w:val="00673303"/>
    <w:rsid w:val="0067471C"/>
    <w:rsid w:val="00674A33"/>
    <w:rsid w:val="00674DF7"/>
    <w:rsid w:val="006754D0"/>
    <w:rsid w:val="006756E5"/>
    <w:rsid w:val="006764A1"/>
    <w:rsid w:val="006777B0"/>
    <w:rsid w:val="006778F7"/>
    <w:rsid w:val="00677917"/>
    <w:rsid w:val="0067795A"/>
    <w:rsid w:val="0068028B"/>
    <w:rsid w:val="006802D8"/>
    <w:rsid w:val="00680874"/>
    <w:rsid w:val="006812D6"/>
    <w:rsid w:val="00682257"/>
    <w:rsid w:val="00682704"/>
    <w:rsid w:val="00682F96"/>
    <w:rsid w:val="00683258"/>
    <w:rsid w:val="006843E4"/>
    <w:rsid w:val="006844FF"/>
    <w:rsid w:val="00684EAF"/>
    <w:rsid w:val="006867B2"/>
    <w:rsid w:val="00687798"/>
    <w:rsid w:val="00687AA3"/>
    <w:rsid w:val="00687ED7"/>
    <w:rsid w:val="00687F86"/>
    <w:rsid w:val="00692355"/>
    <w:rsid w:val="006928A7"/>
    <w:rsid w:val="00692FF4"/>
    <w:rsid w:val="006933AB"/>
    <w:rsid w:val="00693B5D"/>
    <w:rsid w:val="00693E1F"/>
    <w:rsid w:val="00694336"/>
    <w:rsid w:val="00695182"/>
    <w:rsid w:val="006956DB"/>
    <w:rsid w:val="00695E62"/>
    <w:rsid w:val="00696044"/>
    <w:rsid w:val="006A08BC"/>
    <w:rsid w:val="006A098A"/>
    <w:rsid w:val="006A0FAC"/>
    <w:rsid w:val="006A2304"/>
    <w:rsid w:val="006A2CF2"/>
    <w:rsid w:val="006A449C"/>
    <w:rsid w:val="006A4BA4"/>
    <w:rsid w:val="006A4EC8"/>
    <w:rsid w:val="006A4EE1"/>
    <w:rsid w:val="006A599B"/>
    <w:rsid w:val="006A650D"/>
    <w:rsid w:val="006A6D40"/>
    <w:rsid w:val="006A75D9"/>
    <w:rsid w:val="006A7DC9"/>
    <w:rsid w:val="006B0EAF"/>
    <w:rsid w:val="006B0F7B"/>
    <w:rsid w:val="006B1377"/>
    <w:rsid w:val="006B17C1"/>
    <w:rsid w:val="006B1B64"/>
    <w:rsid w:val="006B1E24"/>
    <w:rsid w:val="006B1F50"/>
    <w:rsid w:val="006B2BA2"/>
    <w:rsid w:val="006B5DCE"/>
    <w:rsid w:val="006B633A"/>
    <w:rsid w:val="006B6C1C"/>
    <w:rsid w:val="006B6FA0"/>
    <w:rsid w:val="006B705D"/>
    <w:rsid w:val="006B79DF"/>
    <w:rsid w:val="006C0AEC"/>
    <w:rsid w:val="006C0D33"/>
    <w:rsid w:val="006C0FA6"/>
    <w:rsid w:val="006C14A8"/>
    <w:rsid w:val="006C348B"/>
    <w:rsid w:val="006C5839"/>
    <w:rsid w:val="006C5C0F"/>
    <w:rsid w:val="006C5FAA"/>
    <w:rsid w:val="006C63BD"/>
    <w:rsid w:val="006C72FE"/>
    <w:rsid w:val="006C770D"/>
    <w:rsid w:val="006D2427"/>
    <w:rsid w:val="006D267D"/>
    <w:rsid w:val="006D2BDC"/>
    <w:rsid w:val="006D2F9F"/>
    <w:rsid w:val="006D3D16"/>
    <w:rsid w:val="006D3D4C"/>
    <w:rsid w:val="006D4A2F"/>
    <w:rsid w:val="006D4D08"/>
    <w:rsid w:val="006D57CF"/>
    <w:rsid w:val="006D585E"/>
    <w:rsid w:val="006D6545"/>
    <w:rsid w:val="006D6805"/>
    <w:rsid w:val="006D68B9"/>
    <w:rsid w:val="006D6F56"/>
    <w:rsid w:val="006D7E84"/>
    <w:rsid w:val="006E09A9"/>
    <w:rsid w:val="006E1A8E"/>
    <w:rsid w:val="006E31B2"/>
    <w:rsid w:val="006E335D"/>
    <w:rsid w:val="006E4C5B"/>
    <w:rsid w:val="006E5AF1"/>
    <w:rsid w:val="006E5FAC"/>
    <w:rsid w:val="006E672C"/>
    <w:rsid w:val="006E71B4"/>
    <w:rsid w:val="006F19B5"/>
    <w:rsid w:val="006F1AD4"/>
    <w:rsid w:val="006F1DCB"/>
    <w:rsid w:val="006F29BA"/>
    <w:rsid w:val="006F2AC1"/>
    <w:rsid w:val="006F2B22"/>
    <w:rsid w:val="006F2DCB"/>
    <w:rsid w:val="006F4748"/>
    <w:rsid w:val="006F4BA1"/>
    <w:rsid w:val="006F6435"/>
    <w:rsid w:val="006F71DC"/>
    <w:rsid w:val="00700AED"/>
    <w:rsid w:val="00700FAB"/>
    <w:rsid w:val="00700FBD"/>
    <w:rsid w:val="007014C1"/>
    <w:rsid w:val="007014D0"/>
    <w:rsid w:val="007015F7"/>
    <w:rsid w:val="00701A83"/>
    <w:rsid w:val="00702A54"/>
    <w:rsid w:val="007033C6"/>
    <w:rsid w:val="007046E9"/>
    <w:rsid w:val="007047A8"/>
    <w:rsid w:val="007049FC"/>
    <w:rsid w:val="00705463"/>
    <w:rsid w:val="00705D6E"/>
    <w:rsid w:val="00706257"/>
    <w:rsid w:val="00706391"/>
    <w:rsid w:val="007066D7"/>
    <w:rsid w:val="00707A02"/>
    <w:rsid w:val="00710395"/>
    <w:rsid w:val="00710D1D"/>
    <w:rsid w:val="00710EF6"/>
    <w:rsid w:val="00711B2C"/>
    <w:rsid w:val="007139F3"/>
    <w:rsid w:val="00714FB6"/>
    <w:rsid w:val="00715110"/>
    <w:rsid w:val="00715291"/>
    <w:rsid w:val="007159A1"/>
    <w:rsid w:val="00715A95"/>
    <w:rsid w:val="007163B2"/>
    <w:rsid w:val="007202E6"/>
    <w:rsid w:val="00721369"/>
    <w:rsid w:val="007213C6"/>
    <w:rsid w:val="0072186C"/>
    <w:rsid w:val="00721C57"/>
    <w:rsid w:val="0072229A"/>
    <w:rsid w:val="00722583"/>
    <w:rsid w:val="00722943"/>
    <w:rsid w:val="00722C41"/>
    <w:rsid w:val="00722F42"/>
    <w:rsid w:val="007234BC"/>
    <w:rsid w:val="0072361D"/>
    <w:rsid w:val="00723CE5"/>
    <w:rsid w:val="00724048"/>
    <w:rsid w:val="007243B3"/>
    <w:rsid w:val="00725C8B"/>
    <w:rsid w:val="00725FFD"/>
    <w:rsid w:val="00726A37"/>
    <w:rsid w:val="00727219"/>
    <w:rsid w:val="00727292"/>
    <w:rsid w:val="00731159"/>
    <w:rsid w:val="00731A7C"/>
    <w:rsid w:val="00731C91"/>
    <w:rsid w:val="00731CD9"/>
    <w:rsid w:val="0073305A"/>
    <w:rsid w:val="0073383C"/>
    <w:rsid w:val="00733E32"/>
    <w:rsid w:val="0073400C"/>
    <w:rsid w:val="00734420"/>
    <w:rsid w:val="00734438"/>
    <w:rsid w:val="007344E4"/>
    <w:rsid w:val="00735288"/>
    <w:rsid w:val="00736683"/>
    <w:rsid w:val="00736948"/>
    <w:rsid w:val="0073771E"/>
    <w:rsid w:val="00737DCF"/>
    <w:rsid w:val="00741323"/>
    <w:rsid w:val="007419A1"/>
    <w:rsid w:val="00742441"/>
    <w:rsid w:val="0074303D"/>
    <w:rsid w:val="0074377E"/>
    <w:rsid w:val="00743989"/>
    <w:rsid w:val="00743A46"/>
    <w:rsid w:val="0074486C"/>
    <w:rsid w:val="00746D34"/>
    <w:rsid w:val="00746EB4"/>
    <w:rsid w:val="007478E4"/>
    <w:rsid w:val="00750C90"/>
    <w:rsid w:val="00750ECF"/>
    <w:rsid w:val="00750F9D"/>
    <w:rsid w:val="007514B1"/>
    <w:rsid w:val="007521DE"/>
    <w:rsid w:val="00752A6F"/>
    <w:rsid w:val="00753226"/>
    <w:rsid w:val="00753BFA"/>
    <w:rsid w:val="0075441B"/>
    <w:rsid w:val="0075664F"/>
    <w:rsid w:val="00757361"/>
    <w:rsid w:val="00761627"/>
    <w:rsid w:val="00761C59"/>
    <w:rsid w:val="00762F64"/>
    <w:rsid w:val="00763967"/>
    <w:rsid w:val="0076439F"/>
    <w:rsid w:val="007645E6"/>
    <w:rsid w:val="00764DE0"/>
    <w:rsid w:val="00765AEA"/>
    <w:rsid w:val="00766186"/>
    <w:rsid w:val="00767AE4"/>
    <w:rsid w:val="00767DA2"/>
    <w:rsid w:val="00770BCA"/>
    <w:rsid w:val="007721EB"/>
    <w:rsid w:val="0077270C"/>
    <w:rsid w:val="00772940"/>
    <w:rsid w:val="007731F9"/>
    <w:rsid w:val="00773342"/>
    <w:rsid w:val="007734B2"/>
    <w:rsid w:val="0077359E"/>
    <w:rsid w:val="0077395B"/>
    <w:rsid w:val="00773C81"/>
    <w:rsid w:val="00774D7C"/>
    <w:rsid w:val="00775CAE"/>
    <w:rsid w:val="007774E4"/>
    <w:rsid w:val="00780F75"/>
    <w:rsid w:val="0078213C"/>
    <w:rsid w:val="00782EC5"/>
    <w:rsid w:val="007830FF"/>
    <w:rsid w:val="007832E9"/>
    <w:rsid w:val="0078345D"/>
    <w:rsid w:val="00785790"/>
    <w:rsid w:val="00785913"/>
    <w:rsid w:val="00786520"/>
    <w:rsid w:val="00791A1F"/>
    <w:rsid w:val="00791C48"/>
    <w:rsid w:val="00793075"/>
    <w:rsid w:val="00793328"/>
    <w:rsid w:val="00794093"/>
    <w:rsid w:val="007945B4"/>
    <w:rsid w:val="007958B9"/>
    <w:rsid w:val="00795CA8"/>
    <w:rsid w:val="00795FC3"/>
    <w:rsid w:val="007963AA"/>
    <w:rsid w:val="007A15C6"/>
    <w:rsid w:val="007A1675"/>
    <w:rsid w:val="007A1AFC"/>
    <w:rsid w:val="007A1B56"/>
    <w:rsid w:val="007A1C10"/>
    <w:rsid w:val="007A2423"/>
    <w:rsid w:val="007A2B32"/>
    <w:rsid w:val="007A34DF"/>
    <w:rsid w:val="007A588A"/>
    <w:rsid w:val="007A59E0"/>
    <w:rsid w:val="007A5DEE"/>
    <w:rsid w:val="007A6EB4"/>
    <w:rsid w:val="007A7E14"/>
    <w:rsid w:val="007B0DB0"/>
    <w:rsid w:val="007B14F3"/>
    <w:rsid w:val="007B15CB"/>
    <w:rsid w:val="007B17F7"/>
    <w:rsid w:val="007B27CA"/>
    <w:rsid w:val="007B2ABF"/>
    <w:rsid w:val="007B30C9"/>
    <w:rsid w:val="007B4695"/>
    <w:rsid w:val="007B4862"/>
    <w:rsid w:val="007B4BE4"/>
    <w:rsid w:val="007B54FD"/>
    <w:rsid w:val="007B719E"/>
    <w:rsid w:val="007B7A90"/>
    <w:rsid w:val="007C32E0"/>
    <w:rsid w:val="007C4188"/>
    <w:rsid w:val="007C54A3"/>
    <w:rsid w:val="007C60C1"/>
    <w:rsid w:val="007D1F80"/>
    <w:rsid w:val="007D1FB0"/>
    <w:rsid w:val="007D2B27"/>
    <w:rsid w:val="007D3717"/>
    <w:rsid w:val="007D4261"/>
    <w:rsid w:val="007D46BA"/>
    <w:rsid w:val="007D5010"/>
    <w:rsid w:val="007D537C"/>
    <w:rsid w:val="007D6102"/>
    <w:rsid w:val="007D6BE3"/>
    <w:rsid w:val="007D7AA5"/>
    <w:rsid w:val="007D7AD5"/>
    <w:rsid w:val="007D7CD0"/>
    <w:rsid w:val="007D7E3A"/>
    <w:rsid w:val="007E0ABF"/>
    <w:rsid w:val="007E0DED"/>
    <w:rsid w:val="007E13EB"/>
    <w:rsid w:val="007E183D"/>
    <w:rsid w:val="007E195E"/>
    <w:rsid w:val="007E2B7E"/>
    <w:rsid w:val="007E3074"/>
    <w:rsid w:val="007E4861"/>
    <w:rsid w:val="007E4A70"/>
    <w:rsid w:val="007E5894"/>
    <w:rsid w:val="007E645B"/>
    <w:rsid w:val="007E7672"/>
    <w:rsid w:val="007F039D"/>
    <w:rsid w:val="007F1011"/>
    <w:rsid w:val="007F1875"/>
    <w:rsid w:val="007F18C4"/>
    <w:rsid w:val="007F3D7D"/>
    <w:rsid w:val="007F5CF7"/>
    <w:rsid w:val="007F6C54"/>
    <w:rsid w:val="007F7017"/>
    <w:rsid w:val="007F712D"/>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5640"/>
    <w:rsid w:val="008161F5"/>
    <w:rsid w:val="008173A7"/>
    <w:rsid w:val="00817B12"/>
    <w:rsid w:val="00817C2C"/>
    <w:rsid w:val="00817C3E"/>
    <w:rsid w:val="00817D81"/>
    <w:rsid w:val="00820470"/>
    <w:rsid w:val="00820578"/>
    <w:rsid w:val="00820930"/>
    <w:rsid w:val="00820B1F"/>
    <w:rsid w:val="00821A87"/>
    <w:rsid w:val="00821E1C"/>
    <w:rsid w:val="00821EC4"/>
    <w:rsid w:val="008226B6"/>
    <w:rsid w:val="00823398"/>
    <w:rsid w:val="0082380D"/>
    <w:rsid w:val="00823992"/>
    <w:rsid w:val="00825C78"/>
    <w:rsid w:val="0082631D"/>
    <w:rsid w:val="00826F1F"/>
    <w:rsid w:val="00827065"/>
    <w:rsid w:val="00827CA9"/>
    <w:rsid w:val="00827EAD"/>
    <w:rsid w:val="0083074A"/>
    <w:rsid w:val="008313DA"/>
    <w:rsid w:val="00831A8B"/>
    <w:rsid w:val="00832A6B"/>
    <w:rsid w:val="00832E7E"/>
    <w:rsid w:val="00834014"/>
    <w:rsid w:val="0083468B"/>
    <w:rsid w:val="008349E6"/>
    <w:rsid w:val="008355E0"/>
    <w:rsid w:val="00836D9B"/>
    <w:rsid w:val="00836DC4"/>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50544"/>
    <w:rsid w:val="00851A48"/>
    <w:rsid w:val="00851CDF"/>
    <w:rsid w:val="00851F33"/>
    <w:rsid w:val="00851F89"/>
    <w:rsid w:val="00853A37"/>
    <w:rsid w:val="00853D14"/>
    <w:rsid w:val="00853EB3"/>
    <w:rsid w:val="00854656"/>
    <w:rsid w:val="00854AAB"/>
    <w:rsid w:val="00854CA5"/>
    <w:rsid w:val="00856017"/>
    <w:rsid w:val="00856280"/>
    <w:rsid w:val="00857551"/>
    <w:rsid w:val="00857BB1"/>
    <w:rsid w:val="00862591"/>
    <w:rsid w:val="00863D5B"/>
    <w:rsid w:val="0086411E"/>
    <w:rsid w:val="00864252"/>
    <w:rsid w:val="00864314"/>
    <w:rsid w:val="008649D1"/>
    <w:rsid w:val="00864DDF"/>
    <w:rsid w:val="008660B9"/>
    <w:rsid w:val="00866DA7"/>
    <w:rsid w:val="00866DCB"/>
    <w:rsid w:val="0086754D"/>
    <w:rsid w:val="00867D6E"/>
    <w:rsid w:val="00870FB7"/>
    <w:rsid w:val="00871774"/>
    <w:rsid w:val="00872E67"/>
    <w:rsid w:val="00873A29"/>
    <w:rsid w:val="00874949"/>
    <w:rsid w:val="00874D8C"/>
    <w:rsid w:val="00881569"/>
    <w:rsid w:val="008819D4"/>
    <w:rsid w:val="00882A65"/>
    <w:rsid w:val="00882AB1"/>
    <w:rsid w:val="00883BE6"/>
    <w:rsid w:val="008846ED"/>
    <w:rsid w:val="0088470B"/>
    <w:rsid w:val="00884B0B"/>
    <w:rsid w:val="008869C4"/>
    <w:rsid w:val="00886B8B"/>
    <w:rsid w:val="008871CF"/>
    <w:rsid w:val="008878FC"/>
    <w:rsid w:val="00890573"/>
    <w:rsid w:val="00890962"/>
    <w:rsid w:val="00891724"/>
    <w:rsid w:val="00892132"/>
    <w:rsid w:val="00892470"/>
    <w:rsid w:val="008945F8"/>
    <w:rsid w:val="00896120"/>
    <w:rsid w:val="0089676C"/>
    <w:rsid w:val="00897863"/>
    <w:rsid w:val="00897D64"/>
    <w:rsid w:val="008A2477"/>
    <w:rsid w:val="008A262F"/>
    <w:rsid w:val="008A28A2"/>
    <w:rsid w:val="008A5AB9"/>
    <w:rsid w:val="008A7463"/>
    <w:rsid w:val="008A760C"/>
    <w:rsid w:val="008A763D"/>
    <w:rsid w:val="008A7E4D"/>
    <w:rsid w:val="008B0219"/>
    <w:rsid w:val="008B1291"/>
    <w:rsid w:val="008B181D"/>
    <w:rsid w:val="008B19A9"/>
    <w:rsid w:val="008B29D8"/>
    <w:rsid w:val="008B2A73"/>
    <w:rsid w:val="008B4B06"/>
    <w:rsid w:val="008B5338"/>
    <w:rsid w:val="008B5537"/>
    <w:rsid w:val="008B5BEF"/>
    <w:rsid w:val="008B6BFF"/>
    <w:rsid w:val="008B7267"/>
    <w:rsid w:val="008B77F9"/>
    <w:rsid w:val="008B7E6B"/>
    <w:rsid w:val="008B7F88"/>
    <w:rsid w:val="008C0184"/>
    <w:rsid w:val="008C10A9"/>
    <w:rsid w:val="008C142D"/>
    <w:rsid w:val="008C35F5"/>
    <w:rsid w:val="008C40DD"/>
    <w:rsid w:val="008C4E67"/>
    <w:rsid w:val="008C5320"/>
    <w:rsid w:val="008C5715"/>
    <w:rsid w:val="008C5747"/>
    <w:rsid w:val="008C639B"/>
    <w:rsid w:val="008D001E"/>
    <w:rsid w:val="008D0337"/>
    <w:rsid w:val="008D0CED"/>
    <w:rsid w:val="008D277C"/>
    <w:rsid w:val="008D2B91"/>
    <w:rsid w:val="008D36FA"/>
    <w:rsid w:val="008D4549"/>
    <w:rsid w:val="008D45C6"/>
    <w:rsid w:val="008D4870"/>
    <w:rsid w:val="008D4E64"/>
    <w:rsid w:val="008D5C3F"/>
    <w:rsid w:val="008D667E"/>
    <w:rsid w:val="008D6821"/>
    <w:rsid w:val="008D6C84"/>
    <w:rsid w:val="008D76C0"/>
    <w:rsid w:val="008D7D37"/>
    <w:rsid w:val="008D7FC7"/>
    <w:rsid w:val="008E04BD"/>
    <w:rsid w:val="008E09E7"/>
    <w:rsid w:val="008E0B9D"/>
    <w:rsid w:val="008E0CB3"/>
    <w:rsid w:val="008E0EB9"/>
    <w:rsid w:val="008E1610"/>
    <w:rsid w:val="008E271A"/>
    <w:rsid w:val="008E28DD"/>
    <w:rsid w:val="008E32E0"/>
    <w:rsid w:val="008E3A6F"/>
    <w:rsid w:val="008E3AFB"/>
    <w:rsid w:val="008E3E38"/>
    <w:rsid w:val="008E3FDF"/>
    <w:rsid w:val="008E4839"/>
    <w:rsid w:val="008E490E"/>
    <w:rsid w:val="008E572A"/>
    <w:rsid w:val="008E700F"/>
    <w:rsid w:val="008E78FB"/>
    <w:rsid w:val="008E7B9F"/>
    <w:rsid w:val="008F0684"/>
    <w:rsid w:val="008F0BD1"/>
    <w:rsid w:val="008F0BD8"/>
    <w:rsid w:val="008F0F96"/>
    <w:rsid w:val="008F2568"/>
    <w:rsid w:val="008F3745"/>
    <w:rsid w:val="008F3D10"/>
    <w:rsid w:val="008F4913"/>
    <w:rsid w:val="008F589F"/>
    <w:rsid w:val="008F5A62"/>
    <w:rsid w:val="008F601C"/>
    <w:rsid w:val="008F71B0"/>
    <w:rsid w:val="008F7C77"/>
    <w:rsid w:val="00900943"/>
    <w:rsid w:val="00900C82"/>
    <w:rsid w:val="00901E23"/>
    <w:rsid w:val="0090388F"/>
    <w:rsid w:val="00903A73"/>
    <w:rsid w:val="009042D4"/>
    <w:rsid w:val="00904DC5"/>
    <w:rsid w:val="009050AB"/>
    <w:rsid w:val="009066A7"/>
    <w:rsid w:val="00906D53"/>
    <w:rsid w:val="00910D53"/>
    <w:rsid w:val="00910E7B"/>
    <w:rsid w:val="00912051"/>
    <w:rsid w:val="00913B00"/>
    <w:rsid w:val="00913CDD"/>
    <w:rsid w:val="00914208"/>
    <w:rsid w:val="00914B8E"/>
    <w:rsid w:val="00914EFB"/>
    <w:rsid w:val="00916C78"/>
    <w:rsid w:val="00917F2B"/>
    <w:rsid w:val="009207CF"/>
    <w:rsid w:val="00920A48"/>
    <w:rsid w:val="00920C37"/>
    <w:rsid w:val="00921634"/>
    <w:rsid w:val="00921E8C"/>
    <w:rsid w:val="00921F68"/>
    <w:rsid w:val="009236E8"/>
    <w:rsid w:val="00923766"/>
    <w:rsid w:val="009237D0"/>
    <w:rsid w:val="00923A3D"/>
    <w:rsid w:val="00924020"/>
    <w:rsid w:val="009246A9"/>
    <w:rsid w:val="00924BF7"/>
    <w:rsid w:val="00924DC1"/>
    <w:rsid w:val="00924E39"/>
    <w:rsid w:val="009254EB"/>
    <w:rsid w:val="00930410"/>
    <w:rsid w:val="00930E5C"/>
    <w:rsid w:val="009312DB"/>
    <w:rsid w:val="00931AFB"/>
    <w:rsid w:val="00932D8E"/>
    <w:rsid w:val="0093415D"/>
    <w:rsid w:val="009341A1"/>
    <w:rsid w:val="0093430C"/>
    <w:rsid w:val="0093494E"/>
    <w:rsid w:val="00934E0E"/>
    <w:rsid w:val="00935C03"/>
    <w:rsid w:val="0093626C"/>
    <w:rsid w:val="009369B6"/>
    <w:rsid w:val="00936C4D"/>
    <w:rsid w:val="009370FD"/>
    <w:rsid w:val="0094039C"/>
    <w:rsid w:val="0094095B"/>
    <w:rsid w:val="0094128F"/>
    <w:rsid w:val="00941FF1"/>
    <w:rsid w:val="00942484"/>
    <w:rsid w:val="00943372"/>
    <w:rsid w:val="0094355C"/>
    <w:rsid w:val="0094424A"/>
    <w:rsid w:val="00944CC7"/>
    <w:rsid w:val="00945AF6"/>
    <w:rsid w:val="00946F98"/>
    <w:rsid w:val="0094771A"/>
    <w:rsid w:val="009506F3"/>
    <w:rsid w:val="00950B08"/>
    <w:rsid w:val="009526DC"/>
    <w:rsid w:val="00953334"/>
    <w:rsid w:val="00953FF0"/>
    <w:rsid w:val="009545A8"/>
    <w:rsid w:val="00954AB8"/>
    <w:rsid w:val="009551F5"/>
    <w:rsid w:val="00955DE9"/>
    <w:rsid w:val="00956F4B"/>
    <w:rsid w:val="009572D5"/>
    <w:rsid w:val="00957BF2"/>
    <w:rsid w:val="00957C6E"/>
    <w:rsid w:val="00957D0C"/>
    <w:rsid w:val="00960A7B"/>
    <w:rsid w:val="00961D6A"/>
    <w:rsid w:val="00961DDE"/>
    <w:rsid w:val="00962652"/>
    <w:rsid w:val="0096282A"/>
    <w:rsid w:val="009633D2"/>
    <w:rsid w:val="00963731"/>
    <w:rsid w:val="00964C9C"/>
    <w:rsid w:val="00965250"/>
    <w:rsid w:val="009653DD"/>
    <w:rsid w:val="00965792"/>
    <w:rsid w:val="0097098E"/>
    <w:rsid w:val="0097140A"/>
    <w:rsid w:val="00971BC1"/>
    <w:rsid w:val="0097318E"/>
    <w:rsid w:val="00973331"/>
    <w:rsid w:val="00973485"/>
    <w:rsid w:val="00973A6A"/>
    <w:rsid w:val="00973B14"/>
    <w:rsid w:val="00976078"/>
    <w:rsid w:val="00976125"/>
    <w:rsid w:val="009765A3"/>
    <w:rsid w:val="00977FAD"/>
    <w:rsid w:val="009805DB"/>
    <w:rsid w:val="00980AEC"/>
    <w:rsid w:val="00982F89"/>
    <w:rsid w:val="0098396F"/>
    <w:rsid w:val="00984B9E"/>
    <w:rsid w:val="00985108"/>
    <w:rsid w:val="00986781"/>
    <w:rsid w:val="0098692D"/>
    <w:rsid w:val="0098762D"/>
    <w:rsid w:val="00987C8D"/>
    <w:rsid w:val="009908F8"/>
    <w:rsid w:val="00990B62"/>
    <w:rsid w:val="00991056"/>
    <w:rsid w:val="00991477"/>
    <w:rsid w:val="009915C1"/>
    <w:rsid w:val="00991B10"/>
    <w:rsid w:val="0099211A"/>
    <w:rsid w:val="00992729"/>
    <w:rsid w:val="00992A60"/>
    <w:rsid w:val="00993001"/>
    <w:rsid w:val="00993A84"/>
    <w:rsid w:val="00993DC9"/>
    <w:rsid w:val="00994213"/>
    <w:rsid w:val="00994339"/>
    <w:rsid w:val="00994F12"/>
    <w:rsid w:val="009950F1"/>
    <w:rsid w:val="00995887"/>
    <w:rsid w:val="00996283"/>
    <w:rsid w:val="0099636D"/>
    <w:rsid w:val="0099670B"/>
    <w:rsid w:val="00997610"/>
    <w:rsid w:val="009A11C0"/>
    <w:rsid w:val="009A31B6"/>
    <w:rsid w:val="009A4DF0"/>
    <w:rsid w:val="009A5C54"/>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B42"/>
    <w:rsid w:val="009C1668"/>
    <w:rsid w:val="009C1A89"/>
    <w:rsid w:val="009C1B39"/>
    <w:rsid w:val="009C2FAB"/>
    <w:rsid w:val="009C3350"/>
    <w:rsid w:val="009C379F"/>
    <w:rsid w:val="009C384E"/>
    <w:rsid w:val="009C570A"/>
    <w:rsid w:val="009C69FC"/>
    <w:rsid w:val="009C71E4"/>
    <w:rsid w:val="009C72E6"/>
    <w:rsid w:val="009D0DB0"/>
    <w:rsid w:val="009D228D"/>
    <w:rsid w:val="009D2A95"/>
    <w:rsid w:val="009D4F7D"/>
    <w:rsid w:val="009D51C0"/>
    <w:rsid w:val="009D7465"/>
    <w:rsid w:val="009D7DAB"/>
    <w:rsid w:val="009E02EB"/>
    <w:rsid w:val="009E1067"/>
    <w:rsid w:val="009E13B1"/>
    <w:rsid w:val="009E1AC3"/>
    <w:rsid w:val="009E263C"/>
    <w:rsid w:val="009E2842"/>
    <w:rsid w:val="009E28FF"/>
    <w:rsid w:val="009E2F43"/>
    <w:rsid w:val="009E2FDB"/>
    <w:rsid w:val="009E340B"/>
    <w:rsid w:val="009E35A5"/>
    <w:rsid w:val="009E4EAE"/>
    <w:rsid w:val="009E5FD6"/>
    <w:rsid w:val="009E6567"/>
    <w:rsid w:val="009E6865"/>
    <w:rsid w:val="009E6F8B"/>
    <w:rsid w:val="009F0847"/>
    <w:rsid w:val="009F09CB"/>
    <w:rsid w:val="009F0E15"/>
    <w:rsid w:val="009F2084"/>
    <w:rsid w:val="009F25B4"/>
    <w:rsid w:val="009F2FE9"/>
    <w:rsid w:val="009F308C"/>
    <w:rsid w:val="009F36FA"/>
    <w:rsid w:val="009F4034"/>
    <w:rsid w:val="009F41E6"/>
    <w:rsid w:val="009F5980"/>
    <w:rsid w:val="009F5A22"/>
    <w:rsid w:val="009F6978"/>
    <w:rsid w:val="009F72FF"/>
    <w:rsid w:val="009F731B"/>
    <w:rsid w:val="009F7566"/>
    <w:rsid w:val="009F7635"/>
    <w:rsid w:val="009F77D9"/>
    <w:rsid w:val="009F7AE7"/>
    <w:rsid w:val="00A0031F"/>
    <w:rsid w:val="00A00575"/>
    <w:rsid w:val="00A020BF"/>
    <w:rsid w:val="00A021F4"/>
    <w:rsid w:val="00A0228D"/>
    <w:rsid w:val="00A037BC"/>
    <w:rsid w:val="00A0381F"/>
    <w:rsid w:val="00A03A32"/>
    <w:rsid w:val="00A042EA"/>
    <w:rsid w:val="00A056D2"/>
    <w:rsid w:val="00A060B8"/>
    <w:rsid w:val="00A066AC"/>
    <w:rsid w:val="00A06E63"/>
    <w:rsid w:val="00A103D2"/>
    <w:rsid w:val="00A10406"/>
    <w:rsid w:val="00A117D9"/>
    <w:rsid w:val="00A11942"/>
    <w:rsid w:val="00A11A2C"/>
    <w:rsid w:val="00A120D4"/>
    <w:rsid w:val="00A1290C"/>
    <w:rsid w:val="00A129CE"/>
    <w:rsid w:val="00A1339A"/>
    <w:rsid w:val="00A14011"/>
    <w:rsid w:val="00A14DA0"/>
    <w:rsid w:val="00A15669"/>
    <w:rsid w:val="00A15917"/>
    <w:rsid w:val="00A16B92"/>
    <w:rsid w:val="00A16BFF"/>
    <w:rsid w:val="00A16D2A"/>
    <w:rsid w:val="00A17D91"/>
    <w:rsid w:val="00A20586"/>
    <w:rsid w:val="00A20695"/>
    <w:rsid w:val="00A20DE3"/>
    <w:rsid w:val="00A21A57"/>
    <w:rsid w:val="00A22AF7"/>
    <w:rsid w:val="00A22D79"/>
    <w:rsid w:val="00A23D56"/>
    <w:rsid w:val="00A23ED3"/>
    <w:rsid w:val="00A241EA"/>
    <w:rsid w:val="00A2480A"/>
    <w:rsid w:val="00A24A85"/>
    <w:rsid w:val="00A27740"/>
    <w:rsid w:val="00A279B7"/>
    <w:rsid w:val="00A31314"/>
    <w:rsid w:val="00A3191C"/>
    <w:rsid w:val="00A31948"/>
    <w:rsid w:val="00A325E6"/>
    <w:rsid w:val="00A33080"/>
    <w:rsid w:val="00A346A6"/>
    <w:rsid w:val="00A34781"/>
    <w:rsid w:val="00A3479B"/>
    <w:rsid w:val="00A34E1A"/>
    <w:rsid w:val="00A35336"/>
    <w:rsid w:val="00A35568"/>
    <w:rsid w:val="00A35978"/>
    <w:rsid w:val="00A36E4F"/>
    <w:rsid w:val="00A37AF2"/>
    <w:rsid w:val="00A37BCD"/>
    <w:rsid w:val="00A40512"/>
    <w:rsid w:val="00A41DA1"/>
    <w:rsid w:val="00A4241C"/>
    <w:rsid w:val="00A42998"/>
    <w:rsid w:val="00A42FCA"/>
    <w:rsid w:val="00A436ED"/>
    <w:rsid w:val="00A43788"/>
    <w:rsid w:val="00A45ACB"/>
    <w:rsid w:val="00A45F55"/>
    <w:rsid w:val="00A4693F"/>
    <w:rsid w:val="00A470DF"/>
    <w:rsid w:val="00A50229"/>
    <w:rsid w:val="00A505CD"/>
    <w:rsid w:val="00A50908"/>
    <w:rsid w:val="00A52319"/>
    <w:rsid w:val="00A52A50"/>
    <w:rsid w:val="00A530DE"/>
    <w:rsid w:val="00A5373E"/>
    <w:rsid w:val="00A538A5"/>
    <w:rsid w:val="00A53B19"/>
    <w:rsid w:val="00A55AB9"/>
    <w:rsid w:val="00A55CD0"/>
    <w:rsid w:val="00A55D75"/>
    <w:rsid w:val="00A56014"/>
    <w:rsid w:val="00A56A81"/>
    <w:rsid w:val="00A571B1"/>
    <w:rsid w:val="00A571DA"/>
    <w:rsid w:val="00A576BB"/>
    <w:rsid w:val="00A60B74"/>
    <w:rsid w:val="00A60FCE"/>
    <w:rsid w:val="00A615A1"/>
    <w:rsid w:val="00A617C1"/>
    <w:rsid w:val="00A61BE1"/>
    <w:rsid w:val="00A62309"/>
    <w:rsid w:val="00A629FC"/>
    <w:rsid w:val="00A636BE"/>
    <w:rsid w:val="00A6538B"/>
    <w:rsid w:val="00A669EE"/>
    <w:rsid w:val="00A67071"/>
    <w:rsid w:val="00A67E94"/>
    <w:rsid w:val="00A70351"/>
    <w:rsid w:val="00A710AF"/>
    <w:rsid w:val="00A71628"/>
    <w:rsid w:val="00A71E14"/>
    <w:rsid w:val="00A7264E"/>
    <w:rsid w:val="00A72971"/>
    <w:rsid w:val="00A7320B"/>
    <w:rsid w:val="00A73B8B"/>
    <w:rsid w:val="00A74821"/>
    <w:rsid w:val="00A748B3"/>
    <w:rsid w:val="00A759A8"/>
    <w:rsid w:val="00A76FB3"/>
    <w:rsid w:val="00A80D39"/>
    <w:rsid w:val="00A8229F"/>
    <w:rsid w:val="00A853EB"/>
    <w:rsid w:val="00A85FC3"/>
    <w:rsid w:val="00A86122"/>
    <w:rsid w:val="00A91014"/>
    <w:rsid w:val="00A915DC"/>
    <w:rsid w:val="00A927BD"/>
    <w:rsid w:val="00A93466"/>
    <w:rsid w:val="00A93EA8"/>
    <w:rsid w:val="00A94373"/>
    <w:rsid w:val="00A94BD5"/>
    <w:rsid w:val="00A968B6"/>
    <w:rsid w:val="00A97D7D"/>
    <w:rsid w:val="00AA1A3D"/>
    <w:rsid w:val="00AA35A8"/>
    <w:rsid w:val="00AA398D"/>
    <w:rsid w:val="00AA3E93"/>
    <w:rsid w:val="00AA5C6A"/>
    <w:rsid w:val="00AA63EC"/>
    <w:rsid w:val="00AA7AB0"/>
    <w:rsid w:val="00AB09C5"/>
    <w:rsid w:val="00AB221E"/>
    <w:rsid w:val="00AB237A"/>
    <w:rsid w:val="00AB240E"/>
    <w:rsid w:val="00AB258C"/>
    <w:rsid w:val="00AB3540"/>
    <w:rsid w:val="00AB44C2"/>
    <w:rsid w:val="00AB57CC"/>
    <w:rsid w:val="00AB61C9"/>
    <w:rsid w:val="00AB64EF"/>
    <w:rsid w:val="00AB6E22"/>
    <w:rsid w:val="00AB7211"/>
    <w:rsid w:val="00AC0FDB"/>
    <w:rsid w:val="00AC1331"/>
    <w:rsid w:val="00AC1847"/>
    <w:rsid w:val="00AC29FD"/>
    <w:rsid w:val="00AC2F51"/>
    <w:rsid w:val="00AC3F21"/>
    <w:rsid w:val="00AC4FA8"/>
    <w:rsid w:val="00AC654A"/>
    <w:rsid w:val="00AC6D2A"/>
    <w:rsid w:val="00AC7055"/>
    <w:rsid w:val="00AC7851"/>
    <w:rsid w:val="00AC7B4D"/>
    <w:rsid w:val="00AC7B7D"/>
    <w:rsid w:val="00AD0A32"/>
    <w:rsid w:val="00AD1D61"/>
    <w:rsid w:val="00AD3735"/>
    <w:rsid w:val="00AD4212"/>
    <w:rsid w:val="00AE0380"/>
    <w:rsid w:val="00AE09E9"/>
    <w:rsid w:val="00AE0EB1"/>
    <w:rsid w:val="00AE11EF"/>
    <w:rsid w:val="00AE16E7"/>
    <w:rsid w:val="00AE2D33"/>
    <w:rsid w:val="00AE2FFB"/>
    <w:rsid w:val="00AE34A3"/>
    <w:rsid w:val="00AE3D49"/>
    <w:rsid w:val="00AE46DD"/>
    <w:rsid w:val="00AE5CF6"/>
    <w:rsid w:val="00AE7310"/>
    <w:rsid w:val="00AE73E3"/>
    <w:rsid w:val="00AE79CB"/>
    <w:rsid w:val="00AE7E4B"/>
    <w:rsid w:val="00AE7EE0"/>
    <w:rsid w:val="00AF00AB"/>
    <w:rsid w:val="00AF01A9"/>
    <w:rsid w:val="00AF0489"/>
    <w:rsid w:val="00AF0D76"/>
    <w:rsid w:val="00AF0F68"/>
    <w:rsid w:val="00AF13D5"/>
    <w:rsid w:val="00AF15C9"/>
    <w:rsid w:val="00AF2547"/>
    <w:rsid w:val="00AF485B"/>
    <w:rsid w:val="00AF4C11"/>
    <w:rsid w:val="00AF4C38"/>
    <w:rsid w:val="00AF4FD2"/>
    <w:rsid w:val="00AF5418"/>
    <w:rsid w:val="00AF573C"/>
    <w:rsid w:val="00AF6057"/>
    <w:rsid w:val="00AF63CD"/>
    <w:rsid w:val="00AF65EB"/>
    <w:rsid w:val="00AF6F18"/>
    <w:rsid w:val="00B000DB"/>
    <w:rsid w:val="00B000E1"/>
    <w:rsid w:val="00B00F7E"/>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501"/>
    <w:rsid w:val="00B15B75"/>
    <w:rsid w:val="00B16689"/>
    <w:rsid w:val="00B1713A"/>
    <w:rsid w:val="00B171F3"/>
    <w:rsid w:val="00B17358"/>
    <w:rsid w:val="00B17538"/>
    <w:rsid w:val="00B203E4"/>
    <w:rsid w:val="00B203F5"/>
    <w:rsid w:val="00B21C56"/>
    <w:rsid w:val="00B222E7"/>
    <w:rsid w:val="00B22702"/>
    <w:rsid w:val="00B22BDB"/>
    <w:rsid w:val="00B22C86"/>
    <w:rsid w:val="00B23FCB"/>
    <w:rsid w:val="00B24534"/>
    <w:rsid w:val="00B25777"/>
    <w:rsid w:val="00B25883"/>
    <w:rsid w:val="00B25F25"/>
    <w:rsid w:val="00B26002"/>
    <w:rsid w:val="00B263D3"/>
    <w:rsid w:val="00B26B32"/>
    <w:rsid w:val="00B271A7"/>
    <w:rsid w:val="00B27965"/>
    <w:rsid w:val="00B3048E"/>
    <w:rsid w:val="00B309D6"/>
    <w:rsid w:val="00B30BC8"/>
    <w:rsid w:val="00B30F71"/>
    <w:rsid w:val="00B32086"/>
    <w:rsid w:val="00B32262"/>
    <w:rsid w:val="00B32758"/>
    <w:rsid w:val="00B3361B"/>
    <w:rsid w:val="00B34764"/>
    <w:rsid w:val="00B34D43"/>
    <w:rsid w:val="00B34DDD"/>
    <w:rsid w:val="00B351E2"/>
    <w:rsid w:val="00B35B9E"/>
    <w:rsid w:val="00B36087"/>
    <w:rsid w:val="00B361F0"/>
    <w:rsid w:val="00B365DF"/>
    <w:rsid w:val="00B36B09"/>
    <w:rsid w:val="00B36EBB"/>
    <w:rsid w:val="00B37290"/>
    <w:rsid w:val="00B40142"/>
    <w:rsid w:val="00B4056E"/>
    <w:rsid w:val="00B40AD8"/>
    <w:rsid w:val="00B41891"/>
    <w:rsid w:val="00B422BD"/>
    <w:rsid w:val="00B43A57"/>
    <w:rsid w:val="00B443CA"/>
    <w:rsid w:val="00B44D1D"/>
    <w:rsid w:val="00B456BC"/>
    <w:rsid w:val="00B46353"/>
    <w:rsid w:val="00B5076D"/>
    <w:rsid w:val="00B50E23"/>
    <w:rsid w:val="00B5117D"/>
    <w:rsid w:val="00B51EA6"/>
    <w:rsid w:val="00B538D3"/>
    <w:rsid w:val="00B5530F"/>
    <w:rsid w:val="00B554DD"/>
    <w:rsid w:val="00B56214"/>
    <w:rsid w:val="00B56C8F"/>
    <w:rsid w:val="00B57484"/>
    <w:rsid w:val="00B60460"/>
    <w:rsid w:val="00B60D3F"/>
    <w:rsid w:val="00B6108F"/>
    <w:rsid w:val="00B615BB"/>
    <w:rsid w:val="00B62336"/>
    <w:rsid w:val="00B628D5"/>
    <w:rsid w:val="00B63B06"/>
    <w:rsid w:val="00B64077"/>
    <w:rsid w:val="00B6429A"/>
    <w:rsid w:val="00B6448C"/>
    <w:rsid w:val="00B6487F"/>
    <w:rsid w:val="00B64CB4"/>
    <w:rsid w:val="00B6519A"/>
    <w:rsid w:val="00B6620B"/>
    <w:rsid w:val="00B6651B"/>
    <w:rsid w:val="00B673A8"/>
    <w:rsid w:val="00B67504"/>
    <w:rsid w:val="00B67CD1"/>
    <w:rsid w:val="00B71FF2"/>
    <w:rsid w:val="00B725A4"/>
    <w:rsid w:val="00B72BC7"/>
    <w:rsid w:val="00B72E7C"/>
    <w:rsid w:val="00B72F32"/>
    <w:rsid w:val="00B72F78"/>
    <w:rsid w:val="00B730F6"/>
    <w:rsid w:val="00B731F2"/>
    <w:rsid w:val="00B732AE"/>
    <w:rsid w:val="00B737D1"/>
    <w:rsid w:val="00B73A6A"/>
    <w:rsid w:val="00B754A6"/>
    <w:rsid w:val="00B776C2"/>
    <w:rsid w:val="00B808C3"/>
    <w:rsid w:val="00B819DF"/>
    <w:rsid w:val="00B82242"/>
    <w:rsid w:val="00B82528"/>
    <w:rsid w:val="00B825B4"/>
    <w:rsid w:val="00B82D99"/>
    <w:rsid w:val="00B82DE6"/>
    <w:rsid w:val="00B846E4"/>
    <w:rsid w:val="00B847D0"/>
    <w:rsid w:val="00B84948"/>
    <w:rsid w:val="00B8495C"/>
    <w:rsid w:val="00B8516E"/>
    <w:rsid w:val="00B85589"/>
    <w:rsid w:val="00B86612"/>
    <w:rsid w:val="00B86E61"/>
    <w:rsid w:val="00B86F68"/>
    <w:rsid w:val="00B87784"/>
    <w:rsid w:val="00B90287"/>
    <w:rsid w:val="00B90362"/>
    <w:rsid w:val="00B91FB3"/>
    <w:rsid w:val="00B921C0"/>
    <w:rsid w:val="00B92250"/>
    <w:rsid w:val="00B933F6"/>
    <w:rsid w:val="00B938FD"/>
    <w:rsid w:val="00B9478C"/>
    <w:rsid w:val="00B9532A"/>
    <w:rsid w:val="00BA04A1"/>
    <w:rsid w:val="00BA1A6B"/>
    <w:rsid w:val="00BA1F9B"/>
    <w:rsid w:val="00BA2588"/>
    <w:rsid w:val="00BA2B06"/>
    <w:rsid w:val="00BA2B83"/>
    <w:rsid w:val="00BA300E"/>
    <w:rsid w:val="00BA393D"/>
    <w:rsid w:val="00BA39FD"/>
    <w:rsid w:val="00BA4377"/>
    <w:rsid w:val="00BA49D1"/>
    <w:rsid w:val="00BA5A7B"/>
    <w:rsid w:val="00BA62E3"/>
    <w:rsid w:val="00BA6D2B"/>
    <w:rsid w:val="00BA76C3"/>
    <w:rsid w:val="00BA7E2B"/>
    <w:rsid w:val="00BB0061"/>
    <w:rsid w:val="00BB024E"/>
    <w:rsid w:val="00BB08EB"/>
    <w:rsid w:val="00BB0AA3"/>
    <w:rsid w:val="00BB1A30"/>
    <w:rsid w:val="00BB2444"/>
    <w:rsid w:val="00BB31A6"/>
    <w:rsid w:val="00BB3911"/>
    <w:rsid w:val="00BB3E28"/>
    <w:rsid w:val="00BB42E0"/>
    <w:rsid w:val="00BB447A"/>
    <w:rsid w:val="00BB4DD3"/>
    <w:rsid w:val="00BB570C"/>
    <w:rsid w:val="00BB6479"/>
    <w:rsid w:val="00BB66EE"/>
    <w:rsid w:val="00BC16A0"/>
    <w:rsid w:val="00BC1F6F"/>
    <w:rsid w:val="00BC2716"/>
    <w:rsid w:val="00BC2D43"/>
    <w:rsid w:val="00BC2D75"/>
    <w:rsid w:val="00BC2E03"/>
    <w:rsid w:val="00BC2F95"/>
    <w:rsid w:val="00BC38E6"/>
    <w:rsid w:val="00BC497B"/>
    <w:rsid w:val="00BC4BAB"/>
    <w:rsid w:val="00BC5B0E"/>
    <w:rsid w:val="00BC5B57"/>
    <w:rsid w:val="00BC5DCC"/>
    <w:rsid w:val="00BC6320"/>
    <w:rsid w:val="00BC66DA"/>
    <w:rsid w:val="00BC7319"/>
    <w:rsid w:val="00BD19B2"/>
    <w:rsid w:val="00BD3452"/>
    <w:rsid w:val="00BD3764"/>
    <w:rsid w:val="00BD421C"/>
    <w:rsid w:val="00BD5269"/>
    <w:rsid w:val="00BD64DF"/>
    <w:rsid w:val="00BD6570"/>
    <w:rsid w:val="00BD6B1E"/>
    <w:rsid w:val="00BD76F3"/>
    <w:rsid w:val="00BD7BCB"/>
    <w:rsid w:val="00BE0460"/>
    <w:rsid w:val="00BE046B"/>
    <w:rsid w:val="00BE08DE"/>
    <w:rsid w:val="00BE1167"/>
    <w:rsid w:val="00BE15F0"/>
    <w:rsid w:val="00BE1E7E"/>
    <w:rsid w:val="00BE3122"/>
    <w:rsid w:val="00BE37AD"/>
    <w:rsid w:val="00BE3B4A"/>
    <w:rsid w:val="00BE3BDC"/>
    <w:rsid w:val="00BE4511"/>
    <w:rsid w:val="00BE464F"/>
    <w:rsid w:val="00BE4FAB"/>
    <w:rsid w:val="00BE52A8"/>
    <w:rsid w:val="00BE5EF7"/>
    <w:rsid w:val="00BE5F01"/>
    <w:rsid w:val="00BE624B"/>
    <w:rsid w:val="00BE66C9"/>
    <w:rsid w:val="00BF0C27"/>
    <w:rsid w:val="00BF1FC0"/>
    <w:rsid w:val="00BF215D"/>
    <w:rsid w:val="00BF2236"/>
    <w:rsid w:val="00BF233E"/>
    <w:rsid w:val="00BF2728"/>
    <w:rsid w:val="00BF28D4"/>
    <w:rsid w:val="00BF3274"/>
    <w:rsid w:val="00BF34E1"/>
    <w:rsid w:val="00BF3DE4"/>
    <w:rsid w:val="00BF4C93"/>
    <w:rsid w:val="00BF4EE6"/>
    <w:rsid w:val="00BF4F71"/>
    <w:rsid w:val="00BF5123"/>
    <w:rsid w:val="00BF6DB1"/>
    <w:rsid w:val="00BF79B7"/>
    <w:rsid w:val="00C00B47"/>
    <w:rsid w:val="00C01499"/>
    <w:rsid w:val="00C01990"/>
    <w:rsid w:val="00C034C1"/>
    <w:rsid w:val="00C03763"/>
    <w:rsid w:val="00C03F7F"/>
    <w:rsid w:val="00C04D6F"/>
    <w:rsid w:val="00C04FAD"/>
    <w:rsid w:val="00C05259"/>
    <w:rsid w:val="00C062D2"/>
    <w:rsid w:val="00C06567"/>
    <w:rsid w:val="00C06576"/>
    <w:rsid w:val="00C0667B"/>
    <w:rsid w:val="00C1171D"/>
    <w:rsid w:val="00C11753"/>
    <w:rsid w:val="00C120E0"/>
    <w:rsid w:val="00C129DA"/>
    <w:rsid w:val="00C12C58"/>
    <w:rsid w:val="00C13335"/>
    <w:rsid w:val="00C13E20"/>
    <w:rsid w:val="00C1463E"/>
    <w:rsid w:val="00C172A8"/>
    <w:rsid w:val="00C1746F"/>
    <w:rsid w:val="00C17DA0"/>
    <w:rsid w:val="00C17DEB"/>
    <w:rsid w:val="00C2108D"/>
    <w:rsid w:val="00C21EB8"/>
    <w:rsid w:val="00C21F7A"/>
    <w:rsid w:val="00C2383C"/>
    <w:rsid w:val="00C2390F"/>
    <w:rsid w:val="00C23A62"/>
    <w:rsid w:val="00C23C69"/>
    <w:rsid w:val="00C23EB9"/>
    <w:rsid w:val="00C24C24"/>
    <w:rsid w:val="00C2594B"/>
    <w:rsid w:val="00C259EA"/>
    <w:rsid w:val="00C264B5"/>
    <w:rsid w:val="00C277FC"/>
    <w:rsid w:val="00C2781E"/>
    <w:rsid w:val="00C279BC"/>
    <w:rsid w:val="00C27AFA"/>
    <w:rsid w:val="00C27B0B"/>
    <w:rsid w:val="00C27D7F"/>
    <w:rsid w:val="00C3088F"/>
    <w:rsid w:val="00C3185C"/>
    <w:rsid w:val="00C318C7"/>
    <w:rsid w:val="00C31CE5"/>
    <w:rsid w:val="00C3301B"/>
    <w:rsid w:val="00C335C2"/>
    <w:rsid w:val="00C33C78"/>
    <w:rsid w:val="00C3400A"/>
    <w:rsid w:val="00C3699E"/>
    <w:rsid w:val="00C40445"/>
    <w:rsid w:val="00C41976"/>
    <w:rsid w:val="00C419D2"/>
    <w:rsid w:val="00C41E5C"/>
    <w:rsid w:val="00C42017"/>
    <w:rsid w:val="00C4274B"/>
    <w:rsid w:val="00C43C1F"/>
    <w:rsid w:val="00C44156"/>
    <w:rsid w:val="00C44205"/>
    <w:rsid w:val="00C4435F"/>
    <w:rsid w:val="00C468EA"/>
    <w:rsid w:val="00C46C11"/>
    <w:rsid w:val="00C47009"/>
    <w:rsid w:val="00C47F24"/>
    <w:rsid w:val="00C50457"/>
    <w:rsid w:val="00C51545"/>
    <w:rsid w:val="00C5173C"/>
    <w:rsid w:val="00C537CB"/>
    <w:rsid w:val="00C544DA"/>
    <w:rsid w:val="00C553C9"/>
    <w:rsid w:val="00C55654"/>
    <w:rsid w:val="00C559FB"/>
    <w:rsid w:val="00C55E35"/>
    <w:rsid w:val="00C561BA"/>
    <w:rsid w:val="00C5690B"/>
    <w:rsid w:val="00C56D94"/>
    <w:rsid w:val="00C57273"/>
    <w:rsid w:val="00C578D8"/>
    <w:rsid w:val="00C6153B"/>
    <w:rsid w:val="00C61B7D"/>
    <w:rsid w:val="00C62150"/>
    <w:rsid w:val="00C628BB"/>
    <w:rsid w:val="00C63199"/>
    <w:rsid w:val="00C63604"/>
    <w:rsid w:val="00C63AED"/>
    <w:rsid w:val="00C6475A"/>
    <w:rsid w:val="00C64A21"/>
    <w:rsid w:val="00C64FA5"/>
    <w:rsid w:val="00C65387"/>
    <w:rsid w:val="00C65548"/>
    <w:rsid w:val="00C65584"/>
    <w:rsid w:val="00C66679"/>
    <w:rsid w:val="00C66C88"/>
    <w:rsid w:val="00C66D52"/>
    <w:rsid w:val="00C675C5"/>
    <w:rsid w:val="00C7012D"/>
    <w:rsid w:val="00C70151"/>
    <w:rsid w:val="00C70806"/>
    <w:rsid w:val="00C70A52"/>
    <w:rsid w:val="00C72EAD"/>
    <w:rsid w:val="00C73477"/>
    <w:rsid w:val="00C73AE2"/>
    <w:rsid w:val="00C73E25"/>
    <w:rsid w:val="00C73FD8"/>
    <w:rsid w:val="00C7485C"/>
    <w:rsid w:val="00C75458"/>
    <w:rsid w:val="00C76299"/>
    <w:rsid w:val="00C765E8"/>
    <w:rsid w:val="00C76631"/>
    <w:rsid w:val="00C766D4"/>
    <w:rsid w:val="00C7696A"/>
    <w:rsid w:val="00C769C7"/>
    <w:rsid w:val="00C76AB6"/>
    <w:rsid w:val="00C772CC"/>
    <w:rsid w:val="00C8045C"/>
    <w:rsid w:val="00C804DC"/>
    <w:rsid w:val="00C819CA"/>
    <w:rsid w:val="00C82B78"/>
    <w:rsid w:val="00C82EAF"/>
    <w:rsid w:val="00C83DCB"/>
    <w:rsid w:val="00C84080"/>
    <w:rsid w:val="00C8452E"/>
    <w:rsid w:val="00C84D29"/>
    <w:rsid w:val="00C854AC"/>
    <w:rsid w:val="00C85C7B"/>
    <w:rsid w:val="00C8627B"/>
    <w:rsid w:val="00C87EC8"/>
    <w:rsid w:val="00C90BB4"/>
    <w:rsid w:val="00C90E93"/>
    <w:rsid w:val="00C91164"/>
    <w:rsid w:val="00C914EF"/>
    <w:rsid w:val="00C9291E"/>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544"/>
    <w:rsid w:val="00CA49F5"/>
    <w:rsid w:val="00CA51D5"/>
    <w:rsid w:val="00CA5FF2"/>
    <w:rsid w:val="00CA7468"/>
    <w:rsid w:val="00CA7B9F"/>
    <w:rsid w:val="00CA7E21"/>
    <w:rsid w:val="00CB0310"/>
    <w:rsid w:val="00CB0A82"/>
    <w:rsid w:val="00CB0F4E"/>
    <w:rsid w:val="00CB10A2"/>
    <w:rsid w:val="00CB130E"/>
    <w:rsid w:val="00CB21F4"/>
    <w:rsid w:val="00CB237E"/>
    <w:rsid w:val="00CB2E61"/>
    <w:rsid w:val="00CB33AF"/>
    <w:rsid w:val="00CB4C4E"/>
    <w:rsid w:val="00CB4D1B"/>
    <w:rsid w:val="00CB4DFA"/>
    <w:rsid w:val="00CB6D9D"/>
    <w:rsid w:val="00CB7F4B"/>
    <w:rsid w:val="00CC017A"/>
    <w:rsid w:val="00CC03D8"/>
    <w:rsid w:val="00CC1B74"/>
    <w:rsid w:val="00CC2B87"/>
    <w:rsid w:val="00CC2E11"/>
    <w:rsid w:val="00CC356C"/>
    <w:rsid w:val="00CC489E"/>
    <w:rsid w:val="00CC505B"/>
    <w:rsid w:val="00CC5894"/>
    <w:rsid w:val="00CC798C"/>
    <w:rsid w:val="00CD0D67"/>
    <w:rsid w:val="00CD115A"/>
    <w:rsid w:val="00CD193E"/>
    <w:rsid w:val="00CD20B0"/>
    <w:rsid w:val="00CD2481"/>
    <w:rsid w:val="00CD28AE"/>
    <w:rsid w:val="00CD3104"/>
    <w:rsid w:val="00CD3509"/>
    <w:rsid w:val="00CD4255"/>
    <w:rsid w:val="00CD44EE"/>
    <w:rsid w:val="00CD5399"/>
    <w:rsid w:val="00CD54B3"/>
    <w:rsid w:val="00CD664D"/>
    <w:rsid w:val="00CD6DA4"/>
    <w:rsid w:val="00CD72FD"/>
    <w:rsid w:val="00CD750A"/>
    <w:rsid w:val="00CE0355"/>
    <w:rsid w:val="00CE1897"/>
    <w:rsid w:val="00CE2660"/>
    <w:rsid w:val="00CE2CF6"/>
    <w:rsid w:val="00CE398C"/>
    <w:rsid w:val="00CE408F"/>
    <w:rsid w:val="00CE4251"/>
    <w:rsid w:val="00CE46F7"/>
    <w:rsid w:val="00CE4C27"/>
    <w:rsid w:val="00CE6B17"/>
    <w:rsid w:val="00CF01CF"/>
    <w:rsid w:val="00CF02D4"/>
    <w:rsid w:val="00CF0BA9"/>
    <w:rsid w:val="00CF1278"/>
    <w:rsid w:val="00CF1D3D"/>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A79"/>
    <w:rsid w:val="00D01BE9"/>
    <w:rsid w:val="00D01E1C"/>
    <w:rsid w:val="00D01F53"/>
    <w:rsid w:val="00D02B80"/>
    <w:rsid w:val="00D037C4"/>
    <w:rsid w:val="00D039F7"/>
    <w:rsid w:val="00D0443D"/>
    <w:rsid w:val="00D045DB"/>
    <w:rsid w:val="00D05DA0"/>
    <w:rsid w:val="00D05EC7"/>
    <w:rsid w:val="00D06C74"/>
    <w:rsid w:val="00D06DCB"/>
    <w:rsid w:val="00D07C7B"/>
    <w:rsid w:val="00D107FD"/>
    <w:rsid w:val="00D11826"/>
    <w:rsid w:val="00D11E92"/>
    <w:rsid w:val="00D125B6"/>
    <w:rsid w:val="00D13E39"/>
    <w:rsid w:val="00D144EF"/>
    <w:rsid w:val="00D1451E"/>
    <w:rsid w:val="00D145F5"/>
    <w:rsid w:val="00D154DC"/>
    <w:rsid w:val="00D1570E"/>
    <w:rsid w:val="00D163AC"/>
    <w:rsid w:val="00D1728A"/>
    <w:rsid w:val="00D1739C"/>
    <w:rsid w:val="00D1785C"/>
    <w:rsid w:val="00D220E4"/>
    <w:rsid w:val="00D2231A"/>
    <w:rsid w:val="00D226EB"/>
    <w:rsid w:val="00D22CFA"/>
    <w:rsid w:val="00D230E3"/>
    <w:rsid w:val="00D23B07"/>
    <w:rsid w:val="00D242D0"/>
    <w:rsid w:val="00D252C3"/>
    <w:rsid w:val="00D2595E"/>
    <w:rsid w:val="00D2611A"/>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5141"/>
    <w:rsid w:val="00D3609D"/>
    <w:rsid w:val="00D36F8D"/>
    <w:rsid w:val="00D377F8"/>
    <w:rsid w:val="00D37DC9"/>
    <w:rsid w:val="00D37E2C"/>
    <w:rsid w:val="00D40691"/>
    <w:rsid w:val="00D40F41"/>
    <w:rsid w:val="00D413EF"/>
    <w:rsid w:val="00D41A31"/>
    <w:rsid w:val="00D41D18"/>
    <w:rsid w:val="00D42813"/>
    <w:rsid w:val="00D4286A"/>
    <w:rsid w:val="00D42949"/>
    <w:rsid w:val="00D43488"/>
    <w:rsid w:val="00D43516"/>
    <w:rsid w:val="00D4380D"/>
    <w:rsid w:val="00D44329"/>
    <w:rsid w:val="00D448BD"/>
    <w:rsid w:val="00D44B78"/>
    <w:rsid w:val="00D45296"/>
    <w:rsid w:val="00D452B9"/>
    <w:rsid w:val="00D45D96"/>
    <w:rsid w:val="00D46100"/>
    <w:rsid w:val="00D46178"/>
    <w:rsid w:val="00D50902"/>
    <w:rsid w:val="00D51AA5"/>
    <w:rsid w:val="00D52568"/>
    <w:rsid w:val="00D52A0A"/>
    <w:rsid w:val="00D5586B"/>
    <w:rsid w:val="00D56797"/>
    <w:rsid w:val="00D568F1"/>
    <w:rsid w:val="00D56D67"/>
    <w:rsid w:val="00D57A9C"/>
    <w:rsid w:val="00D57ACF"/>
    <w:rsid w:val="00D602FC"/>
    <w:rsid w:val="00D606B3"/>
    <w:rsid w:val="00D60CA1"/>
    <w:rsid w:val="00D620D2"/>
    <w:rsid w:val="00D64C89"/>
    <w:rsid w:val="00D6644F"/>
    <w:rsid w:val="00D664C2"/>
    <w:rsid w:val="00D667AC"/>
    <w:rsid w:val="00D6758E"/>
    <w:rsid w:val="00D70368"/>
    <w:rsid w:val="00D707EC"/>
    <w:rsid w:val="00D71721"/>
    <w:rsid w:val="00D7244D"/>
    <w:rsid w:val="00D72636"/>
    <w:rsid w:val="00D72DD7"/>
    <w:rsid w:val="00D72EA2"/>
    <w:rsid w:val="00D743BF"/>
    <w:rsid w:val="00D74625"/>
    <w:rsid w:val="00D746B6"/>
    <w:rsid w:val="00D74BA9"/>
    <w:rsid w:val="00D759F2"/>
    <w:rsid w:val="00D75A18"/>
    <w:rsid w:val="00D75E62"/>
    <w:rsid w:val="00D762F4"/>
    <w:rsid w:val="00D7636B"/>
    <w:rsid w:val="00D7695F"/>
    <w:rsid w:val="00D76A0A"/>
    <w:rsid w:val="00D76B4B"/>
    <w:rsid w:val="00D7732A"/>
    <w:rsid w:val="00D7768C"/>
    <w:rsid w:val="00D813D2"/>
    <w:rsid w:val="00D81419"/>
    <w:rsid w:val="00D8307C"/>
    <w:rsid w:val="00D83CD6"/>
    <w:rsid w:val="00D84BD4"/>
    <w:rsid w:val="00D85355"/>
    <w:rsid w:val="00D85D08"/>
    <w:rsid w:val="00D86209"/>
    <w:rsid w:val="00D866B8"/>
    <w:rsid w:val="00D86B70"/>
    <w:rsid w:val="00D86C28"/>
    <w:rsid w:val="00D86FE4"/>
    <w:rsid w:val="00D87800"/>
    <w:rsid w:val="00D908BD"/>
    <w:rsid w:val="00D9097F"/>
    <w:rsid w:val="00D91F3D"/>
    <w:rsid w:val="00D92932"/>
    <w:rsid w:val="00D929C9"/>
    <w:rsid w:val="00D947BA"/>
    <w:rsid w:val="00D95938"/>
    <w:rsid w:val="00D95A18"/>
    <w:rsid w:val="00D961D1"/>
    <w:rsid w:val="00D96965"/>
    <w:rsid w:val="00D96B2F"/>
    <w:rsid w:val="00D97E89"/>
    <w:rsid w:val="00DA060C"/>
    <w:rsid w:val="00DA0CC5"/>
    <w:rsid w:val="00DA1160"/>
    <w:rsid w:val="00DA119B"/>
    <w:rsid w:val="00DA12CE"/>
    <w:rsid w:val="00DA1E65"/>
    <w:rsid w:val="00DA1F04"/>
    <w:rsid w:val="00DA2374"/>
    <w:rsid w:val="00DA2771"/>
    <w:rsid w:val="00DA4874"/>
    <w:rsid w:val="00DA4F47"/>
    <w:rsid w:val="00DA7589"/>
    <w:rsid w:val="00DB092E"/>
    <w:rsid w:val="00DB0B3F"/>
    <w:rsid w:val="00DB0C2B"/>
    <w:rsid w:val="00DB1B61"/>
    <w:rsid w:val="00DB21CF"/>
    <w:rsid w:val="00DB280A"/>
    <w:rsid w:val="00DB2951"/>
    <w:rsid w:val="00DB4336"/>
    <w:rsid w:val="00DB4918"/>
    <w:rsid w:val="00DB565C"/>
    <w:rsid w:val="00DB5BD7"/>
    <w:rsid w:val="00DB5FAB"/>
    <w:rsid w:val="00DB64A6"/>
    <w:rsid w:val="00DB66FB"/>
    <w:rsid w:val="00DB673B"/>
    <w:rsid w:val="00DB78B0"/>
    <w:rsid w:val="00DC0701"/>
    <w:rsid w:val="00DC09F2"/>
    <w:rsid w:val="00DC121F"/>
    <w:rsid w:val="00DC14D4"/>
    <w:rsid w:val="00DC2837"/>
    <w:rsid w:val="00DC46F4"/>
    <w:rsid w:val="00DC61C5"/>
    <w:rsid w:val="00DC658C"/>
    <w:rsid w:val="00DC6921"/>
    <w:rsid w:val="00DC7A96"/>
    <w:rsid w:val="00DD0063"/>
    <w:rsid w:val="00DD047C"/>
    <w:rsid w:val="00DD1145"/>
    <w:rsid w:val="00DD1EF7"/>
    <w:rsid w:val="00DD23C3"/>
    <w:rsid w:val="00DD33A6"/>
    <w:rsid w:val="00DD3691"/>
    <w:rsid w:val="00DD3B4F"/>
    <w:rsid w:val="00DD3F68"/>
    <w:rsid w:val="00DD4492"/>
    <w:rsid w:val="00DD45BF"/>
    <w:rsid w:val="00DD4657"/>
    <w:rsid w:val="00DD54AB"/>
    <w:rsid w:val="00DD570C"/>
    <w:rsid w:val="00DD58E9"/>
    <w:rsid w:val="00DD63FF"/>
    <w:rsid w:val="00DD6F85"/>
    <w:rsid w:val="00DD7248"/>
    <w:rsid w:val="00DD7558"/>
    <w:rsid w:val="00DD7BFF"/>
    <w:rsid w:val="00DE006A"/>
    <w:rsid w:val="00DE0455"/>
    <w:rsid w:val="00DE08A8"/>
    <w:rsid w:val="00DE15EC"/>
    <w:rsid w:val="00DE2FBE"/>
    <w:rsid w:val="00DE313E"/>
    <w:rsid w:val="00DE4EB9"/>
    <w:rsid w:val="00DE5664"/>
    <w:rsid w:val="00DE5899"/>
    <w:rsid w:val="00DE7A8B"/>
    <w:rsid w:val="00DF01D9"/>
    <w:rsid w:val="00DF0961"/>
    <w:rsid w:val="00DF0D8A"/>
    <w:rsid w:val="00DF0EB3"/>
    <w:rsid w:val="00DF1349"/>
    <w:rsid w:val="00DF14A6"/>
    <w:rsid w:val="00DF1C00"/>
    <w:rsid w:val="00DF26A5"/>
    <w:rsid w:val="00DF2F9E"/>
    <w:rsid w:val="00DF327A"/>
    <w:rsid w:val="00DF6891"/>
    <w:rsid w:val="00DF6B9A"/>
    <w:rsid w:val="00DF6CBC"/>
    <w:rsid w:val="00DF6D63"/>
    <w:rsid w:val="00DF70B2"/>
    <w:rsid w:val="00E001F7"/>
    <w:rsid w:val="00E00B8E"/>
    <w:rsid w:val="00E01EB5"/>
    <w:rsid w:val="00E02031"/>
    <w:rsid w:val="00E02406"/>
    <w:rsid w:val="00E029F3"/>
    <w:rsid w:val="00E02A54"/>
    <w:rsid w:val="00E032F4"/>
    <w:rsid w:val="00E03E1B"/>
    <w:rsid w:val="00E045B8"/>
    <w:rsid w:val="00E04DDC"/>
    <w:rsid w:val="00E04E8A"/>
    <w:rsid w:val="00E05BF4"/>
    <w:rsid w:val="00E05ED4"/>
    <w:rsid w:val="00E060AB"/>
    <w:rsid w:val="00E062C7"/>
    <w:rsid w:val="00E06C8A"/>
    <w:rsid w:val="00E06DAF"/>
    <w:rsid w:val="00E1026E"/>
    <w:rsid w:val="00E11791"/>
    <w:rsid w:val="00E1267D"/>
    <w:rsid w:val="00E128A1"/>
    <w:rsid w:val="00E1336F"/>
    <w:rsid w:val="00E144F6"/>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120"/>
    <w:rsid w:val="00E2477D"/>
    <w:rsid w:val="00E2609A"/>
    <w:rsid w:val="00E26247"/>
    <w:rsid w:val="00E26A55"/>
    <w:rsid w:val="00E276E1"/>
    <w:rsid w:val="00E305A8"/>
    <w:rsid w:val="00E31987"/>
    <w:rsid w:val="00E31CC7"/>
    <w:rsid w:val="00E31D45"/>
    <w:rsid w:val="00E32C01"/>
    <w:rsid w:val="00E342C7"/>
    <w:rsid w:val="00E34733"/>
    <w:rsid w:val="00E35064"/>
    <w:rsid w:val="00E360DE"/>
    <w:rsid w:val="00E41101"/>
    <w:rsid w:val="00E41C55"/>
    <w:rsid w:val="00E42C6E"/>
    <w:rsid w:val="00E42CA1"/>
    <w:rsid w:val="00E433D2"/>
    <w:rsid w:val="00E44151"/>
    <w:rsid w:val="00E45CAE"/>
    <w:rsid w:val="00E47AB1"/>
    <w:rsid w:val="00E47F7C"/>
    <w:rsid w:val="00E50C5B"/>
    <w:rsid w:val="00E50FF2"/>
    <w:rsid w:val="00E51726"/>
    <w:rsid w:val="00E51E8B"/>
    <w:rsid w:val="00E52FDE"/>
    <w:rsid w:val="00E53004"/>
    <w:rsid w:val="00E553C1"/>
    <w:rsid w:val="00E5545A"/>
    <w:rsid w:val="00E55A0F"/>
    <w:rsid w:val="00E562CD"/>
    <w:rsid w:val="00E56CDD"/>
    <w:rsid w:val="00E56FDC"/>
    <w:rsid w:val="00E57CB5"/>
    <w:rsid w:val="00E605C0"/>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B47"/>
    <w:rsid w:val="00E8003A"/>
    <w:rsid w:val="00E800F3"/>
    <w:rsid w:val="00E806F8"/>
    <w:rsid w:val="00E80C9D"/>
    <w:rsid w:val="00E83915"/>
    <w:rsid w:val="00E83A68"/>
    <w:rsid w:val="00E842FA"/>
    <w:rsid w:val="00E847F5"/>
    <w:rsid w:val="00E85A05"/>
    <w:rsid w:val="00E86120"/>
    <w:rsid w:val="00E862C8"/>
    <w:rsid w:val="00E87CA5"/>
    <w:rsid w:val="00E87F78"/>
    <w:rsid w:val="00E90EBC"/>
    <w:rsid w:val="00E91BA9"/>
    <w:rsid w:val="00E91C49"/>
    <w:rsid w:val="00E92233"/>
    <w:rsid w:val="00E9225B"/>
    <w:rsid w:val="00E93BFE"/>
    <w:rsid w:val="00E93DC5"/>
    <w:rsid w:val="00E950D1"/>
    <w:rsid w:val="00E954A2"/>
    <w:rsid w:val="00E9587D"/>
    <w:rsid w:val="00E959EF"/>
    <w:rsid w:val="00E962E7"/>
    <w:rsid w:val="00E96ED9"/>
    <w:rsid w:val="00E97E9C"/>
    <w:rsid w:val="00E97EF9"/>
    <w:rsid w:val="00EA05E8"/>
    <w:rsid w:val="00EA10BF"/>
    <w:rsid w:val="00EA1A41"/>
    <w:rsid w:val="00EA3D64"/>
    <w:rsid w:val="00EA508B"/>
    <w:rsid w:val="00EA58BE"/>
    <w:rsid w:val="00EA6657"/>
    <w:rsid w:val="00EA72C0"/>
    <w:rsid w:val="00EA7458"/>
    <w:rsid w:val="00EB013D"/>
    <w:rsid w:val="00EB03DD"/>
    <w:rsid w:val="00EB04B3"/>
    <w:rsid w:val="00EB0F75"/>
    <w:rsid w:val="00EB1AD6"/>
    <w:rsid w:val="00EB2992"/>
    <w:rsid w:val="00EB322B"/>
    <w:rsid w:val="00EB49D3"/>
    <w:rsid w:val="00EB49DE"/>
    <w:rsid w:val="00EB4BB1"/>
    <w:rsid w:val="00EB5A9B"/>
    <w:rsid w:val="00EB5AB9"/>
    <w:rsid w:val="00EB5ABB"/>
    <w:rsid w:val="00EB5ED6"/>
    <w:rsid w:val="00EB6182"/>
    <w:rsid w:val="00EB7A1B"/>
    <w:rsid w:val="00EC0B31"/>
    <w:rsid w:val="00EC0C0A"/>
    <w:rsid w:val="00EC1BAC"/>
    <w:rsid w:val="00EC230A"/>
    <w:rsid w:val="00EC27E9"/>
    <w:rsid w:val="00EC2A3B"/>
    <w:rsid w:val="00EC3F63"/>
    <w:rsid w:val="00EC5633"/>
    <w:rsid w:val="00EC5C26"/>
    <w:rsid w:val="00EC60FB"/>
    <w:rsid w:val="00EC6130"/>
    <w:rsid w:val="00EC62AF"/>
    <w:rsid w:val="00EC6346"/>
    <w:rsid w:val="00EC732C"/>
    <w:rsid w:val="00EC7E26"/>
    <w:rsid w:val="00ED2992"/>
    <w:rsid w:val="00ED40E5"/>
    <w:rsid w:val="00ED479D"/>
    <w:rsid w:val="00ED526C"/>
    <w:rsid w:val="00ED6513"/>
    <w:rsid w:val="00ED6F26"/>
    <w:rsid w:val="00ED73F5"/>
    <w:rsid w:val="00ED759F"/>
    <w:rsid w:val="00ED78D7"/>
    <w:rsid w:val="00ED7CF4"/>
    <w:rsid w:val="00EE054F"/>
    <w:rsid w:val="00EE0AEE"/>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E83"/>
    <w:rsid w:val="00EF07A5"/>
    <w:rsid w:val="00EF15EA"/>
    <w:rsid w:val="00EF1825"/>
    <w:rsid w:val="00EF2BCF"/>
    <w:rsid w:val="00EF325D"/>
    <w:rsid w:val="00EF32C8"/>
    <w:rsid w:val="00EF334F"/>
    <w:rsid w:val="00EF36A3"/>
    <w:rsid w:val="00EF3813"/>
    <w:rsid w:val="00EF3CBB"/>
    <w:rsid w:val="00EF43C4"/>
    <w:rsid w:val="00EF45A9"/>
    <w:rsid w:val="00EF4D72"/>
    <w:rsid w:val="00EF50D2"/>
    <w:rsid w:val="00EF5FD4"/>
    <w:rsid w:val="00EF6D5A"/>
    <w:rsid w:val="00EF705A"/>
    <w:rsid w:val="00EF7154"/>
    <w:rsid w:val="00EF77C5"/>
    <w:rsid w:val="00F01AD2"/>
    <w:rsid w:val="00F0275C"/>
    <w:rsid w:val="00F02A87"/>
    <w:rsid w:val="00F0362D"/>
    <w:rsid w:val="00F050E7"/>
    <w:rsid w:val="00F051FB"/>
    <w:rsid w:val="00F06E9B"/>
    <w:rsid w:val="00F070DB"/>
    <w:rsid w:val="00F07128"/>
    <w:rsid w:val="00F077B2"/>
    <w:rsid w:val="00F07B15"/>
    <w:rsid w:val="00F100B2"/>
    <w:rsid w:val="00F10B8F"/>
    <w:rsid w:val="00F10F37"/>
    <w:rsid w:val="00F11CC4"/>
    <w:rsid w:val="00F1256D"/>
    <w:rsid w:val="00F12D11"/>
    <w:rsid w:val="00F138A7"/>
    <w:rsid w:val="00F14E62"/>
    <w:rsid w:val="00F15902"/>
    <w:rsid w:val="00F15D9E"/>
    <w:rsid w:val="00F1707E"/>
    <w:rsid w:val="00F17366"/>
    <w:rsid w:val="00F203CE"/>
    <w:rsid w:val="00F206E4"/>
    <w:rsid w:val="00F20E84"/>
    <w:rsid w:val="00F20F8C"/>
    <w:rsid w:val="00F21162"/>
    <w:rsid w:val="00F227AD"/>
    <w:rsid w:val="00F227DD"/>
    <w:rsid w:val="00F22E7F"/>
    <w:rsid w:val="00F23605"/>
    <w:rsid w:val="00F24AE1"/>
    <w:rsid w:val="00F25C15"/>
    <w:rsid w:val="00F26304"/>
    <w:rsid w:val="00F276FF"/>
    <w:rsid w:val="00F27CDA"/>
    <w:rsid w:val="00F30183"/>
    <w:rsid w:val="00F30476"/>
    <w:rsid w:val="00F308BF"/>
    <w:rsid w:val="00F313FC"/>
    <w:rsid w:val="00F31648"/>
    <w:rsid w:val="00F3229F"/>
    <w:rsid w:val="00F33472"/>
    <w:rsid w:val="00F339AD"/>
    <w:rsid w:val="00F34287"/>
    <w:rsid w:val="00F34C2F"/>
    <w:rsid w:val="00F34E55"/>
    <w:rsid w:val="00F34F46"/>
    <w:rsid w:val="00F35104"/>
    <w:rsid w:val="00F359B5"/>
    <w:rsid w:val="00F35A33"/>
    <w:rsid w:val="00F365D4"/>
    <w:rsid w:val="00F36EC0"/>
    <w:rsid w:val="00F36FC9"/>
    <w:rsid w:val="00F370B0"/>
    <w:rsid w:val="00F37562"/>
    <w:rsid w:val="00F37935"/>
    <w:rsid w:val="00F40036"/>
    <w:rsid w:val="00F401A8"/>
    <w:rsid w:val="00F403FE"/>
    <w:rsid w:val="00F431C0"/>
    <w:rsid w:val="00F4320E"/>
    <w:rsid w:val="00F436D3"/>
    <w:rsid w:val="00F4397B"/>
    <w:rsid w:val="00F43C48"/>
    <w:rsid w:val="00F4456D"/>
    <w:rsid w:val="00F44954"/>
    <w:rsid w:val="00F44B1B"/>
    <w:rsid w:val="00F46491"/>
    <w:rsid w:val="00F466B6"/>
    <w:rsid w:val="00F46B8B"/>
    <w:rsid w:val="00F51130"/>
    <w:rsid w:val="00F51886"/>
    <w:rsid w:val="00F51C71"/>
    <w:rsid w:val="00F52081"/>
    <w:rsid w:val="00F52218"/>
    <w:rsid w:val="00F5252B"/>
    <w:rsid w:val="00F52F6E"/>
    <w:rsid w:val="00F53213"/>
    <w:rsid w:val="00F5359E"/>
    <w:rsid w:val="00F565BD"/>
    <w:rsid w:val="00F56ECA"/>
    <w:rsid w:val="00F56F51"/>
    <w:rsid w:val="00F5745A"/>
    <w:rsid w:val="00F57E8C"/>
    <w:rsid w:val="00F60845"/>
    <w:rsid w:val="00F612E3"/>
    <w:rsid w:val="00F61517"/>
    <w:rsid w:val="00F617A9"/>
    <w:rsid w:val="00F62BAE"/>
    <w:rsid w:val="00F6311E"/>
    <w:rsid w:val="00F64240"/>
    <w:rsid w:val="00F642AB"/>
    <w:rsid w:val="00F649E1"/>
    <w:rsid w:val="00F64E77"/>
    <w:rsid w:val="00F652F2"/>
    <w:rsid w:val="00F70A88"/>
    <w:rsid w:val="00F71906"/>
    <w:rsid w:val="00F73041"/>
    <w:rsid w:val="00F736DC"/>
    <w:rsid w:val="00F737D4"/>
    <w:rsid w:val="00F74ED9"/>
    <w:rsid w:val="00F74FD2"/>
    <w:rsid w:val="00F756D0"/>
    <w:rsid w:val="00F7721A"/>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A03"/>
    <w:rsid w:val="00F90D66"/>
    <w:rsid w:val="00F93465"/>
    <w:rsid w:val="00F93C85"/>
    <w:rsid w:val="00F93CD0"/>
    <w:rsid w:val="00F93D44"/>
    <w:rsid w:val="00F94AF1"/>
    <w:rsid w:val="00F95289"/>
    <w:rsid w:val="00F968CA"/>
    <w:rsid w:val="00F96AF0"/>
    <w:rsid w:val="00F970E1"/>
    <w:rsid w:val="00F9750F"/>
    <w:rsid w:val="00FA0E64"/>
    <w:rsid w:val="00FA16BA"/>
    <w:rsid w:val="00FA201C"/>
    <w:rsid w:val="00FA2A8A"/>
    <w:rsid w:val="00FA3380"/>
    <w:rsid w:val="00FA4B3F"/>
    <w:rsid w:val="00FA572E"/>
    <w:rsid w:val="00FA5C60"/>
    <w:rsid w:val="00FA5DD4"/>
    <w:rsid w:val="00FA5E72"/>
    <w:rsid w:val="00FA6DA8"/>
    <w:rsid w:val="00FA6F25"/>
    <w:rsid w:val="00FA74DF"/>
    <w:rsid w:val="00FB1178"/>
    <w:rsid w:val="00FB166C"/>
    <w:rsid w:val="00FB169D"/>
    <w:rsid w:val="00FB20E3"/>
    <w:rsid w:val="00FB330C"/>
    <w:rsid w:val="00FB3839"/>
    <w:rsid w:val="00FB3B05"/>
    <w:rsid w:val="00FB4620"/>
    <w:rsid w:val="00FB4866"/>
    <w:rsid w:val="00FB4F43"/>
    <w:rsid w:val="00FB50B2"/>
    <w:rsid w:val="00FB5829"/>
    <w:rsid w:val="00FB689C"/>
    <w:rsid w:val="00FB6C52"/>
    <w:rsid w:val="00FB6FA7"/>
    <w:rsid w:val="00FB7DAA"/>
    <w:rsid w:val="00FC004B"/>
    <w:rsid w:val="00FC0761"/>
    <w:rsid w:val="00FC0D0E"/>
    <w:rsid w:val="00FC0D49"/>
    <w:rsid w:val="00FC0EB7"/>
    <w:rsid w:val="00FC1B80"/>
    <w:rsid w:val="00FC1FCB"/>
    <w:rsid w:val="00FC27DD"/>
    <w:rsid w:val="00FC2ABF"/>
    <w:rsid w:val="00FC326F"/>
    <w:rsid w:val="00FC33CE"/>
    <w:rsid w:val="00FC3D71"/>
    <w:rsid w:val="00FC53DC"/>
    <w:rsid w:val="00FC5FD6"/>
    <w:rsid w:val="00FC6F85"/>
    <w:rsid w:val="00FC6FA4"/>
    <w:rsid w:val="00FC75D6"/>
    <w:rsid w:val="00FC7A1D"/>
    <w:rsid w:val="00FC7D91"/>
    <w:rsid w:val="00FD14EB"/>
    <w:rsid w:val="00FD178B"/>
    <w:rsid w:val="00FD2CE2"/>
    <w:rsid w:val="00FD55D9"/>
    <w:rsid w:val="00FD64C4"/>
    <w:rsid w:val="00FD72D8"/>
    <w:rsid w:val="00FD73AE"/>
    <w:rsid w:val="00FD7B1A"/>
    <w:rsid w:val="00FD7D7D"/>
    <w:rsid w:val="00FE144E"/>
    <w:rsid w:val="00FE1ED4"/>
    <w:rsid w:val="00FE37EE"/>
    <w:rsid w:val="00FE4201"/>
    <w:rsid w:val="00FE4624"/>
    <w:rsid w:val="00FE5E91"/>
    <w:rsid w:val="00FE64DA"/>
    <w:rsid w:val="00FE6A96"/>
    <w:rsid w:val="00FE7B37"/>
    <w:rsid w:val="00FF0DEB"/>
    <w:rsid w:val="00FF11BE"/>
    <w:rsid w:val="00FF125F"/>
    <w:rsid w:val="00FF171D"/>
    <w:rsid w:val="00FF1C1D"/>
    <w:rsid w:val="00FF20BB"/>
    <w:rsid w:val="00FF29C7"/>
    <w:rsid w:val="00FF5999"/>
    <w:rsid w:val="00FF5B28"/>
    <w:rsid w:val="00FF64DB"/>
    <w:rsid w:val="00FF69FA"/>
    <w:rsid w:val="00FF6EFD"/>
    <w:rsid w:val="00FF7D8A"/>
    <w:rsid w:val="010D5945"/>
    <w:rsid w:val="01171293"/>
    <w:rsid w:val="02A56416"/>
    <w:rsid w:val="02CE271D"/>
    <w:rsid w:val="03CD1F61"/>
    <w:rsid w:val="053B0001"/>
    <w:rsid w:val="05867D30"/>
    <w:rsid w:val="05FD7C75"/>
    <w:rsid w:val="0660031E"/>
    <w:rsid w:val="06FD33D4"/>
    <w:rsid w:val="0800401C"/>
    <w:rsid w:val="083E7612"/>
    <w:rsid w:val="09581493"/>
    <w:rsid w:val="0A3C1656"/>
    <w:rsid w:val="0B0F75B1"/>
    <w:rsid w:val="0B1D7922"/>
    <w:rsid w:val="0BCD656A"/>
    <w:rsid w:val="0C7E6D9B"/>
    <w:rsid w:val="0CB5092B"/>
    <w:rsid w:val="0D42581B"/>
    <w:rsid w:val="0D612203"/>
    <w:rsid w:val="0E476CCE"/>
    <w:rsid w:val="10033BEB"/>
    <w:rsid w:val="111F6909"/>
    <w:rsid w:val="11246B2C"/>
    <w:rsid w:val="12653C09"/>
    <w:rsid w:val="12E94D5A"/>
    <w:rsid w:val="1309795C"/>
    <w:rsid w:val="13553E48"/>
    <w:rsid w:val="14BF06FC"/>
    <w:rsid w:val="1549721B"/>
    <w:rsid w:val="167B44F6"/>
    <w:rsid w:val="17BD56E0"/>
    <w:rsid w:val="18AE7B16"/>
    <w:rsid w:val="18EA08C7"/>
    <w:rsid w:val="1A822F01"/>
    <w:rsid w:val="1CF14D85"/>
    <w:rsid w:val="1DDD0103"/>
    <w:rsid w:val="1F055E3E"/>
    <w:rsid w:val="1F0F5A6E"/>
    <w:rsid w:val="200E1FA8"/>
    <w:rsid w:val="20FA7627"/>
    <w:rsid w:val="21385A19"/>
    <w:rsid w:val="218538C2"/>
    <w:rsid w:val="21EC706F"/>
    <w:rsid w:val="22C6598A"/>
    <w:rsid w:val="23DF076E"/>
    <w:rsid w:val="24B05ACD"/>
    <w:rsid w:val="24DD14F8"/>
    <w:rsid w:val="25CE4269"/>
    <w:rsid w:val="27703E52"/>
    <w:rsid w:val="27F34BCD"/>
    <w:rsid w:val="28AC46D0"/>
    <w:rsid w:val="2A104A35"/>
    <w:rsid w:val="2A361FCD"/>
    <w:rsid w:val="2A6A1328"/>
    <w:rsid w:val="2C010B73"/>
    <w:rsid w:val="2DA07DEB"/>
    <w:rsid w:val="2E591798"/>
    <w:rsid w:val="30016D50"/>
    <w:rsid w:val="32A10788"/>
    <w:rsid w:val="359D4169"/>
    <w:rsid w:val="35D06E0C"/>
    <w:rsid w:val="37227F02"/>
    <w:rsid w:val="37D1071F"/>
    <w:rsid w:val="37F81C64"/>
    <w:rsid w:val="384D38EC"/>
    <w:rsid w:val="39756146"/>
    <w:rsid w:val="3A30323D"/>
    <w:rsid w:val="3D8E24B1"/>
    <w:rsid w:val="3D970065"/>
    <w:rsid w:val="3DA6035B"/>
    <w:rsid w:val="3E52426F"/>
    <w:rsid w:val="3ED77D2A"/>
    <w:rsid w:val="3EEB314E"/>
    <w:rsid w:val="3F156DA5"/>
    <w:rsid w:val="3F22278E"/>
    <w:rsid w:val="3FCE01BB"/>
    <w:rsid w:val="405458A8"/>
    <w:rsid w:val="416857AB"/>
    <w:rsid w:val="420F48CA"/>
    <w:rsid w:val="422C351D"/>
    <w:rsid w:val="43E73F0F"/>
    <w:rsid w:val="467C22CB"/>
    <w:rsid w:val="47DC0C8D"/>
    <w:rsid w:val="48A510DA"/>
    <w:rsid w:val="48F51190"/>
    <w:rsid w:val="49F67E9C"/>
    <w:rsid w:val="4A80122A"/>
    <w:rsid w:val="4C633CF8"/>
    <w:rsid w:val="502E5DBE"/>
    <w:rsid w:val="51BA6258"/>
    <w:rsid w:val="54246E44"/>
    <w:rsid w:val="54900D9E"/>
    <w:rsid w:val="54A333CF"/>
    <w:rsid w:val="55766291"/>
    <w:rsid w:val="55882871"/>
    <w:rsid w:val="564369E7"/>
    <w:rsid w:val="57C46D45"/>
    <w:rsid w:val="5809489E"/>
    <w:rsid w:val="592F458C"/>
    <w:rsid w:val="5B4E455A"/>
    <w:rsid w:val="5D8F42D7"/>
    <w:rsid w:val="5DD4276B"/>
    <w:rsid w:val="5E0734AA"/>
    <w:rsid w:val="5F0624D6"/>
    <w:rsid w:val="60530FD9"/>
    <w:rsid w:val="614F2DA5"/>
    <w:rsid w:val="63FC3EEE"/>
    <w:rsid w:val="649A25B4"/>
    <w:rsid w:val="64A36C4B"/>
    <w:rsid w:val="65010418"/>
    <w:rsid w:val="65750BD1"/>
    <w:rsid w:val="67890014"/>
    <w:rsid w:val="68D6572A"/>
    <w:rsid w:val="6922788C"/>
    <w:rsid w:val="69EA1D3B"/>
    <w:rsid w:val="6B306906"/>
    <w:rsid w:val="6C813756"/>
    <w:rsid w:val="6CA12DC9"/>
    <w:rsid w:val="6EBE7604"/>
    <w:rsid w:val="6F3A7AA1"/>
    <w:rsid w:val="703E40DE"/>
    <w:rsid w:val="709539B8"/>
    <w:rsid w:val="718E393E"/>
    <w:rsid w:val="72D028D8"/>
    <w:rsid w:val="72E501F4"/>
    <w:rsid w:val="72FA58FF"/>
    <w:rsid w:val="731909EC"/>
    <w:rsid w:val="73CA760C"/>
    <w:rsid w:val="73FC398F"/>
    <w:rsid w:val="75154E13"/>
    <w:rsid w:val="75471A14"/>
    <w:rsid w:val="77BF5070"/>
    <w:rsid w:val="77E756B1"/>
    <w:rsid w:val="78021EC0"/>
    <w:rsid w:val="78CC4CF7"/>
    <w:rsid w:val="79B50C28"/>
    <w:rsid w:val="7ADF6988"/>
    <w:rsid w:val="7B324501"/>
    <w:rsid w:val="7B3F33A4"/>
    <w:rsid w:val="7CBB0411"/>
    <w:rsid w:val="7CBD2232"/>
    <w:rsid w:val="7CDA4112"/>
    <w:rsid w:val="FE2B79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qFormat="1" w:unhideWhenUsed="0" w:uiPriority="0" w:semiHidden="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iPriority="39" w:semiHidden="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5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59"/>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3"/>
    <w:qFormat/>
    <w:uiPriority w:val="9"/>
    <w:pPr>
      <w:keepNext/>
      <w:keepLines/>
      <w:spacing w:line="416" w:lineRule="auto"/>
      <w:outlineLvl w:val="2"/>
    </w:pPr>
    <w:rPr>
      <w:b/>
      <w:bCs/>
      <w:sz w:val="32"/>
      <w:szCs w:val="32"/>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6">
    <w:name w:val="caption"/>
    <w:basedOn w:val="1"/>
    <w:next w:val="1"/>
    <w:qFormat/>
    <w:uiPriority w:val="0"/>
    <w:pPr>
      <w:spacing w:before="152" w:after="160"/>
    </w:pPr>
    <w:rPr>
      <w:rFonts w:ascii="Arial" w:hAnsi="Arial" w:eastAsia="黑体" w:cs="Arial"/>
      <w:sz w:val="20"/>
    </w:rPr>
  </w:style>
  <w:style w:type="paragraph" w:styleId="7">
    <w:name w:val="annotation text"/>
    <w:basedOn w:val="1"/>
    <w:link w:val="35"/>
    <w:qFormat/>
    <w:uiPriority w:val="0"/>
    <w:pPr>
      <w:jc w:val="left"/>
    </w:pPr>
  </w:style>
  <w:style w:type="paragraph" w:styleId="8">
    <w:name w:val="Body Text"/>
    <w:basedOn w:val="1"/>
    <w:link w:val="31"/>
    <w:qFormat/>
    <w:uiPriority w:val="0"/>
    <w:rPr>
      <w:rFonts w:ascii="仿宋_GB2312" w:eastAsia="仿宋_GB2312"/>
      <w:sz w:val="32"/>
    </w:rPr>
  </w:style>
  <w:style w:type="paragraph" w:styleId="9">
    <w:name w:val="Body Text Indent"/>
    <w:basedOn w:val="1"/>
    <w:link w:val="38"/>
    <w:unhideWhenUsed/>
    <w:qFormat/>
    <w:uiPriority w:val="99"/>
    <w:pPr>
      <w:spacing w:after="120"/>
      <w:ind w:left="420" w:leftChars="200"/>
    </w:pPr>
    <w:rPr>
      <w:rFonts w:ascii="Calibri" w:hAnsi="Calibri"/>
      <w:szCs w:val="22"/>
    </w:rPr>
  </w:style>
  <w:style w:type="paragraph" w:styleId="10">
    <w:name w:val="index 4"/>
    <w:basedOn w:val="1"/>
    <w:next w:val="1"/>
    <w:qFormat/>
    <w:uiPriority w:val="0"/>
    <w:pPr>
      <w:ind w:left="600" w:leftChars="600"/>
    </w:pPr>
  </w:style>
  <w:style w:type="paragraph" w:styleId="11">
    <w:name w:val="Plain Text"/>
    <w:basedOn w:val="1"/>
    <w:link w:val="40"/>
    <w:qFormat/>
    <w:uiPriority w:val="0"/>
    <w:rPr>
      <w:rFonts w:ascii="宋体" w:hAnsi="Courier New"/>
    </w:rPr>
  </w:style>
  <w:style w:type="paragraph" w:styleId="12">
    <w:name w:val="Balloon Text"/>
    <w:basedOn w:val="1"/>
    <w:link w:val="37"/>
    <w:qFormat/>
    <w:uiPriority w:val="99"/>
    <w:rPr>
      <w:sz w:val="18"/>
      <w:szCs w:val="18"/>
    </w:rPr>
  </w:style>
  <w:style w:type="paragraph" w:styleId="13">
    <w:name w:val="footer"/>
    <w:basedOn w:val="1"/>
    <w:link w:val="32"/>
    <w:qFormat/>
    <w:uiPriority w:val="99"/>
    <w:pPr>
      <w:tabs>
        <w:tab w:val="center" w:pos="4153"/>
        <w:tab w:val="right" w:pos="8306"/>
      </w:tabs>
      <w:snapToGrid w:val="0"/>
      <w:jc w:val="left"/>
    </w:pPr>
    <w:rPr>
      <w:sz w:val="18"/>
      <w:szCs w:val="18"/>
    </w:rPr>
  </w:style>
  <w:style w:type="paragraph" w:styleId="14">
    <w:name w:val="header"/>
    <w:basedOn w:val="1"/>
    <w:link w:val="42"/>
    <w:qFormat/>
    <w:uiPriority w:val="99"/>
    <w:pPr>
      <w:pBdr>
        <w:bottom w:val="single" w:color="auto" w:sz="6" w:space="1"/>
      </w:pBdr>
      <w:tabs>
        <w:tab w:val="center" w:pos="4153"/>
        <w:tab w:val="right" w:pos="8306"/>
      </w:tabs>
      <w:snapToGrid w:val="0"/>
      <w:jc w:val="center"/>
    </w:pPr>
    <w:rPr>
      <w:sz w:val="18"/>
      <w:szCs w:val="18"/>
    </w:rPr>
  </w:style>
  <w:style w:type="paragraph" w:styleId="15">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6">
    <w:name w:val="toc 2"/>
    <w:basedOn w:val="1"/>
    <w:next w:val="1"/>
    <w:unhideWhenUsed/>
    <w:qFormat/>
    <w:uiPriority w:val="39"/>
    <w:pPr>
      <w:ind w:left="420" w:leftChars="200"/>
    </w:pPr>
  </w:style>
  <w:style w:type="paragraph" w:styleId="17">
    <w:name w:val="Normal (Web)"/>
    <w:basedOn w:val="1"/>
    <w:qFormat/>
    <w:uiPriority w:val="0"/>
    <w:rPr>
      <w:sz w:val="24"/>
    </w:rPr>
  </w:style>
  <w:style w:type="paragraph" w:styleId="18">
    <w:name w:val="Title"/>
    <w:basedOn w:val="1"/>
    <w:next w:val="1"/>
    <w:link w:val="60"/>
    <w:qFormat/>
    <w:uiPriority w:val="0"/>
    <w:pPr>
      <w:spacing w:before="240" w:after="60"/>
      <w:jc w:val="center"/>
      <w:outlineLvl w:val="0"/>
    </w:pPr>
    <w:rPr>
      <w:rFonts w:asciiTheme="majorHAnsi" w:hAnsiTheme="majorHAnsi" w:eastAsiaTheme="majorEastAsia" w:cstheme="majorBidi"/>
      <w:b/>
      <w:bCs/>
      <w:sz w:val="32"/>
      <w:szCs w:val="32"/>
    </w:rPr>
  </w:style>
  <w:style w:type="paragraph" w:styleId="19">
    <w:name w:val="annotation subject"/>
    <w:basedOn w:val="7"/>
    <w:next w:val="7"/>
    <w:link w:val="43"/>
    <w:qFormat/>
    <w:uiPriority w:val="0"/>
    <w:rPr>
      <w:b/>
      <w:bCs/>
    </w:r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0"/>
    <w:rPr>
      <w:b/>
    </w:rPr>
  </w:style>
  <w:style w:type="character" w:styleId="24">
    <w:name w:val="page number"/>
    <w:basedOn w:val="22"/>
    <w:qFormat/>
    <w:uiPriority w:val="0"/>
  </w:style>
  <w:style w:type="character" w:styleId="25">
    <w:name w:val="FollowedHyperlink"/>
    <w:qFormat/>
    <w:uiPriority w:val="99"/>
    <w:rPr>
      <w:color w:val="800080"/>
      <w:u w:val="single"/>
    </w:rPr>
  </w:style>
  <w:style w:type="character" w:styleId="26">
    <w:name w:val="Emphasis"/>
    <w:qFormat/>
    <w:uiPriority w:val="20"/>
    <w:rPr>
      <w:i/>
      <w:iCs/>
    </w:rPr>
  </w:style>
  <w:style w:type="character" w:styleId="27">
    <w:name w:val="Hyperlink"/>
    <w:basedOn w:val="22"/>
    <w:qFormat/>
    <w:uiPriority w:val="99"/>
    <w:rPr>
      <w:rFonts w:cs="Times New Roman"/>
      <w:color w:val="1F4F88"/>
      <w:u w:val="none"/>
    </w:rPr>
  </w:style>
  <w:style w:type="character" w:styleId="28">
    <w:name w:val="annotation reference"/>
    <w:qFormat/>
    <w:uiPriority w:val="0"/>
    <w:rPr>
      <w:sz w:val="21"/>
      <w:szCs w:val="21"/>
    </w:rPr>
  </w:style>
  <w:style w:type="character" w:customStyle="1" w:styleId="29">
    <w:name w:val="Char Char3"/>
    <w:qFormat/>
    <w:uiPriority w:val="0"/>
    <w:rPr>
      <w:rFonts w:ascii="宋体" w:hAnsi="Courier New" w:eastAsia="宋体"/>
      <w:kern w:val="2"/>
      <w:sz w:val="21"/>
      <w:lang w:val="en-US" w:eastAsia="zh-CN" w:bidi="ar-SA"/>
    </w:rPr>
  </w:style>
  <w:style w:type="character" w:customStyle="1" w:styleId="30">
    <w:name w:val="纯文本 Char"/>
    <w:qFormat/>
    <w:uiPriority w:val="0"/>
    <w:rPr>
      <w:rFonts w:ascii="宋体" w:hAnsi="Courier New" w:eastAsia="宋体"/>
      <w:kern w:val="2"/>
      <w:sz w:val="21"/>
      <w:lang w:val="en-US" w:eastAsia="zh-CN" w:bidi="ar-SA"/>
    </w:rPr>
  </w:style>
  <w:style w:type="character" w:customStyle="1" w:styleId="31">
    <w:name w:val="正文文本 字符"/>
    <w:link w:val="8"/>
    <w:qFormat/>
    <w:uiPriority w:val="0"/>
    <w:rPr>
      <w:rFonts w:ascii="仿宋_GB2312" w:eastAsia="仿宋_GB2312"/>
      <w:kern w:val="2"/>
      <w:sz w:val="32"/>
    </w:rPr>
  </w:style>
  <w:style w:type="character" w:customStyle="1" w:styleId="32">
    <w:name w:val="页脚 字符"/>
    <w:link w:val="13"/>
    <w:qFormat/>
    <w:uiPriority w:val="99"/>
    <w:rPr>
      <w:kern w:val="2"/>
      <w:sz w:val="18"/>
      <w:szCs w:val="18"/>
    </w:rPr>
  </w:style>
  <w:style w:type="character" w:customStyle="1" w:styleId="33">
    <w:name w:val="标题 3 字符"/>
    <w:link w:val="4"/>
    <w:qFormat/>
    <w:uiPriority w:val="9"/>
    <w:rPr>
      <w:rFonts w:eastAsia="宋体" w:cs="Times New Roman"/>
      <w:b/>
      <w:bCs/>
      <w:kern w:val="2"/>
      <w:sz w:val="32"/>
      <w:szCs w:val="32"/>
    </w:rPr>
  </w:style>
  <w:style w:type="character" w:customStyle="1" w:styleId="34">
    <w:name w:val="正文文本 Char"/>
    <w:qFormat/>
    <w:uiPriority w:val="0"/>
    <w:rPr>
      <w:rFonts w:ascii="仿宋_GB2312" w:eastAsia="仿宋_GB2312"/>
      <w:kern w:val="2"/>
      <w:sz w:val="32"/>
    </w:rPr>
  </w:style>
  <w:style w:type="character" w:customStyle="1" w:styleId="35">
    <w:name w:val="批注文字 字符"/>
    <w:link w:val="7"/>
    <w:qFormat/>
    <w:uiPriority w:val="0"/>
    <w:rPr>
      <w:kern w:val="2"/>
      <w:sz w:val="21"/>
    </w:rPr>
  </w:style>
  <w:style w:type="character" w:customStyle="1" w:styleId="36">
    <w:name w:val="apple-converted-space"/>
    <w:basedOn w:val="22"/>
    <w:qFormat/>
    <w:uiPriority w:val="0"/>
  </w:style>
  <w:style w:type="character" w:customStyle="1" w:styleId="37">
    <w:name w:val="批注框文本 字符"/>
    <w:link w:val="12"/>
    <w:qFormat/>
    <w:uiPriority w:val="99"/>
    <w:rPr>
      <w:kern w:val="2"/>
      <w:sz w:val="18"/>
      <w:szCs w:val="18"/>
    </w:rPr>
  </w:style>
  <w:style w:type="character" w:customStyle="1" w:styleId="38">
    <w:name w:val="正文文本缩进 字符"/>
    <w:link w:val="9"/>
    <w:qFormat/>
    <w:uiPriority w:val="99"/>
    <w:rPr>
      <w:rFonts w:ascii="Calibri" w:hAnsi="Calibri" w:eastAsia="宋体" w:cs="Times New Roman"/>
      <w:kern w:val="2"/>
      <w:sz w:val="21"/>
      <w:szCs w:val="22"/>
    </w:rPr>
  </w:style>
  <w:style w:type="character" w:customStyle="1" w:styleId="39">
    <w:name w:val="Char Char5"/>
    <w:qFormat/>
    <w:uiPriority w:val="0"/>
    <w:rPr>
      <w:rFonts w:ascii="宋体" w:hAnsi="Courier New" w:eastAsia="宋体"/>
      <w:kern w:val="2"/>
      <w:sz w:val="21"/>
      <w:lang w:val="en-US" w:eastAsia="zh-CN" w:bidi="ar-SA"/>
    </w:rPr>
  </w:style>
  <w:style w:type="character" w:customStyle="1" w:styleId="40">
    <w:name w:val="纯文本 字符1"/>
    <w:link w:val="11"/>
    <w:qFormat/>
    <w:uiPriority w:val="0"/>
    <w:rPr>
      <w:rFonts w:ascii="宋体" w:hAnsi="Courier New" w:eastAsia="宋体"/>
      <w:kern w:val="2"/>
      <w:sz w:val="21"/>
      <w:lang w:val="en-US" w:eastAsia="zh-CN" w:bidi="ar-SA"/>
    </w:rPr>
  </w:style>
  <w:style w:type="character" w:customStyle="1" w:styleId="41">
    <w:name w:val="纯文本 字符"/>
    <w:qFormat/>
    <w:uiPriority w:val="0"/>
    <w:rPr>
      <w:rFonts w:ascii="宋体" w:hAnsi="Courier New" w:eastAsia="宋体"/>
    </w:rPr>
  </w:style>
  <w:style w:type="character" w:customStyle="1" w:styleId="42">
    <w:name w:val="页眉 字符"/>
    <w:link w:val="14"/>
    <w:qFormat/>
    <w:uiPriority w:val="99"/>
    <w:rPr>
      <w:rFonts w:eastAsia="宋体"/>
      <w:kern w:val="2"/>
      <w:sz w:val="18"/>
      <w:szCs w:val="18"/>
      <w:lang w:val="en-US" w:eastAsia="zh-CN" w:bidi="ar-SA"/>
    </w:rPr>
  </w:style>
  <w:style w:type="character" w:customStyle="1" w:styleId="43">
    <w:name w:val="批注主题 字符"/>
    <w:link w:val="19"/>
    <w:qFormat/>
    <w:uiPriority w:val="0"/>
    <w:rPr>
      <w:b/>
      <w:bCs/>
      <w:kern w:val="2"/>
      <w:sz w:val="21"/>
    </w:rPr>
  </w:style>
  <w:style w:type="character" w:customStyle="1" w:styleId="44">
    <w:name w:val="Char Char2"/>
    <w:qFormat/>
    <w:uiPriority w:val="0"/>
    <w:rPr>
      <w:rFonts w:ascii="宋体" w:hAnsi="Courier New" w:cs="宋体"/>
      <w:kern w:val="2"/>
      <w:sz w:val="21"/>
      <w:szCs w:val="21"/>
    </w:rPr>
  </w:style>
  <w:style w:type="character" w:customStyle="1" w:styleId="45">
    <w:name w:val="HTML Markup"/>
    <w:qFormat/>
    <w:uiPriority w:val="0"/>
    <w:rPr>
      <w:vanish/>
      <w:color w:val="FF0000"/>
    </w:rPr>
  </w:style>
  <w:style w:type="character" w:customStyle="1" w:styleId="46">
    <w:name w:val="纯文本 Char3"/>
    <w:qFormat/>
    <w:uiPriority w:val="0"/>
    <w:rPr>
      <w:rFonts w:ascii="宋体" w:hAnsi="Courier New" w:eastAsia="宋体"/>
      <w:kern w:val="2"/>
      <w:sz w:val="21"/>
      <w:lang w:val="en-US" w:eastAsia="zh-CN" w:bidi="ar-SA"/>
    </w:rPr>
  </w:style>
  <w:style w:type="character" w:customStyle="1" w:styleId="47">
    <w:name w:val="正文文本缩进 Char"/>
    <w:link w:val="48"/>
    <w:qFormat/>
    <w:uiPriority w:val="0"/>
    <w:rPr>
      <w:kern w:val="2"/>
      <w:sz w:val="21"/>
    </w:rPr>
  </w:style>
  <w:style w:type="paragraph" w:customStyle="1" w:styleId="48">
    <w:name w:val="正文文本缩进1"/>
    <w:basedOn w:val="1"/>
    <w:link w:val="47"/>
    <w:qFormat/>
    <w:uiPriority w:val="0"/>
    <w:pPr>
      <w:spacing w:after="120"/>
      <w:ind w:left="420" w:leftChars="200"/>
    </w:pPr>
  </w:style>
  <w:style w:type="paragraph" w:customStyle="1" w:styleId="49">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50">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styleId="52">
    <w:name w:val="List Paragraph"/>
    <w:basedOn w:val="1"/>
    <w:qFormat/>
    <w:uiPriority w:val="34"/>
    <w:pPr>
      <w:ind w:firstLine="420" w:firstLineChars="200"/>
    </w:pPr>
    <w:rPr>
      <w:rFonts w:ascii="Calibri" w:hAnsi="Calibri"/>
      <w:szCs w:val="22"/>
    </w:rPr>
  </w:style>
  <w:style w:type="paragraph" w:customStyle="1" w:styleId="53">
    <w:name w:val="列出段落1"/>
    <w:basedOn w:val="1"/>
    <w:qFormat/>
    <w:uiPriority w:val="34"/>
    <w:pPr>
      <w:ind w:firstLine="420" w:firstLineChars="200"/>
    </w:pPr>
    <w:rPr>
      <w:rFonts w:ascii="Calibri" w:hAnsi="Calibri"/>
      <w:szCs w:val="22"/>
    </w:rPr>
  </w:style>
  <w:style w:type="paragraph" w:customStyle="1" w:styleId="54">
    <w:name w:val="二级列表 Char"/>
    <w:basedOn w:val="1"/>
    <w:qFormat/>
    <w:uiPriority w:val="0"/>
    <w:rPr>
      <w:rFonts w:ascii="Calibri" w:hAnsi="Calibri"/>
    </w:rPr>
  </w:style>
  <w:style w:type="paragraph" w:customStyle="1" w:styleId="5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56">
    <w:name w:val="style61"/>
    <w:qFormat/>
    <w:uiPriority w:val="0"/>
  </w:style>
  <w:style w:type="character" w:customStyle="1" w:styleId="57">
    <w:name w:val="标题 1 字符"/>
    <w:basedOn w:val="22"/>
    <w:link w:val="2"/>
    <w:qFormat/>
    <w:uiPriority w:val="0"/>
    <w:rPr>
      <w:b/>
      <w:bCs/>
      <w:kern w:val="44"/>
      <w:sz w:val="44"/>
      <w:szCs w:val="44"/>
    </w:rPr>
  </w:style>
  <w:style w:type="paragraph" w:customStyle="1" w:styleId="58">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59">
    <w:name w:val="标题 2 字符"/>
    <w:basedOn w:val="22"/>
    <w:link w:val="3"/>
    <w:semiHidden/>
    <w:qFormat/>
    <w:uiPriority w:val="0"/>
    <w:rPr>
      <w:rFonts w:asciiTheme="majorHAnsi" w:hAnsiTheme="majorHAnsi" w:eastAsiaTheme="majorEastAsia" w:cstheme="majorBidi"/>
      <w:b/>
      <w:bCs/>
      <w:kern w:val="2"/>
      <w:sz w:val="32"/>
      <w:szCs w:val="32"/>
    </w:rPr>
  </w:style>
  <w:style w:type="character" w:customStyle="1" w:styleId="60">
    <w:name w:val="标题 字符"/>
    <w:basedOn w:val="22"/>
    <w:link w:val="18"/>
    <w:qFormat/>
    <w:uiPriority w:val="0"/>
    <w:rPr>
      <w:rFonts w:asciiTheme="majorHAnsi" w:hAnsiTheme="majorHAnsi" w:eastAsiaTheme="majorEastAsia" w:cstheme="majorBidi"/>
      <w:b/>
      <w:bCs/>
      <w:kern w:val="2"/>
      <w:sz w:val="32"/>
      <w:szCs w:val="32"/>
    </w:rPr>
  </w:style>
  <w:style w:type="paragraph" w:customStyle="1" w:styleId="61">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paragraph" w:customStyle="1" w:styleId="62">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3">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64">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5">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rPr>
  </w:style>
  <w:style w:type="paragraph" w:customStyle="1" w:styleId="66">
    <w:name w:val="xl68"/>
    <w:basedOn w:val="1"/>
    <w:qFormat/>
    <w:uiPriority w:val="0"/>
    <w:pPr>
      <w:widowControl/>
      <w:pBdr>
        <w:top w:val="single" w:color="auto" w:sz="4" w:space="0"/>
        <w:left w:val="single" w:color="auto" w:sz="4" w:space="0"/>
        <w:bottom w:val="single" w:color="000000"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7">
    <w:name w:val="xl69"/>
    <w:basedOn w:val="1"/>
    <w:qFormat/>
    <w:uiPriority w:val="0"/>
    <w:pPr>
      <w:widowControl/>
      <w:pBdr>
        <w:top w:val="single" w:color="auto" w:sz="4" w:space="0"/>
        <w:left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8">
    <w:name w:val="xl7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kern w:val="0"/>
      <w:sz w:val="20"/>
    </w:rPr>
  </w:style>
  <w:style w:type="paragraph" w:customStyle="1" w:styleId="69">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szCs w:val="24"/>
    </w:rPr>
  </w:style>
  <w:style w:type="paragraph" w:customStyle="1" w:styleId="70">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0"/>
    </w:rPr>
  </w:style>
  <w:style w:type="paragraph" w:customStyle="1" w:styleId="71">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0"/>
    </w:rPr>
  </w:style>
  <w:style w:type="paragraph" w:customStyle="1" w:styleId="72">
    <w:name w:val="xl74"/>
    <w:basedOn w:val="1"/>
    <w:qFormat/>
    <w:uiPriority w:val="0"/>
    <w:pPr>
      <w:widowControl/>
      <w:pBdr>
        <w:left w:val="single" w:color="auto" w:sz="4" w:space="0"/>
        <w:right w:val="single" w:color="auto" w:sz="4" w:space="0"/>
      </w:pBdr>
      <w:spacing w:before="100" w:beforeAutospacing="1" w:after="100" w:afterAutospacing="1"/>
      <w:jc w:val="center"/>
    </w:pPr>
    <w:rPr>
      <w:rFonts w:ascii="Arial" w:hAnsi="Arial" w:cs="Arial"/>
      <w:kern w:val="0"/>
      <w:sz w:val="20"/>
    </w:rPr>
  </w:style>
  <w:style w:type="paragraph" w:customStyle="1" w:styleId="73">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74">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75">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36"/>
      <w:szCs w:val="36"/>
    </w:rPr>
  </w:style>
  <w:style w:type="paragraph" w:customStyle="1" w:styleId="76">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77">
    <w:name w:val="font6"/>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78">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79">
    <w:name w:val="xl80"/>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80">
    <w:name w:val="xl81"/>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top"/>
    </w:pPr>
    <w:rPr>
      <w:rFonts w:ascii="宋体" w:hAnsi="宋体" w:cs="宋体"/>
      <w:color w:val="000000"/>
      <w:kern w:val="0"/>
      <w:sz w:val="24"/>
      <w:szCs w:val="24"/>
    </w:rPr>
  </w:style>
  <w:style w:type="paragraph" w:customStyle="1" w:styleId="81">
    <w:name w:val="xl82"/>
    <w:basedOn w:val="1"/>
    <w:qFormat/>
    <w:uiPriority w:val="0"/>
    <w:pPr>
      <w:widowControl/>
      <w:pBdr>
        <w:top w:val="single" w:color="auto" w:sz="4" w:space="0"/>
        <w:bottom w:val="single" w:color="auto" w:sz="4" w:space="0"/>
      </w:pBdr>
      <w:spacing w:before="100" w:beforeAutospacing="1" w:after="100" w:afterAutospacing="1"/>
      <w:jc w:val="left"/>
      <w:textAlignment w:val="center"/>
    </w:pPr>
    <w:rPr>
      <w:rFonts w:ascii="宋体" w:hAnsi="宋体" w:cs="宋体"/>
      <w:b/>
      <w:bCs/>
      <w:color w:val="000000"/>
      <w:kern w:val="0"/>
      <w:sz w:val="24"/>
      <w:szCs w:val="24"/>
    </w:rPr>
  </w:style>
  <w:style w:type="paragraph" w:customStyle="1" w:styleId="82">
    <w:name w:val="xl83"/>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color w:val="000000"/>
      <w:kern w:val="0"/>
      <w:sz w:val="24"/>
      <w:szCs w:val="24"/>
    </w:rPr>
  </w:style>
  <w:style w:type="paragraph" w:customStyle="1" w:styleId="83">
    <w:name w:val="xl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84">
    <w:name w:val="xl85"/>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textAlignment w:val="center"/>
    </w:pPr>
    <w:rPr>
      <w:rFonts w:ascii="宋体" w:hAnsi="宋体" w:cs="宋体"/>
      <w:color w:val="000000"/>
      <w:kern w:val="0"/>
      <w:sz w:val="24"/>
      <w:szCs w:val="24"/>
    </w:rPr>
  </w:style>
  <w:style w:type="paragraph" w:customStyle="1" w:styleId="85">
    <w:name w:val="xl86"/>
    <w:basedOn w:val="1"/>
    <w:qFormat/>
    <w:uiPriority w:val="0"/>
    <w:pPr>
      <w:widowControl/>
      <w:pBdr>
        <w:top w:val="single" w:color="auto" w:sz="4" w:space="0"/>
        <w:bottom w:val="single" w:color="auto" w:sz="4" w:space="0"/>
      </w:pBdr>
      <w:spacing w:before="100" w:beforeAutospacing="1" w:after="100" w:afterAutospacing="1"/>
      <w:jc w:val="left"/>
      <w:textAlignment w:val="center"/>
    </w:pPr>
    <w:rPr>
      <w:rFonts w:ascii="宋体" w:hAnsi="宋体" w:cs="宋体"/>
      <w:color w:val="000000"/>
      <w:kern w:val="0"/>
      <w:sz w:val="24"/>
      <w:szCs w:val="24"/>
    </w:rPr>
  </w:style>
  <w:style w:type="paragraph" w:customStyle="1" w:styleId="86">
    <w:name w:val="xl87"/>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87">
    <w:name w:val="xl88"/>
    <w:basedOn w:val="1"/>
    <w:qFormat/>
    <w:uiPriority w:val="0"/>
    <w:pPr>
      <w:widowControl/>
      <w:pBdr>
        <w:top w:val="single" w:color="auto" w:sz="4" w:space="0"/>
        <w:bottom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88">
    <w:name w:val="xl89"/>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cs="宋体"/>
      <w:b/>
      <w:bCs/>
      <w:kern w:val="0"/>
      <w:sz w:val="24"/>
      <w:szCs w:val="24"/>
    </w:rPr>
  </w:style>
  <w:style w:type="paragraph" w:customStyle="1" w:styleId="89">
    <w:name w:val="xl90"/>
    <w:basedOn w:val="1"/>
    <w:qFormat/>
    <w:uiPriority w:val="0"/>
    <w:pPr>
      <w:widowControl/>
      <w:pBdr>
        <w:top w:val="single" w:color="auto" w:sz="4" w:space="0"/>
        <w:bottom w:val="single" w:color="auto" w:sz="4" w:space="0"/>
      </w:pBdr>
      <w:spacing w:before="100" w:beforeAutospacing="1" w:after="100" w:afterAutospacing="1"/>
      <w:jc w:val="center"/>
      <w:textAlignment w:val="center"/>
    </w:pPr>
    <w:rPr>
      <w:rFonts w:ascii="宋体" w:hAnsi="宋体" w:cs="宋体"/>
      <w:b/>
      <w:bCs/>
      <w:kern w:val="0"/>
      <w:sz w:val="24"/>
      <w:szCs w:val="24"/>
    </w:rPr>
  </w:style>
  <w:style w:type="paragraph" w:customStyle="1" w:styleId="90">
    <w:name w:val="xl91"/>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4"/>
      <w:szCs w:val="24"/>
    </w:rPr>
  </w:style>
  <w:style w:type="paragraph" w:customStyle="1" w:styleId="91">
    <w:name w:val="xl92"/>
    <w:basedOn w:val="1"/>
    <w:qFormat/>
    <w:uiPriority w:val="0"/>
    <w:pPr>
      <w:widowControl/>
      <w:pBdr>
        <w:top w:val="single" w:color="auto" w:sz="4" w:space="0"/>
        <w:bottom w:val="single" w:color="auto" w:sz="4" w:space="0"/>
      </w:pBdr>
      <w:spacing w:before="100" w:beforeAutospacing="1" w:after="100" w:afterAutospacing="1"/>
      <w:jc w:val="center"/>
      <w:textAlignment w:val="top"/>
    </w:pPr>
    <w:rPr>
      <w:rFonts w:ascii="宋体" w:hAnsi="宋体" w:cs="宋体"/>
      <w:color w:val="000000"/>
      <w:kern w:val="0"/>
      <w:sz w:val="24"/>
      <w:szCs w:val="24"/>
    </w:rPr>
  </w:style>
  <w:style w:type="paragraph" w:customStyle="1" w:styleId="92">
    <w:name w:val="xl63"/>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textAlignment w:val="center"/>
    </w:pPr>
    <w:rPr>
      <w:rFonts w:ascii="宋体" w:hAnsi="宋体" w:cs="宋体"/>
      <w:b/>
      <w:bCs/>
      <w:color w:val="000000"/>
      <w:kern w:val="0"/>
      <w:sz w:val="16"/>
      <w:szCs w:val="16"/>
    </w:rPr>
  </w:style>
  <w:style w:type="paragraph" w:customStyle="1" w:styleId="93">
    <w:name w:val="xl64"/>
    <w:basedOn w:val="1"/>
    <w:qFormat/>
    <w:uiPriority w:val="0"/>
    <w:pPr>
      <w:widowControl/>
      <w:pBdr>
        <w:bottom w:val="single" w:color="auto" w:sz="8" w:space="0"/>
        <w:right w:val="single" w:color="auto" w:sz="8" w:space="0"/>
      </w:pBdr>
      <w:spacing w:before="100" w:beforeAutospacing="1" w:after="100" w:afterAutospacing="1"/>
      <w:jc w:val="center"/>
      <w:textAlignment w:val="center"/>
    </w:pPr>
    <w:rPr>
      <w:rFonts w:ascii="宋体" w:hAnsi="宋体" w:cs="宋体"/>
      <w:b/>
      <w:bCs/>
      <w:color w:val="000000"/>
      <w:kern w:val="0"/>
      <w:sz w:val="16"/>
      <w:szCs w:val="16"/>
    </w:rPr>
  </w:style>
  <w:style w:type="paragraph" w:customStyle="1" w:styleId="94">
    <w:name w:val="xl65"/>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textAlignment w:val="center"/>
    </w:pPr>
    <w:rPr>
      <w:rFonts w:ascii="宋体" w:hAnsi="宋体" w:cs="宋体"/>
      <w:color w:val="000000"/>
      <w:kern w:val="0"/>
      <w:sz w:val="16"/>
      <w:szCs w:val="16"/>
    </w:rPr>
  </w:style>
  <w:style w:type="paragraph" w:customStyle="1" w:styleId="95">
    <w:name w:val="xl93"/>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kern w:val="0"/>
      <w:sz w:val="24"/>
      <w:szCs w:val="24"/>
    </w:rPr>
  </w:style>
  <w:style w:type="paragraph" w:customStyle="1" w:styleId="96">
    <w:name w:val="xl94"/>
    <w:basedOn w:val="1"/>
    <w:qFormat/>
    <w:uiPriority w:val="0"/>
    <w:pPr>
      <w:widowControl/>
      <w:pBdr>
        <w:top w:val="single" w:color="auto" w:sz="4" w:space="0"/>
        <w:bottom w:val="single" w:color="auto" w:sz="4" w:space="0"/>
      </w:pBdr>
      <w:spacing w:before="100" w:beforeAutospacing="1" w:after="100" w:afterAutospacing="1"/>
      <w:jc w:val="center"/>
    </w:pPr>
    <w:rPr>
      <w:rFonts w:ascii="宋体" w:hAnsi="宋体" w:cs="宋体"/>
      <w:kern w:val="0"/>
      <w:sz w:val="24"/>
      <w:szCs w:val="24"/>
    </w:rPr>
  </w:style>
  <w:style w:type="paragraph" w:customStyle="1" w:styleId="97">
    <w:name w:val="xl95"/>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98">
    <w:name w:val="xl96"/>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99">
    <w:name w:val="xl97"/>
    <w:basedOn w:val="1"/>
    <w:qFormat/>
    <w:uiPriority w:val="0"/>
    <w:pPr>
      <w:widowControl/>
      <w:pBdr>
        <w:top w:val="single" w:color="auto" w:sz="4" w:space="0"/>
        <w:bottom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100">
    <w:name w:val="xl98"/>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101">
    <w:name w:val="xl99"/>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textAlignment w:val="center"/>
    </w:pPr>
    <w:rPr>
      <w:rFonts w:ascii="宋体" w:hAnsi="宋体" w:cs="宋体"/>
      <w:color w:val="000000"/>
      <w:kern w:val="0"/>
      <w:sz w:val="16"/>
      <w:szCs w:val="16"/>
    </w:rPr>
  </w:style>
  <w:style w:type="paragraph" w:customStyle="1" w:styleId="102">
    <w:name w:val="font7"/>
    <w:basedOn w:val="1"/>
    <w:qFormat/>
    <w:uiPriority w:val="0"/>
    <w:pPr>
      <w:widowControl/>
      <w:spacing w:before="100" w:beforeAutospacing="1" w:after="100" w:afterAutospacing="1"/>
      <w:jc w:val="left"/>
    </w:pPr>
    <w:rPr>
      <w:rFonts w:ascii="宋体" w:hAnsi="宋体" w:cs="宋体"/>
      <w:color w:val="000000"/>
      <w:kern w:val="0"/>
      <w:sz w:val="20"/>
    </w:rPr>
  </w:style>
  <w:style w:type="character" w:customStyle="1" w:styleId="103">
    <w:name w:val="font31"/>
    <w:basedOn w:val="22"/>
    <w:qFormat/>
    <w:uiPriority w:val="0"/>
    <w:rPr>
      <w:rFonts w:hint="default" w:ascii="CIDFont" w:hAnsi="CIDFont" w:eastAsia="CIDFont" w:cs="CIDFont"/>
      <w:color w:val="000000"/>
      <w:sz w:val="22"/>
      <w:szCs w:val="22"/>
      <w:u w:val="none"/>
    </w:rPr>
  </w:style>
  <w:style w:type="character" w:customStyle="1" w:styleId="104">
    <w:name w:val="font41"/>
    <w:basedOn w:val="22"/>
    <w:qFormat/>
    <w:uiPriority w:val="0"/>
    <w:rPr>
      <w:rFonts w:hint="default" w:ascii="CIDFont" w:hAnsi="CIDFont" w:eastAsia="CIDFont" w:cs="CIDFont"/>
      <w:b/>
      <w:bCs/>
      <w:color w:val="000000"/>
      <w:sz w:val="22"/>
      <w:szCs w:val="22"/>
      <w:u w:val="none"/>
    </w:rPr>
  </w:style>
  <w:style w:type="paragraph" w:customStyle="1" w:styleId="105">
    <w:name w:val="表格"/>
    <w:basedOn w:val="1"/>
    <w:qFormat/>
    <w:uiPriority w:val="10"/>
    <w:rPr>
      <w:rFonts w:ascii="宋体" w:hAnsi="宋体"/>
      <w:szCs w:val="30"/>
    </w:rPr>
  </w:style>
  <w:style w:type="paragraph" w:customStyle="1" w:styleId="106">
    <w:name w:val="章节"/>
    <w:basedOn w:val="11"/>
    <w:qFormat/>
    <w:uiPriority w:val="0"/>
    <w:pPr>
      <w:spacing w:line="360" w:lineRule="auto"/>
      <w:jc w:val="center"/>
      <w:outlineLvl w:val="0"/>
    </w:pPr>
    <w:rPr>
      <w:rFonts w:ascii="黑体" w:eastAsia="黑体"/>
      <w:b/>
      <w:bCs/>
      <w:sz w:val="36"/>
      <w:szCs w:val="36"/>
    </w:rPr>
  </w:style>
  <w:style w:type="paragraph" w:customStyle="1" w:styleId="107">
    <w:name w:val="（二）级标题"/>
    <w:basedOn w:val="11"/>
    <w:qFormat/>
    <w:uiPriority w:val="2"/>
    <w:pPr>
      <w:numPr>
        <w:ilvl w:val="0"/>
        <w:numId w:val="1"/>
      </w:numPr>
      <w:spacing w:line="360" w:lineRule="auto"/>
      <w:outlineLvl w:val="2"/>
    </w:pPr>
    <w:rPr>
      <w:b/>
    </w:rPr>
  </w:style>
  <w:style w:type="paragraph" w:customStyle="1" w:styleId="108">
    <w:name w:val="3级标题"/>
    <w:basedOn w:val="11"/>
    <w:qFormat/>
    <w:uiPriority w:val="3"/>
    <w:pPr>
      <w:numPr>
        <w:ilvl w:val="0"/>
        <w:numId w:val="2"/>
      </w:numPr>
      <w:spacing w:line="360" w:lineRule="auto"/>
      <w:outlineLvl w:val="3"/>
    </w:pPr>
    <w:rPr>
      <w:b/>
    </w:rPr>
  </w:style>
  <w:style w:type="paragraph" w:customStyle="1" w:styleId="109">
    <w:name w:val="（4）级标题"/>
    <w:basedOn w:val="11"/>
    <w:qFormat/>
    <w:uiPriority w:val="8"/>
    <w:pPr>
      <w:numPr>
        <w:ilvl w:val="0"/>
        <w:numId w:val="3"/>
      </w:numPr>
      <w:spacing w:line="360" w:lineRule="auto"/>
      <w:outlineLvl w:val="4"/>
    </w:pPr>
  </w:style>
  <w:style w:type="paragraph" w:customStyle="1" w:styleId="110">
    <w:name w:val="一级标题"/>
    <w:basedOn w:val="11"/>
    <w:qFormat/>
    <w:uiPriority w:val="1"/>
    <w:pPr>
      <w:numPr>
        <w:ilvl w:val="0"/>
        <w:numId w:val="4"/>
      </w:numPr>
      <w:spacing w:line="360" w:lineRule="auto"/>
      <w:ind w:left="420"/>
      <w:outlineLvl w:val="1"/>
    </w:pPr>
    <w:rPr>
      <w:rFonts w:ascii="黑体" w:eastAsia="黑体"/>
      <w:b/>
      <w:bCs/>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2" Type="http://schemas.openxmlformats.org/officeDocument/2006/relationships/fontTable" Target="fontTable.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14.png"/><Relationship Id="rId28" Type="http://schemas.openxmlformats.org/officeDocument/2006/relationships/image" Target="media/image13.png"/><Relationship Id="rId27" Type="http://schemas.openxmlformats.org/officeDocument/2006/relationships/image" Target="media/image12.png"/><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38</Pages>
  <Words>7355</Words>
  <Characters>7773</Characters>
  <Lines>787</Lines>
  <Paragraphs>823</Paragraphs>
  <TotalTime>195</TotalTime>
  <ScaleCrop>false</ScaleCrop>
  <LinksUpToDate>false</LinksUpToDate>
  <CharactersWithSpaces>7826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2022-05-11T11:42:00Z</dcterms:created>
  <dc:creator>微软用户</dc:creator>
  <cp:lastModifiedBy>晓寒轻</cp:lastModifiedBy>
  <cp:lastPrinted>2020-02-06T09:56:00Z</cp:lastPrinted>
  <dcterms:modified xsi:type="dcterms:W3CDTF">2025-11-24T07:57:11Z</dcterms:modified>
  <cp:revision>58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ED418571DFF446DCB20622923BC8B96B_13</vt:lpwstr>
  </property>
  <property fmtid="{D5CDD505-2E9C-101B-9397-08002B2CF9AE}" pid="4" name="KSOTemplateDocerSaveRecord">
    <vt:lpwstr>eyJoZGlkIjoiNGVmYjYwMTVkYTcwNzlmYzkyYzZmMzIwZTI3ZGZlNjgiLCJ1c2VySWQiOiIxMDYzNzE1ODkzIn0=</vt:lpwstr>
  </property>
</Properties>
</file>