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pStyle w:val="24"/>
      </w:pP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缸盖装配线兼容性改造项目</w:t>
      </w:r>
    </w:p>
    <w:p>
      <w:pPr>
        <w:jc w:val="both"/>
        <w:rPr>
          <w:rFonts w:ascii="Calibri" w:hAnsi="Calibri" w:eastAsia="宋体" w:cs="Times New Roman"/>
          <w:color w:val="000000"/>
          <w:sz w:val="28"/>
          <w:szCs w:val="28"/>
        </w:rPr>
      </w:pPr>
    </w:p>
    <w:p>
      <w:pPr>
        <w:pStyle w:val="24"/>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w:t>
      </w:r>
      <w:r>
        <w:rPr>
          <w:rFonts w:hint="eastAsia" w:ascii="华文仿宋" w:hAnsi="华文仿宋" w:eastAsia="华文仿宋"/>
          <w:b/>
          <w:bCs/>
          <w:sz w:val="32"/>
          <w:szCs w:val="28"/>
          <w:lang w:val="en-US" w:eastAsia="zh-CN"/>
        </w:rPr>
        <w:t>程博斌</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w:t>
      </w:r>
      <w:r>
        <w:rPr>
          <w:rFonts w:hint="eastAsia" w:ascii="华文仿宋" w:hAnsi="华文仿宋" w:eastAsia="华文仿宋"/>
          <w:b/>
          <w:bCs/>
          <w:sz w:val="32"/>
          <w:szCs w:val="28"/>
          <w:lang w:val="en-US" w:eastAsia="zh-CN"/>
        </w:rPr>
        <w:t>庄福河</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w:t>
      </w:r>
      <w:r>
        <w:rPr>
          <w:rFonts w:hint="eastAsia" w:ascii="华文仿宋" w:hAnsi="华文仿宋" w:eastAsia="华文仿宋"/>
          <w:b/>
          <w:bCs/>
          <w:sz w:val="32"/>
          <w:szCs w:val="28"/>
          <w:lang w:val="en-US" w:eastAsia="zh-CN"/>
        </w:rPr>
        <w:t>李成伍</w:t>
      </w:r>
      <w:r>
        <w:rPr>
          <w:rFonts w:hint="eastAsia" w:ascii="华文仿宋" w:hAnsi="华文仿宋" w:eastAsia="华文仿宋"/>
          <w:b/>
          <w:bCs/>
          <w:sz w:val="32"/>
          <w:szCs w:val="28"/>
        </w:rPr>
        <w:t xml:space="preserve">     </w:t>
      </w:r>
    </w:p>
    <w:p>
      <w:pPr>
        <w:pStyle w:val="17"/>
        <w:rPr>
          <w:b/>
          <w:bCs/>
        </w:rPr>
      </w:pP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lang w:eastAsia="zh-CN"/>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缸盖装配线兼容性改造项目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 xml:space="preserve"> FSCZB2025110432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缸盖装配线兼容性改造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 xml:space="preserve">济南市章丘区世纪大道7777号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sz w:val="24"/>
                <w:szCs w:val="24"/>
                <w:highlight w:val="yellow"/>
                <w:u w:val="single"/>
                <w:lang w:val="en-US" w:eastAsia="zh-CN"/>
              </w:rPr>
              <w:t xml:space="preserve">赵力           </w:t>
            </w:r>
          </w:p>
          <w:p>
            <w:pPr>
              <w:pStyle w:val="17"/>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sz w:val="24"/>
                <w:szCs w:val="24"/>
                <w:highlight w:val="yellow"/>
                <w:u w:val="single"/>
                <w:lang w:val="en-US" w:eastAsia="zh-CN"/>
              </w:rPr>
              <w:t>17860606595</w:t>
            </w:r>
            <w:r>
              <w:rPr>
                <w:rFonts w:hint="eastAsia" w:ascii="宋体" w:hAnsi="宋体" w:eastAsia="宋体" w:cs="宋体"/>
                <w:sz w:val="24"/>
                <w:szCs w:val="24"/>
                <w:highlight w:val="yellow"/>
                <w:u w:val="single"/>
                <w:lang w:val="en-US" w:eastAsia="zh-CN"/>
              </w:rPr>
              <w:t xml:space="preserve">       </w:t>
            </w:r>
          </w:p>
          <w:p>
            <w:pPr>
              <w:ind w:firstLine="482" w:firstLineChars="200"/>
              <w:rPr>
                <w:rFonts w:hint="eastAsia" w:ascii="宋体" w:hAnsi="宋体" w:eastAsia="宋体" w:cs="宋体"/>
                <w:sz w:val="24"/>
                <w:szCs w:val="24"/>
                <w:highlight w:val="yellow"/>
                <w:u w:val="singl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sz w:val="24"/>
                <w:szCs w:val="24"/>
                <w:highlight w:val="yellow"/>
                <w:u w:val="single"/>
                <w:lang w:val="en-US" w:eastAsia="zh-CN"/>
              </w:rPr>
              <w:t xml:space="preserve">zhaoli@sinotruk.com  </w:t>
            </w:r>
          </w:p>
          <w:p>
            <w:pPr>
              <w:pStyle w:val="24"/>
              <w:spacing w:line="240" w:lineRule="auto"/>
              <w:ind w:firstLine="481"/>
              <w:rPr>
                <w:rFonts w:hint="default" w:cs="宋体"/>
                <w:color w:val="auto"/>
                <w:sz w:val="24"/>
                <w:szCs w:val="24"/>
                <w:highlight w:val="yellow"/>
                <w:u w:val="single"/>
                <w:lang w:val="en-US" w:eastAsia="zh-CN"/>
              </w:rPr>
            </w:pPr>
            <w:r>
              <w:rPr>
                <w:rFonts w:hint="eastAsia" w:cs="宋体"/>
                <w:color w:val="auto"/>
                <w:sz w:val="24"/>
                <w:szCs w:val="24"/>
                <w:highlight w:val="yellow"/>
                <w:u w:val="none"/>
                <w:lang w:val="en-US" w:eastAsia="zh-CN"/>
              </w:rPr>
              <w:t>技术联系人：</w:t>
            </w:r>
            <w:r>
              <w:rPr>
                <w:rFonts w:hint="eastAsia" w:cs="宋体"/>
                <w:color w:val="auto"/>
                <w:sz w:val="24"/>
                <w:szCs w:val="24"/>
                <w:highlight w:val="yellow"/>
                <w:u w:val="single"/>
                <w:lang w:val="en-US" w:eastAsia="zh-CN"/>
              </w:rPr>
              <w:t xml:space="preserve"> 程博斌</w:t>
            </w:r>
            <w:r>
              <w:rPr>
                <w:rFonts w:hint="eastAsia" w:cs="宋体"/>
                <w:b w:val="0"/>
                <w:bCs/>
                <w:color w:val="auto"/>
                <w:sz w:val="24"/>
                <w:szCs w:val="24"/>
                <w:highlight w:val="yellow"/>
                <w:u w:val="single"/>
                <w:lang w:val="en-US" w:eastAsia="zh-CN"/>
              </w:rPr>
              <w:t xml:space="preserve"> </w:t>
            </w:r>
          </w:p>
          <w:p>
            <w:pPr>
              <w:pStyle w:val="17"/>
              <w:spacing w:line="240" w:lineRule="auto"/>
              <w:ind w:firstLine="482" w:firstLineChars="200"/>
              <w:rPr>
                <w:rFonts w:hint="default"/>
                <w:color w:val="auto"/>
                <w:highlight w:val="yellow"/>
                <w:lang w:val="en-US" w:eastAsia="zh-CN"/>
              </w:rPr>
            </w:pPr>
            <w:r>
              <w:rPr>
                <w:rFonts w:hint="eastAsia" w:ascii="宋体" w:hAnsi="宋体" w:eastAsia="宋体" w:cs="宋体"/>
                <w:b/>
                <w:snapToGrid w:val="0"/>
                <w:color w:val="auto"/>
                <w:kern w:val="0"/>
                <w:sz w:val="24"/>
                <w:szCs w:val="24"/>
                <w:highlight w:val="yellow"/>
              </w:rPr>
              <w:t>电话：</w:t>
            </w:r>
            <w:r>
              <w:rPr>
                <w:rFonts w:hint="eastAsia" w:ascii="宋体" w:hAnsi="宋体" w:eastAsia="宋体" w:cs="宋体"/>
                <w:color w:val="auto"/>
                <w:sz w:val="24"/>
                <w:szCs w:val="24"/>
                <w:highlight w:val="yellow"/>
                <w:u w:val="single"/>
                <w:lang w:val="en-US" w:eastAsia="zh-CN"/>
              </w:rPr>
              <w:t xml:space="preserve"> </w:t>
            </w:r>
            <w:r>
              <w:rPr>
                <w:rFonts w:hint="eastAsia" w:hAnsi="宋体" w:eastAsia="宋体" w:cs="宋体"/>
                <w:color w:val="auto"/>
                <w:sz w:val="24"/>
                <w:szCs w:val="24"/>
                <w:highlight w:val="yellow"/>
                <w:u w:val="single"/>
                <w:lang w:val="en-US" w:eastAsia="zh-CN"/>
              </w:rPr>
              <w:t>18234419252</w:t>
            </w:r>
            <w:r>
              <w:rPr>
                <w:rFonts w:hint="eastAsia" w:ascii="宋体" w:hAnsi="宋体" w:eastAsia="宋体" w:cs="宋体"/>
                <w:color w:val="auto"/>
                <w:sz w:val="24"/>
                <w:szCs w:val="24"/>
                <w:highlight w:val="yellow"/>
                <w:u w:val="single"/>
                <w:lang w:val="en-US" w:eastAsia="zh-CN"/>
              </w:rPr>
              <w:t xml:space="preserve"> </w:t>
            </w:r>
          </w:p>
          <w:p>
            <w:pPr>
              <w:spacing w:line="240" w:lineRule="auto"/>
              <w:ind w:firstLine="481"/>
              <w:rPr>
                <w:rFonts w:hint="default"/>
                <w:lang w:val="en-US" w:eastAsia="zh-CN"/>
              </w:rPr>
            </w:pPr>
            <w:r>
              <w:rPr>
                <w:rFonts w:hint="eastAsia" w:ascii="宋体" w:hAnsi="宋体" w:eastAsia="宋体" w:cs="宋体"/>
                <w:b/>
                <w:snapToGrid w:val="0"/>
                <w:color w:val="auto"/>
                <w:kern w:val="0"/>
                <w:sz w:val="24"/>
                <w:szCs w:val="24"/>
                <w:highlight w:val="yellow"/>
                <w:lang w:val="en-US" w:eastAsia="zh-CN"/>
              </w:rPr>
              <w:t>邮箱</w:t>
            </w:r>
            <w:r>
              <w:rPr>
                <w:rFonts w:hint="eastAsia" w:ascii="宋体" w:hAnsi="宋体" w:eastAsia="宋体" w:cs="宋体"/>
                <w:b/>
                <w:snapToGrid w:val="0"/>
                <w:color w:val="auto"/>
                <w:kern w:val="0"/>
                <w:sz w:val="24"/>
                <w:szCs w:val="24"/>
                <w:highlight w:val="yellow"/>
              </w:rPr>
              <w:t>：</w:t>
            </w:r>
            <w:r>
              <w:rPr>
                <w:rFonts w:hint="eastAsia" w:ascii="宋体" w:hAnsi="宋体" w:eastAsia="宋体" w:cs="宋体"/>
                <w:color w:val="auto"/>
                <w:sz w:val="24"/>
                <w:szCs w:val="24"/>
                <w:highlight w:val="yellow"/>
                <w:u w:val="single"/>
                <w:lang w:val="en-US" w:eastAsia="zh-CN"/>
              </w:rPr>
              <w:t xml:space="preserve"> chengbobin@sinotruk.com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u w:val="single"/>
                <w:lang w:val="en-US" w:eastAsia="zh-CN"/>
              </w:rPr>
              <w:t xml:space="preserve"> 134 </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0万</w:t>
            </w:r>
            <w:r>
              <w:rPr>
                <w:rFonts w:hint="eastAsia" w:ascii="宋体" w:hAnsi="宋体" w:eastAsia="宋体" w:cs="宋体"/>
                <w:color w:val="000000"/>
                <w:sz w:val="24"/>
                <w:szCs w:val="24"/>
              </w:rPr>
              <w:t>人民币（或等值其他货币）；公司成立三年以上（以营业执照成立日期到开标当日满三年为准），且经营范围满足招标人需求；并在人员、设备、资金等方面具有承担本项目的能力；</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w:t>
            </w:r>
            <w:r>
              <w:rPr>
                <w:rFonts w:hint="eastAsia" w:hAnsi="宋体" w:eastAsia="宋体" w:cs="宋体"/>
                <w:color w:val="000000"/>
                <w:sz w:val="24"/>
                <w:szCs w:val="24"/>
                <w:lang w:val="en-US" w:eastAsia="zh-CN"/>
              </w:rPr>
              <w:t>文件</w:t>
            </w:r>
            <w:r>
              <w:rPr>
                <w:rFonts w:hint="eastAsia" w:ascii="宋体"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w:t>
            </w:r>
            <w:r>
              <w:rPr>
                <w:rFonts w:hint="eastAsia" w:hAnsi="宋体" w:eastAsia="宋体" w:cs="宋体"/>
                <w:color w:val="000000"/>
                <w:sz w:val="24"/>
                <w:szCs w:val="24"/>
                <w:lang w:val="en-US" w:eastAsia="zh-CN"/>
              </w:rPr>
              <w:t>近三年</w:t>
            </w:r>
            <w:r>
              <w:rPr>
                <w:rFonts w:hint="eastAsia" w:ascii="宋体" w:hAnsi="宋体" w:eastAsia="宋体" w:cs="宋体"/>
                <w:color w:val="000000"/>
                <w:sz w:val="24"/>
                <w:szCs w:val="24"/>
              </w:rPr>
              <w:t>有与本次招标内容相同或类似项目业绩</w:t>
            </w:r>
            <w:r>
              <w:rPr>
                <w:rFonts w:hint="eastAsia" w:hAnsi="宋体" w:eastAsia="宋体" w:cs="宋体"/>
                <w:color w:val="000000"/>
                <w:sz w:val="24"/>
                <w:szCs w:val="24"/>
                <w:highlight w:val="none"/>
                <w:lang w:val="en-US" w:eastAsia="zh-CN"/>
              </w:rPr>
              <w:t>（需出示合同）</w:t>
            </w:r>
            <w:r>
              <w:rPr>
                <w:rFonts w:hint="eastAsia" w:ascii="宋体" w:hAnsi="宋体" w:eastAsia="宋体" w:cs="宋体"/>
                <w:color w:val="000000"/>
                <w:sz w:val="24"/>
                <w:szCs w:val="24"/>
              </w:rPr>
              <w:t>，近三年内无因服务不当而造成重大事故；</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11.拟投标人信用证明材料（征信报告）未显示异常；</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13.与招标人存在利害关系可能影响招标公正性的法人、其他组织或者个人，不得参加投标；</w:t>
            </w:r>
          </w:p>
          <w:p>
            <w:pPr>
              <w:pStyle w:val="17"/>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14.本项目不接受联合体投标，拟投标人必须是最终投标单位和签订合同单位，不得以任何理由将已中标项目以任何形式分包或转包给其他单位；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11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24  </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11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29  </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11  </w:t>
            </w:r>
            <w:r>
              <w:rPr>
                <w:rFonts w:hint="eastAsia" w:ascii="宋体" w:hAnsi="宋体" w:eastAsia="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29   </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11</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29</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17时00分00秒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default" w:ascii="宋体" w:hAnsi="宋体" w:eastAsia="宋体" w:cs="Times New Roman"/>
                <w:color w:val="000000"/>
                <w:sz w:val="24"/>
                <w:szCs w:val="24"/>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rPr>
                <w:rFonts w:hint="eastAsia" w:eastAsia="宋体" w:cs="宋体" w:asciiTheme="minorHAnsi" w:hAnsiTheme="minorHAnsi"/>
                <w:b/>
                <w:color w:val="auto"/>
                <w:kern w:val="2"/>
                <w:sz w:val="24"/>
                <w:szCs w:val="24"/>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sz w:val="24"/>
                <w:szCs w:val="24"/>
                <w:highlight w:val="yellow"/>
                <w:u w:val="single"/>
                <w:lang w:eastAsia="zh-CN"/>
              </w:rPr>
              <w:t>月</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u w:val="single"/>
                <w:lang w:val="en-US" w:eastAsia="zh-CN"/>
              </w:rPr>
              <w:t xml:space="preserve">  </w:t>
            </w:r>
            <w:r>
              <w:rPr>
                <w:rFonts w:hint="eastAsia" w:ascii="宋体"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pPr>
              <w:ind w:firstLine="482" w:firstLineChars="200"/>
              <w:rPr>
                <w:rFonts w:hint="eastAsia" w:ascii="宋体" w:hAnsi="宋体" w:eastAsia="宋体" w:cs="宋体"/>
                <w:b w:val="0"/>
                <w:bCs w:val="0"/>
                <w:color w:val="auto"/>
                <w:kern w:val="0"/>
                <w:sz w:val="24"/>
                <w:szCs w:val="24"/>
                <w:highlight w:val="yellow"/>
              </w:rPr>
            </w:pPr>
            <w:r>
              <w:rPr>
                <w:rFonts w:hint="eastAsia" w:ascii="宋体" w:hAnsi="宋体" w:eastAsia="宋体" w:cs="宋体"/>
                <w:b/>
                <w:bCs/>
                <w:color w:val="auto"/>
                <w:kern w:val="0"/>
                <w:sz w:val="24"/>
                <w:szCs w:val="24"/>
                <w:highlight w:val="yellow"/>
              </w:rPr>
              <w:t>单位名称：</w:t>
            </w:r>
            <w:r>
              <w:rPr>
                <w:rFonts w:ascii="宋体" w:hAnsi="宋体" w:eastAsia="宋体" w:cs="宋体"/>
                <w:sz w:val="24"/>
                <w:szCs w:val="24"/>
              </w:rPr>
              <w:t>中国重汽集团济南动力有限公司发动机厂</w:t>
            </w:r>
          </w:p>
          <w:p>
            <w:pPr>
              <w:ind w:firstLine="482" w:firstLineChars="200"/>
              <w:rPr>
                <w:rFonts w:hint="eastAsia" w:ascii="宋体" w:hAnsi="宋体" w:eastAsia="宋体" w:cs="宋体"/>
                <w:b w:val="0"/>
                <w:bCs w:val="0"/>
                <w:color w:val="auto"/>
                <w:kern w:val="0"/>
                <w:sz w:val="24"/>
                <w:szCs w:val="24"/>
                <w:highlight w:val="yellow"/>
              </w:rPr>
            </w:pPr>
            <w:r>
              <w:rPr>
                <w:rFonts w:hint="eastAsia" w:ascii="宋体" w:hAnsi="宋体" w:eastAsia="宋体" w:cs="宋体"/>
                <w:b/>
                <w:bCs/>
                <w:color w:val="auto"/>
                <w:kern w:val="0"/>
                <w:sz w:val="24"/>
                <w:szCs w:val="24"/>
                <w:highlight w:val="yellow"/>
              </w:rPr>
              <w:t>收款账号：</w:t>
            </w:r>
            <w:r>
              <w:rPr>
                <w:rFonts w:ascii="宋体" w:hAnsi="宋体" w:eastAsia="宋体" w:cs="宋体"/>
                <w:sz w:val="24"/>
                <w:szCs w:val="24"/>
              </w:rPr>
              <w:t>2234 0557 4478</w:t>
            </w:r>
          </w:p>
          <w:p>
            <w:pPr>
              <w:ind w:firstLine="482" w:firstLineChars="200"/>
              <w:rPr>
                <w:rFonts w:hint="eastAsia" w:ascii="宋体" w:hAnsi="宋体" w:eastAsia="宋体" w:cs="宋体"/>
                <w:b w:val="0"/>
                <w:bCs w:val="0"/>
                <w:color w:val="auto"/>
                <w:kern w:val="0"/>
                <w:sz w:val="24"/>
                <w:szCs w:val="24"/>
                <w:highlight w:val="yellow"/>
              </w:rPr>
            </w:pPr>
            <w:r>
              <w:rPr>
                <w:rFonts w:hint="eastAsia" w:ascii="宋体" w:hAnsi="宋体" w:eastAsia="宋体" w:cs="宋体"/>
                <w:b/>
                <w:bCs/>
                <w:color w:val="auto"/>
                <w:kern w:val="0"/>
                <w:sz w:val="24"/>
                <w:szCs w:val="24"/>
                <w:highlight w:val="yellow"/>
              </w:rPr>
              <w:t>开户行名称：</w:t>
            </w:r>
            <w:r>
              <w:rPr>
                <w:rFonts w:ascii="宋体" w:hAnsi="宋体" w:eastAsia="宋体" w:cs="宋体"/>
                <w:sz w:val="24"/>
                <w:szCs w:val="24"/>
              </w:rPr>
              <w:t>中国银行章丘支行</w:t>
            </w:r>
          </w:p>
          <w:p>
            <w:pPr>
              <w:ind w:firstLine="482" w:firstLineChars="200"/>
              <w:rPr>
                <w:rFonts w:hint="eastAsia" w:ascii="宋体" w:hAnsi="宋体" w:eastAsia="宋体" w:cs="宋体"/>
                <w:b w:val="0"/>
                <w:bCs w:val="0"/>
                <w:color w:val="auto"/>
                <w:kern w:val="0"/>
                <w:sz w:val="24"/>
                <w:szCs w:val="24"/>
                <w:highlight w:val="yellow"/>
              </w:rPr>
            </w:pPr>
            <w:r>
              <w:rPr>
                <w:rFonts w:hint="eastAsia" w:ascii="宋体" w:hAnsi="宋体" w:eastAsia="宋体" w:cs="宋体"/>
                <w:b/>
                <w:bCs/>
                <w:color w:val="auto"/>
                <w:kern w:val="0"/>
                <w:sz w:val="24"/>
                <w:szCs w:val="24"/>
                <w:highlight w:val="yellow"/>
              </w:rPr>
              <w:t>开户行行号：</w:t>
            </w:r>
            <w:r>
              <w:rPr>
                <w:rFonts w:ascii="宋体" w:hAnsi="宋体" w:eastAsia="宋体" w:cs="宋体"/>
                <w:sz w:val="24"/>
                <w:szCs w:val="24"/>
              </w:rPr>
              <w:t>1044 5104 0689</w:t>
            </w:r>
          </w:p>
          <w:p>
            <w:pPr>
              <w:ind w:firstLine="482" w:firstLineChars="200"/>
              <w:rPr>
                <w:rFonts w:hint="eastAsia" w:ascii="宋体" w:hAnsi="宋体" w:eastAsia="宋体" w:cs="宋体"/>
                <w:b/>
                <w:bCs/>
                <w:color w:val="auto"/>
                <w:kern w:val="0"/>
                <w:sz w:val="24"/>
                <w:szCs w:val="24"/>
                <w:highlight w:val="yellow"/>
              </w:rPr>
            </w:pPr>
            <w:r>
              <w:rPr>
                <w:rFonts w:hint="eastAsia" w:ascii="宋体" w:hAnsi="宋体" w:eastAsia="宋体" w:cs="宋体"/>
                <w:b/>
                <w:bCs/>
                <w:color w:val="auto"/>
                <w:kern w:val="0"/>
                <w:sz w:val="24"/>
                <w:szCs w:val="24"/>
                <w:highlight w:val="yellow"/>
              </w:rPr>
              <w:t>投标保证金应从投标人的基本账户转出至上述账户并到账，否则视为无效投标。</w:t>
            </w:r>
          </w:p>
          <w:p>
            <w:pPr>
              <w:ind w:firstLine="482" w:firstLineChars="200"/>
              <w:rPr>
                <w:rFonts w:hint="eastAsia" w:ascii="宋体" w:hAnsi="宋体" w:eastAsia="宋体" w:cs="宋体"/>
                <w:sz w:val="24"/>
                <w:szCs w:val="24"/>
                <w:highlight w:val="cyan"/>
                <w:lang w:eastAsia="zh-CN"/>
              </w:rPr>
            </w:pPr>
            <w:r>
              <w:rPr>
                <w:rFonts w:hint="eastAsia" w:eastAsia="宋体" w:cs="Times New Roman"/>
                <w:b/>
                <w:bCs/>
                <w:sz w:val="24"/>
                <w:szCs w:val="28"/>
                <w:highlight w:val="yellow"/>
              </w:rPr>
              <w:t>转账附言：公司名称+项目名称+投标保证金</w:t>
            </w:r>
            <w:r>
              <w:rPr>
                <w:rFonts w:hint="eastAsia" w:eastAsia="宋体" w:cs="Times New Roman"/>
                <w:b/>
                <w:bCs/>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bCs/>
                <w:sz w:val="24"/>
                <w:szCs w:val="24"/>
                <w:highlight w:val="yellow"/>
                <w:u w:val="single"/>
                <w:lang w:val="en-US" w:eastAsia="zh-CN"/>
              </w:rPr>
              <w:t>12</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bCs/>
                <w:sz w:val="24"/>
                <w:szCs w:val="24"/>
                <w:highlight w:val="yellow"/>
                <w:u w:val="single"/>
                <w:lang w:val="en-US" w:eastAsia="zh-CN"/>
              </w:rPr>
              <w:t>4</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12  </w:t>
            </w:r>
            <w:r>
              <w:rPr>
                <w:rFonts w:hint="eastAsia" w:ascii="宋体" w:hAnsi="宋体" w:eastAsia="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5   </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hint="eastAsia" w:ascii="宋体" w:hAnsi="宋体" w:eastAsia="宋体" w:cs="宋体"/>
                <w:kern w:val="0"/>
                <w:sz w:val="24"/>
                <w:szCs w:val="24"/>
                <w:highlight w:val="yellow"/>
                <w:lang w:val="en-US" w:eastAsia="zh-CN"/>
              </w:rPr>
              <w:t>具体时间地点另行通知，不通知就是不开</w:t>
            </w:r>
            <w:r>
              <w:rPr>
                <w:rFonts w:hint="eastAsia" w:ascii="宋体" w:hAnsi="宋体" w:eastAsia="宋体" w:cs="宋体"/>
                <w:kern w:val="0"/>
                <w:sz w:val="24"/>
                <w:szCs w:val="24"/>
                <w:highlight w:val="yellow"/>
                <w:lang w:eastAsia="zh-CN"/>
              </w:rPr>
              <w:t>）</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7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hAnsi="宋体" w:eastAsia="宋体" w:cs="宋体"/>
                <w:color w:val="000000"/>
                <w:sz w:val="24"/>
                <w:szCs w:val="24"/>
              </w:rPr>
            </w:pPr>
            <w:r>
              <w:rPr>
                <w:rFonts w:hint="eastAsia" w:hAnsi="宋体" w:eastAsia="宋体" w:cs="宋体"/>
                <w:color w:val="000000"/>
                <w:sz w:val="24"/>
                <w:szCs w:val="24"/>
              </w:rPr>
              <w:t>1.自接到中标通知起，</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105</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pPr>
              <w:pStyle w:val="1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25</w:t>
            </w:r>
            <w:r>
              <w:rPr>
                <w:rFonts w:hint="eastAsia" w:hAnsi="宋体" w:eastAsia="宋体" w:cs="宋体"/>
                <w:color w:val="000000"/>
                <w:sz w:val="24"/>
                <w:szCs w:val="24"/>
              </w:rPr>
              <w:t>个日历日之内安装调试完毕。</w:t>
            </w:r>
          </w:p>
          <w:p>
            <w:pPr>
              <w:pStyle w:val="1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w:t>
            </w:r>
            <w:r>
              <w:rPr>
                <w:rFonts w:hint="eastAsia" w:hAnsi="宋体" w:eastAsia="宋体" w:cs="宋体"/>
                <w:color w:val="000000"/>
                <w:sz w:val="24"/>
                <w:szCs w:val="24"/>
                <w:u w:val="single"/>
                <w:lang w:val="en-US" w:eastAsia="zh-CN"/>
              </w:rPr>
              <w:t>77</w:t>
            </w:r>
            <w:r>
              <w:rPr>
                <w:rFonts w:hint="eastAsia" w:ascii="宋体" w:hAnsi="宋体" w:eastAsia="宋体" w:cs="宋体"/>
                <w:color w:val="000000"/>
                <w:sz w:val="24"/>
                <w:szCs w:val="24"/>
                <w:u w:val="single"/>
              </w:rPr>
              <w:t>77号中国重汽集团济南动力有限公司</w:t>
            </w:r>
            <w:r>
              <w:rPr>
                <w:rFonts w:hint="eastAsia" w:hAnsi="宋体" w:eastAsia="宋体" w:cs="宋体"/>
                <w:color w:val="000000"/>
                <w:sz w:val="24"/>
                <w:szCs w:val="24"/>
                <w:u w:val="single"/>
                <w:lang w:val="en-US" w:eastAsia="zh-CN"/>
              </w:rPr>
              <w:t>济南发动机</w:t>
            </w:r>
            <w:r>
              <w:rPr>
                <w:rFonts w:hint="eastAsia" w:ascii="宋体" w:hAnsi="宋体" w:eastAsia="宋体" w:cs="宋体"/>
                <w:color w:val="000000"/>
                <w:sz w:val="24"/>
                <w:szCs w:val="24"/>
                <w:u w:val="single"/>
              </w:rPr>
              <w:t>厂</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1.合同生效后，卖方开具金额为该合同设备价格</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的增值税专用发票带</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的收据（含复印件二份），经买方依照财务制度审核无误后30个工作日支付合同价款的</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w:t>
            </w:r>
          </w:p>
          <w:p>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2.设备全部到齐且无质量问题，卖方提交金额为合同价款</w:t>
            </w:r>
            <w:r>
              <w:rPr>
                <w:rFonts w:hint="eastAsia" w:ascii="宋体" w:hAnsi="宋体" w:cs="宋体"/>
                <w:sz w:val="24"/>
                <w:szCs w:val="24"/>
                <w:highlight w:val="yellow"/>
                <w:u w:val="single"/>
                <w:lang w:val="en-US" w:eastAsia="zh-CN"/>
              </w:rPr>
              <w:t>30%</w:t>
            </w:r>
            <w:r>
              <w:rPr>
                <w:rFonts w:hint="eastAsia" w:ascii="宋体" w:hAnsi="宋体" w:cs="宋体"/>
                <w:sz w:val="24"/>
                <w:szCs w:val="24"/>
                <w:lang w:val="en-US" w:eastAsia="zh-CN"/>
              </w:rPr>
              <w:t>的增值税专用发票带0%的收据（含复印件二份），经买方依照财务制度审核无误后30个工作日支付合同价款的3</w:t>
            </w:r>
            <w:r>
              <w:rPr>
                <w:rFonts w:hint="eastAsia" w:ascii="宋体" w:hAnsi="宋体" w:cs="宋体"/>
                <w:sz w:val="24"/>
                <w:szCs w:val="24"/>
                <w:highlight w:val="yellow"/>
                <w:u w:val="single"/>
                <w:lang w:val="en-US" w:eastAsia="zh-CN"/>
              </w:rPr>
              <w:t>0%</w:t>
            </w:r>
            <w:r>
              <w:rPr>
                <w:rFonts w:hint="eastAsia" w:ascii="宋体" w:hAnsi="宋体" w:cs="宋体"/>
                <w:sz w:val="24"/>
                <w:szCs w:val="24"/>
                <w:lang w:val="en-US" w:eastAsia="zh-CN"/>
              </w:rPr>
              <w:t>。</w:t>
            </w:r>
          </w:p>
          <w:p>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3.设备经现场安装、调试、终验收合格交付使用后，卖方提交金额为合同价款</w:t>
            </w:r>
            <w:r>
              <w:rPr>
                <w:rFonts w:hint="eastAsia" w:ascii="宋体" w:hAnsi="宋体" w:cs="宋体"/>
                <w:sz w:val="24"/>
                <w:szCs w:val="24"/>
                <w:highlight w:val="yellow"/>
                <w:u w:val="single"/>
                <w:lang w:val="en-US" w:eastAsia="zh-CN"/>
              </w:rPr>
              <w:t xml:space="preserve"> 60% </w:t>
            </w:r>
            <w:r>
              <w:rPr>
                <w:rFonts w:hint="eastAsia" w:ascii="宋体" w:hAnsi="宋体" w:cs="宋体"/>
                <w:sz w:val="24"/>
                <w:szCs w:val="24"/>
                <w:lang w:val="en-US" w:eastAsia="zh-CN"/>
              </w:rPr>
              <w:t>的收据并附带下列单据，经买方依照财务制度审核无误后30个工作日支付合同价款的</w:t>
            </w:r>
            <w:r>
              <w:rPr>
                <w:rFonts w:hint="eastAsia" w:ascii="宋体" w:hAnsi="宋体" w:cs="宋体"/>
                <w:sz w:val="24"/>
                <w:szCs w:val="24"/>
                <w:highlight w:val="yellow"/>
                <w:u w:val="single"/>
                <w:lang w:val="en-US" w:eastAsia="zh-CN"/>
              </w:rPr>
              <w:t xml:space="preserve"> 60% </w:t>
            </w:r>
            <w:r>
              <w:rPr>
                <w:rFonts w:hint="eastAsia" w:ascii="宋体" w:hAnsi="宋体" w:cs="宋体"/>
                <w:sz w:val="24"/>
                <w:szCs w:val="24"/>
                <w:lang w:val="en-US" w:eastAsia="zh-CN"/>
              </w:rPr>
              <w:t>。</w:t>
            </w:r>
          </w:p>
          <w:p>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a.金额为该合同设备价格</w:t>
            </w:r>
            <w:r>
              <w:rPr>
                <w:rFonts w:hint="eastAsia" w:ascii="宋体" w:hAnsi="宋体" w:cs="宋体"/>
                <w:sz w:val="24"/>
                <w:szCs w:val="24"/>
                <w:highlight w:val="yellow"/>
                <w:u w:val="single"/>
                <w:lang w:val="en-US" w:eastAsia="zh-CN"/>
              </w:rPr>
              <w:t>70%</w:t>
            </w:r>
            <w:r>
              <w:rPr>
                <w:rFonts w:hint="eastAsia" w:ascii="宋体" w:hAnsi="宋体" w:cs="宋体"/>
                <w:sz w:val="24"/>
                <w:szCs w:val="24"/>
                <w:lang w:val="en-US" w:eastAsia="zh-CN"/>
              </w:rPr>
              <w:t>的增值税专用发票（含复印件二份），具体开票信息详见发票信息表，根据表中所列分别开具增值税发票。</w:t>
            </w:r>
          </w:p>
          <w:p>
            <w:pPr>
              <w:pStyle w:val="35"/>
              <w:numPr>
                <w:ilvl w:val="0"/>
                <w:numId w:val="0"/>
              </w:numPr>
              <w:adjustRightInd w:val="0"/>
              <w:spacing w:after="0" w:line="240" w:lineRule="auto"/>
              <w:ind w:leftChars="200"/>
              <w:rPr>
                <w:rFonts w:hint="default" w:ascii="宋体" w:hAnsi="宋体" w:cs="宋体"/>
                <w:sz w:val="24"/>
                <w:szCs w:val="24"/>
                <w:lang w:val="en-US" w:eastAsia="zh-CN"/>
              </w:rPr>
            </w:pPr>
            <w:r>
              <w:rPr>
                <w:rFonts w:hint="eastAsia" w:ascii="宋体" w:hAnsi="宋体" w:cs="宋体"/>
                <w:sz w:val="24"/>
                <w:szCs w:val="24"/>
                <w:lang w:val="en-US" w:eastAsia="zh-CN"/>
              </w:rPr>
              <w:t>b.该套设备最终验收报告的原件及其复印件两份。</w:t>
            </w:r>
          </w:p>
          <w:p>
            <w:pPr>
              <w:pStyle w:val="35"/>
              <w:numPr>
                <w:ilvl w:val="0"/>
                <w:numId w:val="0"/>
              </w:numPr>
              <w:adjustRightInd w:val="0"/>
              <w:spacing w:after="0" w:line="240" w:lineRule="auto"/>
              <w:ind w:leftChars="200"/>
              <w:rPr>
                <w:rFonts w:ascii="宋体" w:hAnsi="宋体" w:eastAsia="宋体" w:cs="宋体"/>
                <w:sz w:val="24"/>
                <w:szCs w:val="24"/>
              </w:rPr>
            </w:pPr>
            <w:r>
              <w:rPr>
                <w:rFonts w:hint="eastAsia" w:ascii="宋体" w:hAnsi="宋体" w:cs="宋体"/>
                <w:sz w:val="24"/>
                <w:szCs w:val="24"/>
                <w:lang w:val="en-US" w:eastAsia="zh-CN"/>
              </w:rPr>
              <w:t>4.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yellow"/>
                <w:u w:val="single"/>
                <w:lang w:val="en-US" w:eastAsia="zh-CN"/>
              </w:rPr>
              <w:t xml:space="preserve">15 </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yellow"/>
        </w:rPr>
        <w:t>转账附言：公司名称+项目名称+投标保证金</w:t>
      </w:r>
      <w:r>
        <w:rPr>
          <w:rFonts w:hint="eastAsia" w:ascii="宋体" w:hAnsi="宋体" w:eastAsia="宋体" w:cs="宋体"/>
          <w:sz w:val="24"/>
          <w:szCs w:val="24"/>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50"/>
      <w:bookmarkStart w:id="7" w:name="_Toc33266627"/>
      <w:bookmarkStart w:id="8" w:name="_Toc33285487"/>
      <w:bookmarkStart w:id="9" w:name="_Toc33266914"/>
      <w:bookmarkStart w:id="10" w:name="_Toc33265752"/>
      <w:bookmarkStart w:id="11" w:name="_Toc33267001"/>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中标人确定：技术标入围后，原则上合理最低价中标。</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6"/>
      <w:bookmarkStart w:id="15" w:name="OLE_LINK25"/>
      <w:bookmarkStart w:id="16" w:name="OLE_LINK27"/>
      <w:bookmarkStart w:id="17" w:name="OLE_LINK28"/>
      <w:bookmarkStart w:id="18" w:name="OLE_LINK29"/>
      <w:r>
        <w:rPr>
          <w:rFonts w:hint="eastAsia" w:ascii="宋体" w:hAnsi="宋体" w:eastAsia="宋体" w:cs="宋体"/>
          <w:bCs/>
          <w:sz w:val="24"/>
          <w:szCs w:val="24"/>
        </w:rPr>
        <w:t>；</w:t>
      </w:r>
      <w:bookmarkEnd w:id="14"/>
      <w:bookmarkEnd w:id="15"/>
      <w:bookmarkEnd w:id="16"/>
      <w:bookmarkEnd w:id="17"/>
      <w:bookmarkEnd w:id="18"/>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19"/>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bookmarkStart w:id="20" w:name="_Toc212369515"/>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0"/>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1"/>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9"/>
      <w:bookmarkStart w:id="23" w:name="OLE_LINK18"/>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spacing w:after="0" w:line="240" w:lineRule="auto"/>
        <w:jc w:val="center"/>
        <w:outlineLvl w:val="0"/>
        <w:rPr>
          <w:rFonts w:ascii="Calibri" w:hAnsi="Calibri" w:eastAsia="宋体" w:cs="Times New Roman"/>
          <w:b/>
          <w:bCs/>
          <w:kern w:val="44"/>
          <w:sz w:val="36"/>
          <w:szCs w:val="44"/>
          <w14:ligatures w14:val="none"/>
        </w:rPr>
      </w:pPr>
      <w:bookmarkStart w:id="24" w:name="_Toc9849"/>
      <w:bookmarkStart w:id="25" w:name="_Toc227726571"/>
      <w:bookmarkStart w:id="26" w:name="_Toc137705865"/>
      <w:bookmarkStart w:id="27" w:name="_Toc227726361"/>
      <w:bookmarkStart w:id="28" w:name="_Toc169605877"/>
      <w:bookmarkStart w:id="29" w:name="_Toc465187648"/>
      <w:bookmarkStart w:id="30" w:name="_Toc257033749"/>
      <w:bookmarkStart w:id="31" w:name="_Toc257037877"/>
      <w:bookmarkStart w:id="32" w:name="_Toc127880405"/>
      <w:r>
        <w:rPr>
          <w:rFonts w:hint="eastAsia" w:ascii="Calibri" w:hAnsi="Calibri" w:eastAsia="宋体" w:cs="Times New Roman"/>
          <w:b/>
          <w:bCs/>
          <w:kern w:val="44"/>
          <w:sz w:val="36"/>
          <w:szCs w:val="44"/>
          <w14:ligatures w14:val="none"/>
        </w:rPr>
        <w:t>第四部分 技术标书</w:t>
      </w:r>
      <w:bookmarkEnd w:id="24"/>
    </w:p>
    <w:p>
      <w:pPr>
        <w:spacing w:after="0" w:line="240" w:lineRule="auto"/>
        <w:jc w:val="both"/>
        <w:rPr>
          <w:rFonts w:ascii="宋体" w:hAnsi="Courier New" w:eastAsia="等线" w:cs="Times New Roman"/>
          <w:sz w:val="21"/>
          <w:szCs w:val="22"/>
          <w14:ligatures w14:val="none"/>
        </w:rPr>
      </w:pPr>
    </w:p>
    <w:p>
      <w:pPr>
        <w:shd w:val="clear" w:color="auto" w:fill="auto"/>
        <w:spacing w:line="480" w:lineRule="exact"/>
        <w:rPr>
          <w:rFonts w:hint="eastAsia" w:ascii="宋体" w:hAnsi="宋体"/>
          <w:highlight w:val="none"/>
        </w:rPr>
      </w:pPr>
    </w:p>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kinsoku/>
        <w:wordWrap/>
        <w:overflowPunct/>
        <w:topLinePunct w:val="0"/>
        <w:autoSpaceDE/>
        <w:autoSpaceDN/>
        <w:bidi w:val="0"/>
        <w:spacing w:beforeAutospacing="0" w:afterAutospacing="0" w:line="300" w:lineRule="auto"/>
        <w:jc w:val="center"/>
        <w:rPr>
          <w:rFonts w:hint="eastAsia" w:ascii="黑体" w:hAnsi="宋体" w:eastAsia="黑体"/>
          <w:sz w:val="44"/>
          <w:szCs w:val="44"/>
        </w:rPr>
      </w:pPr>
    </w:p>
    <w:p>
      <w:pPr>
        <w:pageBreakBefore w:val="0"/>
        <w:kinsoku/>
        <w:wordWrap/>
        <w:overflowPunct/>
        <w:topLinePunct w:val="0"/>
        <w:autoSpaceDE/>
        <w:autoSpaceDN/>
        <w:bidi w:val="0"/>
        <w:spacing w:beforeAutospacing="0" w:afterAutospacing="0" w:line="300" w:lineRule="auto"/>
        <w:jc w:val="center"/>
        <w:rPr>
          <w:rFonts w:hint="default" w:ascii="黑体" w:hAnsi="宋体" w:eastAsia="黑体" w:cs="Times New Roman"/>
          <w:color w:val="FF0000"/>
          <w:sz w:val="44"/>
          <w:szCs w:val="44"/>
          <w:lang w:val="en-US" w:eastAsia="zh-CN"/>
        </w:rPr>
      </w:pPr>
      <w:r>
        <w:rPr>
          <w:rFonts w:hint="eastAsia" w:ascii="黑体" w:hAnsi="宋体" w:eastAsia="黑体"/>
          <w:sz w:val="44"/>
          <w:szCs w:val="44"/>
        </w:rPr>
        <w:t>项目名称：</w:t>
      </w:r>
      <w:r>
        <w:rPr>
          <w:rFonts w:hint="eastAsia" w:ascii="黑体" w:hAnsi="宋体" w:eastAsia="黑体" w:cs="Times New Roman"/>
          <w:color w:val="000000"/>
          <w:sz w:val="44"/>
          <w:szCs w:val="44"/>
          <w:lang w:val="en-US" w:eastAsia="zh-CN"/>
        </w:rPr>
        <w:t>缸盖装配线兼容性改造项目</w:t>
      </w:r>
    </w:p>
    <w:p>
      <w:pPr>
        <w:pageBreakBefore w:val="0"/>
        <w:kinsoku/>
        <w:wordWrap/>
        <w:overflowPunct/>
        <w:topLinePunct w:val="0"/>
        <w:autoSpaceDE/>
        <w:autoSpaceDN/>
        <w:bidi w:val="0"/>
        <w:spacing w:beforeAutospacing="0" w:afterAutospacing="0" w:line="300" w:lineRule="auto"/>
        <w:jc w:val="center"/>
        <w:rPr>
          <w:rFonts w:hint="eastAsia" w:ascii="黑体" w:hAnsi="宋体" w:eastAsia="黑体" w:cs="Times New Roman"/>
          <w:sz w:val="44"/>
          <w:szCs w:val="44"/>
          <w:lang w:val="en-US" w:eastAsia="zh-CN"/>
        </w:rPr>
      </w:pPr>
    </w:p>
    <w:p>
      <w:pPr>
        <w:pageBreakBefore w:val="0"/>
        <w:kinsoku/>
        <w:wordWrap/>
        <w:overflowPunct/>
        <w:topLinePunct w:val="0"/>
        <w:autoSpaceDE/>
        <w:autoSpaceDN/>
        <w:bidi w:val="0"/>
        <w:spacing w:beforeAutospacing="0" w:afterAutospacing="0" w:line="300" w:lineRule="auto"/>
        <w:rPr>
          <w:rFonts w:hint="eastAsia" w:ascii="黑体" w:hAnsi="宋体" w:eastAsia="黑体" w:cs="Times New Roman"/>
          <w:color w:val="000000"/>
          <w:sz w:val="72"/>
          <w:szCs w:val="72"/>
        </w:rPr>
      </w:pPr>
    </w:p>
    <w:p>
      <w:pPr>
        <w:pageBreakBefore w:val="0"/>
        <w:kinsoku/>
        <w:wordWrap/>
        <w:overflowPunct/>
        <w:topLinePunct w:val="0"/>
        <w:autoSpaceDE/>
        <w:autoSpaceDN/>
        <w:bidi w:val="0"/>
        <w:spacing w:beforeAutospacing="0" w:afterAutospacing="0" w:line="30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pageBreakBefore w:val="0"/>
        <w:kinsoku/>
        <w:wordWrap/>
        <w:overflowPunct/>
        <w:topLinePunct w:val="0"/>
        <w:autoSpaceDE/>
        <w:autoSpaceDN/>
        <w:bidi w:val="0"/>
        <w:spacing w:beforeAutospacing="0" w:afterAutospacing="0" w:line="30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pageBreakBefore w:val="0"/>
        <w:kinsoku/>
        <w:wordWrap/>
        <w:overflowPunct/>
        <w:topLinePunct w:val="0"/>
        <w:autoSpaceDE/>
        <w:autoSpaceDN/>
        <w:bidi w:val="0"/>
        <w:spacing w:beforeAutospacing="0" w:afterAutospacing="0" w:line="30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pageBreakBefore w:val="0"/>
        <w:kinsoku/>
        <w:wordWrap/>
        <w:overflowPunct/>
        <w:topLinePunct w:val="0"/>
        <w:autoSpaceDE/>
        <w:autoSpaceDN/>
        <w:bidi w:val="0"/>
        <w:spacing w:beforeAutospacing="0" w:afterAutospacing="0" w:line="30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ageBreakBefore w:val="0"/>
        <w:kinsoku/>
        <w:wordWrap/>
        <w:overflowPunct/>
        <w:topLinePunct w:val="0"/>
        <w:autoSpaceDE/>
        <w:autoSpaceDN/>
        <w:bidi w:val="0"/>
        <w:spacing w:beforeAutospacing="0" w:afterAutospacing="0" w:line="300" w:lineRule="auto"/>
        <w:rPr>
          <w:rFonts w:hint="eastAsia" w:ascii="宋体" w:hAnsi="宋体"/>
        </w:rPr>
      </w:pPr>
      <w:r>
        <w:rPr>
          <w:rFonts w:ascii="宋体" w:hAnsi="宋体"/>
        </w:rPr>
        <w:t xml:space="preserve">             </w:t>
      </w:r>
    </w:p>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kinsoku/>
        <w:wordWrap/>
        <w:overflowPunct/>
        <w:topLinePunct w:val="0"/>
        <w:autoSpaceDE/>
        <w:autoSpaceDN/>
        <w:bidi w:val="0"/>
        <w:spacing w:beforeAutospacing="0" w:afterAutospacing="0" w:line="300" w:lineRule="auto"/>
        <w:ind w:firstLine="480"/>
        <w:rPr>
          <w:rFonts w:hint="eastAsia" w:ascii="宋体" w:hAnsi="宋体"/>
        </w:rPr>
      </w:pPr>
    </w:p>
    <w:p>
      <w:pPr>
        <w:pageBreakBefore w:val="0"/>
        <w:kinsoku/>
        <w:wordWrap/>
        <w:overflowPunct/>
        <w:topLinePunct w:val="0"/>
        <w:autoSpaceDE/>
        <w:autoSpaceDN/>
        <w:bidi w:val="0"/>
        <w:spacing w:beforeAutospacing="0" w:afterAutospacing="0" w:line="300" w:lineRule="auto"/>
        <w:ind w:left="2100" w:leftChars="1000"/>
        <w:rPr>
          <w:rFonts w:hint="eastAsia" w:eastAsia="宋体"/>
          <w:bCs/>
          <w:sz w:val="32"/>
          <w:szCs w:val="32"/>
          <w:lang w:val="en-US" w:eastAsia="zh-CN"/>
        </w:rPr>
      </w:pPr>
      <w:r>
        <w:rPr>
          <w:rFonts w:hint="eastAsia"/>
          <w:b/>
          <w:sz w:val="32"/>
          <w:szCs w:val="32"/>
        </w:rPr>
        <w:t>编      制：</w:t>
      </w:r>
      <w:r>
        <w:rPr>
          <w:rFonts w:hint="eastAsia" w:ascii="仿宋" w:hAnsi="仿宋" w:eastAsia="仿宋" w:cs="仿宋"/>
          <w:sz w:val="32"/>
          <w:szCs w:val="32"/>
          <w:u w:val="none"/>
          <w:lang w:val="en-US" w:eastAsia="zh-CN"/>
        </w:rPr>
        <w:t>程博斌</w:t>
      </w:r>
    </w:p>
    <w:p>
      <w:pPr>
        <w:pageBreakBefore w:val="0"/>
        <w:kinsoku/>
        <w:wordWrap/>
        <w:overflowPunct/>
        <w:topLinePunct w:val="0"/>
        <w:autoSpaceDE/>
        <w:autoSpaceDN/>
        <w:bidi w:val="0"/>
        <w:spacing w:beforeAutospacing="0" w:afterAutospacing="0" w:line="300" w:lineRule="auto"/>
        <w:ind w:left="4021" w:leftChars="1000" w:hanging="1921" w:hangingChars="600"/>
        <w:rPr>
          <w:rFonts w:hint="eastAsia"/>
          <w:bCs/>
          <w:sz w:val="32"/>
          <w:szCs w:val="32"/>
          <w:lang w:val="en-US" w:eastAsia="zh-CN"/>
        </w:rPr>
      </w:pPr>
      <w:r>
        <w:rPr>
          <w:rFonts w:hint="eastAsia"/>
          <w:b/>
          <w:sz w:val="32"/>
          <w:szCs w:val="32"/>
        </w:rPr>
        <w:t>审      核：</w:t>
      </w:r>
      <w:r>
        <w:rPr>
          <w:rFonts w:hint="eastAsia" w:ascii="仿宋" w:hAnsi="仿宋" w:eastAsia="仿宋" w:cs="仿宋"/>
          <w:sz w:val="32"/>
          <w:szCs w:val="32"/>
          <w:u w:val="none"/>
          <w:lang w:val="en-US" w:eastAsia="zh-CN"/>
        </w:rPr>
        <w:t>庄福河</w:t>
      </w:r>
    </w:p>
    <w:p>
      <w:pPr>
        <w:pageBreakBefore w:val="0"/>
        <w:kinsoku/>
        <w:wordWrap/>
        <w:overflowPunct/>
        <w:topLinePunct w:val="0"/>
        <w:autoSpaceDE/>
        <w:autoSpaceDN/>
        <w:bidi w:val="0"/>
        <w:spacing w:beforeAutospacing="0" w:afterAutospacing="0" w:line="300" w:lineRule="auto"/>
        <w:ind w:left="4021" w:leftChars="1000" w:hanging="1921" w:hangingChars="600"/>
        <w:rPr>
          <w:rFonts w:hint="default" w:eastAsia="宋体"/>
          <w:b/>
          <w:sz w:val="32"/>
          <w:szCs w:val="32"/>
          <w:lang w:val="en-US" w:eastAsia="zh-CN"/>
        </w:rPr>
      </w:pPr>
      <w:r>
        <w:rPr>
          <w:rFonts w:hint="eastAsia"/>
          <w:b/>
          <w:sz w:val="32"/>
          <w:szCs w:val="32"/>
        </w:rPr>
        <w:t>会      签：</w:t>
      </w:r>
      <w:r>
        <w:rPr>
          <w:rFonts w:hint="eastAsia" w:ascii="仿宋" w:hAnsi="仿宋" w:eastAsia="仿宋" w:cs="仿宋"/>
          <w:sz w:val="32"/>
          <w:szCs w:val="32"/>
          <w:u w:val="none"/>
          <w:lang w:val="en-US" w:eastAsia="zh-CN"/>
        </w:rPr>
        <w:t>王东东、李庆军、彭超、崔毅刚</w:t>
      </w:r>
    </w:p>
    <w:p>
      <w:pPr>
        <w:pageBreakBefore w:val="0"/>
        <w:kinsoku/>
        <w:wordWrap/>
        <w:overflowPunct/>
        <w:topLinePunct w:val="0"/>
        <w:autoSpaceDE/>
        <w:autoSpaceDN/>
        <w:bidi w:val="0"/>
        <w:spacing w:beforeAutospacing="0" w:afterAutospacing="0" w:line="300" w:lineRule="auto"/>
        <w:ind w:left="2100" w:leftChars="1000"/>
        <w:rPr>
          <w:rFonts w:hint="default" w:eastAsia="宋体"/>
          <w:b/>
          <w:sz w:val="32"/>
          <w:szCs w:val="32"/>
          <w:lang w:val="en-US" w:eastAsia="zh-CN"/>
        </w:rPr>
      </w:pPr>
      <w:r>
        <w:rPr>
          <w:rFonts w:hint="eastAsia"/>
          <w:b/>
          <w:sz w:val="32"/>
          <w:szCs w:val="32"/>
        </w:rPr>
        <w:t>批      准：</w:t>
      </w:r>
      <w:r>
        <w:rPr>
          <w:rFonts w:hint="eastAsia" w:ascii="仿宋" w:hAnsi="仿宋" w:eastAsia="仿宋" w:cs="仿宋"/>
          <w:sz w:val="32"/>
          <w:szCs w:val="32"/>
          <w:u w:val="none"/>
          <w:lang w:val="en-US" w:eastAsia="zh-CN"/>
        </w:rPr>
        <w:t>李成伍</w:t>
      </w:r>
    </w:p>
    <w:p>
      <w:pPr>
        <w:pStyle w:val="24"/>
        <w:pageBreakBefore w:val="0"/>
        <w:kinsoku/>
        <w:wordWrap/>
        <w:overflowPunct/>
        <w:topLinePunct w:val="0"/>
        <w:autoSpaceDE/>
        <w:autoSpaceDN/>
        <w:bidi w:val="0"/>
        <w:spacing w:before="0" w:beforeAutospacing="0" w:after="0" w:afterAutospacing="0" w:line="300" w:lineRule="auto"/>
        <w:rPr>
          <w:rFonts w:hint="eastAsia"/>
        </w:rPr>
      </w:pPr>
    </w:p>
    <w:p>
      <w:pPr>
        <w:pageBreakBefore w:val="0"/>
        <w:kinsoku/>
        <w:wordWrap/>
        <w:overflowPunct/>
        <w:topLinePunct w:val="0"/>
        <w:autoSpaceDE/>
        <w:autoSpaceDN/>
        <w:bidi w:val="0"/>
        <w:spacing w:beforeAutospacing="0" w:afterAutospacing="0" w:line="300" w:lineRule="auto"/>
        <w:rPr>
          <w:rFonts w:hint="eastAsia"/>
        </w:rPr>
      </w:pPr>
    </w:p>
    <w:p>
      <w:pPr>
        <w:pageBreakBefore w:val="0"/>
        <w:kinsoku/>
        <w:wordWrap/>
        <w:overflowPunct/>
        <w:topLinePunct w:val="0"/>
        <w:autoSpaceDE/>
        <w:autoSpaceDN/>
        <w:bidi w:val="0"/>
        <w:spacing w:beforeAutospacing="0" w:afterAutospacing="0" w:line="300" w:lineRule="auto"/>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pageBreakBefore w:val="0"/>
        <w:kinsoku/>
        <w:wordWrap/>
        <w:overflowPunct/>
        <w:topLinePunct w:val="0"/>
        <w:autoSpaceDE/>
        <w:autoSpaceDN/>
        <w:bidi w:val="0"/>
        <w:spacing w:beforeAutospacing="0" w:afterAutospacing="0" w:line="300" w:lineRule="auto"/>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pageBreakBefore w:val="0"/>
        <w:kinsoku/>
        <w:wordWrap/>
        <w:overflowPunct/>
        <w:topLinePunct w:val="0"/>
        <w:autoSpaceDE/>
        <w:autoSpaceDN/>
        <w:bidi w:val="0"/>
        <w:spacing w:beforeAutospacing="0" w:afterAutospacing="0" w:line="300" w:lineRule="auto"/>
        <w:jc w:val="both"/>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pageBreakBefore w:val="0"/>
        <w:kinsoku/>
        <w:wordWrap/>
        <w:overflowPunct/>
        <w:topLinePunct w:val="0"/>
        <w:autoSpaceDE/>
        <w:autoSpaceDN/>
        <w:bidi w:val="0"/>
        <w:spacing w:beforeAutospacing="0" w:afterAutospacing="0" w:line="300" w:lineRule="auto"/>
        <w:rPr>
          <w:rFonts w:hint="eastAsia" w:ascii="黑体" w:hAnsi="宋体" w:eastAsia="黑体"/>
          <w:sz w:val="44"/>
          <w:szCs w:val="44"/>
        </w:rPr>
      </w:pPr>
    </w:p>
    <w:p>
      <w:pPr>
        <w:pageBreakBefore w:val="0"/>
        <w:kinsoku/>
        <w:wordWrap/>
        <w:overflowPunct/>
        <w:topLinePunct w:val="0"/>
        <w:autoSpaceDE/>
        <w:autoSpaceDN/>
        <w:bidi w:val="0"/>
        <w:spacing w:beforeAutospacing="0" w:afterAutospacing="0" w:line="300" w:lineRule="auto"/>
        <w:ind w:firstLine="880"/>
        <w:rPr>
          <w:rFonts w:hint="eastAsia" w:ascii="黑体" w:hAnsi="宋体" w:eastAsia="黑体"/>
          <w:sz w:val="44"/>
          <w:szCs w:val="44"/>
        </w:rPr>
      </w:pPr>
    </w:p>
    <w:p>
      <w:pPr>
        <w:pageBreakBefore w:val="0"/>
        <w:kinsoku/>
        <w:wordWrap/>
        <w:overflowPunct/>
        <w:topLinePunct w:val="0"/>
        <w:autoSpaceDE/>
        <w:autoSpaceDN/>
        <w:bidi w:val="0"/>
        <w:spacing w:beforeAutospacing="0" w:afterAutospacing="0" w:line="300" w:lineRule="auto"/>
        <w:ind w:firstLine="880"/>
        <w:rPr>
          <w:rFonts w:hint="eastAsia" w:ascii="黑体" w:hAnsi="宋体" w:eastAsia="黑体"/>
          <w:sz w:val="44"/>
          <w:szCs w:val="44"/>
        </w:rPr>
      </w:pPr>
    </w:p>
    <w:p>
      <w:pPr>
        <w:pageBreakBefore w:val="0"/>
        <w:kinsoku/>
        <w:wordWrap/>
        <w:overflowPunct/>
        <w:topLinePunct w:val="0"/>
        <w:autoSpaceDE/>
        <w:autoSpaceDN/>
        <w:bidi w:val="0"/>
        <w:spacing w:beforeAutospacing="0" w:afterAutospacing="0" w:line="300" w:lineRule="auto"/>
        <w:ind w:firstLine="880"/>
        <w:rPr>
          <w:rFonts w:hint="eastAsia" w:ascii="黑体" w:hAnsi="宋体" w:eastAsia="黑体"/>
          <w:sz w:val="44"/>
          <w:szCs w:val="44"/>
        </w:rPr>
      </w:pPr>
    </w:p>
    <w:p>
      <w:pPr>
        <w:pageBreakBefore w:val="0"/>
        <w:kinsoku/>
        <w:wordWrap/>
        <w:overflowPunct/>
        <w:topLinePunct w:val="0"/>
        <w:autoSpaceDE/>
        <w:autoSpaceDN/>
        <w:bidi w:val="0"/>
        <w:spacing w:beforeAutospacing="0" w:afterAutospacing="0" w:line="300" w:lineRule="auto"/>
        <w:jc w:val="center"/>
        <w:rPr>
          <w:rFonts w:hint="eastAsia" w:ascii="宋体" w:hAnsi="宋体"/>
          <w:sz w:val="40"/>
          <w:szCs w:val="40"/>
        </w:rPr>
      </w:pPr>
      <w:r>
        <w:rPr>
          <w:rFonts w:hint="eastAsia" w:ascii="黑体" w:hAnsi="宋体" w:eastAsia="黑体"/>
          <w:sz w:val="40"/>
          <w:szCs w:val="40"/>
        </w:rPr>
        <w:t>目        录</w:t>
      </w:r>
    </w:p>
    <w:p>
      <w:pPr>
        <w:pageBreakBefore w:val="0"/>
        <w:kinsoku/>
        <w:wordWrap/>
        <w:overflowPunct/>
        <w:topLinePunct w:val="0"/>
        <w:autoSpaceDE/>
        <w:autoSpaceDN/>
        <w:bidi w:val="0"/>
        <w:spacing w:beforeAutospacing="0" w:afterAutospacing="0" w:line="300" w:lineRule="auto"/>
        <w:rPr>
          <w:rFonts w:hint="eastAsia" w:ascii="宋体" w:hAnsi="宋体"/>
        </w:rPr>
      </w:pPr>
    </w:p>
    <w:p>
      <w:pPr>
        <w:pStyle w:val="24"/>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sz w:val="24"/>
          <w:szCs w:val="24"/>
        </w:rPr>
        <w:fldChar w:fldCharType="begin"/>
      </w:r>
      <w:r>
        <w:rPr>
          <w:rFonts w:hint="eastAsia" w:ascii="宋体" w:hAnsi="宋体"/>
          <w:sz w:val="24"/>
          <w:szCs w:val="24"/>
        </w:rPr>
        <w:instrText xml:space="preserve"> TOC \o "1-2" \h \z \u </w:instrText>
      </w:r>
      <w:r>
        <w:rPr>
          <w:rFonts w:hint="eastAsia" w:ascii="宋体" w:hAnsi="宋体"/>
          <w:sz w:val="24"/>
          <w:szCs w:val="24"/>
        </w:rPr>
        <w:fldChar w:fldCharType="separate"/>
      </w:r>
      <w:r>
        <w:rPr>
          <w:rFonts w:hint="eastAsia" w:ascii="宋体" w:hAnsi="宋体"/>
        </w:rPr>
        <w:fldChar w:fldCharType="begin"/>
      </w:r>
      <w:r>
        <w:rPr>
          <w:rFonts w:hint="eastAsia" w:ascii="宋体" w:hAnsi="宋体"/>
        </w:rPr>
        <w:instrText xml:space="preserve"> HYPERLINK \l _Toc2567 </w:instrText>
      </w:r>
      <w:r>
        <w:rPr>
          <w:rFonts w:hint="eastAsia" w:ascii="宋体" w:hAnsi="宋体"/>
        </w:rPr>
        <w:fldChar w:fldCharType="separate"/>
      </w:r>
      <w:r>
        <w:rPr>
          <w:rFonts w:hint="eastAsia" w:ascii="黑体" w:eastAsia="黑体"/>
          <w:szCs w:val="24"/>
        </w:rPr>
        <w:t>第一章  采购货物概况</w:t>
      </w:r>
      <w:r>
        <w:tab/>
      </w:r>
      <w:r>
        <w:fldChar w:fldCharType="begin"/>
      </w:r>
      <w:r>
        <w:instrText xml:space="preserve"> PAGEREF _Toc2567 </w:instrText>
      </w:r>
      <w:r>
        <w:fldChar w:fldCharType="separate"/>
      </w:r>
      <w:r>
        <w:t>1</w:t>
      </w:r>
      <w:r>
        <w:fldChar w:fldCharType="end"/>
      </w:r>
      <w:r>
        <w:rPr>
          <w:rFonts w:hint="eastAsia" w:ascii="宋体" w:hAnsi="宋体"/>
        </w:rPr>
        <w:fldChar w:fldCharType="end"/>
      </w:r>
    </w:p>
    <w:p>
      <w:pPr>
        <w:pStyle w:val="24"/>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_Toc32262 </w:instrText>
      </w:r>
      <w:r>
        <w:rPr>
          <w:rFonts w:hint="eastAsia" w:ascii="宋体" w:hAnsi="宋体"/>
        </w:rPr>
        <w:fldChar w:fldCharType="separate"/>
      </w:r>
      <w:r>
        <w:rPr>
          <w:rFonts w:hint="eastAsia" w:ascii="黑体" w:eastAsia="黑体"/>
          <w:szCs w:val="24"/>
        </w:rPr>
        <w:t>第二章  技术要求</w:t>
      </w:r>
      <w:r>
        <w:tab/>
      </w:r>
      <w:r>
        <w:fldChar w:fldCharType="begin"/>
      </w:r>
      <w:r>
        <w:instrText xml:space="preserve"> PAGEREF _Toc32262 </w:instrText>
      </w:r>
      <w:r>
        <w:fldChar w:fldCharType="separate"/>
      </w:r>
      <w:r>
        <w:t>3</w:t>
      </w:r>
      <w:r>
        <w:fldChar w:fldCharType="end"/>
      </w:r>
      <w:r>
        <w:rPr>
          <w:rFonts w:hint="eastAsia" w:ascii="宋体" w:hAnsi="宋体"/>
        </w:rPr>
        <w:fldChar w:fldCharType="end"/>
      </w:r>
    </w:p>
    <w:p>
      <w:pPr>
        <w:pStyle w:val="24"/>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_Toc10963 </w:instrText>
      </w:r>
      <w:r>
        <w:rPr>
          <w:rFonts w:hint="eastAsia" w:ascii="宋体" w:hAnsi="宋体"/>
        </w:rPr>
        <w:fldChar w:fldCharType="separate"/>
      </w:r>
      <w:r>
        <w:rPr>
          <w:rFonts w:hint="eastAsia" w:ascii="黑体" w:eastAsia="黑体"/>
          <w:szCs w:val="24"/>
        </w:rPr>
        <w:t>第三章  供货范围及供货方式</w:t>
      </w:r>
      <w:r>
        <w:tab/>
      </w:r>
      <w:r>
        <w:fldChar w:fldCharType="begin"/>
      </w:r>
      <w:r>
        <w:instrText xml:space="preserve"> PAGEREF _Toc10963 </w:instrText>
      </w:r>
      <w:r>
        <w:fldChar w:fldCharType="separate"/>
      </w:r>
      <w:r>
        <w:t>11</w:t>
      </w:r>
      <w:r>
        <w:fldChar w:fldCharType="end"/>
      </w:r>
      <w:r>
        <w:rPr>
          <w:rFonts w:hint="eastAsia" w:ascii="宋体" w:hAnsi="宋体"/>
        </w:rPr>
        <w:fldChar w:fldCharType="end"/>
      </w:r>
    </w:p>
    <w:p>
      <w:pPr>
        <w:pStyle w:val="24"/>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_Toc30960 </w:instrText>
      </w:r>
      <w:r>
        <w:rPr>
          <w:rFonts w:hint="eastAsia" w:ascii="宋体" w:hAnsi="宋体"/>
        </w:rPr>
        <w:fldChar w:fldCharType="separate"/>
      </w:r>
      <w:r>
        <w:rPr>
          <w:rFonts w:hint="eastAsia" w:ascii="黑体" w:eastAsia="黑体"/>
          <w:szCs w:val="24"/>
        </w:rPr>
        <w:t>第四章  售中售后服务</w:t>
      </w:r>
      <w:r>
        <w:tab/>
      </w:r>
      <w:r>
        <w:fldChar w:fldCharType="begin"/>
      </w:r>
      <w:r>
        <w:instrText xml:space="preserve"> PAGEREF _Toc30960 </w:instrText>
      </w:r>
      <w:r>
        <w:fldChar w:fldCharType="separate"/>
      </w:r>
      <w:r>
        <w:t>15</w:t>
      </w:r>
      <w:r>
        <w:fldChar w:fldCharType="end"/>
      </w:r>
      <w:r>
        <w:rPr>
          <w:rFonts w:hint="eastAsia" w:ascii="宋体" w:hAnsi="宋体"/>
        </w:rPr>
        <w:fldChar w:fldCharType="end"/>
      </w:r>
    </w:p>
    <w:p>
      <w:pPr>
        <w:pStyle w:val="24"/>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_Toc21539 </w:instrText>
      </w:r>
      <w:r>
        <w:rPr>
          <w:rFonts w:hint="eastAsia" w:ascii="宋体" w:hAnsi="宋体"/>
        </w:rPr>
        <w:fldChar w:fldCharType="separate"/>
      </w:r>
      <w:r>
        <w:rPr>
          <w:rFonts w:hint="eastAsia" w:ascii="黑体" w:eastAsia="黑体"/>
          <w:szCs w:val="24"/>
        </w:rPr>
        <w:t>第五章  预验收和终验收</w:t>
      </w:r>
      <w:r>
        <w:tab/>
      </w:r>
      <w:r>
        <w:fldChar w:fldCharType="begin"/>
      </w:r>
      <w:r>
        <w:instrText xml:space="preserve"> PAGEREF _Toc21539 </w:instrText>
      </w:r>
      <w:r>
        <w:fldChar w:fldCharType="separate"/>
      </w:r>
      <w:r>
        <w:t>18</w:t>
      </w:r>
      <w:r>
        <w:fldChar w:fldCharType="end"/>
      </w:r>
      <w:r>
        <w:rPr>
          <w:rFonts w:hint="eastAsia" w:ascii="宋体" w:hAnsi="宋体"/>
        </w:rPr>
        <w:fldChar w:fldCharType="end"/>
      </w:r>
    </w:p>
    <w:p>
      <w:pPr>
        <w:pStyle w:val="24"/>
        <w:pageBreakBefore w:val="0"/>
        <w:tabs>
          <w:tab w:val="right" w:leader="dot" w:pos="8787"/>
        </w:tabs>
        <w:kinsoku/>
        <w:wordWrap/>
        <w:overflowPunct/>
        <w:topLinePunct w:val="0"/>
        <w:autoSpaceDE/>
        <w:autoSpaceDN/>
        <w:bidi w:val="0"/>
        <w:spacing w:before="0" w:beforeAutospacing="0" w:after="0" w:afterAutospacing="0" w:line="300" w:lineRule="auto"/>
        <w:rPr>
          <w:rFonts w:hint="default" w:ascii="宋体" w:hAnsi="宋体" w:eastAsia="宋体" w:cs="Times New Roman"/>
          <w:b/>
          <w:bCs/>
          <w:caps/>
          <w:lang w:val="en-US" w:eastAsia="zh-CN"/>
        </w:rPr>
      </w:pPr>
      <w:r>
        <w:rPr>
          <w:rFonts w:hint="eastAsia" w:ascii="宋体" w:hAnsi="宋体" w:eastAsia="宋体" w:cs="Times New Roman"/>
          <w:b/>
          <w:bCs/>
          <w:caps/>
        </w:rPr>
        <w:fldChar w:fldCharType="begin"/>
      </w:r>
      <w:r>
        <w:rPr>
          <w:rFonts w:hint="eastAsia" w:ascii="宋体" w:hAnsi="宋体" w:eastAsia="宋体" w:cs="Times New Roman"/>
          <w:b/>
          <w:bCs/>
          <w:caps/>
        </w:rPr>
        <w:instrText xml:space="preserve"> HYPERLINK \l _Toc12996 </w:instrText>
      </w:r>
      <w:r>
        <w:rPr>
          <w:rFonts w:hint="eastAsia" w:ascii="宋体" w:hAnsi="宋体" w:eastAsia="宋体" w:cs="Times New Roman"/>
          <w:b/>
          <w:bCs/>
          <w:caps/>
        </w:rPr>
        <w:fldChar w:fldCharType="separate"/>
      </w:r>
      <w:r>
        <w:rPr>
          <w:rFonts w:hint="eastAsia" w:ascii="黑体" w:hAnsi="黑体" w:eastAsia="黑体" w:cs="黑体"/>
          <w:b/>
          <w:bCs/>
          <w:caps/>
        </w:rPr>
        <w:t>第六章  投标技术档一般要求</w:t>
      </w:r>
      <w:r>
        <w:tab/>
      </w:r>
      <w:r>
        <w:rPr>
          <w:rFonts w:hint="eastAsia" w:ascii="宋体" w:hAnsi="宋体" w:eastAsia="宋体" w:cs="Times New Roman"/>
          <w:b/>
          <w:bCs/>
          <w:caps/>
        </w:rPr>
        <w:fldChar w:fldCharType="end"/>
      </w:r>
      <w:r>
        <w:rPr>
          <w:rFonts w:hint="eastAsia" w:ascii="Times New Roman" w:hAnsi="Times New Roman" w:eastAsia="宋体" w:cs="Times New Roman"/>
          <w:b/>
          <w:bCs/>
          <w:caps/>
          <w:lang w:val="en-US" w:eastAsia="zh-CN"/>
        </w:rPr>
        <w:t>21</w:t>
      </w:r>
    </w:p>
    <w:p>
      <w:pPr>
        <w:pStyle w:val="24"/>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_Toc31849 </w:instrText>
      </w:r>
      <w:r>
        <w:rPr>
          <w:rFonts w:hint="eastAsia" w:ascii="宋体" w:hAnsi="宋体"/>
        </w:rPr>
        <w:fldChar w:fldCharType="separate"/>
      </w:r>
      <w:r>
        <w:rPr>
          <w:rFonts w:hint="eastAsia" w:ascii="黑体" w:eastAsia="黑体"/>
          <w:szCs w:val="24"/>
        </w:rPr>
        <w:t>第七章  其它要求及说明</w:t>
      </w:r>
      <w:r>
        <w:tab/>
      </w:r>
      <w:r>
        <w:fldChar w:fldCharType="begin"/>
      </w:r>
      <w:r>
        <w:instrText xml:space="preserve"> PAGEREF _Toc31849 </w:instrText>
      </w:r>
      <w:r>
        <w:fldChar w:fldCharType="separate"/>
      </w:r>
      <w:r>
        <w:t>23</w:t>
      </w:r>
      <w:r>
        <w:fldChar w:fldCharType="end"/>
      </w:r>
      <w:r>
        <w:rPr>
          <w:rFonts w:hint="eastAsia" w:ascii="宋体" w:hAnsi="宋体"/>
        </w:rPr>
        <w:fldChar w:fldCharType="end"/>
      </w:r>
    </w:p>
    <w:p>
      <w:pPr>
        <w:pageBreakBefore w:val="0"/>
        <w:kinsoku/>
        <w:wordWrap/>
        <w:overflowPunct/>
        <w:topLinePunct w:val="0"/>
        <w:autoSpaceDE/>
        <w:autoSpaceDN/>
        <w:bidi w:val="0"/>
        <w:spacing w:beforeAutospacing="0" w:afterAutospacing="0" w:line="300" w:lineRule="auto"/>
        <w:rPr>
          <w:rFonts w:hint="eastAsia" w:ascii="宋体" w:hAnsi="宋体"/>
        </w:rPr>
      </w:pPr>
      <w:r>
        <w:rPr>
          <w:rFonts w:hint="eastAsia" w:ascii="宋体" w:hAnsi="宋体"/>
        </w:rPr>
        <w:fldChar w:fldCharType="end"/>
      </w:r>
    </w:p>
    <w:p>
      <w:pPr>
        <w:pageBreakBefore w:val="0"/>
        <w:kinsoku/>
        <w:wordWrap/>
        <w:overflowPunct/>
        <w:topLinePunct w:val="0"/>
        <w:autoSpaceDE/>
        <w:autoSpaceDN/>
        <w:bidi w:val="0"/>
        <w:spacing w:beforeAutospacing="0" w:afterAutospacing="0" w:line="300" w:lineRule="auto"/>
        <w:ind w:firstLine="840" w:firstLineChars="400"/>
        <w:rPr>
          <w:rFonts w:hint="eastAsia" w:ascii="黑体" w:hAnsi="宋体" w:eastAsia="黑体"/>
        </w:rPr>
      </w:pPr>
    </w:p>
    <w:p>
      <w:pPr>
        <w:pageBreakBefore w:val="0"/>
        <w:kinsoku/>
        <w:wordWrap/>
        <w:overflowPunct/>
        <w:topLinePunct w:val="0"/>
        <w:autoSpaceDE/>
        <w:autoSpaceDN/>
        <w:bidi w:val="0"/>
        <w:spacing w:beforeAutospacing="0" w:afterAutospacing="0" w:line="300" w:lineRule="auto"/>
        <w:ind w:firstLine="840" w:firstLineChars="400"/>
        <w:rPr>
          <w:rFonts w:hint="eastAsia" w:ascii="黑体" w:hAnsi="宋体" w:eastAsia="黑体"/>
        </w:rPr>
      </w:pPr>
    </w:p>
    <w:p>
      <w:pPr>
        <w:pageBreakBefore w:val="0"/>
        <w:kinsoku/>
        <w:wordWrap/>
        <w:overflowPunct/>
        <w:topLinePunct w:val="0"/>
        <w:autoSpaceDE/>
        <w:autoSpaceDN/>
        <w:bidi w:val="0"/>
        <w:spacing w:beforeAutospacing="0" w:afterAutospacing="0" w:line="300" w:lineRule="auto"/>
        <w:ind w:firstLine="840" w:firstLineChars="400"/>
        <w:rPr>
          <w:rFonts w:ascii="黑体" w:hAnsi="宋体" w:eastAsia="黑体"/>
        </w:rPr>
        <w:sectPr>
          <w:headerReference r:id="rId10" w:type="default"/>
          <w:footerReference r:id="rId11" w:type="default"/>
          <w:pgSz w:w="11906" w:h="16838"/>
          <w:pgMar w:top="1701" w:right="1418" w:bottom="1134" w:left="1701" w:header="1021" w:footer="680" w:gutter="0"/>
          <w:pgNumType w:start="1"/>
          <w:cols w:space="720" w:num="1"/>
          <w:docGrid w:type="lines" w:linePitch="312" w:charSpace="0"/>
        </w:sectPr>
      </w:pPr>
    </w:p>
    <w:p>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b w:val="0"/>
          <w:sz w:val="24"/>
          <w:szCs w:val="24"/>
        </w:rPr>
      </w:pPr>
      <w:bookmarkStart w:id="33" w:name="_Toc1271"/>
      <w:bookmarkStart w:id="34" w:name="_Toc28854"/>
      <w:bookmarkStart w:id="35" w:name="_Toc2894"/>
      <w:bookmarkStart w:id="36" w:name="_Toc2567"/>
      <w:r>
        <w:rPr>
          <w:rFonts w:hint="eastAsia" w:ascii="黑体" w:eastAsia="黑体"/>
          <w:b w:val="0"/>
          <w:sz w:val="24"/>
          <w:szCs w:val="24"/>
        </w:rPr>
        <w:t>第一章  采购货物概况</w:t>
      </w:r>
      <w:bookmarkEnd w:id="33"/>
      <w:bookmarkEnd w:id="34"/>
      <w:bookmarkEnd w:id="35"/>
      <w:bookmarkEnd w:id="36"/>
    </w:p>
    <w:p>
      <w:pPr>
        <w:pageBreakBefore w:val="0"/>
        <w:kinsoku/>
        <w:wordWrap/>
        <w:overflowPunct/>
        <w:topLinePunct w:val="0"/>
        <w:autoSpaceDE/>
        <w:autoSpaceDN/>
        <w:bidi w:val="0"/>
        <w:spacing w:beforeAutospacing="0" w:afterAutospacing="0" w:line="300" w:lineRule="auto"/>
        <w:rPr>
          <w:rFonts w:hint="eastAsia" w:ascii="黑体" w:hAnsi="宋体" w:eastAsia="黑体"/>
        </w:rPr>
      </w:pPr>
    </w:p>
    <w:p>
      <w:pPr>
        <w:pStyle w:val="3"/>
        <w:pageBreakBefore w:val="0"/>
        <w:kinsoku/>
        <w:wordWrap/>
        <w:overflowPunct/>
        <w:topLinePunct w:val="0"/>
        <w:autoSpaceDE/>
        <w:autoSpaceDN/>
        <w:bidi w:val="0"/>
        <w:spacing w:before="0" w:beforeAutospacing="0" w:after="0" w:afterAutospacing="0" w:line="300" w:lineRule="auto"/>
        <w:jc w:val="center"/>
        <w:rPr>
          <w:rFonts w:hint="eastAsia"/>
          <w:b w:val="0"/>
          <w:sz w:val="24"/>
          <w:szCs w:val="24"/>
        </w:rPr>
      </w:pPr>
      <w:bookmarkStart w:id="37" w:name="_Toc13953"/>
      <w:bookmarkStart w:id="38" w:name="_Toc13530"/>
      <w:bookmarkStart w:id="39" w:name="_Toc137705866"/>
      <w:bookmarkStart w:id="40" w:name="_Toc24900"/>
      <w:bookmarkStart w:id="41" w:name="_Toc9247"/>
      <w:r>
        <w:rPr>
          <w:rFonts w:hint="eastAsia"/>
          <w:b w:val="0"/>
          <w:sz w:val="24"/>
          <w:szCs w:val="24"/>
        </w:rPr>
        <w:t>第一节  使用环境</w:t>
      </w:r>
      <w:bookmarkEnd w:id="37"/>
      <w:bookmarkEnd w:id="38"/>
      <w:bookmarkEnd w:id="39"/>
      <w:bookmarkEnd w:id="40"/>
      <w:bookmarkEnd w:id="41"/>
    </w:p>
    <w:p>
      <w:pPr>
        <w:pageBreakBefore w:val="0"/>
        <w:shd w:val="clear" w:color="auto" w:fill="auto"/>
        <w:kinsoku/>
        <w:wordWrap/>
        <w:overflowPunct/>
        <w:topLinePunct w:val="0"/>
        <w:autoSpaceDE/>
        <w:autoSpaceDN/>
        <w:bidi w:val="0"/>
        <w:spacing w:beforeAutospacing="0" w:afterAutospacing="0" w:line="300" w:lineRule="auto"/>
        <w:ind w:firstLine="420" w:firstLineChars="200"/>
        <w:rPr>
          <w:rFonts w:hint="default" w:ascii="黑体" w:hAnsi="宋体" w:eastAsia="黑体"/>
          <w:u w:val="single"/>
          <w:shd w:val="pct10" w:color="auto" w:fill="FFFFFF"/>
          <w:lang w:val="en-US" w:eastAsia="zh-CN"/>
        </w:rPr>
      </w:pPr>
      <w:r>
        <w:rPr>
          <w:rFonts w:hint="eastAsia" w:ascii="黑体" w:hAnsi="宋体" w:eastAsia="黑体"/>
        </w:rPr>
        <w:t>一、项目名称：</w:t>
      </w:r>
      <w:r>
        <w:rPr>
          <w:rFonts w:hint="eastAsia" w:ascii="宋体" w:hAnsi="宋体" w:eastAsia="宋体" w:cs="宋体"/>
          <w:sz w:val="24"/>
          <w:szCs w:val="22"/>
          <w:u w:val="single"/>
          <w:lang w:val="en-US" w:eastAsia="zh-CN"/>
        </w:rPr>
        <w:t xml:space="preserve">  缸盖装配线兼容性改造项目          </w:t>
      </w:r>
    </w:p>
    <w:p>
      <w:pPr>
        <w:pageBreakBefore w:val="0"/>
        <w:shd w:val="clear" w:color="auto" w:fill="auto"/>
        <w:kinsoku/>
        <w:wordWrap/>
        <w:overflowPunct/>
        <w:topLinePunct w:val="0"/>
        <w:autoSpaceDE/>
        <w:autoSpaceDN/>
        <w:bidi w:val="0"/>
        <w:spacing w:beforeAutospacing="0" w:afterAutospacing="0" w:line="300" w:lineRule="auto"/>
        <w:ind w:firstLine="420" w:firstLineChars="200"/>
        <w:rPr>
          <w:rFonts w:hint="eastAsia" w:ascii="宋体" w:hAnsi="宋体" w:eastAsia="宋体" w:cs="宋体"/>
          <w:sz w:val="24"/>
          <w:szCs w:val="22"/>
          <w:u w:val="single"/>
          <w:lang w:val="en-US" w:eastAsia="zh-CN"/>
        </w:rPr>
      </w:pPr>
      <w:r>
        <w:rPr>
          <w:rFonts w:hint="eastAsia" w:ascii="黑体" w:hAnsi="宋体" w:eastAsia="黑体"/>
        </w:rPr>
        <w:t>二、建设地点：</w:t>
      </w:r>
      <w:r>
        <w:rPr>
          <w:rFonts w:hint="eastAsia" w:ascii="宋体" w:hAnsi="宋体" w:eastAsia="宋体" w:cs="宋体"/>
          <w:sz w:val="24"/>
          <w:szCs w:val="22"/>
          <w:u w:val="single"/>
          <w:lang w:val="en-US" w:eastAsia="zh-CN"/>
        </w:rPr>
        <w:t xml:space="preserve">  章丘市圣井镇重汽工业园            </w:t>
      </w:r>
    </w:p>
    <w:p>
      <w:pPr>
        <w:pageBreakBefore w:val="0"/>
        <w:shd w:val="clear" w:color="auto" w:fill="auto"/>
        <w:kinsoku/>
        <w:wordWrap/>
        <w:overflowPunct/>
        <w:topLinePunct w:val="0"/>
        <w:autoSpaceDE/>
        <w:autoSpaceDN/>
        <w:bidi w:val="0"/>
        <w:spacing w:beforeAutospacing="0" w:afterAutospacing="0" w:line="300" w:lineRule="auto"/>
        <w:ind w:firstLine="420" w:firstLineChars="200"/>
        <w:rPr>
          <w:rFonts w:hint="eastAsia" w:ascii="宋体" w:hAnsi="宋体" w:eastAsia="宋体" w:cs="宋体"/>
          <w:sz w:val="24"/>
          <w:szCs w:val="22"/>
          <w:u w:val="single"/>
          <w:lang w:val="en-US" w:eastAsia="zh-CN"/>
        </w:rPr>
      </w:pPr>
      <w:r>
        <w:rPr>
          <w:rFonts w:hint="eastAsia" w:ascii="黑体" w:hAnsi="宋体" w:eastAsia="黑体"/>
        </w:rPr>
        <w:t>三、使用地点：</w:t>
      </w:r>
      <w:r>
        <w:rPr>
          <w:rFonts w:hint="eastAsia" w:ascii="宋体" w:hAnsi="宋体" w:eastAsia="宋体" w:cs="宋体"/>
          <w:sz w:val="24"/>
          <w:szCs w:val="22"/>
          <w:u w:val="single"/>
          <w:lang w:val="en-US" w:eastAsia="zh-CN"/>
        </w:rPr>
        <w:t xml:space="preserve">  中国重汽集团济南发动机厂          </w:t>
      </w:r>
    </w:p>
    <w:p>
      <w:pPr>
        <w:pageBreakBefore w:val="0"/>
        <w:shd w:val="clear" w:color="auto" w:fill="auto"/>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四、工作制度：</w:t>
      </w:r>
      <w:r>
        <w:rPr>
          <w:rFonts w:hint="eastAsia" w:ascii="宋体" w:hAnsi="宋体"/>
        </w:rPr>
        <w:t>全年工作250天、</w:t>
      </w:r>
      <w:r>
        <w:rPr>
          <w:rFonts w:hint="eastAsia" w:ascii="宋体" w:hAnsi="宋体" w:eastAsia="宋体" w:cs="宋体"/>
          <w:sz w:val="24"/>
          <w:szCs w:val="22"/>
          <w:u w:val="single"/>
          <w:lang w:val="en-US" w:eastAsia="zh-CN"/>
        </w:rPr>
        <w:t xml:space="preserve"> 2 </w:t>
      </w:r>
      <w:r>
        <w:rPr>
          <w:rFonts w:hint="eastAsia" w:ascii="宋体" w:hAnsi="宋体"/>
        </w:rPr>
        <w:t>班制、设备年时基数</w:t>
      </w:r>
      <w:r>
        <w:rPr>
          <w:rFonts w:hint="eastAsia" w:ascii="宋体" w:hAnsi="宋体" w:eastAsia="宋体" w:cs="宋体"/>
          <w:sz w:val="24"/>
          <w:szCs w:val="22"/>
          <w:u w:val="single"/>
          <w:lang w:val="en-US" w:eastAsia="zh-CN"/>
        </w:rPr>
        <w:t xml:space="preserve"> 5000     </w:t>
      </w:r>
      <w:r>
        <w:rPr>
          <w:rFonts w:hint="eastAsia" w:ascii="宋体" w:hAnsi="宋体"/>
        </w:rPr>
        <w:t>小时</w:t>
      </w:r>
    </w:p>
    <w:p>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五、使用地点区域自然环境：</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bCs/>
        </w:rPr>
        <w:t>1、海拨高度：1000</w:t>
      </w:r>
      <w:r>
        <w:rPr>
          <w:rFonts w:ascii="宋体" w:hAnsi="宋体"/>
          <w:bCs/>
        </w:rPr>
        <w:t>m</w:t>
      </w:r>
      <w:r>
        <w:rPr>
          <w:rFonts w:hint="eastAsia" w:ascii="宋体" w:hAnsi="宋体"/>
          <w:bCs/>
        </w:rPr>
        <w:t>以下</w:t>
      </w:r>
    </w:p>
    <w:p>
      <w:pPr>
        <w:pageBreakBefore w:val="0"/>
        <w:kinsoku/>
        <w:wordWrap/>
        <w:overflowPunct/>
        <w:topLinePunct w:val="0"/>
        <w:autoSpaceDE/>
        <w:autoSpaceDN/>
        <w:bidi w:val="0"/>
        <w:spacing w:beforeAutospacing="0" w:afterAutospacing="0" w:line="300" w:lineRule="auto"/>
        <w:ind w:left="2047" w:leftChars="200" w:hanging="1627" w:hangingChars="775"/>
        <w:rPr>
          <w:rFonts w:hint="eastAsia" w:ascii="宋体" w:hAnsi="宋体"/>
        </w:rPr>
      </w:pPr>
      <w:r>
        <w:rPr>
          <w:rFonts w:hint="eastAsia" w:ascii="宋体" w:hAnsi="宋体"/>
        </w:rPr>
        <w:t>2、环境温度：室外极端最低温度-19.7℃、极端最高温度42℃，昼夜最大温</w:t>
      </w:r>
      <w:r>
        <w:rPr>
          <w:rFonts w:hint="eastAsia" w:ascii="宋体" w:hAnsi="宋体"/>
          <w:bCs/>
        </w:rPr>
        <w:t>差25℃；室内温度5～40℃。</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3、相对湿度：年平均59%，</w:t>
      </w:r>
      <w:r>
        <w:rPr>
          <w:rFonts w:hint="eastAsia" w:ascii="宋体" w:hAnsi="宋体"/>
          <w:bCs/>
        </w:rPr>
        <w:t>最大95%、最小15%。</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4、降雨量：日最大降雨量300mm、时最大降雨量100mm。</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5、最大风速：33.3m/s。</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6、最大积雪厚度：200mm。</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7、最大冻土深度：450mm。</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8、地震设防裂度：七度。</w:t>
      </w:r>
    </w:p>
    <w:p>
      <w:pPr>
        <w:pageBreakBefore w:val="0"/>
        <w:kinsoku/>
        <w:wordWrap/>
        <w:overflowPunct/>
        <w:topLinePunct w:val="0"/>
        <w:autoSpaceDE/>
        <w:autoSpaceDN/>
        <w:bidi w:val="0"/>
        <w:spacing w:beforeAutospacing="0" w:afterAutospacing="0" w:line="300" w:lineRule="auto"/>
        <w:ind w:firstLine="420" w:firstLineChars="200"/>
        <w:rPr>
          <w:rFonts w:hint="default" w:ascii="宋体" w:hAnsi="宋体" w:eastAsia="宋体" w:cs="Times New Roman"/>
          <w:lang w:val="en-US" w:eastAsia="zh-CN"/>
        </w:rPr>
      </w:pPr>
      <w:r>
        <w:rPr>
          <w:rFonts w:hint="eastAsia" w:ascii="宋体" w:hAnsi="宋体" w:eastAsia="宋体" w:cs="Times New Roman"/>
          <w:lang w:val="en-US" w:eastAsia="zh-CN"/>
        </w:rPr>
        <w:t>9、混凝土基础：C35混凝土，地面厚度300mm，承重是3T/㎡</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六、能源环境：</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5</w:t>
      </w:r>
      <w:r>
        <w:rPr>
          <w:rFonts w:ascii="宋体" w:hAnsi="宋体"/>
        </w:rPr>
        <w:t>%</w:t>
      </w:r>
      <w:r>
        <w:rPr>
          <w:rFonts w:hint="eastAsia" w:ascii="宋体" w:hAnsi="宋体"/>
        </w:rPr>
        <w:t>/220V±</w:t>
      </w:r>
      <w:r>
        <w:rPr>
          <w:rFonts w:ascii="宋体" w:hAnsi="宋体"/>
        </w:rPr>
        <w:t>1</w:t>
      </w:r>
      <w:r>
        <w:rPr>
          <w:rFonts w:hint="eastAsia" w:ascii="宋体" w:hAnsi="宋体"/>
        </w:rPr>
        <w:t>5</w:t>
      </w:r>
      <w:r>
        <w:rPr>
          <w:rFonts w:ascii="宋体" w:hAnsi="宋体"/>
        </w:rPr>
        <w:t>%</w:t>
      </w:r>
      <w:r>
        <w:rPr>
          <w:rFonts w:hint="eastAsia" w:ascii="宋体" w:hAnsi="宋体"/>
        </w:rPr>
        <w:t>，供电频率</w:t>
      </w:r>
      <w:r>
        <w:rPr>
          <w:rFonts w:ascii="宋体" w:hAnsi="宋体"/>
        </w:rPr>
        <w:t>50Hz</w:t>
      </w:r>
      <w:r>
        <w:rPr>
          <w:rFonts w:hint="eastAsia" w:ascii="宋体" w:hAnsi="宋体"/>
        </w:rPr>
        <w:t>±</w:t>
      </w:r>
      <w:r>
        <w:rPr>
          <w:rFonts w:ascii="宋体" w:hAnsi="宋体"/>
        </w:rPr>
        <w:t>2%</w:t>
      </w:r>
      <w:r>
        <w:rPr>
          <w:rFonts w:hint="eastAsia" w:ascii="宋体" w:hAnsi="宋体"/>
        </w:rPr>
        <w:t>。</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2、压缩空气：自备空压机自产压缩空气，</w:t>
      </w:r>
      <w:r>
        <w:rPr>
          <w:rFonts w:ascii="宋体" w:hAnsi="宋体"/>
        </w:rPr>
        <w:t>0.</w:t>
      </w:r>
      <w:r>
        <w:rPr>
          <w:rFonts w:hint="eastAsia" w:ascii="宋体" w:hAnsi="宋体"/>
        </w:rPr>
        <w:t>4～0.6</w:t>
      </w:r>
      <w:r>
        <w:rPr>
          <w:rFonts w:ascii="宋体" w:hAnsi="宋体"/>
        </w:rPr>
        <w:t>M</w:t>
      </w:r>
      <w:r>
        <w:rPr>
          <w:rFonts w:hint="eastAsia" w:ascii="宋体" w:hAnsi="宋体"/>
        </w:rPr>
        <w:t>P</w:t>
      </w:r>
      <w:r>
        <w:rPr>
          <w:rFonts w:ascii="宋体" w:hAnsi="宋体"/>
        </w:rPr>
        <w:t>a</w:t>
      </w:r>
      <w:r>
        <w:rPr>
          <w:rFonts w:hint="eastAsia" w:ascii="宋体" w:hAnsi="宋体"/>
        </w:rPr>
        <w:t>。</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kinsoku/>
        <w:wordWrap/>
        <w:overflowPunct/>
        <w:topLinePunct w:val="0"/>
        <w:autoSpaceDE/>
        <w:autoSpaceDN/>
        <w:bidi w:val="0"/>
        <w:spacing w:beforeAutospacing="0" w:afterAutospacing="0" w:line="300" w:lineRule="auto"/>
        <w:rPr>
          <w:rFonts w:hint="eastAsia" w:ascii="宋体" w:hAnsi="宋体"/>
        </w:rPr>
      </w:pPr>
    </w:p>
    <w:p>
      <w:pPr>
        <w:pStyle w:val="3"/>
        <w:pageBreakBefore w:val="0"/>
        <w:kinsoku/>
        <w:wordWrap/>
        <w:overflowPunct/>
        <w:topLinePunct w:val="0"/>
        <w:autoSpaceDE/>
        <w:autoSpaceDN/>
        <w:bidi w:val="0"/>
        <w:spacing w:before="0" w:beforeAutospacing="0" w:after="0" w:afterAutospacing="0" w:line="300" w:lineRule="auto"/>
        <w:jc w:val="center"/>
        <w:rPr>
          <w:rFonts w:hint="eastAsia"/>
          <w:b w:val="0"/>
          <w:sz w:val="24"/>
          <w:szCs w:val="24"/>
        </w:rPr>
      </w:pPr>
      <w:bookmarkStart w:id="42" w:name="_Toc137705867"/>
      <w:bookmarkStart w:id="43" w:name="_Toc13018"/>
      <w:bookmarkStart w:id="44" w:name="_Toc27088"/>
      <w:bookmarkStart w:id="45" w:name="_Toc9838"/>
      <w:bookmarkStart w:id="46" w:name="_Toc19068"/>
      <w:r>
        <w:rPr>
          <w:rFonts w:hint="eastAsia"/>
          <w:b w:val="0"/>
          <w:sz w:val="24"/>
          <w:szCs w:val="24"/>
        </w:rPr>
        <w:t>第二节  采购货物概况</w:t>
      </w:r>
      <w:bookmarkEnd w:id="42"/>
      <w:bookmarkEnd w:id="43"/>
      <w:bookmarkEnd w:id="44"/>
      <w:bookmarkEnd w:id="45"/>
      <w:bookmarkEnd w:id="46"/>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一、设备名称：</w:t>
      </w:r>
      <w:r>
        <w:rPr>
          <w:rFonts w:hint="eastAsia" w:ascii="黑体" w:hAnsi="宋体" w:eastAsia="黑体"/>
          <w:u w:val="single"/>
        </w:rPr>
        <w:t xml:space="preserve">  </w:t>
      </w:r>
      <w:r>
        <w:rPr>
          <w:rFonts w:hint="eastAsia" w:ascii="宋体" w:hAnsi="宋体" w:eastAsia="宋体" w:cs="宋体"/>
          <w:sz w:val="24"/>
          <w:szCs w:val="22"/>
          <w:u w:val="single"/>
          <w:lang w:val="en-US" w:eastAsia="zh-CN"/>
        </w:rPr>
        <w:t xml:space="preserve">缸盖装配线兼容性改造项目 </w:t>
      </w:r>
      <w:r>
        <w:rPr>
          <w:rFonts w:hint="eastAsia"/>
          <w:u w:val="single"/>
        </w:rPr>
        <w:t xml:space="preserve">  </w:t>
      </w:r>
      <w:r>
        <w:rPr>
          <w:rFonts w:hint="eastAsia" w:ascii="宋体" w:hAnsi="宋体"/>
        </w:rPr>
        <w:t>（详见下表）</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二、设备数量：</w:t>
      </w:r>
      <w:r>
        <w:rPr>
          <w:rFonts w:hint="eastAsia"/>
          <w:u w:val="single"/>
        </w:rPr>
        <w:t xml:space="preserve">  </w:t>
      </w:r>
      <w:r>
        <w:rPr>
          <w:rFonts w:hint="eastAsia"/>
          <w:u w:val="single"/>
          <w:lang w:val="en-US" w:eastAsia="zh-CN"/>
        </w:rPr>
        <w:t>1</w:t>
      </w:r>
      <w:r>
        <w:rPr>
          <w:rFonts w:hint="eastAsia"/>
          <w:u w:val="single"/>
        </w:rPr>
        <w:t xml:space="preserve">套     </w:t>
      </w:r>
      <w:r>
        <w:rPr>
          <w:rFonts w:hint="eastAsia"/>
          <w:u w:val="single"/>
          <w:lang w:val="en-US" w:eastAsia="zh-CN"/>
        </w:rPr>
        <w:t xml:space="preserve"> </w:t>
      </w:r>
      <w:r>
        <w:rPr>
          <w:rFonts w:hint="eastAsia"/>
          <w:u w:val="single"/>
        </w:rPr>
        <w:t xml:space="preserve">                </w:t>
      </w:r>
      <w:r>
        <w:rPr>
          <w:rFonts w:hint="eastAsia" w:ascii="宋体" w:hAnsi="宋体"/>
        </w:rPr>
        <w:t>（详见下表）</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三、分投分中：不</w:t>
      </w:r>
      <w:r>
        <w:rPr>
          <w:rFonts w:hint="eastAsia" w:ascii="宋体" w:hAnsi="宋体"/>
        </w:rPr>
        <w:t>允许。</w:t>
      </w:r>
    </w:p>
    <w:p>
      <w:pPr>
        <w:pageBreakBefore w:val="0"/>
        <w:widowControl/>
        <w:kinsoku/>
        <w:wordWrap/>
        <w:overflowPunct/>
        <w:topLinePunct w:val="0"/>
        <w:autoSpaceDE/>
        <w:autoSpaceDN/>
        <w:bidi w:val="0"/>
        <w:spacing w:beforeAutospacing="0" w:afterAutospacing="0" w:line="300" w:lineRule="auto"/>
        <w:jc w:val="center"/>
        <w:rPr>
          <w:rFonts w:hint="eastAsia" w:ascii="宋体" w:hAnsi="宋体"/>
        </w:rPr>
      </w:pPr>
    </w:p>
    <w:p>
      <w:pPr>
        <w:pageBreakBefore w:val="0"/>
        <w:widowControl/>
        <w:kinsoku/>
        <w:wordWrap/>
        <w:overflowPunct/>
        <w:topLinePunct w:val="0"/>
        <w:autoSpaceDE/>
        <w:autoSpaceDN/>
        <w:bidi w:val="0"/>
        <w:spacing w:beforeAutospacing="0" w:afterAutospacing="0" w:line="300" w:lineRule="auto"/>
        <w:jc w:val="center"/>
        <w:rPr>
          <w:rFonts w:ascii="宋体" w:hAnsi="宋体"/>
        </w:rPr>
      </w:pPr>
      <w:r>
        <w:rPr>
          <w:rFonts w:hint="eastAsia" w:ascii="宋体" w:hAnsi="宋体"/>
        </w:rPr>
        <w:t>采购货物主要构成一览表</w:t>
      </w:r>
    </w:p>
    <w:tbl>
      <w:tblPr>
        <w:tblStyle w:val="36"/>
        <w:tblW w:w="7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061"/>
        <w:gridCol w:w="868"/>
        <w:gridCol w:w="1050"/>
        <w:gridCol w:w="1771"/>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5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设备名称</w:t>
            </w:r>
          </w:p>
        </w:tc>
        <w:tc>
          <w:tcPr>
            <w:tcW w:w="868"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77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安装地点/服务对象</w:t>
            </w:r>
          </w:p>
        </w:tc>
        <w:tc>
          <w:tcPr>
            <w:tcW w:w="108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供货方式</w:t>
            </w:r>
          </w:p>
        </w:tc>
        <w:tc>
          <w:tcPr>
            <w:tcW w:w="108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5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缸盖装配线兼容性改造项目</w:t>
            </w:r>
          </w:p>
        </w:tc>
        <w:tc>
          <w:tcPr>
            <w:tcW w:w="868"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7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济南发动机厂</w:t>
            </w:r>
          </w:p>
        </w:tc>
        <w:tc>
          <w:tcPr>
            <w:tcW w:w="108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交钥匙</w:t>
            </w:r>
          </w:p>
        </w:tc>
        <w:tc>
          <w:tcPr>
            <w:tcW w:w="108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bl>
    <w:p>
      <w:pPr>
        <w:pageBreakBefore w:val="0"/>
        <w:kinsoku/>
        <w:wordWrap/>
        <w:overflowPunct/>
        <w:topLinePunct w:val="0"/>
        <w:autoSpaceDE/>
        <w:autoSpaceDN/>
        <w:bidi w:val="0"/>
        <w:spacing w:beforeAutospacing="0" w:afterAutospacing="0" w:line="300" w:lineRule="auto"/>
        <w:ind w:firstLine="420" w:firstLineChars="200"/>
        <w:rPr>
          <w:sz w:val="21"/>
          <w:szCs w:val="21"/>
        </w:rPr>
      </w:pPr>
      <w:r>
        <w:rPr>
          <w:sz w:val="21"/>
          <w:szCs w:val="21"/>
        </w:rPr>
        <w:t>备注：</w:t>
      </w:r>
      <w:bookmarkStart w:id="47" w:name="_Toc137705868"/>
    </w:p>
    <w:p>
      <w:pPr>
        <w:pageBreakBefore w:val="0"/>
        <w:kinsoku/>
        <w:wordWrap/>
        <w:overflowPunct/>
        <w:topLinePunct w:val="0"/>
        <w:autoSpaceDE/>
        <w:autoSpaceDN/>
        <w:bidi w:val="0"/>
        <w:spacing w:beforeAutospacing="0" w:afterAutospacing="0" w:line="300" w:lineRule="auto"/>
        <w:ind w:firstLine="420" w:firstLineChars="200"/>
        <w:rPr>
          <w:sz w:val="21"/>
          <w:szCs w:val="21"/>
        </w:rPr>
      </w:pPr>
      <w:r>
        <w:rPr>
          <w:sz w:val="21"/>
          <w:szCs w:val="21"/>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pPr>
        <w:pageBreakBefore w:val="0"/>
        <w:kinsoku/>
        <w:wordWrap/>
        <w:overflowPunct/>
        <w:topLinePunct w:val="0"/>
        <w:autoSpaceDE/>
        <w:autoSpaceDN/>
        <w:bidi w:val="0"/>
        <w:spacing w:beforeAutospacing="0" w:afterAutospacing="0" w:line="300" w:lineRule="auto"/>
        <w:ind w:firstLine="420" w:firstLineChars="200"/>
        <w:rPr>
          <w:sz w:val="21"/>
          <w:szCs w:val="21"/>
        </w:rPr>
      </w:pPr>
      <w:r>
        <w:rPr>
          <w:sz w:val="21"/>
          <w:szCs w:val="21"/>
        </w:rPr>
        <w:t>②本表“供货方式”指：交钥匙方式——包括设计、制造、运输、安装、调试和验收直到交付使用以及培训等。</w:t>
      </w:r>
    </w:p>
    <w:p>
      <w:pPr>
        <w:pageBreakBefore w:val="0"/>
        <w:kinsoku/>
        <w:wordWrap/>
        <w:overflowPunct/>
        <w:topLinePunct w:val="0"/>
        <w:autoSpaceDE/>
        <w:autoSpaceDN/>
        <w:bidi w:val="0"/>
        <w:spacing w:beforeAutospacing="0" w:afterAutospacing="0" w:line="300" w:lineRule="auto"/>
        <w:rPr>
          <w:rFonts w:hint="eastAsia"/>
          <w:sz w:val="21"/>
          <w:szCs w:val="21"/>
        </w:rPr>
      </w:pPr>
    </w:p>
    <w:p>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sz w:val="24"/>
          <w:szCs w:val="24"/>
        </w:rPr>
      </w:pPr>
      <w:bookmarkStart w:id="48" w:name="_Toc32262"/>
      <w:bookmarkStart w:id="49" w:name="_Toc17328"/>
      <w:r>
        <w:rPr>
          <w:rFonts w:hint="eastAsia" w:ascii="黑体" w:eastAsia="黑体"/>
          <w:sz w:val="24"/>
          <w:szCs w:val="24"/>
        </w:rPr>
        <w:br w:type="page"/>
      </w:r>
      <w:r>
        <w:rPr>
          <w:rFonts w:hint="eastAsia" w:ascii="黑体" w:eastAsia="黑体"/>
          <w:sz w:val="24"/>
          <w:szCs w:val="24"/>
        </w:rPr>
        <w:t>第二章  技术要求</w:t>
      </w:r>
      <w:bookmarkEnd w:id="47"/>
      <w:bookmarkEnd w:id="48"/>
      <w:bookmarkEnd w:id="49"/>
    </w:p>
    <w:p>
      <w:pPr>
        <w:pageBreakBefore w:val="0"/>
        <w:kinsoku/>
        <w:wordWrap/>
        <w:overflowPunct/>
        <w:topLinePunct w:val="0"/>
        <w:autoSpaceDE/>
        <w:autoSpaceDN/>
        <w:bidi w:val="0"/>
        <w:spacing w:beforeAutospacing="0" w:afterAutospacing="0" w:line="300" w:lineRule="auto"/>
        <w:rPr>
          <w:rFonts w:hint="eastAsia" w:ascii="黑体" w:hAnsi="宋体" w:eastAsia="黑体" w:cs="Times New Roman"/>
          <w:b/>
          <w:bCs/>
          <w:sz w:val="28"/>
          <w:szCs w:val="28"/>
        </w:rPr>
      </w:pPr>
      <w:r>
        <w:rPr>
          <w:rFonts w:hint="eastAsia" w:ascii="黑体" w:hAnsi="宋体" w:eastAsia="黑体" w:cs="Times New Roman"/>
          <w:b/>
          <w:bCs/>
          <w:sz w:val="28"/>
          <w:szCs w:val="28"/>
        </w:rPr>
        <w:t>一、特别提示</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1.本章技术要求，仅对功能、设计、结构、性能、安装和试验检验等方面，提出了最低和一般性的技术要求，并未对一切技术细节作出规定。</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2.本技术要求所使用的标准、规范等，如与投标人所执行的标准、规范不一致时，应按高于本技术要求所列的标准、规范执行。</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3.投标人认为所供货物必需由招标人配备、解决或提供的其它要求，如设备基础隔振和减振设施、软化水、洁净气源等，均应在投标文件“技术偏离”中予以充分说明。</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4.投标人应根据招投标货物具体要求，提出对厂房、设备基础（或安装平台）、公用设施、消防、环保等超出招标文件、投标文件、答疑文件、技术交流文件、技术协议书和合同等规定的、有特殊需要的解释、说明和要求。</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5.无论是否有技术偏离，投标人均应在投标文件“技术偏离”中明确作出有无说明。若有异议，不管是多么微小，投标人必须予以明确和详细的说明或澄清。</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6.为避免投标人优势在招标评审时漏项，质保期超出本技术标书要求的，应当在投标文件“技术偏离”中特别注明。</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7.投标文件中，针对“特别提示”条款所做的回应，将作为投标人能否中标的重要依据之一。</w:t>
      </w:r>
    </w:p>
    <w:p>
      <w:pPr>
        <w:pageBreakBefore w:val="0"/>
        <w:kinsoku/>
        <w:wordWrap/>
        <w:overflowPunct/>
        <w:topLinePunct w:val="0"/>
        <w:autoSpaceDE/>
        <w:autoSpaceDN/>
        <w:bidi w:val="0"/>
        <w:spacing w:beforeAutospacing="0" w:afterAutospacing="0" w:line="300" w:lineRule="auto"/>
        <w:rPr>
          <w:rFonts w:hint="eastAsia" w:ascii="黑体" w:hAnsi="宋体" w:eastAsia="黑体"/>
          <w:b/>
          <w:bCs/>
          <w:sz w:val="28"/>
          <w:szCs w:val="28"/>
        </w:rPr>
      </w:pPr>
      <w:r>
        <w:rPr>
          <w:rFonts w:hint="eastAsia" w:ascii="黑体" w:hAnsi="宋体" w:eastAsia="黑体"/>
          <w:b/>
          <w:bCs/>
          <w:sz w:val="28"/>
          <w:szCs w:val="28"/>
          <w:lang w:val="en-US" w:eastAsia="zh-CN"/>
        </w:rPr>
        <w:t>二</w:t>
      </w:r>
      <w:r>
        <w:rPr>
          <w:rFonts w:hint="eastAsia" w:ascii="黑体" w:hAnsi="宋体" w:eastAsia="黑体"/>
          <w:b/>
          <w:bCs/>
          <w:sz w:val="28"/>
          <w:szCs w:val="28"/>
        </w:rPr>
        <w:t>、基本要求</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1.投标方负责本项目相关的备配件</w:t>
      </w:r>
      <w:r>
        <w:rPr>
          <w:rFonts w:hint="eastAsia" w:ascii="宋体" w:hAnsi="宋体" w:eastAsia="宋体" w:cs="宋体"/>
          <w:color w:val="auto"/>
          <w:sz w:val="24"/>
          <w:lang w:val="en-US" w:eastAsia="zh-CN"/>
        </w:rPr>
        <w:t>等的</w:t>
      </w:r>
      <w:r>
        <w:rPr>
          <w:rFonts w:hint="eastAsia" w:ascii="宋体" w:hAnsi="宋体" w:eastAsia="宋体" w:cs="宋体"/>
          <w:color w:val="auto"/>
          <w:sz w:val="24"/>
        </w:rPr>
        <w:t>运输、卸车，现场调试时的电</w:t>
      </w:r>
      <w:r>
        <w:rPr>
          <w:rFonts w:hint="eastAsia" w:ascii="宋体" w:hAnsi="宋体" w:eastAsia="宋体" w:cs="宋体"/>
          <w:color w:val="auto"/>
          <w:sz w:val="24"/>
          <w:lang w:eastAsia="zh-CN"/>
        </w:rPr>
        <w:t>、</w:t>
      </w:r>
      <w:r>
        <w:rPr>
          <w:rFonts w:hint="eastAsia" w:ascii="宋体" w:hAnsi="宋体" w:eastAsia="宋体" w:cs="宋体"/>
          <w:color w:val="auto"/>
          <w:sz w:val="24"/>
        </w:rPr>
        <w:t>气</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设备</w:t>
      </w:r>
      <w:r>
        <w:rPr>
          <w:rFonts w:hint="eastAsia" w:ascii="宋体" w:hAnsi="宋体" w:eastAsia="宋体" w:cs="宋体"/>
          <w:color w:val="auto"/>
          <w:sz w:val="24"/>
        </w:rPr>
        <w:t>的连接工作，招标方只负责提供接口。</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2.投标方应自行设计设备，并负责相关备配件的运输、安装、调试等工作，不得将本项目转包给其他单位，并对该设备改造项目的质量负责。</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3.投标方应注明主要零部件的型号、参数和生产厂家。</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4.</w:t>
      </w:r>
      <w:r>
        <w:rPr>
          <w:rFonts w:hint="eastAsia" w:ascii="宋体" w:hAnsi="宋体"/>
        </w:rPr>
        <w:t>投标方所供的设备，必须符合中国最新版的法律、法规和相关标准、规范的要求，符合项目所在地政府有关特殊要求。</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5.</w:t>
      </w:r>
      <w:r>
        <w:rPr>
          <w:rFonts w:hint="eastAsia" w:ascii="宋体" w:hAnsi="宋体"/>
        </w:rPr>
        <w:t>投标方所供设备涉及的专利权技术以及知识产权保护的其它技术等，应保证招标方不因此受到任何侵权指控以及实际损失。</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6.</w:t>
      </w:r>
      <w:r>
        <w:rPr>
          <w:rFonts w:hint="eastAsia" w:ascii="宋体" w:hAnsi="宋体"/>
        </w:rPr>
        <w:t>投标方应保证所供设备的先进性、可靠性、经济性和实用性，并为全新设备。</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color w:val="auto"/>
        </w:rPr>
      </w:pPr>
      <w:r>
        <w:rPr>
          <w:rFonts w:hint="eastAsia" w:ascii="宋体" w:hAnsi="宋体"/>
          <w:lang w:val="en-US" w:eastAsia="zh-CN"/>
        </w:rPr>
        <w:t>7.</w:t>
      </w:r>
      <w:r>
        <w:rPr>
          <w:rFonts w:hint="eastAsia" w:ascii="宋体" w:hAnsi="宋体"/>
        </w:rPr>
        <w:t>投标方应满足招标方提出的各项技术要求，必要时应当免费提供技术承诺或</w:t>
      </w:r>
      <w:r>
        <w:rPr>
          <w:rFonts w:hint="eastAsia" w:ascii="宋体" w:hAnsi="宋体"/>
          <w:color w:val="auto"/>
        </w:rPr>
        <w:t>担保。</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8.投标人应保证所供货物（或设备）为中国政府指定或规定的主管部门公布的非淘汰货物（或设备），并尽力提供中国政府指定或规定的主管部门认可的环保型和节能型货物（或设备）。</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9.</w:t>
      </w:r>
      <w:r>
        <w:rPr>
          <w:rFonts w:hint="eastAsia" w:ascii="宋体" w:hAnsi="宋体"/>
        </w:rPr>
        <w:t>投标方应保证所供设备的完整性和成套性，能保证设备的正常运行、使用。</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10.</w:t>
      </w:r>
      <w:r>
        <w:rPr>
          <w:rFonts w:hint="eastAsia" w:ascii="宋体" w:hAnsi="宋体"/>
        </w:rPr>
        <w:t>投标方应对招标方采购的设备所涉及的技术、产能等信息负有保密义务，招标方拥有追究投标方泄密责任的权利；招标方如有需要，投标方应无条件签署保密协议。</w:t>
      </w:r>
    </w:p>
    <w:p>
      <w:pPr>
        <w:pageBreakBefore w:val="0"/>
        <w:kinsoku/>
        <w:wordWrap/>
        <w:overflowPunct/>
        <w:topLinePunct w:val="0"/>
        <w:autoSpaceDE/>
        <w:autoSpaceDN/>
        <w:bidi w:val="0"/>
        <w:spacing w:beforeAutospacing="0" w:afterAutospacing="0" w:line="300" w:lineRule="auto"/>
        <w:rPr>
          <w:rFonts w:hint="eastAsia" w:ascii="黑体" w:hAnsi="宋体" w:eastAsia="黑体"/>
          <w:b/>
          <w:bCs/>
          <w:sz w:val="28"/>
          <w:szCs w:val="28"/>
        </w:rPr>
      </w:pPr>
      <w:r>
        <w:rPr>
          <w:rFonts w:hint="eastAsia" w:ascii="黑体" w:hAnsi="宋体" w:eastAsia="黑体"/>
          <w:b/>
          <w:bCs/>
          <w:sz w:val="28"/>
          <w:szCs w:val="28"/>
          <w:lang w:val="en-US" w:eastAsia="zh-CN"/>
        </w:rPr>
        <w:t>三</w:t>
      </w:r>
      <w:r>
        <w:rPr>
          <w:rFonts w:hint="eastAsia" w:ascii="黑体" w:hAnsi="宋体" w:eastAsia="黑体"/>
          <w:b/>
          <w:bCs/>
          <w:sz w:val="28"/>
          <w:szCs w:val="28"/>
        </w:rPr>
        <w:t>、执行标准</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2、投标方需要执行的标准，应当以所供设备通过招标方将来组织的最终验收之日开始执行的最新标准。</w:t>
      </w:r>
    </w:p>
    <w:p>
      <w:pPr>
        <w:pageBreakBefore w:val="0"/>
        <w:kinsoku/>
        <w:wordWrap/>
        <w:overflowPunct/>
        <w:topLinePunct w:val="0"/>
        <w:autoSpaceDE/>
        <w:autoSpaceDN/>
        <w:bidi w:val="0"/>
        <w:spacing w:beforeAutospacing="0" w:afterAutospacing="0" w:line="300" w:lineRule="auto"/>
        <w:ind w:firstLine="420" w:firstLineChars="200"/>
        <w:jc w:val="both"/>
        <w:rPr>
          <w:rFonts w:hint="eastAsia" w:ascii="宋体" w:hAnsi="宋体"/>
          <w:color w:val="auto"/>
        </w:rPr>
      </w:pPr>
      <w:r>
        <w:rPr>
          <w:rFonts w:hint="eastAsia" w:ascii="宋体" w:hAnsi="宋体"/>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w:t>
      </w:r>
      <w:r>
        <w:rPr>
          <w:rFonts w:hint="eastAsia" w:ascii="宋体" w:hAnsi="宋体"/>
          <w:color w:val="auto"/>
        </w:rPr>
        <w:t>标准执行。</w:t>
      </w:r>
    </w:p>
    <w:p>
      <w:pPr>
        <w:pageBreakBefore w:val="0"/>
        <w:kinsoku/>
        <w:wordWrap/>
        <w:overflowPunct/>
        <w:topLinePunct w:val="0"/>
        <w:autoSpaceDE/>
        <w:autoSpaceDN/>
        <w:bidi w:val="0"/>
        <w:spacing w:beforeAutospacing="0" w:afterAutospacing="0" w:line="300" w:lineRule="auto"/>
        <w:ind w:firstLine="420" w:firstLineChars="200"/>
        <w:jc w:val="both"/>
        <w:rPr>
          <w:rFonts w:hint="eastAsia" w:ascii="宋体" w:hAnsi="宋体" w:eastAsia="宋体" w:cs="宋体"/>
          <w:color w:val="auto"/>
          <w:sz w:val="24"/>
        </w:rPr>
      </w:pPr>
      <w:r>
        <w:rPr>
          <w:rFonts w:hint="eastAsia" w:ascii="宋体" w:hAnsi="宋体" w:eastAsia="宋体"/>
          <w:color w:val="auto"/>
          <w:lang w:val="en-US" w:eastAsia="zh-CN"/>
        </w:rPr>
        <w:t>4、</w:t>
      </w:r>
      <w:r>
        <w:rPr>
          <w:rFonts w:hint="eastAsia" w:ascii="宋体" w:hAnsi="宋体" w:eastAsia="宋体" w:cs="宋体"/>
          <w:color w:val="auto"/>
          <w:sz w:val="24"/>
          <w:lang w:eastAsia="zh-CN"/>
        </w:rPr>
        <w:t>投标方</w:t>
      </w:r>
      <w:r>
        <w:rPr>
          <w:rFonts w:hint="eastAsia" w:ascii="宋体" w:hAnsi="宋体" w:eastAsia="宋体" w:cs="宋体"/>
          <w:color w:val="auto"/>
          <w:sz w:val="24"/>
        </w:rPr>
        <w:t>应在合同签署之前，将所涉及的企业标准提供给</w:t>
      </w:r>
      <w:r>
        <w:rPr>
          <w:rFonts w:hint="eastAsia" w:ascii="宋体" w:hAnsi="宋体" w:eastAsia="宋体" w:cs="宋体"/>
          <w:color w:val="auto"/>
          <w:sz w:val="24"/>
          <w:lang w:eastAsia="zh-CN"/>
        </w:rPr>
        <w:t>招标方</w:t>
      </w:r>
      <w:r>
        <w:rPr>
          <w:rFonts w:hint="eastAsia" w:ascii="宋体" w:hAnsi="宋体" w:eastAsia="宋体" w:cs="宋体"/>
          <w:color w:val="auto"/>
          <w:sz w:val="24"/>
        </w:rPr>
        <w:t>确认。</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color w:val="auto"/>
        </w:rPr>
      </w:pPr>
      <w:r>
        <w:rPr>
          <w:rFonts w:hint="eastAsia" w:ascii="宋体" w:hAnsi="宋体"/>
          <w:color w:val="auto"/>
          <w:lang w:val="en-US" w:eastAsia="zh-CN"/>
        </w:rPr>
        <w:t>5</w:t>
      </w:r>
      <w:r>
        <w:rPr>
          <w:rFonts w:hint="eastAsia" w:ascii="宋体" w:hAnsi="宋体"/>
          <w:color w:val="auto"/>
        </w:rPr>
        <w:t>、如果有采用国际标准的货物，其执行标准由投标方提供、招标方确认。</w:t>
      </w:r>
    </w:p>
    <w:p>
      <w:pPr>
        <w:pageBreakBefore w:val="0"/>
        <w:kinsoku/>
        <w:wordWrap/>
        <w:overflowPunct/>
        <w:topLinePunct w:val="0"/>
        <w:autoSpaceDE/>
        <w:autoSpaceDN/>
        <w:bidi w:val="0"/>
        <w:spacing w:beforeAutospacing="0" w:afterAutospacing="0" w:line="300" w:lineRule="auto"/>
        <w:ind w:firstLine="420" w:firstLineChars="200"/>
        <w:rPr>
          <w:rFonts w:ascii="宋体"/>
          <w:color w:val="auto"/>
        </w:rPr>
      </w:pPr>
      <w:r>
        <w:rPr>
          <w:rFonts w:hint="eastAsia" w:ascii="宋体"/>
          <w:color w:val="auto"/>
          <w:lang w:val="en-US" w:eastAsia="zh-CN"/>
        </w:rPr>
        <w:t>6</w:t>
      </w:r>
      <w:r>
        <w:rPr>
          <w:rFonts w:hint="eastAsia" w:ascii="宋体"/>
          <w:color w:val="auto"/>
        </w:rPr>
        <w:t>、涉及的主要标准：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5311"/>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标准名称</w:t>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《机械安全防护装置固定式和活动式防护装置设计与制造一般要求》</w:t>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GB/T8196-2017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《机械电气安全机械电气设备第1部分:通用技术条件》</w:t>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 5226.1-2019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《电气设备安全设计导则》</w:t>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 25295-2010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fldChar w:fldCharType="begin"/>
            </w:r>
            <w:r>
              <w:rPr>
                <w:rFonts w:hint="eastAsia" w:ascii="宋体" w:hAnsi="宋体" w:eastAsia="宋体" w:cs="宋体"/>
                <w:color w:val="auto"/>
                <w:sz w:val="21"/>
                <w:szCs w:val="21"/>
                <w:lang w:val="en-US" w:eastAsia="zh-CN"/>
              </w:rPr>
              <w:instrText xml:space="preserve"> HYPERLINK "http://product.dangdang.com/1100236607.html" \t "_blank" </w:instrText>
            </w:r>
            <w:r>
              <w:rPr>
                <w:rFonts w:hint="eastAsia" w:ascii="宋体" w:hAnsi="宋体" w:eastAsia="宋体" w:cs="宋体"/>
                <w:color w:val="auto"/>
                <w:sz w:val="21"/>
                <w:szCs w:val="21"/>
                <w:lang w:val="en-US" w:eastAsia="zh-CN"/>
              </w:rPr>
              <w:fldChar w:fldCharType="separate"/>
            </w:r>
            <w:r>
              <w:rPr>
                <w:rFonts w:hint="eastAsia" w:ascii="宋体" w:hAnsi="宋体" w:eastAsia="宋体" w:cs="宋体"/>
                <w:color w:val="auto"/>
                <w:sz w:val="21"/>
                <w:szCs w:val="21"/>
                <w:lang w:val="en-US" w:eastAsia="zh-CN"/>
              </w:rPr>
              <w:t>机器的安全性 防止人体上下肢触及危险区的安全距离</w:t>
            </w:r>
            <w:r>
              <w:rPr>
                <w:rFonts w:hint="eastAsia" w:ascii="宋体" w:hAnsi="宋体" w:eastAsia="宋体" w:cs="宋体"/>
                <w:color w:val="auto"/>
                <w:sz w:val="21"/>
                <w:szCs w:val="21"/>
                <w:lang w:val="en-US" w:eastAsia="zh-CN"/>
              </w:rPr>
              <w:fldChar w:fldCharType="end"/>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GB/T23821-2022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中国重型汽车有限公司企业标准《设备设施颜色标识》</w:t>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Q/ZZ30070-2020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《机械电气安全机械电气设备第34部分：机床技术条件》</w:t>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GB/T5226.34-2020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《电线电缆识别标志方法》</w:t>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GB/T6995-2008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《工业场所物理因素测量第8部分：噪声》</w:t>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GB/T189.8-2007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c>
          <w:tcPr>
            <w:tcW w:w="531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《工业企业噪声控制设计规范》</w:t>
            </w:r>
          </w:p>
        </w:tc>
        <w:tc>
          <w:tcPr>
            <w:tcW w:w="220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GB/T50087-2013</w:t>
            </w:r>
          </w:p>
        </w:tc>
      </w:tr>
    </w:tbl>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numPr>
          <w:ilvl w:val="0"/>
          <w:numId w:val="0"/>
        </w:numPr>
        <w:kinsoku/>
        <w:wordWrap/>
        <w:overflowPunct/>
        <w:topLinePunct w:val="0"/>
        <w:autoSpaceDE/>
        <w:autoSpaceDN/>
        <w:bidi w:val="0"/>
        <w:spacing w:beforeAutospacing="0" w:afterAutospacing="0" w:line="300" w:lineRule="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四、技术规范和技术要求</w:t>
      </w:r>
    </w:p>
    <w:p>
      <w:pPr>
        <w:pageBreakBefore w:val="0"/>
        <w:kinsoku/>
        <w:wordWrap/>
        <w:overflowPunct/>
        <w:topLinePunct w:val="0"/>
        <w:autoSpaceDE/>
        <w:autoSpaceDN/>
        <w:bidi w:val="0"/>
        <w:spacing w:beforeAutospacing="0" w:afterAutospacing="0" w:line="300" w:lineRule="auto"/>
        <w:ind w:firstLine="482" w:firstLineChars="200"/>
        <w:jc w:val="both"/>
        <w:rPr>
          <w:rFonts w:hint="eastAsia" w:ascii="宋体" w:hAnsi="宋体" w:eastAsia="宋体" w:cs="宋体"/>
          <w:b/>
          <w:bCs/>
          <w:color w:val="auto"/>
          <w:sz w:val="24"/>
          <w:lang w:val="en-US" w:eastAsia="zh-CN"/>
        </w:rPr>
      </w:pPr>
      <w:r>
        <w:rPr>
          <w:rFonts w:hint="eastAsia" w:ascii="宋体" w:hAnsi="宋体" w:eastAsia="宋体" w:cs="宋体"/>
          <w:b/>
          <w:bCs/>
          <w:color w:val="auto"/>
          <w:sz w:val="24"/>
        </w:rPr>
        <w:t>1</w:t>
      </w:r>
      <w:r>
        <w:rPr>
          <w:rFonts w:hint="eastAsia" w:ascii="宋体" w:hAnsi="宋体" w:eastAsia="宋体" w:cs="宋体"/>
          <w:b/>
          <w:bCs/>
          <w:color w:val="auto"/>
          <w:sz w:val="24"/>
          <w:lang w:eastAsia="zh-CN"/>
        </w:rPr>
        <w:t>、</w:t>
      </w:r>
      <w:r>
        <w:rPr>
          <w:rFonts w:hint="eastAsia" w:ascii="宋体" w:hAnsi="宋体" w:eastAsia="宋体" w:cs="宋体"/>
          <w:b/>
          <w:bCs/>
          <w:color w:val="auto"/>
          <w:sz w:val="24"/>
          <w:lang w:val="en-US" w:eastAsia="zh-CN"/>
        </w:rPr>
        <w:t>项目概况和现状：</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该项目用于兼容新机型缸盖装配工序与合装工序，新机型无法兼容现有产线，需增加气门拍打和气密性试漏机与排气歧管拧紧机改造，气密性试漏机：发动机在完成装配气门锁夹后，自动流入气门拍打和气密性检测工序，对试漏不合格的缸盖警示不予放行。工艺流程为：托盘流进到位、定位举升托盘、上压紧部件下压工件、气门拍打滑台下移、拍打气门、封堵机构伸出、封堵工件、试漏仪试漏、试漏完成、所有部件回原位、托盘放行流出。</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排气歧管拧紧机：工件进入工位、缸盖定位、拧紧装置下降、分组拧紧螺栓、拧紧完毕、拧紧轴移动到安全位置、自动放行。</w:t>
      </w:r>
    </w:p>
    <w:p>
      <w:pPr>
        <w:pageBreakBefore w:val="0"/>
        <w:kinsoku/>
        <w:wordWrap/>
        <w:overflowPunct/>
        <w:topLinePunct w:val="0"/>
        <w:autoSpaceDE/>
        <w:autoSpaceDN/>
        <w:bidi w:val="0"/>
        <w:spacing w:beforeAutospacing="0" w:afterAutospacing="0" w:line="300" w:lineRule="auto"/>
        <w:ind w:firstLine="480" w:firstLineChars="200"/>
        <w:jc w:val="both"/>
        <w:rPr>
          <w:rFonts w:hint="default"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合装线需增加智能助力机械手用于抓取EGR冷却器。</w:t>
      </w:r>
    </w:p>
    <w:p>
      <w:pPr>
        <w:pageBreakBefore w:val="0"/>
        <w:kinsoku/>
        <w:wordWrap/>
        <w:overflowPunct/>
        <w:topLinePunct w:val="0"/>
        <w:autoSpaceDE/>
        <w:autoSpaceDN/>
        <w:bidi w:val="0"/>
        <w:spacing w:beforeAutospacing="0" w:afterAutospacing="0" w:line="300" w:lineRule="auto"/>
        <w:ind w:firstLine="482" w:firstLineChars="200"/>
        <w:jc w:val="both"/>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1.1产品相关信息</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缸盖：长*宽*高=1031mm*340mm*157.5mm</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缸盖重量不大于200kg</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材质：RT450</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均为4气门6缸分布</w:t>
      </w:r>
    </w:p>
    <w:p>
      <w:pPr>
        <w:pageBreakBefore w:val="0"/>
        <w:kinsoku/>
        <w:wordWrap/>
        <w:overflowPunct/>
        <w:topLinePunct w:val="0"/>
        <w:autoSpaceDE/>
        <w:autoSpaceDN/>
        <w:bidi w:val="0"/>
        <w:spacing w:beforeAutospacing="0" w:afterAutospacing="0" w:line="300" w:lineRule="auto"/>
        <w:ind w:firstLine="480" w:firstLineChars="200"/>
        <w:jc w:val="both"/>
        <w:rPr>
          <w:rFonts w:hint="default"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排气歧管：长*宽*高=130*15*22</w:t>
      </w:r>
    </w:p>
    <w:p>
      <w:pPr>
        <w:pageBreakBefore w:val="0"/>
        <w:kinsoku/>
        <w:wordWrap/>
        <w:overflowPunct/>
        <w:topLinePunct w:val="0"/>
        <w:autoSpaceDE/>
        <w:autoSpaceDN/>
        <w:bidi w:val="0"/>
        <w:spacing w:beforeAutospacing="0" w:afterAutospacing="0" w:line="300" w:lineRule="auto"/>
        <w:ind w:firstLine="480" w:firstLineChars="200"/>
        <w:jc w:val="both"/>
        <w:rPr>
          <w:rFonts w:hint="default"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重量：25kg</w:t>
      </w:r>
    </w:p>
    <w:p>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EGR冷却器总成：长*宽*高=600*200*180</w:t>
      </w:r>
    </w:p>
    <w:p>
      <w:pPr>
        <w:pageBreakBefore w:val="0"/>
        <w:kinsoku/>
        <w:wordWrap/>
        <w:overflowPunct/>
        <w:topLinePunct w:val="0"/>
        <w:autoSpaceDE/>
        <w:autoSpaceDN/>
        <w:bidi w:val="0"/>
        <w:spacing w:beforeAutospacing="0" w:afterAutospacing="0" w:line="300" w:lineRule="auto"/>
        <w:ind w:firstLine="480" w:firstLineChars="200"/>
        <w:jc w:val="both"/>
        <w:rPr>
          <w:rFonts w:hint="default"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重量：15kg</w:t>
      </w:r>
    </w:p>
    <w:p>
      <w:pPr>
        <w:pageBreakBefore w:val="0"/>
        <w:kinsoku/>
        <w:wordWrap/>
        <w:overflowPunct/>
        <w:topLinePunct w:val="0"/>
        <w:autoSpaceDE/>
        <w:autoSpaceDN/>
        <w:bidi w:val="0"/>
        <w:spacing w:beforeAutospacing="0" w:afterAutospacing="0" w:line="300" w:lineRule="auto"/>
        <w:ind w:firstLine="482" w:firstLineChars="200"/>
        <w:jc w:val="both"/>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1.2改造内容</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300" w:lineRule="auto"/>
        <w:ind w:firstLine="482" w:firstLineChars="200"/>
        <w:textAlignment w:val="auto"/>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1.21、气门拍打与气门密封性设备</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装调部装配A线现有工序OP2070气密性试漏设备与气门锁夹返修工位之间，新增气门拍打与气门密封性试漏设备，可兼容量产缸盖、TD缸盖、MT13H新产品缸盖的设备（主要涉及到缸盖底面卸载槽的封堵问题，三种缸盖的卸载槽形状不同，设计封堵工装时需同步进行考虑，主要差异点为MT13H缸盖的卸载槽中间封堵位置与其他缸盖中间封堵位置不在一个平面），示意图如下：</w:t>
      </w:r>
    </w:p>
    <w:p>
      <w:pPr>
        <w:pStyle w:val="17"/>
        <w:pageBreakBefore w:val="0"/>
        <w:numPr>
          <w:ilvl w:val="0"/>
          <w:numId w:val="0"/>
        </w:numPr>
        <w:kinsoku/>
        <w:wordWrap/>
        <w:overflowPunct/>
        <w:topLinePunct w:val="0"/>
        <w:autoSpaceDE/>
        <w:autoSpaceDN/>
        <w:bidi w:val="0"/>
        <w:spacing w:beforeAutospacing="0" w:afterAutospacing="0" w:line="300" w:lineRule="auto"/>
        <w:jc w:val="center"/>
        <w:outlineLvl w:val="0"/>
      </w:pPr>
      <w:r>
        <w:drawing>
          <wp:inline distT="0" distB="0" distL="114300" distR="114300">
            <wp:extent cx="4913630" cy="3348990"/>
            <wp:effectExtent l="0" t="0" r="1270" b="381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42"/>
                    <a:stretch>
                      <a:fillRect/>
                    </a:stretch>
                  </pic:blipFill>
                  <pic:spPr>
                    <a:xfrm>
                      <a:off x="0" y="0"/>
                      <a:ext cx="4913630" cy="3348990"/>
                    </a:xfrm>
                    <a:prstGeom prst="rect">
                      <a:avLst/>
                    </a:prstGeom>
                    <a:noFill/>
                    <a:ln>
                      <a:noFill/>
                    </a:ln>
                  </pic:spPr>
                </pic:pic>
              </a:graphicData>
            </a:graphic>
          </wp:inline>
        </w:drawing>
      </w:r>
    </w:p>
    <w:p>
      <w:pPr>
        <w:pStyle w:val="17"/>
        <w:pageBreakBefore w:val="0"/>
        <w:numPr>
          <w:ilvl w:val="0"/>
          <w:numId w:val="0"/>
        </w:numPr>
        <w:kinsoku/>
        <w:wordWrap/>
        <w:overflowPunct/>
        <w:topLinePunct w:val="0"/>
        <w:autoSpaceDE/>
        <w:autoSpaceDN/>
        <w:bidi w:val="0"/>
        <w:spacing w:beforeAutospacing="0" w:afterAutospacing="0" w:line="300" w:lineRule="auto"/>
        <w:jc w:val="center"/>
        <w:outlineLvl w:val="0"/>
        <w:rPr>
          <w:rFonts w:hint="default" w:eastAsia="宋体"/>
          <w:lang w:val="en-US" w:eastAsia="zh-CN"/>
        </w:rPr>
      </w:pPr>
      <w:r>
        <w:rPr>
          <w:rFonts w:hint="eastAsia"/>
          <w:lang w:val="en-US" w:eastAsia="zh-CN"/>
        </w:rPr>
        <w:t>产线布局图</w:t>
      </w:r>
    </w:p>
    <w:p>
      <w:pPr>
        <w:pStyle w:val="17"/>
        <w:pageBreakBefore w:val="0"/>
        <w:numPr>
          <w:ilvl w:val="0"/>
          <w:numId w:val="0"/>
        </w:numPr>
        <w:kinsoku/>
        <w:wordWrap/>
        <w:overflowPunct/>
        <w:topLinePunct w:val="0"/>
        <w:autoSpaceDE/>
        <w:autoSpaceDN/>
        <w:bidi w:val="0"/>
        <w:spacing w:beforeAutospacing="0" w:afterAutospacing="0" w:line="300" w:lineRule="auto"/>
        <w:jc w:val="center"/>
        <w:outlineLvl w:val="0"/>
      </w:pPr>
      <w:r>
        <w:drawing>
          <wp:inline distT="0" distB="0" distL="114300" distR="114300">
            <wp:extent cx="3648075" cy="1466850"/>
            <wp:effectExtent l="0" t="0" r="952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3"/>
                    <a:stretch>
                      <a:fillRect/>
                    </a:stretch>
                  </pic:blipFill>
                  <pic:spPr>
                    <a:xfrm>
                      <a:off x="0" y="0"/>
                      <a:ext cx="3648075" cy="1466850"/>
                    </a:xfrm>
                    <a:prstGeom prst="rect">
                      <a:avLst/>
                    </a:prstGeom>
                    <a:noFill/>
                    <a:ln>
                      <a:noFill/>
                    </a:ln>
                  </pic:spPr>
                </pic:pic>
              </a:graphicData>
            </a:graphic>
          </wp:inline>
        </w:drawing>
      </w:r>
    </w:p>
    <w:p>
      <w:pPr>
        <w:pStyle w:val="17"/>
        <w:pageBreakBefore w:val="0"/>
        <w:numPr>
          <w:ilvl w:val="0"/>
          <w:numId w:val="0"/>
        </w:numPr>
        <w:kinsoku/>
        <w:wordWrap/>
        <w:overflowPunct/>
        <w:topLinePunct w:val="0"/>
        <w:autoSpaceDE/>
        <w:autoSpaceDN/>
        <w:bidi w:val="0"/>
        <w:spacing w:beforeAutospacing="0" w:afterAutospacing="0" w:line="300" w:lineRule="auto"/>
        <w:jc w:val="center"/>
        <w:outlineLvl w:val="0"/>
        <w:rPr>
          <w:rFonts w:hint="default" w:eastAsia="宋体"/>
          <w:lang w:val="en-US" w:eastAsia="zh-CN"/>
        </w:rPr>
      </w:pPr>
      <w:r>
        <w:rPr>
          <w:rFonts w:hint="eastAsia"/>
          <w:lang w:val="en-US" w:eastAsia="zh-CN"/>
        </w:rPr>
        <w:t>缸盖卸载槽示意图</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气门密封性试漏设备包含气门拍打机构、试漏密封工装、试漏机、缸盖压紧、定位举升、设备本体以及相关机械电器部分及信息化对接调试。</w:t>
      </w:r>
    </w:p>
    <w:p>
      <w:pPr>
        <w:pStyle w:val="17"/>
        <w:pageBreakBefore w:val="0"/>
        <w:numPr>
          <w:ilvl w:val="0"/>
          <w:numId w:val="0"/>
        </w:numPr>
        <w:kinsoku/>
        <w:wordWrap/>
        <w:overflowPunct/>
        <w:topLinePunct w:val="0"/>
        <w:autoSpaceDE/>
        <w:autoSpaceDN/>
        <w:bidi w:val="0"/>
        <w:spacing w:beforeAutospacing="0" w:afterAutospacing="0" w:line="300" w:lineRule="auto"/>
        <w:ind w:firstLine="482" w:firstLineChars="200"/>
        <w:outlineLvl w:val="0"/>
        <w:rPr>
          <w:rFonts w:hint="eastAsia" w:ascii="宋体" w:hAnsi="Times New Roman" w:eastAsia="宋体" w:cs="Times New Roman"/>
          <w:b/>
          <w:bCs/>
          <w:color w:val="000000"/>
          <w:sz w:val="24"/>
          <w:lang w:val="en-US" w:eastAsia="zh-CN"/>
        </w:rPr>
      </w:pPr>
      <w:r>
        <w:rPr>
          <w:rFonts w:hint="eastAsia" w:ascii="宋体" w:hAnsi="Times New Roman" w:eastAsia="宋体" w:cs="Times New Roman"/>
          <w:b/>
          <w:bCs/>
          <w:color w:val="000000"/>
          <w:sz w:val="24"/>
          <w:lang w:val="en-US" w:eastAsia="zh-CN"/>
        </w:rPr>
        <w:t>1.22、排气歧管拧紧设备改造</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在装配A线现有排气歧管拧紧设备的基础上，进行兼容性改造，设计完成后满足新机型排气歧管与量产排气歧管的自动拧紧。示意图如下。在现有设备基础上，垂直方向增加移动滑轨可实现上下移动，</w:t>
      </w:r>
    </w:p>
    <w:p>
      <w:pPr>
        <w:pStyle w:val="17"/>
        <w:pageBreakBefore w:val="0"/>
        <w:numPr>
          <w:ilvl w:val="0"/>
          <w:numId w:val="0"/>
        </w:numPr>
        <w:kinsoku/>
        <w:wordWrap/>
        <w:overflowPunct/>
        <w:topLinePunct w:val="0"/>
        <w:autoSpaceDE/>
        <w:autoSpaceDN/>
        <w:bidi w:val="0"/>
        <w:spacing w:beforeAutospacing="0" w:afterAutospacing="0" w:line="300" w:lineRule="auto"/>
        <w:jc w:val="center"/>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drawing>
          <wp:inline distT="0" distB="0" distL="114300" distR="114300">
            <wp:extent cx="5573395" cy="4921250"/>
            <wp:effectExtent l="0" t="0" r="1905" b="6350"/>
            <wp:docPr id="17" name="图片 9" descr="f7dfc5b63379058f3bc04a15abd08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f7dfc5b63379058f3bc04a15abd0831b"/>
                    <pic:cNvPicPr>
                      <a:picLocks noChangeAspect="1"/>
                    </pic:cNvPicPr>
                  </pic:nvPicPr>
                  <pic:blipFill>
                    <a:blip r:embed="rId44"/>
                    <a:stretch>
                      <a:fillRect/>
                    </a:stretch>
                  </pic:blipFill>
                  <pic:spPr>
                    <a:xfrm>
                      <a:off x="0" y="0"/>
                      <a:ext cx="5573395" cy="4921250"/>
                    </a:xfrm>
                    <a:prstGeom prst="rect">
                      <a:avLst/>
                    </a:prstGeom>
                    <a:noFill/>
                    <a:ln>
                      <a:noFill/>
                    </a:ln>
                  </pic:spPr>
                </pic:pic>
              </a:graphicData>
            </a:graphic>
          </wp:inline>
        </w:drawing>
      </w:r>
    </w:p>
    <w:p>
      <w:pPr>
        <w:pStyle w:val="17"/>
        <w:pageBreakBefore w:val="0"/>
        <w:numPr>
          <w:ilvl w:val="0"/>
          <w:numId w:val="0"/>
        </w:numPr>
        <w:kinsoku/>
        <w:wordWrap/>
        <w:overflowPunct/>
        <w:topLinePunct w:val="0"/>
        <w:autoSpaceDE/>
        <w:autoSpaceDN/>
        <w:bidi w:val="0"/>
        <w:spacing w:beforeAutospacing="0" w:afterAutospacing="0" w:line="300" w:lineRule="auto"/>
        <w:jc w:val="center"/>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drawing>
          <wp:inline distT="0" distB="0" distL="114300" distR="114300">
            <wp:extent cx="3401695" cy="2205990"/>
            <wp:effectExtent l="0" t="0" r="1905" b="3810"/>
            <wp:docPr id="31" name="图片 10" descr="ce756d1d4a51cf35c532f13597d19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ce756d1d4a51cf35c532f13597d19dff"/>
                    <pic:cNvPicPr>
                      <a:picLocks noChangeAspect="1"/>
                    </pic:cNvPicPr>
                  </pic:nvPicPr>
                  <pic:blipFill>
                    <a:blip r:embed="rId45"/>
                    <a:stretch>
                      <a:fillRect/>
                    </a:stretch>
                  </pic:blipFill>
                  <pic:spPr>
                    <a:xfrm>
                      <a:off x="0" y="0"/>
                      <a:ext cx="3401695" cy="2205990"/>
                    </a:xfrm>
                    <a:prstGeom prst="rect">
                      <a:avLst/>
                    </a:prstGeom>
                    <a:noFill/>
                    <a:ln>
                      <a:noFill/>
                    </a:ln>
                  </pic:spPr>
                </pic:pic>
              </a:graphicData>
            </a:graphic>
          </wp:inline>
        </w:drawing>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jc w:val="both"/>
        <w:outlineLvl w:val="0"/>
        <w:rPr>
          <w:rFonts w:hint="eastAsia"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新结构排气歧管（外层包装有隔热棉，厚度约为1-5mm，图示不包含）</w:t>
      </w:r>
    </w:p>
    <w:p>
      <w:pPr>
        <w:pStyle w:val="17"/>
        <w:pageBreakBefore w:val="0"/>
        <w:numPr>
          <w:ilvl w:val="0"/>
          <w:numId w:val="0"/>
        </w:numPr>
        <w:kinsoku/>
        <w:wordWrap/>
        <w:overflowPunct/>
        <w:topLinePunct w:val="0"/>
        <w:autoSpaceDE/>
        <w:autoSpaceDN/>
        <w:bidi w:val="0"/>
        <w:spacing w:beforeAutospacing="0" w:afterAutospacing="0" w:line="300" w:lineRule="auto"/>
        <w:ind w:firstLine="482" w:firstLineChars="200"/>
        <w:outlineLvl w:val="0"/>
        <w:rPr>
          <w:rFonts w:hint="default" w:ascii="宋体" w:hAnsi="Times New Roman" w:eastAsia="宋体" w:cs="Times New Roman"/>
          <w:b/>
          <w:bCs/>
          <w:color w:val="000000"/>
          <w:sz w:val="24"/>
          <w:lang w:val="en-US" w:eastAsia="zh-CN"/>
        </w:rPr>
      </w:pPr>
      <w:r>
        <w:rPr>
          <w:rFonts w:hint="eastAsia" w:ascii="宋体" w:hAnsi="Times New Roman" w:eastAsia="宋体" w:cs="Times New Roman"/>
          <w:b/>
          <w:bCs/>
          <w:color w:val="000000"/>
          <w:sz w:val="24"/>
          <w:lang w:val="en-US" w:eastAsia="zh-CN"/>
        </w:rPr>
        <w:t>1.23、合装线新增智能助力机械手</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b w:val="0"/>
          <w:bCs w:val="0"/>
          <w:color w:val="000000"/>
          <w:sz w:val="24"/>
          <w:lang w:val="en-US" w:eastAsia="zh-CN"/>
        </w:rPr>
      </w:pPr>
      <w:r>
        <w:rPr>
          <w:rFonts w:hint="eastAsia" w:ascii="宋体" w:hAnsi="Times New Roman" w:eastAsia="宋体" w:cs="Times New Roman"/>
          <w:b w:val="0"/>
          <w:bCs w:val="0"/>
          <w:color w:val="000000"/>
          <w:sz w:val="24"/>
          <w:lang w:val="en-US" w:eastAsia="zh-CN"/>
        </w:rPr>
        <w:t>合装线需增加一个智能助力机械手用来夹抓EGR冷却器总成。</w:t>
      </w:r>
    </w:p>
    <w:p>
      <w:pPr>
        <w:pageBreakBefore w:val="0"/>
        <w:kinsoku/>
        <w:wordWrap/>
        <w:overflowPunct/>
        <w:topLinePunct w:val="0"/>
        <w:autoSpaceDE/>
        <w:autoSpaceDN/>
        <w:bidi w:val="0"/>
        <w:spacing w:beforeAutospacing="0" w:afterAutospacing="0" w:line="300" w:lineRule="auto"/>
        <w:ind w:firstLine="482" w:firstLineChars="200"/>
        <w:jc w:val="both"/>
        <w:rPr>
          <w:rFonts w:hint="eastAsia" w:ascii="宋体" w:hAnsi="宋体" w:eastAsia="宋体" w:cs="宋体"/>
          <w:b/>
          <w:bCs/>
          <w:sz w:val="24"/>
          <w:lang w:val="en-US" w:eastAsia="zh-CN"/>
        </w:rPr>
      </w:pPr>
      <w:r>
        <w:rPr>
          <w:rFonts w:hint="eastAsia" w:ascii="宋体" w:hAnsi="宋体" w:eastAsia="宋体" w:cs="宋体"/>
          <w:b/>
          <w:bCs/>
          <w:sz w:val="24"/>
          <w:lang w:val="en-US" w:eastAsia="zh-CN"/>
        </w:rPr>
        <w:t>2</w:t>
      </w:r>
      <w:r>
        <w:rPr>
          <w:rFonts w:hint="eastAsia" w:ascii="宋体" w:hAnsi="宋体" w:eastAsia="宋体" w:cs="宋体"/>
          <w:b/>
          <w:bCs/>
          <w:sz w:val="24"/>
        </w:rPr>
        <w:t>、</w:t>
      </w:r>
      <w:r>
        <w:rPr>
          <w:rFonts w:hint="eastAsia" w:ascii="宋体" w:hAnsi="宋体" w:eastAsia="宋体" w:cs="宋体"/>
          <w:b/>
          <w:bCs/>
          <w:sz w:val="24"/>
          <w:lang w:val="en-US" w:eastAsia="zh-CN"/>
        </w:rPr>
        <w:t>详细技术要求</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30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2.1气门拍打与气门密封性设备</w:t>
      </w:r>
    </w:p>
    <w:p>
      <w:pPr>
        <w:pageBreakBefore w:val="0"/>
        <w:kinsoku/>
        <w:wordWrap/>
        <w:overflowPunct/>
        <w:topLinePunct w:val="0"/>
        <w:autoSpaceDE/>
        <w:autoSpaceDN/>
        <w:bidi w:val="0"/>
        <w:spacing w:beforeAutospacing="0" w:afterAutospacing="0" w:line="300" w:lineRule="auto"/>
        <w:ind w:firstLine="480"/>
        <w:rPr>
          <w:rFonts w:hint="default" w:ascii="宋体" w:hAnsi="Times New Roman" w:eastAsia="宋体" w:cs="Times New Roman"/>
          <w:kern w:val="2"/>
          <w:sz w:val="24"/>
          <w:szCs w:val="20"/>
          <w:lang w:val="en-US" w:eastAsia="zh-CN" w:bidi="ar-SA"/>
        </w:rPr>
      </w:pPr>
      <w:r>
        <w:rPr>
          <w:rFonts w:hint="eastAsia" w:ascii="宋体" w:hAnsi="Times New Roman" w:eastAsia="宋体" w:cs="Times New Roman"/>
          <w:kern w:val="2"/>
          <w:sz w:val="24"/>
          <w:szCs w:val="20"/>
          <w:lang w:val="en-US" w:eastAsia="zh-CN" w:bidi="ar-SA"/>
        </w:rPr>
        <w:t>工艺要求：测试压力（0.5±0.1）bar每缸泄漏率（-50～300）cm³/min，整体节拍不超过90s。</w:t>
      </w:r>
    </w:p>
    <w:p>
      <w:pPr>
        <w:pageBreakBefore w:val="0"/>
        <w:kinsoku/>
        <w:wordWrap/>
        <w:overflowPunct/>
        <w:topLinePunct w:val="0"/>
        <w:autoSpaceDE/>
        <w:autoSpaceDN/>
        <w:bidi w:val="0"/>
        <w:spacing w:beforeAutospacing="0" w:afterAutospacing="0" w:line="300" w:lineRule="auto"/>
        <w:ind w:firstLine="480"/>
        <w:rPr>
          <w:rFonts w:hint="default" w:ascii="宋体" w:hAnsi="Times New Roman" w:eastAsia="宋体" w:cs="Times New Roman"/>
          <w:kern w:val="2"/>
          <w:sz w:val="24"/>
          <w:szCs w:val="20"/>
          <w:lang w:val="en-US" w:eastAsia="zh-CN" w:bidi="ar-SA"/>
        </w:rPr>
      </w:pPr>
      <w:r>
        <w:rPr>
          <w:rFonts w:hint="eastAsia" w:ascii="宋体" w:hAnsi="Times New Roman" w:eastAsia="宋体" w:cs="Times New Roman"/>
          <w:color w:val="auto"/>
          <w:sz w:val="24"/>
          <w:lang w:val="en-US" w:eastAsia="zh-CN"/>
        </w:rPr>
        <w:t>核心功能：进行气门拍打与气门阀座密封性试漏</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2.1.1设备本体和防护</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sz w:val="24"/>
          <w:lang w:val="en-US" w:eastAsia="zh-CN"/>
        </w:rPr>
      </w:pPr>
      <w:r>
        <w:rPr>
          <w:rFonts w:hint="eastAsia" w:ascii="宋体" w:hAnsi="Times New Roman" w:eastAsia="宋体" w:cs="Times New Roman"/>
          <w:sz w:val="24"/>
          <w:lang w:val="en-US" w:eastAsia="zh-CN"/>
        </w:rPr>
        <w:t>设备采用整体防护，防护采用铝型材和网格形式，便于操作时的观察设备为自动工位，四周设有防护，防护具有安全门。急停按钮将会布置到操作者易于接触到的位置；设备本体为焊接结构，预留抬起安装面和顶部气门拍打安装面，底部有落地支撑。设备颜色等需与现场保持一致，满足现场生产一致性。</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宋体" w:cs="宋体"/>
          <w:color w:val="auto"/>
          <w:sz w:val="24"/>
          <w:lang w:val="en-US"/>
        </w:rPr>
      </w:pPr>
      <w:r>
        <w:rPr>
          <w:rFonts w:hint="eastAsia" w:ascii="宋体" w:hAnsi="Times New Roman" w:eastAsia="宋体" w:cs="Times New Roman"/>
          <w:color w:val="auto"/>
          <w:sz w:val="24"/>
          <w:lang w:val="en-US" w:eastAsia="zh-CN"/>
        </w:rPr>
        <w:t>2.1.2</w:t>
      </w:r>
      <w:r>
        <w:rPr>
          <w:rFonts w:hint="eastAsia" w:ascii="宋体" w:hAnsi="Times New Roman" w:eastAsia="宋体" w:cs="Times New Roman"/>
          <w:sz w:val="24"/>
          <w:lang w:val="en-US" w:eastAsia="zh-CN"/>
        </w:rPr>
        <w:t>定位装置</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宋体" w:cs="宋体"/>
          <w:color w:val="auto"/>
          <w:sz w:val="24"/>
        </w:rPr>
      </w:pPr>
      <w:r>
        <w:rPr>
          <w:rFonts w:hint="eastAsia" w:ascii="宋体" w:hAnsi="宋体" w:cs="宋体"/>
          <w:color w:val="auto"/>
          <w:sz w:val="24"/>
        </w:rPr>
        <w:t>采用高精度、低摩擦的标准气缸驱动，气缸品牌要求</w:t>
      </w:r>
      <w:r>
        <w:rPr>
          <w:rFonts w:hint="eastAsia" w:hAnsi="宋体" w:cs="宋体"/>
          <w:color w:val="auto"/>
          <w:sz w:val="24"/>
          <w:lang w:val="en-US" w:eastAsia="zh-CN"/>
        </w:rPr>
        <w:t>Festo、SMC或同等及以上</w:t>
      </w:r>
      <w:r>
        <w:rPr>
          <w:rFonts w:hint="eastAsia" w:ascii="宋体" w:hAnsi="宋体" w:cs="宋体"/>
          <w:color w:val="auto"/>
          <w:sz w:val="24"/>
        </w:rPr>
        <w:t>品牌。抬起定位组件</w:t>
      </w:r>
      <w:r>
        <w:rPr>
          <w:rFonts w:hint="eastAsia" w:hAnsi="宋体" w:cs="宋体"/>
          <w:color w:val="auto"/>
          <w:sz w:val="24"/>
          <w:lang w:val="en-US" w:eastAsia="zh-CN"/>
        </w:rPr>
        <w:t>采用</w:t>
      </w:r>
      <w:r>
        <w:rPr>
          <w:rFonts w:hint="eastAsia" w:ascii="宋体" w:hAnsi="宋体" w:cs="宋体"/>
          <w:color w:val="auto"/>
          <w:sz w:val="24"/>
        </w:rPr>
        <w:t>气缸驱动</w:t>
      </w:r>
      <w:r>
        <w:rPr>
          <w:rFonts w:hint="eastAsia" w:hAnsi="宋体" w:cs="宋体"/>
          <w:color w:val="auto"/>
          <w:sz w:val="24"/>
          <w:lang w:eastAsia="zh-CN"/>
        </w:rPr>
        <w:t>，</w:t>
      </w:r>
      <w:r>
        <w:rPr>
          <w:rFonts w:hint="eastAsia" w:ascii="宋体" w:hAnsi="宋体" w:cs="宋体"/>
          <w:color w:val="auto"/>
          <w:sz w:val="24"/>
        </w:rPr>
        <w:t>抬起定位采用一面两销定位结构；气缸行程末端应配备可调缓冲装置，确保抬升动作平稳、无冲击</w:t>
      </w:r>
      <w:r>
        <w:rPr>
          <w:rFonts w:hint="eastAsia" w:hAnsi="宋体" w:cs="宋体"/>
          <w:color w:val="auto"/>
          <w:sz w:val="24"/>
          <w:lang w:eastAsia="zh-CN"/>
        </w:rPr>
        <w:t>；</w:t>
      </w:r>
      <w:r>
        <w:rPr>
          <w:rFonts w:hint="eastAsia" w:hAnsi="宋体" w:cs="宋体"/>
          <w:color w:val="auto"/>
          <w:sz w:val="24"/>
          <w:lang w:val="en-US" w:eastAsia="zh-CN"/>
        </w:rPr>
        <w:t>气缸具备气缸锁功能，防止气缸到位后因重力原因导致位置偏移</w:t>
      </w:r>
      <w:r>
        <w:rPr>
          <w:rFonts w:hint="eastAsia" w:ascii="宋体" w:hAnsi="宋体" w:cs="宋体"/>
          <w:color w:val="auto"/>
          <w:sz w:val="24"/>
        </w:rPr>
        <w:t>。</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2.1.3气门拍打装置</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拍打组件共 6组，其空间布局必须与缸盖上的 6组进、排气门 精确对正。整个过程需稳定可靠，需使用防锈材料。拍打行程应可调，调节范围建议为 5 - 15 mm。拍打动作应干脆利落，无卡滞现象。采用高频响、高寿命气缸作为拍打执行元件。气缸应带磁性开关，用于位置反馈。拍打头端部需采用尼龙或聚氨酯等非金属材料，三万台之内不能发生材料老化、开裂等状况。形状与气门盘部适配，确保有效拍打的同时不损伤气门表面。</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2.14缸盖底面密封</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采用开模的密封圈进行封堵，底部封堵组件由气缸驱动，并应配备压力调节阀和压力表，确保对工件施加的密封压力恒定且可调，避免压力过大导致工件变形或压力不足导致泄漏。</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密封件采用快速更换结构。更换密封圈或适配不同型号工件时，操作人员无需使用特殊工具，在5分钟内即可完成更换。封堵内容：密封系统需同时封堵燃烧室空间和喷油器孔，确保试漏过程中气体仅从气门密封面泄漏。封堵材料结构需可靠耐用，压装变形量不得超过0.1mm。对于底面喷油器/衬套封堵口，需独立进行抬升设计兼容不同机型。</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2.15电气与控制系统要求</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采用PLC（可编程逻辑控制器） 作为主控单元，品牌要求为西门子S7-1200/1500 品牌。</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人机界面：配置触摸屏（西门子），用于显示设备状态、工作步骤、试漏结果、产量统计，并设置参数（如拍打频率、试漏参数等）。</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highlight w:val="none"/>
          <w:u w:val="none"/>
          <w:lang w:val="en-US" w:eastAsia="zh-CN" w:bidi="ar-SA"/>
        </w:rPr>
      </w:pPr>
      <w:r>
        <w:rPr>
          <w:rFonts w:hint="eastAsia" w:ascii="宋体" w:hAnsi="宋体" w:eastAsia="宋体" w:cs="宋体"/>
          <w:color w:val="auto"/>
          <w:kern w:val="2"/>
          <w:sz w:val="24"/>
          <w:szCs w:val="20"/>
          <w:lang w:val="en-US" w:eastAsia="zh-CN" w:bidi="ar-SA"/>
        </w:rPr>
        <w:t>传感器：所有气缸位置、工件到位检测、定位完成检测等均需使用高可靠性接近开关或光电传感器，品牌要</w:t>
      </w:r>
      <w:r>
        <w:rPr>
          <w:rFonts w:hint="eastAsia" w:ascii="宋体" w:hAnsi="宋体" w:eastAsia="宋体" w:cs="宋体"/>
          <w:color w:val="auto"/>
          <w:kern w:val="2"/>
          <w:sz w:val="24"/>
          <w:szCs w:val="20"/>
          <w:highlight w:val="none"/>
          <w:u w:val="none"/>
          <w:lang w:val="en-US" w:eastAsia="zh-CN" w:bidi="ar-SA"/>
        </w:rPr>
        <w:t>求Balluff、Festo、SMC</w:t>
      </w:r>
      <w:r>
        <w:rPr>
          <w:rFonts w:hint="eastAsia" w:ascii="宋体" w:hAnsi="宋体" w:cs="宋体"/>
          <w:color w:val="auto"/>
          <w:kern w:val="2"/>
          <w:sz w:val="24"/>
          <w:szCs w:val="20"/>
          <w:highlight w:val="none"/>
          <w:u w:val="none"/>
          <w:lang w:val="en-US" w:eastAsia="zh-CN" w:bidi="ar-SA"/>
        </w:rPr>
        <w:t>或同等品牌</w:t>
      </w:r>
      <w:r>
        <w:rPr>
          <w:rFonts w:hint="eastAsia" w:ascii="宋体" w:hAnsi="宋体" w:eastAsia="宋体" w:cs="宋体"/>
          <w:color w:val="auto"/>
          <w:kern w:val="2"/>
          <w:sz w:val="24"/>
          <w:szCs w:val="20"/>
          <w:highlight w:val="none"/>
          <w:u w:val="none"/>
          <w:lang w:val="en-US" w:eastAsia="zh-CN" w:bidi="ar-SA"/>
        </w:rPr>
        <w:t>。</w:t>
      </w:r>
    </w:p>
    <w:p>
      <w:pPr>
        <w:pStyle w:val="126"/>
        <w:pageBreakBefore w:val="0"/>
        <w:numPr>
          <w:ilvl w:val="0"/>
          <w:numId w:val="0"/>
        </w:numPr>
        <w:kinsoku/>
        <w:wordWrap/>
        <w:overflowPunct/>
        <w:topLinePunct w:val="0"/>
        <w:autoSpaceDE/>
        <w:autoSpaceDN/>
        <w:bidi w:val="0"/>
        <w:spacing w:beforeAutospacing="0" w:afterAutospacing="0" w:line="300" w:lineRule="auto"/>
        <w:ind w:firstLine="480" w:firstLineChars="200"/>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2.1.6试漏系统集成要求</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试漏仪：集成高精度质量流量式试漏仪，品牌要求为佛罗里西</w:t>
      </w:r>
      <w:r>
        <w:rPr>
          <w:rFonts w:hint="eastAsia" w:ascii="宋体" w:hAnsi="宋体" w:cs="宋体"/>
          <w:color w:val="auto"/>
          <w:kern w:val="2"/>
          <w:sz w:val="24"/>
          <w:szCs w:val="20"/>
          <w:lang w:val="en-US" w:eastAsia="zh-CN" w:bidi="ar-SA"/>
        </w:rPr>
        <w:t>同等及以上</w:t>
      </w:r>
      <w:r>
        <w:rPr>
          <w:rFonts w:hint="eastAsia" w:ascii="宋体" w:hAnsi="宋体" w:eastAsia="宋体" w:cs="宋体"/>
          <w:color w:val="auto"/>
          <w:kern w:val="2"/>
          <w:sz w:val="24"/>
          <w:szCs w:val="20"/>
          <w:lang w:val="en-US" w:eastAsia="zh-CN" w:bidi="ar-SA"/>
        </w:rPr>
        <w:t>品牌。</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测试流程：试漏仪必须能自动执行 “充气 - 平衡 - 检测 - 排气” 标准流程。</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判定与输出：PC（或PLC）接收试漏仪的泄漏率数据，与预设的合格/不合格标准进行比对，自动判定工件是否合格。</w:t>
      </w:r>
    </w:p>
    <w:p>
      <w:pPr>
        <w:pStyle w:val="126"/>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结果指示：设备需配备三色灯（绿/黄/红），用于指示设备状态（运行、待机、故障）和工件检测结果（合格、不合格）。</w:t>
      </w:r>
    </w:p>
    <w:p>
      <w:pPr>
        <w:pStyle w:val="126"/>
        <w:pageBreakBefore w:val="0"/>
        <w:numPr>
          <w:ilvl w:val="0"/>
          <w:numId w:val="0"/>
        </w:numPr>
        <w:kinsoku/>
        <w:wordWrap/>
        <w:overflowPunct/>
        <w:topLinePunct w:val="0"/>
        <w:autoSpaceDE/>
        <w:autoSpaceDN/>
        <w:bidi w:val="0"/>
        <w:spacing w:beforeAutospacing="0" w:afterAutospacing="0" w:line="300" w:lineRule="auto"/>
        <w:ind w:firstLine="480" w:firstLineChars="200"/>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2.1.7数据传输要求</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300" w:lineRule="auto"/>
        <w:ind w:firstLine="480" w:firstLineChars="200"/>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数据通讯方式具备与MES与现场设备数据与信号的通讯。供方免费开放所有通讯接口，包括但不限于以太网、RS232、RS485、PROFIBUS、PROFINET、MODBUS 等常见接口，以及设备特有的专用接口，支持阿特拉斯Toolsnet软件数据上传。</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宋体" w:hAnsi="宋体" w:eastAsia="宋体" w:cs="宋体"/>
          <w:bCs/>
          <w:color w:val="auto"/>
          <w:kern w:val="2"/>
          <w:sz w:val="24"/>
          <w:szCs w:val="20"/>
          <w:lang w:val="en-US" w:eastAsia="zh-CN" w:bidi="ar-SA"/>
        </w:rPr>
      </w:pPr>
      <w:r>
        <w:rPr>
          <w:rFonts w:hint="eastAsia" w:ascii="宋体" w:hAnsi="宋体" w:eastAsia="宋体" w:cs="宋体"/>
          <w:bCs/>
          <w:color w:val="auto"/>
          <w:kern w:val="2"/>
          <w:sz w:val="24"/>
          <w:szCs w:val="20"/>
          <w:lang w:val="en-US" w:eastAsia="zh-CN" w:bidi="ar-SA"/>
        </w:rPr>
        <w:t>供方免费提供数据交互功能，交互数据包括但不限于实时数据、历史数据、报警信息等。供方在设备入场前提供接口的技术文档和参数说明，包括但不限于接口协议、通讯速率、数据格式等。设备使用周期内，供方免费派遣技术人员与甲方调试团队共同进行设备通讯接口的调试工作。设备安装调试包含网线和电路铺设。</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300" w:lineRule="auto"/>
        <w:ind w:firstLine="482" w:firstLineChars="200"/>
        <w:textAlignment w:val="auto"/>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2.2排气歧管拧紧设备改造</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改造性质：本工位为基于现有设施兼容性改造。确保改造过程对生产影响最小，集成后运行流畅。</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核心功能：在现有设备基础上增加垂直滑轨机构，可兼容新机型排气歧管的拧紧。</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2.21</w:t>
      </w:r>
      <w:r>
        <w:rPr>
          <w:rFonts w:hint="default" w:ascii="宋体" w:hAnsi="Times New Roman" w:eastAsia="宋体" w:cs="Times New Roman"/>
          <w:color w:val="auto"/>
          <w:sz w:val="24"/>
          <w:lang w:val="en-US" w:eastAsia="zh-CN"/>
        </w:rPr>
        <w:t>. 升降机构</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传动</w:t>
      </w:r>
      <w:r>
        <w:rPr>
          <w:rFonts w:hint="eastAsia" w:hAnsi="Times New Roman" w:cs="Times New Roman"/>
          <w:color w:val="auto"/>
          <w:sz w:val="24"/>
          <w:lang w:val="en-US" w:eastAsia="zh-CN"/>
        </w:rPr>
        <w:t>系统</w:t>
      </w:r>
      <w:r>
        <w:rPr>
          <w:rFonts w:hint="default" w:ascii="宋体" w:hAnsi="Times New Roman" w:eastAsia="宋体" w:cs="Times New Roman"/>
          <w:color w:val="auto"/>
          <w:sz w:val="24"/>
          <w:lang w:val="en-US" w:eastAsia="zh-CN"/>
        </w:rPr>
        <w:t>：精密滚珠丝杠” 驱动方案</w:t>
      </w:r>
      <w:r>
        <w:rPr>
          <w:rFonts w:hint="eastAsia" w:ascii="宋体" w:hAnsi="Times New Roman" w:eastAsia="宋体" w:cs="Times New Roman"/>
          <w:color w:val="auto"/>
          <w:sz w:val="24"/>
          <w:lang w:val="en-US" w:eastAsia="zh-CN"/>
        </w:rPr>
        <w:t>，</w:t>
      </w:r>
      <w:r>
        <w:rPr>
          <w:rFonts w:hint="default" w:ascii="宋体" w:hAnsi="Times New Roman" w:eastAsia="宋体" w:cs="Times New Roman"/>
          <w:color w:val="auto"/>
          <w:sz w:val="24"/>
          <w:lang w:val="en-US" w:eastAsia="zh-CN"/>
        </w:rPr>
        <w:t>导轨品牌：直线导轨品牌明确指定为 HTK 或同等级别知名品牌。</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性能指标：</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升降重复定位精度：≤ ±0.05mm。具备力矩控制功能，在下压接触工件时能实现软接触，避免冲击。</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功能：负责带动拧紧轴组件垂直升降，实现拧紧套筒与螺栓的自动对心和柔性接触。</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2.22</w:t>
      </w:r>
      <w:r>
        <w:rPr>
          <w:rFonts w:hint="default" w:ascii="宋体" w:hAnsi="Times New Roman" w:eastAsia="宋体" w:cs="Times New Roman"/>
          <w:color w:val="auto"/>
          <w:sz w:val="24"/>
          <w:lang w:val="en-US" w:eastAsia="zh-CN"/>
        </w:rPr>
        <w:t>.拧紧轴集成与套筒</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拧紧轴利旧：为甲方提供的 3把拧紧轴</w:t>
      </w:r>
      <w:r>
        <w:rPr>
          <w:rFonts w:hint="eastAsia" w:hAnsi="Times New Roman" w:cs="Times New Roman"/>
          <w:color w:val="auto"/>
          <w:sz w:val="24"/>
          <w:lang w:val="en-US" w:eastAsia="zh-CN"/>
        </w:rPr>
        <w:t>。</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套筒要求：</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品牌：套筒品牌指定为霹雳马或同等及以上品质品牌。</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定制：需根据螺栓型号和拧紧空间进行非标定制，确保与螺栓的精准配合，并具备万向浮动功能以补偿对中误差。</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快换结构：套筒与拧紧轴之间建议采用快换接头，便于更换和维修</w:t>
      </w:r>
      <w:r>
        <w:rPr>
          <w:rFonts w:hint="eastAsia" w:ascii="宋体" w:hAnsi="Times New Roman" w:eastAsia="宋体" w:cs="Times New Roman"/>
          <w:color w:val="auto"/>
          <w:sz w:val="24"/>
          <w:lang w:val="en-US" w:eastAsia="zh-CN"/>
        </w:rPr>
        <w:t>；具备拧紧轴快速标定功能。</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2.23</w:t>
      </w:r>
      <w:r>
        <w:rPr>
          <w:rFonts w:hint="default" w:ascii="宋体" w:hAnsi="Times New Roman" w:eastAsia="宋体" w:cs="Times New Roman"/>
          <w:color w:val="auto"/>
          <w:sz w:val="24"/>
          <w:lang w:val="en-US" w:eastAsia="zh-CN"/>
        </w:rPr>
        <w:t>.平衡系统</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平衡系统：通过精密调节减压阀，为升降机构提供精确的气动平衡力，有效平衡拧紧轴、滑台等部件的自重。此举可显著降低伺服电机负载，提高运动平稳性、定位精度和设备寿命，同时有利于快速提升下降，提高节拍。</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30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2.3智能助力机械手</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目的：为</w:t>
      </w:r>
      <w:r>
        <w:rPr>
          <w:rFonts w:hint="eastAsia" w:ascii="宋体" w:hAnsi="Times New Roman" w:eastAsia="宋体" w:cs="Times New Roman"/>
          <w:color w:val="auto"/>
          <w:sz w:val="24"/>
          <w:lang w:val="en-US" w:eastAsia="zh-CN"/>
        </w:rPr>
        <w:t>操作人员</w:t>
      </w:r>
      <w:r>
        <w:rPr>
          <w:rFonts w:hint="default" w:ascii="宋体" w:hAnsi="Times New Roman" w:eastAsia="宋体" w:cs="Times New Roman"/>
          <w:color w:val="auto"/>
          <w:sz w:val="24"/>
          <w:lang w:val="en-US" w:eastAsia="zh-CN"/>
        </w:rPr>
        <w:t>提供安全、省力的</w:t>
      </w:r>
      <w:r>
        <w:rPr>
          <w:rFonts w:hint="eastAsia" w:ascii="宋体" w:hAnsi="Times New Roman" w:eastAsia="宋体" w:cs="Times New Roman"/>
          <w:color w:val="auto"/>
          <w:sz w:val="24"/>
          <w:lang w:val="en-US" w:eastAsia="zh-CN"/>
        </w:rPr>
        <w:t>EGR安装方案</w:t>
      </w:r>
      <w:r>
        <w:rPr>
          <w:rFonts w:hint="default" w:ascii="宋体" w:hAnsi="Times New Roman" w:eastAsia="宋体" w:cs="Times New Roman"/>
          <w:color w:val="auto"/>
          <w:sz w:val="24"/>
          <w:lang w:val="en-US" w:eastAsia="zh-CN"/>
        </w:rPr>
        <w:t>。</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安装方式：采用顶部悬挂式安装，不得影响现有生产线和其他设备的正常运行。</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载荷能力：额定重量</w:t>
      </w:r>
      <w:r>
        <w:rPr>
          <w:rFonts w:hint="eastAsia" w:ascii="宋体" w:hAnsi="Times New Roman" w:eastAsia="宋体" w:cs="Times New Roman"/>
          <w:color w:val="auto"/>
          <w:sz w:val="24"/>
          <w:lang w:val="en-US" w:eastAsia="zh-CN"/>
        </w:rPr>
        <w:t>为2</w:t>
      </w:r>
      <w:r>
        <w:rPr>
          <w:rFonts w:hint="default" w:ascii="宋体" w:hAnsi="Times New Roman" w:eastAsia="宋体" w:cs="Times New Roman"/>
          <w:color w:val="auto"/>
          <w:sz w:val="24"/>
          <w:lang w:val="en-US" w:eastAsia="zh-CN"/>
        </w:rPr>
        <w:t>0kg，</w:t>
      </w:r>
      <w:r>
        <w:rPr>
          <w:rFonts w:hint="eastAsia" w:hAnsi="Times New Roman" w:cs="Times New Roman"/>
          <w:color w:val="auto"/>
          <w:sz w:val="24"/>
          <w:lang w:val="en-US" w:eastAsia="zh-CN"/>
        </w:rPr>
        <w:t>品牌选用意得维</w:t>
      </w:r>
      <w:r>
        <w:rPr>
          <w:rFonts w:hint="default" w:ascii="宋体" w:hAnsi="Times New Roman" w:eastAsia="宋体" w:cs="Times New Roman"/>
          <w:color w:val="auto"/>
          <w:sz w:val="24"/>
          <w:lang w:val="en-US" w:eastAsia="zh-CN"/>
        </w:rPr>
        <w:t>或同等及以上品质品牌</w:t>
      </w:r>
      <w:r>
        <w:rPr>
          <w:rFonts w:hint="eastAsia" w:hAnsi="Times New Roman" w:cs="Times New Roman"/>
          <w:color w:val="auto"/>
          <w:sz w:val="24"/>
          <w:lang w:val="en-US" w:eastAsia="zh-CN"/>
        </w:rPr>
        <w:t>。</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2.31</w:t>
      </w:r>
      <w:r>
        <w:rPr>
          <w:rFonts w:hint="default" w:ascii="宋体" w:hAnsi="Times New Roman" w:eastAsia="宋体" w:cs="Times New Roman"/>
          <w:color w:val="auto"/>
          <w:sz w:val="24"/>
          <w:lang w:val="en-US" w:eastAsia="zh-CN"/>
        </w:rPr>
        <w:t>.悬臂系统</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 xml:space="preserve">结构形式：采用单臂回转结构。旋转范围：悬臂应能实现 ≥ 180° 的水平回转，覆盖设备关键维护区域。回转机构应灵活平稳，配备径向—推力组合轴承，手动推动力应 ≤ </w:t>
      </w:r>
      <w:r>
        <w:rPr>
          <w:rFonts w:hint="eastAsia" w:ascii="宋体" w:hAnsi="Times New Roman" w:eastAsia="宋体" w:cs="Times New Roman"/>
          <w:color w:val="auto"/>
          <w:sz w:val="24"/>
          <w:lang w:val="en-US" w:eastAsia="zh-CN"/>
        </w:rPr>
        <w:t>2</w:t>
      </w:r>
      <w:r>
        <w:rPr>
          <w:rFonts w:hint="default" w:ascii="宋体" w:hAnsi="Times New Roman" w:eastAsia="宋体" w:cs="Times New Roman"/>
          <w:color w:val="auto"/>
          <w:sz w:val="24"/>
          <w:lang w:val="en-US" w:eastAsia="zh-CN"/>
        </w:rPr>
        <w:t>0N。</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起升高度（从地面到吊钩最</w:t>
      </w:r>
      <w:r>
        <w:rPr>
          <w:rFonts w:hint="eastAsia" w:ascii="宋体" w:hAnsi="Times New Roman" w:eastAsia="宋体" w:cs="Times New Roman"/>
          <w:color w:val="auto"/>
          <w:sz w:val="24"/>
          <w:lang w:val="en-US" w:eastAsia="zh-CN"/>
        </w:rPr>
        <w:t>高</w:t>
      </w:r>
      <w:r>
        <w:rPr>
          <w:rFonts w:hint="default" w:ascii="宋体" w:hAnsi="Times New Roman" w:eastAsia="宋体" w:cs="Times New Roman"/>
          <w:color w:val="auto"/>
          <w:sz w:val="24"/>
          <w:lang w:val="en-US" w:eastAsia="zh-CN"/>
        </w:rPr>
        <w:t xml:space="preserve">点）应 ≥ </w:t>
      </w:r>
      <w:r>
        <w:rPr>
          <w:rFonts w:hint="eastAsia" w:ascii="宋体" w:hAnsi="Times New Roman" w:eastAsia="宋体" w:cs="Times New Roman"/>
          <w:color w:val="auto"/>
          <w:sz w:val="24"/>
          <w:lang w:val="en-US" w:eastAsia="zh-CN"/>
        </w:rPr>
        <w:t>1.5m</w:t>
      </w:r>
      <w:r>
        <w:rPr>
          <w:rFonts w:hint="eastAsia" w:hAnsi="Times New Roman" w:cs="Times New Roman"/>
          <w:color w:val="auto"/>
          <w:sz w:val="24"/>
          <w:lang w:val="en-US" w:eastAsia="zh-CN"/>
        </w:rPr>
        <w:t>。</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w:t>
      </w:r>
      <w:r>
        <w:rPr>
          <w:rFonts w:hint="default" w:ascii="宋体" w:hAnsi="Times New Roman" w:eastAsia="宋体" w:cs="Times New Roman"/>
          <w:color w:val="auto"/>
          <w:sz w:val="24"/>
          <w:lang w:val="en-US" w:eastAsia="zh-CN"/>
        </w:rPr>
        <w:t>3</w:t>
      </w:r>
      <w:r>
        <w:rPr>
          <w:rFonts w:hint="eastAsia" w:ascii="宋体" w:hAnsi="Times New Roman" w:eastAsia="宋体" w:cs="Times New Roman"/>
          <w:color w:val="auto"/>
          <w:sz w:val="24"/>
          <w:lang w:val="en-US" w:eastAsia="zh-CN"/>
        </w:rPr>
        <w:t>2</w:t>
      </w:r>
      <w:r>
        <w:rPr>
          <w:rFonts w:hint="default" w:ascii="宋体" w:hAnsi="Times New Roman" w:eastAsia="宋体" w:cs="Times New Roman"/>
          <w:color w:val="auto"/>
          <w:sz w:val="24"/>
          <w:lang w:val="en-US" w:eastAsia="zh-CN"/>
        </w:rPr>
        <w:t>. 起升机构</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驱动方式：</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下降速度控制：必须具有无级变速或微速下降功能，以实现精密装配和部件放置。</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2.3</w:t>
      </w:r>
      <w:r>
        <w:rPr>
          <w:rFonts w:hint="eastAsia" w:ascii="宋体" w:hAnsi="Times New Roman" w:eastAsia="宋体" w:cs="Times New Roman"/>
          <w:color w:val="auto"/>
          <w:sz w:val="24"/>
          <w:lang w:val="en-US" w:eastAsia="zh-CN"/>
        </w:rPr>
        <w:t>3</w:t>
      </w:r>
      <w:r>
        <w:rPr>
          <w:rFonts w:hint="default" w:ascii="宋体" w:hAnsi="Times New Roman" w:eastAsia="宋体" w:cs="Times New Roman"/>
          <w:color w:val="auto"/>
          <w:sz w:val="24"/>
          <w:lang w:val="en-US" w:eastAsia="zh-CN"/>
        </w:rPr>
        <w:t>.</w:t>
      </w:r>
      <w:r>
        <w:rPr>
          <w:rFonts w:hint="eastAsia" w:ascii="宋体" w:hAnsi="Times New Roman" w:eastAsia="宋体" w:cs="Times New Roman"/>
          <w:color w:val="auto"/>
          <w:sz w:val="24"/>
          <w:lang w:val="en-US" w:eastAsia="zh-CN"/>
        </w:rPr>
        <w:t>夹具结构</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夹抓需根据现有产品进行设计，具备挠性结构，夹具夹取工件需牢固可靠，平稳。</w:t>
      </w:r>
    </w:p>
    <w:p>
      <w:pPr>
        <w:pStyle w:val="17"/>
        <w:pageBreakBefore w:val="0"/>
        <w:kinsoku/>
        <w:wordWrap/>
        <w:overflowPunct/>
        <w:topLinePunct w:val="0"/>
        <w:autoSpaceDE/>
        <w:autoSpaceDN/>
        <w:bidi w:val="0"/>
        <w:spacing w:beforeAutospacing="0" w:afterAutospacing="0" w:line="300" w:lineRule="auto"/>
        <w:rPr>
          <w:rFonts w:hint="eastAsia" w:ascii="黑体" w:hAnsi="黑体" w:eastAsia="黑体"/>
          <w:b/>
          <w:bCs/>
          <w:sz w:val="28"/>
          <w:szCs w:val="28"/>
          <w:lang w:eastAsia="zh-CN"/>
        </w:rPr>
      </w:pPr>
      <w:r>
        <w:rPr>
          <w:rFonts w:hint="eastAsia" w:ascii="黑体" w:hAnsi="黑体" w:eastAsia="黑体"/>
          <w:b/>
          <w:bCs/>
          <w:sz w:val="28"/>
          <w:szCs w:val="28"/>
          <w:lang w:val="en-US" w:eastAsia="zh-CN"/>
        </w:rPr>
        <w:t>五</w:t>
      </w:r>
      <w:r>
        <w:rPr>
          <w:rFonts w:hint="eastAsia" w:ascii="黑体" w:hAnsi="黑体" w:eastAsia="黑体"/>
          <w:b/>
          <w:bCs/>
          <w:sz w:val="28"/>
          <w:szCs w:val="28"/>
        </w:rPr>
        <w:t>、</w:t>
      </w:r>
      <w:r>
        <w:rPr>
          <w:rFonts w:hint="eastAsia" w:ascii="黑体" w:hAnsi="黑体" w:eastAsia="黑体"/>
          <w:b/>
          <w:bCs/>
          <w:sz w:val="28"/>
          <w:szCs w:val="28"/>
          <w:lang w:val="en-US" w:eastAsia="zh-CN"/>
        </w:rPr>
        <w:t>设备基本要求</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1.安全防护装置</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安全防护装置符合欧洲的CE合格认证标准，确保操作作业区域、工件拿取、工件装配过程的安全。</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2.电气系统</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2.1 设备的电气控制部分设计、制造和安装应当遵循国家标准和相关规定(如3C认证等)。</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2.2 电气柜：独立落地型。柜内空间大，带照明和维修电源插座，维修电源插座必须配备漏电保护器。</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3. 设备漆色：设备外观（含原产线设备）喷涂颜色按中国重型汽车集团有限公司设备设施颜色标识附件4《Q/ZZ 30070—2020》规定执行。机器人颜色按原生产线颜色执行。</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4. 标识：电气系统、气动系统、油路系统都要有明确标识。液位、气压等有明显的上下限识别标识；气动系统、油路系统的管路有进出方向标识；电气柜各元器件标识明确、线缆线号便于维修时查找。</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5. 测量设备要求</w:t>
      </w:r>
    </w:p>
    <w:p>
      <w:pPr>
        <w:pStyle w:val="17"/>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投标方提供《监视、测量设备清单》，清单应包含所有监视和测量设备，如：压力表、温度计、流量计、传感器等。验收前，需提供清单中设备对应的国家、省、市、县级法定计量检测机构第三方检测机构出具的检定、校准或测试报告。</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.程序图纸要求</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必须提供所有设备程序的源代码，包括但不限于 PLC程序、HMI 程序、机器人程序、视觉程序、伺服等。</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所提供的程序不得设置任何密码、保护等限制手段，PLC 不得设置修改下载权限，功能块不得设置密码保护。</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.3 HMI 界面等需要密码保护的程序，</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必须提供所有级别的用户名、密码。</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 xml:space="preserve">.4 </w:t>
      </w:r>
      <w:r>
        <w:rPr>
          <w:rFonts w:hint="eastAsia" w:ascii="宋体" w:hAnsi="宋体" w:eastAsia="宋体" w:cs="Times New Roman"/>
          <w:color w:val="auto"/>
          <w:sz w:val="24"/>
          <w:szCs w:val="24"/>
          <w:highlight w:val="none"/>
          <w:lang w:val="en-US" w:eastAsia="zh-CN"/>
        </w:rPr>
        <w:t>投标</w:t>
      </w:r>
      <w:r>
        <w:rPr>
          <w:rFonts w:hint="eastAsia" w:ascii="宋体" w:hAnsi="宋体" w:eastAsia="宋体" w:cs="Times New Roman"/>
          <w:color w:val="auto"/>
          <w:sz w:val="24"/>
          <w:szCs w:val="24"/>
          <w:highlight w:val="none"/>
        </w:rPr>
        <w:t>方需在设备</w:t>
      </w:r>
      <w:r>
        <w:rPr>
          <w:rFonts w:hint="eastAsia" w:ascii="宋体" w:hAnsi="宋体" w:eastAsia="宋体" w:cs="Times New Roman"/>
          <w:color w:val="auto"/>
          <w:sz w:val="24"/>
          <w:szCs w:val="24"/>
          <w:highlight w:val="none"/>
          <w:lang w:val="en-US" w:eastAsia="zh-CN"/>
        </w:rPr>
        <w:t>验收</w:t>
      </w:r>
      <w:r>
        <w:rPr>
          <w:rFonts w:hint="eastAsia" w:ascii="宋体" w:hAnsi="宋体" w:eastAsia="宋体" w:cs="Times New Roman"/>
          <w:color w:val="auto"/>
          <w:sz w:val="24"/>
          <w:szCs w:val="24"/>
          <w:highlight w:val="none"/>
        </w:rPr>
        <w:t>前提供设备程序源码，HMI 界面各级用户名和密码，并保证与现场程序一致。</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 xml:space="preserve">.5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需在终验收前提供最新的设备程序源码和电气图纸，图纸要求为可编辑原格式（EPLAN、CAD 格式）且与实际接线一致。</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7.接口协议要求</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免费开放所有通讯接口，包括但不限于以太网、</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RS232、RS485、PROFIBUS、PROFINET、MODBUS 等常见接口，以及设备特有的专用接口。</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免费提供数据交互功能，交互数据包括但不限于实时数据、历史数据、报警信息等。</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在设备入场前提供接口的技术文档和参数说明，包括但不限于接口协议、通讯速率、数据格式等。</w:t>
      </w:r>
    </w:p>
    <w:p>
      <w:pPr>
        <w:pageBreakBefore w:val="0"/>
        <w:kinsoku/>
        <w:wordWrap/>
        <w:overflowPunct/>
        <w:topLinePunct w:val="0"/>
        <w:autoSpaceDE/>
        <w:autoSpaceDN/>
        <w:bidi w:val="0"/>
        <w:spacing w:beforeAutospacing="0" w:afterAutospacing="0" w:line="300" w:lineRule="auto"/>
        <w:ind w:firstLine="360" w:firstLineChars="15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.4 设备使用周期内，</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免费派遣技术人员与</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rPr>
        <w:t>方调试团队共同进行设备通讯接口的调试工作。</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Times New Roman"/>
          <w:color w:val="auto"/>
          <w:sz w:val="24"/>
          <w:szCs w:val="24"/>
          <w:highlight w:val="none"/>
          <w:lang w:val="en-US" w:eastAsia="zh-CN"/>
        </w:rPr>
        <w:t>8.电机功率≥7.5kW,必须选用一级能效，电机功率＜7.5kW，优先选用一级能效；其中能源供应设备及年运行时间≥2000h工艺设备电机必须选用一级能效。</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9.</w:t>
      </w:r>
      <w:r>
        <w:rPr>
          <w:rFonts w:hint="eastAsia" w:ascii="宋体" w:hAnsi="宋体" w:eastAsia="宋体" w:cs="宋体"/>
          <w:b w:val="0"/>
          <w:bCs w:val="0"/>
          <w:color w:val="auto"/>
          <w:sz w:val="24"/>
          <w:szCs w:val="24"/>
        </w:rPr>
        <w:t>主要品牌清单</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下列品牌同等及以上</w:t>
      </w:r>
      <w:r>
        <w:rPr>
          <w:rFonts w:hint="eastAsia" w:ascii="宋体" w:hAnsi="宋体" w:cs="宋体"/>
          <w:b w:val="0"/>
          <w:bCs w:val="0"/>
          <w:color w:val="auto"/>
          <w:sz w:val="24"/>
          <w:szCs w:val="24"/>
          <w:lang w:eastAsia="zh-CN"/>
        </w:rPr>
        <w:t>）</w:t>
      </w:r>
    </w:p>
    <w:tbl>
      <w:tblPr>
        <w:tblStyle w:val="36"/>
        <w:tblW w:w="80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3015"/>
        <w:gridCol w:w="3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0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3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气源三联件</w:t>
            </w:r>
          </w:p>
        </w:tc>
        <w:tc>
          <w:tcPr>
            <w:tcW w:w="3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FESTO/SMC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减压阀</w:t>
            </w:r>
          </w:p>
        </w:tc>
        <w:tc>
          <w:tcPr>
            <w:tcW w:w="3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FESTO/SMC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电控柜</w:t>
            </w:r>
          </w:p>
        </w:tc>
        <w:tc>
          <w:tcPr>
            <w:tcW w:w="3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进口/国产优质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控制盒</w:t>
            </w:r>
          </w:p>
        </w:tc>
        <w:tc>
          <w:tcPr>
            <w:tcW w:w="3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国产优质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PLC及I/O模块</w:t>
            </w:r>
          </w:p>
        </w:tc>
        <w:tc>
          <w:tcPr>
            <w:tcW w:w="3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Times New Roman"/>
                <w:lang w:val="en-US" w:eastAsia="zh-CN"/>
              </w:rPr>
              <w:t>试漏仪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Times New Roman"/>
                <w:lang w:val="en-US" w:eastAsia="zh-CN"/>
              </w:rPr>
              <w:t>佛罗里西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Times New Roman" w:hAnsi="Times New Roman" w:cs="Times New Roman"/>
                <w:lang w:val="en-US" w:eastAsia="zh-CN"/>
              </w:rPr>
              <w:t>横移机构</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进口/国产优质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noWrap/>
            <w:vAlign w:val="top"/>
          </w:tcPr>
          <w:p>
            <w:pPr>
              <w:pStyle w:val="13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cs="Times New Roman"/>
              </w:rPr>
              <w:t>到位检测装置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进口/国产优质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Times New Roman" w:hAnsi="Times New Roman" w:cs="Times New Roman"/>
              </w:rPr>
              <w:t>拧紧轴悬挂和升降机构</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进口/国产优质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noWrap/>
            <w:vAlign w:val="top"/>
          </w:tcPr>
          <w:p>
            <w:pPr>
              <w:pStyle w:val="13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cs="Times New Roman"/>
              </w:rPr>
              <w:t>拧紧轴及套筒</w:t>
            </w:r>
            <w:r>
              <w:rPr>
                <w:rFonts w:hint="eastAsia" w:cs="Times New Roman"/>
                <w:lang w:val="en-US" w:eastAsia="zh-CN"/>
              </w:rPr>
              <w:t>固定板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进口/国产优质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Times New Roman" w:hAnsi="Times New Roman" w:cs="Times New Roman"/>
              </w:rPr>
              <w:t>工控机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进口/国产优质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Times New Roman" w:hAnsi="Times New Roman" w:eastAsia="宋体" w:cs="Times New Roman"/>
                <w:color w:val="000000"/>
                <w:szCs w:val="18"/>
                <w:lang w:val="en-US" w:eastAsia="zh-CN"/>
              </w:rPr>
            </w:pPr>
            <w:r>
              <w:rPr>
                <w:rFonts w:hint="eastAsia" w:ascii="Times New Roman" w:hAnsi="Times New Roman" w:eastAsia="宋体" w:cs="Times New Roman"/>
                <w:color w:val="000000"/>
                <w:szCs w:val="18"/>
                <w:lang w:val="en-US" w:eastAsia="zh-CN"/>
              </w:rPr>
              <w:t>智能助力机械手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意得维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Times New Roman" w:hAnsi="Times New Roman" w:eastAsia="宋体" w:cs="Times New Roman"/>
                <w:color w:val="000000"/>
                <w:szCs w:val="18"/>
                <w:lang w:val="en-US" w:eastAsia="zh-CN"/>
              </w:rPr>
            </w:pPr>
            <w:r>
              <w:rPr>
                <w:rFonts w:hint="eastAsia" w:ascii="Times New Roman" w:hAnsi="Times New Roman" w:eastAsia="宋体" w:cs="Times New Roman"/>
                <w:color w:val="000000"/>
                <w:szCs w:val="18"/>
                <w:lang w:val="en-US" w:eastAsia="zh-CN"/>
              </w:rPr>
              <w:t>丝杠、滑块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HTK</w:t>
            </w:r>
          </w:p>
        </w:tc>
      </w:tr>
    </w:tbl>
    <w:p>
      <w:pPr>
        <w:pStyle w:val="22"/>
        <w:pageBreakBefore w:val="0"/>
        <w:kinsoku/>
        <w:wordWrap/>
        <w:overflowPunct/>
        <w:topLinePunct w:val="0"/>
        <w:autoSpaceDE/>
        <w:autoSpaceDN/>
        <w:bidi w:val="0"/>
        <w:spacing w:beforeAutospacing="0" w:afterAutospacing="0" w:line="300" w:lineRule="auto"/>
        <w:rPr>
          <w:rFonts w:hint="eastAsia"/>
          <w:lang w:val="en-US" w:eastAsia="zh-CN"/>
        </w:rPr>
      </w:pPr>
    </w:p>
    <w:p>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b w:val="0"/>
          <w:sz w:val="24"/>
          <w:szCs w:val="24"/>
        </w:rPr>
      </w:pPr>
      <w:bookmarkStart w:id="50" w:name="_Toc10963"/>
      <w:bookmarkStart w:id="51" w:name="_Toc5879"/>
      <w:bookmarkStart w:id="52" w:name="_Toc9668"/>
      <w:bookmarkStart w:id="53" w:name="_Toc10810"/>
      <w:bookmarkStart w:id="54" w:name="_Toc137705869"/>
      <w:r>
        <w:rPr>
          <w:rFonts w:hint="eastAsia" w:ascii="黑体" w:eastAsia="黑体"/>
          <w:b w:val="0"/>
          <w:sz w:val="24"/>
          <w:szCs w:val="24"/>
        </w:rPr>
        <w:br w:type="page"/>
      </w:r>
      <w:r>
        <w:rPr>
          <w:rFonts w:hint="eastAsia" w:ascii="黑体" w:eastAsia="黑体"/>
          <w:b w:val="0"/>
          <w:sz w:val="24"/>
          <w:szCs w:val="24"/>
        </w:rPr>
        <w:t>第三章  供货范围及供货方式</w:t>
      </w:r>
      <w:bookmarkEnd w:id="50"/>
      <w:bookmarkEnd w:id="51"/>
      <w:bookmarkEnd w:id="52"/>
      <w:bookmarkEnd w:id="53"/>
      <w:bookmarkEnd w:id="54"/>
    </w:p>
    <w:p>
      <w:pPr>
        <w:pStyle w:val="3"/>
        <w:pageBreakBefore w:val="0"/>
        <w:kinsoku/>
        <w:wordWrap/>
        <w:overflowPunct/>
        <w:topLinePunct w:val="0"/>
        <w:autoSpaceDE/>
        <w:autoSpaceDN/>
        <w:bidi w:val="0"/>
        <w:spacing w:before="0" w:beforeAutospacing="0" w:after="0" w:afterAutospacing="0" w:line="300" w:lineRule="auto"/>
        <w:jc w:val="center"/>
        <w:rPr>
          <w:rFonts w:hint="eastAsia"/>
          <w:b w:val="0"/>
          <w:sz w:val="24"/>
          <w:szCs w:val="24"/>
        </w:rPr>
      </w:pPr>
      <w:bookmarkStart w:id="55" w:name="_Toc19615"/>
      <w:bookmarkStart w:id="56" w:name="_Toc22761"/>
      <w:bookmarkStart w:id="57" w:name="_Toc15892"/>
      <w:bookmarkStart w:id="58" w:name="_Toc10065"/>
      <w:bookmarkStart w:id="59" w:name="_Toc137705870"/>
      <w:r>
        <w:rPr>
          <w:rFonts w:hint="eastAsia"/>
          <w:b w:val="0"/>
          <w:sz w:val="24"/>
          <w:szCs w:val="24"/>
        </w:rPr>
        <w:t>第一节  供货范围</w:t>
      </w:r>
      <w:bookmarkEnd w:id="55"/>
      <w:bookmarkEnd w:id="56"/>
      <w:bookmarkEnd w:id="57"/>
      <w:bookmarkEnd w:id="58"/>
      <w:bookmarkEnd w:id="59"/>
    </w:p>
    <w:p>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一、主要货物一般供货范围界定</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1、供货范围包括本技术标书“采购货物概况” 所列及所要求的设备。</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2、供货范围包括为保证设备正常安装、调试和验收完成及以前所必需的整套配件、附件及材料、油料、控制软件及程序或指令等。</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如果终验收完成后，投标方有需要收回的配件、附件、材料、油料等，应当在投标文件的技术偏离条款中，予以详细说明；否则视同包括在供货范围之内。</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3、供货范围包括货物维护维修所必需的专用工具。</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如投标方难以提供或无优势提供以及属于选用配置的，则应当在投标文件的技术偏离条款中，予以详细说明并注明投标报价未包含该部分的货值。</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5、供货范围包括为保证设备自身正常运行所必需的、满足使用地点环境条件的通风、冷却、降温等必需设施。</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6、以“交钥匙”方式采购的设备，在满足技术标书本节上述要求之外，供货范围还包括如下界定（货物）：</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6.2  供货范围包括设备正常运行所必需的全套连线设备、材料等。如货物端联接法兰外端面之内的、电气系统接口压线板（插座等）之内的设备、材料、联接螺栓、垫片等。</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6.3  供货范围包括设备正常运行、使用所需要的过桥、护栏、防护网、盖板等辅助设施。</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二、备品备件、易损件和专用耗材供货范围</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rPr>
        <w:t>1、备品备件、易损件和专用耗材是招标方为保证设备质保期之后正常运行一年所自备自用的备品备件、易损件和专用耗材。质保期之内正常需要的备品备件、易损</w:t>
      </w:r>
      <w:r>
        <w:rPr>
          <w:rFonts w:hint="eastAsia" w:ascii="宋体" w:hAnsi="宋体" w:eastAsia="宋体" w:cs="Times New Roman"/>
        </w:rPr>
        <w:t>件和专用耗材全部包括在供货范围之内而不属于本条款界定的范围。</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2</w:t>
      </w:r>
      <w:r>
        <w:rPr>
          <w:rFonts w:hint="eastAsia" w:ascii="宋体" w:hAnsi="宋体" w:eastAsia="宋体" w:cs="Times New Roman"/>
          <w:lang w:eastAsia="zh-CN"/>
        </w:rPr>
        <w:t>、</w:t>
      </w:r>
      <w:r>
        <w:rPr>
          <w:rFonts w:hint="eastAsia" w:ascii="宋体" w:hAnsi="宋体" w:eastAsia="宋体" w:cs="Times New Roman"/>
        </w:rPr>
        <w:t>投标方应提供设备维修所必需的专用工具，并附详细清单（包括名称、型号、规格、单位、数量、生产厂家、单价、总价等条目）；</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lang w:val="en-US" w:eastAsia="zh-CN"/>
        </w:rPr>
        <w:t>3</w:t>
      </w:r>
      <w:r>
        <w:rPr>
          <w:rFonts w:hint="eastAsia" w:ascii="宋体" w:hAnsi="宋体" w:eastAsia="宋体" w:cs="Times New Roman"/>
        </w:rPr>
        <w:t>、供货范围包括易损件和专用耗材的制造图纸及其技术要求等资料。</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宋体"/>
          <w:color w:val="auto"/>
          <w:sz w:val="24"/>
          <w:szCs w:val="24"/>
          <w:lang w:eastAsia="zh-CN"/>
        </w:rPr>
      </w:pPr>
      <w:r>
        <w:rPr>
          <w:rFonts w:hint="eastAsia" w:ascii="宋体" w:hAnsi="宋体" w:eastAsia="宋体" w:cs="Times New Roman"/>
          <w:color w:val="auto"/>
          <w:lang w:val="en-US" w:eastAsia="zh-CN"/>
        </w:rPr>
        <w:t>4</w:t>
      </w:r>
      <w:r>
        <w:rPr>
          <w:rFonts w:hint="eastAsia" w:ascii="宋体" w:hAnsi="宋体" w:eastAsia="宋体" w:cs="Times New Roman"/>
          <w:color w:val="auto"/>
        </w:rPr>
        <w:t>、</w:t>
      </w:r>
      <w:r>
        <w:rPr>
          <w:rFonts w:hint="eastAsia" w:ascii="宋体" w:hAnsi="宋体" w:eastAsia="宋体" w:cs="宋体"/>
          <w:color w:val="auto"/>
          <w:sz w:val="24"/>
          <w:szCs w:val="24"/>
        </w:rPr>
        <w:t>为了保证设备质保期满后，还能得到优惠的备件供应，投标方须提供每个部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四个月内提交给招标方</w:t>
      </w:r>
      <w:r>
        <w:rPr>
          <w:rFonts w:hint="eastAsia" w:ascii="宋体" w:hAnsi="宋体" w:eastAsia="宋体" w:cs="宋体"/>
          <w:color w:val="auto"/>
          <w:sz w:val="24"/>
          <w:szCs w:val="24"/>
          <w:lang w:eastAsia="zh-CN"/>
        </w:rPr>
        <w:t>。</w:t>
      </w:r>
    </w:p>
    <w:p>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rPr>
      </w:pP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备品备件、易损件和专用耗材，其费用应分类单列，并计入投标总报价之</w:t>
      </w:r>
    </w:p>
    <w:p>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三、技术资料供货范围</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color w:val="auto"/>
        </w:rPr>
      </w:pPr>
      <w:r>
        <w:rPr>
          <w:rFonts w:hint="eastAsia" w:ascii="宋体" w:hAnsi="宋体"/>
          <w:color w:val="auto"/>
        </w:rPr>
        <w:t>技术资料供货范围包括：</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bCs/>
        </w:rPr>
      </w:pPr>
      <w:r>
        <w:rPr>
          <w:rFonts w:hint="eastAsia" w:ascii="宋体" w:hAnsi="宋体"/>
          <w:color w:val="auto"/>
        </w:rPr>
        <w:t>1、在</w:t>
      </w:r>
      <w:r>
        <w:rPr>
          <w:rFonts w:hint="eastAsia" w:ascii="宋体" w:hAnsi="宋体"/>
          <w:bCs/>
          <w:color w:val="auto"/>
        </w:rPr>
        <w:t>合同签订后</w:t>
      </w:r>
      <w:r>
        <w:rPr>
          <w:rFonts w:hint="eastAsia" w:ascii="宋体" w:hAnsi="宋体"/>
          <w:bCs/>
          <w:color w:val="auto"/>
          <w:u w:val="single"/>
          <w:shd w:val="pct10" w:color="auto" w:fill="FFFFFF"/>
        </w:rPr>
        <w:t xml:space="preserve"> </w:t>
      </w:r>
      <w:r>
        <w:rPr>
          <w:rFonts w:hint="eastAsia" w:ascii="宋体" w:hAnsi="宋体"/>
          <w:bCs/>
          <w:color w:val="auto"/>
          <w:u w:val="single"/>
          <w:shd w:val="pct10" w:color="auto" w:fill="FFFFFF"/>
          <w:lang w:val="en-US" w:eastAsia="zh-CN"/>
        </w:rPr>
        <w:t>20</w:t>
      </w:r>
      <w:r>
        <w:rPr>
          <w:rFonts w:hint="eastAsia" w:ascii="宋体" w:hAnsi="宋体"/>
          <w:bCs/>
          <w:color w:val="auto"/>
          <w:u w:val="single"/>
          <w:shd w:val="pct10" w:color="auto" w:fill="FFFFFF"/>
        </w:rPr>
        <w:t xml:space="preserve"> </w:t>
      </w:r>
      <w:r>
        <w:rPr>
          <w:rFonts w:hint="eastAsia" w:ascii="宋体" w:hAnsi="宋体"/>
          <w:bCs/>
          <w:color w:val="auto"/>
        </w:rPr>
        <w:t>个日历日内，提供设备基础及相关的设计、制作所需的纸质及电子版资料；电子版文件应当能够使用常用版本软件可以阅读甚至使用，进口货</w:t>
      </w:r>
      <w:r>
        <w:rPr>
          <w:rFonts w:hint="eastAsia" w:ascii="宋体" w:hAnsi="宋体"/>
          <w:bCs/>
        </w:rPr>
        <w:t>物、设备应有中外文对照。</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2、在预验收前，</w:t>
      </w:r>
      <w:r>
        <w:rPr>
          <w:rFonts w:hint="eastAsia" w:ascii="宋体" w:hAnsi="宋体"/>
          <w:bCs/>
        </w:rPr>
        <w:t>提供设备各部分的功能描述文件、图片、影像等资料（进口、设备应有中外文对照）。</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3、在终验收前，提供为保证设备后续正常运行所需的工装、吊（挂）具明细及其图纸、具体技术要求等资料（如果供货范围包含该部分实物）。</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4、在终验收前，提供确定的维修所需要且招标方可以自行采购的外购件、外协件、电气元件及主要原材料的供货厂家明细表。</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5、在终验收后的第一笔货款支付日之前，提供包括设备的备品备件、易损件和专用耗材的图纸及技术参数、技术要求等资料。</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8、本条款所列的技术资料、图片、影像等，投标方应各提供4套，其中2套为电子版光（U）盘；每份技术文件应装有目录清单。</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9、本条款所列要求，如招标方认为投标方提供的资料不能满足要求时，有权要求投标方免费补充或增加。</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pPr>
        <w:pStyle w:val="3"/>
        <w:pageBreakBefore w:val="0"/>
        <w:kinsoku/>
        <w:wordWrap/>
        <w:overflowPunct/>
        <w:topLinePunct w:val="0"/>
        <w:autoSpaceDE/>
        <w:autoSpaceDN/>
        <w:bidi w:val="0"/>
        <w:spacing w:before="0" w:beforeAutospacing="0" w:after="0" w:afterAutospacing="0" w:line="300" w:lineRule="auto"/>
        <w:jc w:val="center"/>
        <w:rPr>
          <w:rFonts w:hint="eastAsia"/>
          <w:b w:val="0"/>
          <w:sz w:val="24"/>
          <w:szCs w:val="24"/>
        </w:rPr>
      </w:pPr>
      <w:bookmarkStart w:id="60" w:name="_Toc13936"/>
      <w:bookmarkStart w:id="61" w:name="_Toc26064"/>
      <w:bookmarkStart w:id="62" w:name="_Toc8159"/>
      <w:bookmarkStart w:id="63" w:name="_Toc137705871"/>
      <w:bookmarkStart w:id="64" w:name="_Toc9858"/>
      <w:r>
        <w:rPr>
          <w:rFonts w:hint="eastAsia"/>
          <w:b w:val="0"/>
          <w:sz w:val="24"/>
          <w:szCs w:val="24"/>
        </w:rPr>
        <w:t>第二节  供货方式</w:t>
      </w:r>
      <w:bookmarkEnd w:id="60"/>
      <w:bookmarkEnd w:id="61"/>
      <w:bookmarkEnd w:id="62"/>
      <w:bookmarkEnd w:id="63"/>
      <w:bookmarkEnd w:id="64"/>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一、供货地点：</w:t>
      </w:r>
      <w:r>
        <w:rPr>
          <w:rFonts w:hint="eastAsia" w:ascii="宋体" w:hAnsi="宋体"/>
        </w:rPr>
        <w:t>本项目建设工地。</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黑体" w:hAnsi="宋体" w:eastAsia="黑体"/>
        </w:rPr>
      </w:pPr>
      <w:r>
        <w:rPr>
          <w:rFonts w:hint="eastAsia" w:ascii="黑体" w:hAnsi="宋体" w:eastAsia="黑体"/>
        </w:rPr>
        <w:t>二、供货时间</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1、以交钥匙方式供货的，按照以下时间要求（安装调试工期超过10个日历日的，投标方应当随标书提供详细的工期计划）：</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eastAsia="宋体" w:cs="Times New Roman"/>
          <w:lang w:eastAsia="zh-CN"/>
        </w:rPr>
      </w:pPr>
      <w:r>
        <w:rPr>
          <w:rFonts w:hint="eastAsia" w:ascii="宋体" w:hAnsi="宋体"/>
        </w:rPr>
        <w:t>1.1  自</w:t>
      </w:r>
      <w:r>
        <w:rPr>
          <w:rFonts w:ascii="宋体" w:hAnsi="宋体" w:eastAsia="宋体" w:cs="宋体"/>
          <w:sz w:val="24"/>
          <w:szCs w:val="24"/>
        </w:rPr>
        <w:t>中标通知发出之日</w:t>
      </w:r>
      <w:r>
        <w:rPr>
          <w:rFonts w:hint="eastAsia" w:ascii="宋体" w:hAnsi="宋体"/>
        </w:rPr>
        <w:t>起，</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90</w:t>
      </w:r>
      <w:r>
        <w:rPr>
          <w:rFonts w:hint="eastAsia" w:ascii="宋体" w:hAnsi="宋体"/>
          <w:u w:val="single"/>
          <w:shd w:val="pct10" w:color="auto" w:fill="FFFFFF"/>
        </w:rPr>
        <w:t xml:space="preserve"> </w:t>
      </w:r>
      <w:r>
        <w:rPr>
          <w:rFonts w:hint="eastAsia" w:ascii="宋体" w:hAnsi="宋体"/>
        </w:rPr>
        <w:t>个日历日之内交货至供货</w:t>
      </w:r>
      <w:r>
        <w:rPr>
          <w:rFonts w:hint="eastAsia" w:ascii="宋体" w:hAnsi="宋体" w:eastAsia="宋体" w:cs="Times New Roman"/>
        </w:rPr>
        <w:t>地点。提前开展</w:t>
      </w:r>
      <w:r>
        <w:rPr>
          <w:rFonts w:hint="eastAsia" w:ascii="宋体" w:hAnsi="宋体" w:eastAsia="宋体" w:cs="Times New Roman"/>
          <w:lang w:val="en-US" w:eastAsia="zh-CN"/>
        </w:rPr>
        <w:t>设备</w:t>
      </w:r>
      <w:r>
        <w:rPr>
          <w:rFonts w:hint="eastAsia" w:ascii="宋体" w:hAnsi="宋体" w:eastAsia="宋体" w:cs="Times New Roman"/>
        </w:rPr>
        <w:t>基础施工，具备到货后即可进行设备安装</w:t>
      </w:r>
      <w:r>
        <w:rPr>
          <w:rFonts w:hint="eastAsia" w:ascii="宋体" w:hAnsi="宋体" w:eastAsia="宋体" w:cs="Times New Roman"/>
          <w:lang w:val="en-US" w:eastAsia="zh-CN"/>
        </w:rPr>
        <w:t>的条件</w:t>
      </w:r>
      <w:r>
        <w:rPr>
          <w:rFonts w:hint="eastAsia" w:ascii="宋体" w:hAnsi="宋体" w:eastAsia="宋体" w:cs="Times New Roman"/>
          <w:lang w:eastAsia="zh-CN"/>
        </w:rPr>
        <w:t>。</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1.2  接续</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10</w:t>
      </w:r>
      <w:r>
        <w:rPr>
          <w:rFonts w:hint="eastAsia" w:ascii="宋体" w:hAnsi="宋体"/>
          <w:u w:val="single"/>
          <w:shd w:val="pct10" w:color="auto" w:fill="FFFFFF"/>
        </w:rPr>
        <w:t xml:space="preserve"> </w:t>
      </w:r>
      <w:r>
        <w:rPr>
          <w:rFonts w:hint="eastAsia" w:ascii="宋体" w:hAnsi="宋体"/>
        </w:rPr>
        <w:t>个日历日之内安装调试完毕。</w:t>
      </w:r>
    </w:p>
    <w:p>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lang w:val="en-US" w:eastAsia="zh-CN"/>
        </w:rPr>
        <w:t>三</w:t>
      </w:r>
      <w:r>
        <w:rPr>
          <w:rFonts w:hint="eastAsia" w:ascii="黑体" w:hAnsi="宋体" w:eastAsia="黑体"/>
        </w:rPr>
        <w:t>、包装</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1、所提供设备的包装，应遵照国家标准和有关包装、包皮的技术条件，或按照最好的商业惯例进行包装。</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2、包装应能满足所需要采取的运输方式（船运、汽运或铁路运输）、多次吊装卸装、卸货以及长期露天堆放要求，应能防止雨淋、受潮、生锈、腐蚀、受振、受磁以及机械和化学因素等引起的损坏。</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3、所提供设备的包装，应能防止其一般性被窃或受外力破坏；一般不得采用有大缝隙的板条包装。</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4、应对包装件做必要的加固和固定，以防止运输可能造成的损坏。</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5、每个包装件应有装箱单，并至少标明名称、型号规格、数量、净重和毛重、投标方（或供货商）名称和制造日期等相关内容。</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6、每个包装箱应有明显标志，并具有中文书写的合同号、装运标志、发货和到货地点名称、发货人和收货人名称、设备名称和项目号、箱号和外型尺寸等内容。</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7、应按照不同的装运要求在包装箱上标明“小心轻放”、“箭头向上”、“防潮”、“防磁”、“不准平放”等标志，以及其它适用的国标通用标志。</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8、包装箱应连续编号，不应出现重复编号。</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9、在不受到外界破坏情况下，包装应保证自交货日起一年内货物（或设备）完好无损。</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lang w:val="en-US" w:eastAsia="zh-CN"/>
        </w:rPr>
        <w:t>四</w:t>
      </w:r>
      <w:r>
        <w:rPr>
          <w:rFonts w:hint="eastAsia" w:ascii="黑体" w:hAnsi="宋体" w:eastAsia="黑体"/>
        </w:rPr>
        <w:t>、运输</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1、应负责将设备运到目的地，并必须做到设备在任何运输过程中不受损坏和遗失。</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2、同批设备应统一包装、编号运输。</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3、一般情况下，经由铁路、公路运输的包装件尺寸和重量不应超过国家所规定的尺寸限制。特殊情况应予以说明。</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4、在每批设备发出后，应立即通知招标方；通知中应指明：合同号、货运单号、件数、重量和设备发出日期等相关内容。</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5、设备运抵交货地点后，应负责货物（或设备）的卸货、搬运、保管等事宜；或按照合同约定。</w:t>
      </w:r>
    </w:p>
    <w:p>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b w:val="0"/>
          <w:sz w:val="24"/>
          <w:szCs w:val="24"/>
        </w:rPr>
      </w:pPr>
      <w:r>
        <w:rPr>
          <w:rFonts w:ascii="宋体" w:hAnsi="宋体"/>
        </w:rPr>
        <w:br w:type="page"/>
      </w:r>
      <w:bookmarkStart w:id="65" w:name="_Toc137705872"/>
      <w:bookmarkStart w:id="66" w:name="_Toc28593"/>
      <w:bookmarkStart w:id="67" w:name="_Toc9796"/>
      <w:bookmarkStart w:id="68" w:name="_Toc2931"/>
      <w:bookmarkStart w:id="69" w:name="_Toc30960"/>
      <w:r>
        <w:rPr>
          <w:rFonts w:hint="eastAsia" w:ascii="黑体" w:eastAsia="黑体"/>
          <w:b w:val="0"/>
          <w:bCs w:val="0"/>
          <w:sz w:val="24"/>
          <w:szCs w:val="24"/>
        </w:rPr>
        <w:t xml:space="preserve">第四章  </w:t>
      </w:r>
      <w:r>
        <w:rPr>
          <w:rFonts w:hint="eastAsia" w:ascii="黑体" w:eastAsia="黑体"/>
          <w:b w:val="0"/>
          <w:bCs w:val="0"/>
          <w:sz w:val="24"/>
          <w:szCs w:val="24"/>
          <w:lang w:val="en-US" w:eastAsia="zh-CN"/>
        </w:rPr>
        <w:t>质保期及</w:t>
      </w:r>
      <w:r>
        <w:rPr>
          <w:rFonts w:hint="eastAsia" w:ascii="黑体" w:eastAsia="黑体"/>
          <w:b w:val="0"/>
          <w:bCs w:val="0"/>
          <w:sz w:val="24"/>
          <w:szCs w:val="24"/>
        </w:rPr>
        <w:t>售中售后服务</w:t>
      </w:r>
      <w:bookmarkEnd w:id="65"/>
      <w:bookmarkEnd w:id="66"/>
      <w:bookmarkEnd w:id="67"/>
      <w:bookmarkEnd w:id="68"/>
      <w:bookmarkEnd w:id="69"/>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黑体" w:hAnsi="宋体" w:eastAsia="黑体"/>
        </w:rPr>
      </w:pPr>
      <w:r>
        <w:rPr>
          <w:rFonts w:hint="eastAsia" w:ascii="黑体" w:hAnsi="宋体" w:eastAsia="黑体"/>
          <w:lang w:val="en-US" w:eastAsia="zh-CN"/>
        </w:rPr>
        <w:t>一</w:t>
      </w:r>
      <w:r>
        <w:rPr>
          <w:rFonts w:hint="eastAsia" w:ascii="黑体" w:hAnsi="宋体" w:eastAsia="黑体"/>
        </w:rPr>
        <w:t>、质保期及质保要求</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1、全部供货范围内的设备、材料、零配件和工器具等，除合同特别约定外，其质保期均自终验收签字生效之日起</w:t>
      </w:r>
      <w:r>
        <w:rPr>
          <w:rFonts w:hint="eastAsia" w:ascii="宋体" w:hAnsi="宋体"/>
          <w:u w:val="single"/>
          <w:shd w:val="pct10" w:color="auto" w:fill="FFFFFF"/>
        </w:rPr>
        <w:t xml:space="preserve">  12   </w:t>
      </w:r>
      <w:r>
        <w:rPr>
          <w:rFonts w:hint="eastAsia" w:ascii="宋体" w:hAnsi="宋体"/>
        </w:rPr>
        <w:t>个月。</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投标货物或涉及的关键总成和零件，如果有更长时间质保期，允许更改并说明，此将有利于投标方。</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设计使用寿命短于质保期的易损件除外，但属于易损件的，应当有明确说明。</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2、质保期之内，如果设备出现设备、总成、关键零部件或者多处一般零部件的更换或维修行为，则质保期自更换或维修行为结束、设备重新正常运行使用之日起重新计算。</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3、质保期内免费提供零部件和及时有效的服务。质保期内因货物本身缺陷造成的各种故障，投标方应负责免费维修和服务。</w:t>
      </w:r>
    </w:p>
    <w:p>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4、质保期终止之日起</w:t>
      </w:r>
      <w:r>
        <w:rPr>
          <w:rFonts w:hint="eastAsia" w:ascii="宋体" w:hAnsi="宋体"/>
          <w:lang w:val="en-US" w:eastAsia="zh-CN"/>
        </w:rPr>
        <w:t>一年</w:t>
      </w:r>
      <w:r>
        <w:rPr>
          <w:rFonts w:hint="eastAsia" w:ascii="宋体" w:hAnsi="宋体"/>
        </w:rPr>
        <w:t>内重复出现的质保期之内出现的故障，仍属质保范围而且应当免费。</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lang w:val="en-US" w:eastAsia="zh-CN"/>
        </w:rPr>
        <w:t>二</w:t>
      </w:r>
      <w:r>
        <w:rPr>
          <w:rFonts w:hint="eastAsia" w:ascii="黑体" w:hAnsi="宋体" w:eastAsia="黑体"/>
        </w:rPr>
        <w:t>、技术及培训服务</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1、应负责对招标方</w:t>
      </w:r>
      <w:r>
        <w:rPr>
          <w:rFonts w:hint="eastAsia" w:ascii="宋体" w:hAnsi="宋体"/>
          <w:u w:val="single"/>
          <w:shd w:val="pct10" w:color="auto" w:fill="FFFFFF"/>
        </w:rPr>
        <w:t xml:space="preserve">  3-5  </w:t>
      </w:r>
      <w:r>
        <w:rPr>
          <w:rFonts w:hint="eastAsia" w:ascii="宋体" w:hAnsi="宋体"/>
        </w:rPr>
        <w:t>名技术、维修和操作人员提供不少于</w:t>
      </w:r>
      <w:r>
        <w:rPr>
          <w:rFonts w:hint="eastAsia" w:ascii="宋体" w:hAnsi="宋体"/>
          <w:u w:val="single"/>
          <w:shd w:val="pct10" w:color="auto" w:fill="FFFFFF"/>
        </w:rPr>
        <w:t xml:space="preserve">   2  </w:t>
      </w:r>
      <w:r>
        <w:rPr>
          <w:rFonts w:hint="eastAsia" w:ascii="宋体" w:hAnsi="宋体"/>
        </w:rPr>
        <w:t>个日历日的免费的、招标方生产制造现场的理论、技术和操作、维修等方面的技术指导和培训,提供免费的2人在机器人工厂的标准培训，培训内容包括</w:t>
      </w:r>
      <w:r>
        <w:rPr>
          <w:rFonts w:hint="eastAsia"/>
          <w:lang w:val="zh-CN"/>
        </w:rPr>
        <w:t>机器人编程及简单维护培训、电气培训。</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2、应负责在招标方设备使用现场，进行1～2次免费的技术指导和培训，并接受招标方有关人员的技术咨询。</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3、应免费提供一定数量的培训资料。</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4、应按要求免费积极协助和提供招标方以及招标方所委托的工程设计单位有关人员所需要的、与设备有关的工程设计资料、技术咨询等。</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5、若投标方提供的设备涉及到外购外协货物、而且该货物的技术质量等较为关键时，投标方应能保证得到配套厂家的技术支持，并免费为招标方提供技术服务。</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rPr>
        <w:t>二、安装调试及验收服务</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2、若投标方提供的设备涉及到外购外协货物、而且该货物的技术质量等较为关键时，应保证能得到供应商的技术支持，并免费为招标方提供安装使用现场的指导与培训。</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5、投标方应当向招标方提供货物试验、验收的有关标准、规范和方法，同时提供货物涉及并使用的软件合法性证明。</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6、服务缺陷视同货物缺陷和履约延期。</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rPr>
        <w:t>三、售后服务</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1、投标方提供的设备涉及的所有售后服务均由投标方负责。如果发生问题并且收到通知，投标方应当在2小时内予以答复。</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2、如发现所提供的设备存在问题，需要投标方解决或配合解决时：在质保期之内，应在接到通知后</w:t>
      </w:r>
      <w:r>
        <w:rPr>
          <w:rFonts w:hint="eastAsia" w:ascii="宋体" w:hAnsi="宋体"/>
          <w:u w:val="single"/>
          <w:shd w:val="pct10" w:color="auto" w:fill="FFFFFF"/>
        </w:rPr>
        <w:t xml:space="preserve">  24    </w:t>
      </w:r>
      <w:r>
        <w:rPr>
          <w:rFonts w:hint="eastAsia" w:ascii="宋体" w:hAnsi="宋体"/>
        </w:rPr>
        <w:t>小时内派有关人员到达现场；在质保期之外，应在接到通知后</w:t>
      </w:r>
      <w:r>
        <w:rPr>
          <w:rFonts w:hint="eastAsia" w:ascii="宋体" w:hAnsi="宋体"/>
          <w:u w:val="single"/>
          <w:shd w:val="pct10" w:color="auto" w:fill="FFFFFF"/>
        </w:rPr>
        <w:t xml:space="preserve">  24   </w:t>
      </w:r>
      <w:r>
        <w:rPr>
          <w:rFonts w:hint="eastAsia" w:ascii="宋体" w:hAnsi="宋体"/>
        </w:rPr>
        <w:t>小时内派有关人员到达现场。</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3、投标方派往招标方使用现场的人员，应具有较高的业务素质；现场解决问题时，不得无故拖延或推迟，应为招标方提供最佳的服务。</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rPr>
        <w:t>四、其它服务</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1、若投标方所提供设备有需要进口的，投标方一般应自行、自费办理；必要时，买卖双方共同办理。</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2、除招标文件、投标文件、答疑文件、技术协议、合同等约定之外，投标方应免费负责必要的或强制性的设备的检验、试验、化验等直接费用。</w:t>
      </w:r>
    </w:p>
    <w:p>
      <w:pPr>
        <w:pageBreakBefore w:val="0"/>
        <w:kinsoku/>
        <w:wordWrap/>
        <w:overflowPunct/>
        <w:topLinePunct w:val="0"/>
        <w:autoSpaceDE/>
        <w:autoSpaceDN/>
        <w:bidi w:val="0"/>
        <w:spacing w:beforeAutospacing="0" w:afterAutospacing="0" w:line="300" w:lineRule="auto"/>
        <w:ind w:firstLine="420" w:firstLineChars="200"/>
        <w:rPr>
          <w:rFonts w:hint="eastAsia"/>
        </w:rPr>
      </w:pPr>
      <w:r>
        <w:rPr>
          <w:rFonts w:hint="eastAsia" w:ascii="宋体" w:hAnsi="宋体"/>
        </w:rPr>
        <w:t>3、本章节条款所列“免费”，并非指定不可收费，而是指招标文件、投标文件、</w:t>
      </w:r>
      <w:r>
        <w:rPr>
          <w:rFonts w:hint="eastAsia"/>
        </w:rPr>
        <w:t>答疑文件、技术交流文件、技术协议书和合同等范围之外，投标方不可另行收取的费用。</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pPr>
        <w:pStyle w:val="2"/>
        <w:pageBreakBefore w:val="0"/>
        <w:kinsoku/>
        <w:wordWrap/>
        <w:overflowPunct/>
        <w:topLinePunct w:val="0"/>
        <w:autoSpaceDE/>
        <w:autoSpaceDN/>
        <w:bidi w:val="0"/>
        <w:spacing w:before="0" w:beforeAutospacing="0" w:after="0" w:afterAutospacing="0" w:line="300" w:lineRule="auto"/>
        <w:jc w:val="center"/>
        <w:outlineLvl w:val="0"/>
        <w:rPr>
          <w:rFonts w:hint="eastAsia" w:ascii="黑体" w:eastAsia="黑体"/>
          <w:b w:val="0"/>
          <w:sz w:val="24"/>
          <w:szCs w:val="24"/>
        </w:rPr>
      </w:pPr>
      <w:r>
        <w:rPr>
          <w:rFonts w:ascii="宋体" w:hAnsi="宋体"/>
        </w:rPr>
        <w:br w:type="page"/>
      </w:r>
      <w:bookmarkStart w:id="70" w:name="_Toc19419"/>
      <w:bookmarkStart w:id="71" w:name="_Toc9060"/>
      <w:bookmarkStart w:id="72" w:name="_Toc137705873"/>
      <w:bookmarkStart w:id="73" w:name="_Toc21539"/>
      <w:bookmarkStart w:id="74" w:name="_Toc23200"/>
      <w:r>
        <w:rPr>
          <w:rFonts w:hint="eastAsia" w:ascii="黑体" w:eastAsia="黑体"/>
          <w:b w:val="0"/>
          <w:sz w:val="24"/>
          <w:szCs w:val="24"/>
        </w:rPr>
        <w:t>第五章  预验收和终验收</w:t>
      </w:r>
      <w:bookmarkEnd w:id="70"/>
      <w:bookmarkEnd w:id="71"/>
      <w:bookmarkEnd w:id="72"/>
      <w:bookmarkEnd w:id="73"/>
      <w:bookmarkEnd w:id="74"/>
    </w:p>
    <w:p>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一、验收的一般约定</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1、验收标准一般以技术协议书和合同规定验收。</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2、如果验收过程中，发现招标文件、投标文件、答疑文件、技术交流文件等与技术协议书、合同存在差异，原则上以涉及条款中对招标方最有利条款为验收依据。</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rPr>
        <w:t>二、检验</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如果采购货物涉及必要的或必需的检验，投标方应当在投标档中明确可能涉及的检验费用，并将该费用包含在投标总报价之内；不作针对性澄清或说明的，视同包含在投标总价之内。基本约定如下：</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1、国产货物的检验由买卖双方按照合同要求或在制造现场进行。</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2、进口货物的检验，投标方需要按照下述要求进行：</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ascii="宋体" w:hAnsi="宋体"/>
        </w:rPr>
      </w:pPr>
      <w:r>
        <w:rPr>
          <w:rFonts w:hint="eastAsia" w:ascii="宋体" w:hAnsi="宋体"/>
        </w:rPr>
        <w:t>2.1  进口货物发货前，应对货物的质量、型号、规格、性能和数量/重量作精密、全面的检验，并出具证明书，证明所供货物符合合同规定。</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ascii="宋体" w:hAnsi="宋体"/>
        </w:rPr>
      </w:pPr>
      <w:r>
        <w:rPr>
          <w:rFonts w:hint="eastAsia" w:ascii="宋体" w:hAnsi="宋体"/>
        </w:rPr>
        <w:t>2.2  应依据合同规定的要求，提供买卖双方达成一致的货物的验收标准和装箱单，作为招标方检验的依据。</w:t>
      </w:r>
    </w:p>
    <w:p>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rPr>
        <w:t>0</w:t>
      </w:r>
      <w:r>
        <w:rPr>
          <w:rFonts w:hint="eastAsia" w:ascii="宋体" w:hAnsi="宋体"/>
        </w:rPr>
        <w:t>个日历日内，根据中国商品检验检疫局出具的证明书向投标方提出索赔，因索赔所发生的一切费用</w:t>
      </w:r>
      <w:r>
        <w:rPr>
          <w:rFonts w:ascii="宋体" w:hAnsi="宋体"/>
        </w:rPr>
        <w:t>(</w:t>
      </w:r>
      <w:r>
        <w:rPr>
          <w:rFonts w:hint="eastAsia" w:ascii="宋体" w:hAnsi="宋体"/>
        </w:rPr>
        <w:t>包括检验检疫费等</w:t>
      </w:r>
      <w:r>
        <w:rPr>
          <w:rFonts w:ascii="宋体" w:hAnsi="宋体"/>
        </w:rPr>
        <w:t>)</w:t>
      </w:r>
      <w:r>
        <w:rPr>
          <w:rFonts w:hint="eastAsia" w:ascii="宋体" w:hAnsi="宋体"/>
        </w:rPr>
        <w:t>均由投标方承担。</w:t>
      </w:r>
    </w:p>
    <w:p>
      <w:pPr>
        <w:pageBreakBefore w:val="0"/>
        <w:kinsoku/>
        <w:wordWrap/>
        <w:overflowPunct/>
        <w:topLinePunct w:val="0"/>
        <w:autoSpaceDE/>
        <w:autoSpaceDN/>
        <w:bidi w:val="0"/>
        <w:spacing w:beforeAutospacing="0" w:afterAutospacing="0" w:line="300" w:lineRule="auto"/>
        <w:ind w:firstLine="480" w:firstLineChars="200"/>
        <w:rPr>
          <w:rFonts w:hint="eastAsia" w:ascii="黑体" w:hAnsi="黑体" w:eastAsia="黑体" w:cs="黑体"/>
          <w:color w:val="000000"/>
          <w:sz w:val="24"/>
          <w:szCs w:val="20"/>
        </w:rPr>
      </w:pPr>
      <w:r>
        <w:rPr>
          <w:rFonts w:hint="eastAsia" w:ascii="黑体" w:hAnsi="黑体" w:eastAsia="黑体" w:cs="黑体"/>
          <w:color w:val="000000"/>
          <w:sz w:val="24"/>
          <w:szCs w:val="20"/>
        </w:rPr>
        <w:t>三、验收基本条件</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1、预验收一般条件</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1.1  卖方已经按照“供货范围”要求提供了预验收资料，并且资料齐全、完整和有效。</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 xml:space="preserve">  货物应完整且所有的零部件应该安装牢固，外观无损伤，所有的焊缝饱满、无残渣等缺陷。</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3</w:t>
      </w:r>
      <w:r>
        <w:rPr>
          <w:rFonts w:hint="eastAsia" w:ascii="Times New Roman" w:hAnsi="Times New Roman" w:eastAsia="宋体" w:cs="Times New Roman"/>
          <w:color w:val="000000"/>
          <w:sz w:val="24"/>
          <w:szCs w:val="20"/>
        </w:rPr>
        <w:t xml:space="preserve">  一般情况下，所有的管路和线缆等，接头应完全正确、可靠地联接；应排列有序（正确、牢固、整齐），有必要的防护，无皱褶、收缩和裂缝等不良现象。</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  使用的压力容器、电气等应具备合格证（如果有压力容器）。</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货物的油漆质量应饱满、有光泽，无掉漆、无色差、无“桔皮”等不良现象（特殊标志除外）。</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  货物标牌完整、清晰、明确。</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  货物的安全要求符合中国最新的相关法律、法规、标准和规范以及合同要求。</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  设备（或材料）应运行灵活、稳定、可靠、安全，无异常声音和非正常振动，设备不允许出现漏水、漏液、漏气（汽）、漏电。</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2、预验收基本要求</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设备构成、备件齐全</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设备技术原理符合标书要求</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预验收原则上要求一次完成。若一次验收不成功，最多允许两次；如果出现第三次验收失败，重新作价或退货；</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3、终验收一般条件</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3.1</w:t>
      </w:r>
      <w:r>
        <w:rPr>
          <w:rFonts w:hint="eastAsia" w:ascii="宋体" w:hAnsi="宋体" w:eastAsia="宋体" w:cs="宋体"/>
          <w:sz w:val="24"/>
          <w:szCs w:val="24"/>
        </w:rPr>
        <w:t>依据招标档、投标档、答疑档、技术交流档等形成并达成一致的技术协议书和合同规定的终验收条件验收。</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3.2</w:t>
      </w:r>
      <w:r>
        <w:rPr>
          <w:rFonts w:hint="eastAsia" w:ascii="宋体" w:hAnsi="宋体" w:eastAsia="宋体" w:cs="宋体"/>
          <w:sz w:val="24"/>
          <w:szCs w:val="24"/>
        </w:rPr>
        <w:t>出现下列问题之一，视作验收失败：</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3.2.1 设备验收时，其参数无法满足招标书中的技术要求。</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 在整个验收过程中发生关键零部件损坏或重大故障；</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 更换的零部件货值超过总货值的1%。</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累计负载运行实际性能（或生产率）达不到合同规定；</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终验收原则上要求一次完成。若一次验收不成功，最多允许两次；如果出现第三次验收失败，重新作价或退货；</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终验收通过后买卖双方共同签署终验收报告，并移交、核对全部供货范围内物品。</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4、验收标准</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4.1供货范围 从设备到货开始到验收阶段，收集整个设备的到货资料，包含收货单、到货卸货的照片及视频等资料。</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4.2设备外观与结构  </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设备及其附件完整无缺，设备安全警示标识清晰，设备铭牌信息完整，按钮、指示灯等标识明确易于识别。</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4.2设备性能</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4.2.1设备功能 安装调试阶段进行，检查设备的各项功能是否满足技术协议的要求；检查各功能模块是否正常运行，有无异常；测试节拍是否满足技术协议要求。</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4.2.2设备性能 在调试阶段，检查设备运行的稳定性，振动、噪音、温度、风量等参数是否满足要求；检查能能源消耗及能源指标是否符合指标要求。</w:t>
      </w:r>
    </w:p>
    <w:p>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rPr>
      </w:pPr>
      <w:r>
        <w:rPr>
          <w:rFonts w:hint="eastAsia" w:ascii="宋体" w:hAnsi="宋体" w:eastAsia="宋体" w:cs="宋体"/>
          <w:sz w:val="24"/>
          <w:szCs w:val="24"/>
          <w:lang w:val="en-US" w:eastAsia="zh-CN"/>
        </w:rPr>
        <w:t>4.2.3安全性验收 在安装调试及验收阶段，检查电气接地、设备防护、急停、安全互锁是否满足技术协议要求。</w:t>
      </w:r>
    </w:p>
    <w:p>
      <w:pPr>
        <w:pStyle w:val="2"/>
        <w:pageBreakBefore w:val="0"/>
        <w:kinsoku/>
        <w:wordWrap/>
        <w:overflowPunct/>
        <w:topLinePunct w:val="0"/>
        <w:autoSpaceDE/>
        <w:autoSpaceDN/>
        <w:bidi w:val="0"/>
        <w:spacing w:before="0" w:beforeAutospacing="0" w:after="0" w:afterAutospacing="0" w:line="300" w:lineRule="auto"/>
        <w:jc w:val="center"/>
        <w:rPr>
          <w:rFonts w:hint="eastAsia" w:ascii="黑体" w:hAnsi="Times New Roman" w:eastAsia="黑体" w:cs="Times New Roman"/>
          <w:b w:val="0"/>
          <w:bCs w:val="0"/>
          <w:sz w:val="24"/>
          <w:szCs w:val="24"/>
        </w:rPr>
      </w:pPr>
      <w:r>
        <w:rPr>
          <w:rFonts w:ascii="宋体" w:hAnsi="宋体"/>
        </w:rPr>
        <w:br w:type="page"/>
      </w:r>
      <w:r>
        <w:rPr>
          <w:rFonts w:hint="eastAsia" w:ascii="黑体" w:hAnsi="Times New Roman" w:eastAsia="黑体" w:cs="Times New Roman"/>
          <w:b w:val="0"/>
          <w:bCs w:val="0"/>
          <w:sz w:val="24"/>
          <w:szCs w:val="24"/>
        </w:rPr>
        <w:t>第</w:t>
      </w:r>
      <w:r>
        <w:rPr>
          <w:rFonts w:hint="eastAsia" w:ascii="黑体" w:hAnsi="Times New Roman" w:eastAsia="黑体" w:cs="Times New Roman"/>
          <w:b w:val="0"/>
          <w:bCs w:val="0"/>
          <w:sz w:val="24"/>
          <w:szCs w:val="24"/>
          <w:lang w:val="en-US" w:eastAsia="zh-CN"/>
        </w:rPr>
        <w:t>六</w:t>
      </w:r>
      <w:r>
        <w:rPr>
          <w:rFonts w:hint="eastAsia" w:ascii="黑体" w:hAnsi="Times New Roman" w:eastAsia="黑体" w:cs="Times New Roman"/>
          <w:b w:val="0"/>
          <w:bCs w:val="0"/>
          <w:sz w:val="24"/>
          <w:szCs w:val="24"/>
        </w:rPr>
        <w:t>章  投标技术档一般要求</w:t>
      </w:r>
    </w:p>
    <w:p>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cs="Times New Roman"/>
        </w:rPr>
      </w:pPr>
      <w:r>
        <w:rPr>
          <w:rFonts w:hint="eastAsia" w:ascii="黑体" w:hAnsi="宋体" w:eastAsia="黑体" w:cs="Times New Roman"/>
        </w:rPr>
        <w:t>一、技术档一般内容要求</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1、投标方应认真阅读招标档和本技术标书，并按要求编写投标技术档。</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2、投标技术档至少应对投标货物的功能用途、技术性能、质量标准、技术参数等作出详细说明。</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3、投标技术档至少应根据投标货物的关键设备、总成、零部件或系统作出满足或优于招标档要求的详细说明。</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4、投标技术档至少应按照招标档要求（或投标方建议）列明备品备件、易损件和专用耗材明细。</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5、投标方应当而且必须分别说明所列备品备件、易损件和专用耗材的使用寿命（以有效工作小时数说明）。</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6、“开标一览表”和“明细表”仅作为投标方编制投标技术档的一般格式。其中序号编写应当便于招标方了解分类或分项货物之间的所属关系，如1、1.1、1.2。</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7、应当尽可能将货物的配置列全、列细，这将有助于投标方胜出。</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8、单价与总价之间、总价与分类小计价之间、分类小计价与合计价之间数据应当齐全而且准确。</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9、本条款表格中的制造商，应当为全称或公认的简称。</w:t>
      </w:r>
    </w:p>
    <w:p>
      <w:pPr>
        <w:pageBreakBefore w:val="0"/>
        <w:kinsoku/>
        <w:wordWrap/>
        <w:overflowPunct/>
        <w:topLinePunct w:val="0"/>
        <w:autoSpaceDE/>
        <w:autoSpaceDN/>
        <w:bidi w:val="0"/>
        <w:spacing w:beforeAutospacing="0" w:afterAutospacing="0" w:line="300" w:lineRule="auto"/>
        <w:ind w:firstLine="480" w:firstLineChars="200"/>
        <w:rPr>
          <w:rFonts w:hint="eastAsia" w:ascii="黑体" w:hAnsi="黑体" w:eastAsia="黑体" w:cs="黑体"/>
          <w:color w:val="000000"/>
          <w:sz w:val="24"/>
          <w:szCs w:val="20"/>
        </w:rPr>
      </w:pPr>
      <w:r>
        <w:rPr>
          <w:rFonts w:hint="eastAsia" w:ascii="黑体" w:hAnsi="黑体" w:eastAsia="黑体" w:cs="黑体"/>
          <w:color w:val="000000"/>
          <w:sz w:val="24"/>
          <w:szCs w:val="20"/>
        </w:rPr>
        <w:t>二、技术档中货物报价格式要求</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2、如果投标总报价与其它价格出现错误或不一致，将有可能导致废标。</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3、投标总报价为自合同签定生效至合同无异议执行完毕涉及的买方需要支付的全部费用。如投标方认为本招标及投标货物涉及特需或专门的设计，应当单独列明设计费。</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4、要求投标总报价、分项报价、明细报价之间应当具有相互间对应关系以及填报分项和明细报价，仅为便于评标而不妨碍投标人以最合适的形式签署合同。</w:t>
      </w:r>
    </w:p>
    <w:p>
      <w:pPr>
        <w:pageBreakBefore w:val="0"/>
        <w:kinsoku/>
        <w:wordWrap/>
        <w:overflowPunct/>
        <w:topLinePunct w:val="0"/>
        <w:autoSpaceDE/>
        <w:autoSpaceDN/>
        <w:bidi w:val="0"/>
        <w:spacing w:beforeAutospacing="0" w:afterAutospacing="0" w:line="300" w:lineRule="auto"/>
        <w:ind w:firstLine="480" w:firstLineChars="200"/>
        <w:rPr>
          <w:rFonts w:hint="eastAsia" w:ascii="黑体" w:hAnsi="黑体" w:eastAsia="黑体" w:cs="黑体"/>
          <w:color w:val="000000"/>
          <w:sz w:val="24"/>
          <w:szCs w:val="20"/>
        </w:rPr>
      </w:pPr>
      <w:r>
        <w:rPr>
          <w:rFonts w:hint="eastAsia" w:ascii="黑体" w:hAnsi="黑体" w:eastAsia="黑体" w:cs="黑体"/>
          <w:color w:val="000000"/>
          <w:sz w:val="24"/>
          <w:szCs w:val="20"/>
        </w:rPr>
        <w:t>三、验收标准及内容要求</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除招标档明确的验收标准或内容之外，投标方应当在投标档中提供预验收（必要时）和终验收的标准以及规程；在合同签定之前，经投标方和招标方双方洽谈确认并签署，以作为验收标准执行。</w:t>
      </w:r>
    </w:p>
    <w:p>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b w:val="0"/>
          <w:sz w:val="24"/>
          <w:szCs w:val="24"/>
        </w:rPr>
      </w:pPr>
      <w:bookmarkStart w:id="75" w:name="_Toc5388"/>
      <w:bookmarkStart w:id="76" w:name="_Toc137705875"/>
      <w:bookmarkStart w:id="77" w:name="_Toc6037"/>
      <w:bookmarkStart w:id="78" w:name="_Toc31849"/>
      <w:bookmarkStart w:id="79" w:name="_Toc15099"/>
      <w:r>
        <w:rPr>
          <w:rFonts w:hint="eastAsia" w:ascii="黑体" w:eastAsia="黑体"/>
          <w:b w:val="0"/>
          <w:sz w:val="24"/>
          <w:szCs w:val="24"/>
        </w:rPr>
        <w:br w:type="page"/>
      </w:r>
      <w:r>
        <w:rPr>
          <w:rFonts w:hint="eastAsia" w:ascii="黑体" w:eastAsia="黑体"/>
          <w:b w:val="0"/>
          <w:sz w:val="24"/>
          <w:szCs w:val="24"/>
        </w:rPr>
        <w:t>第七章  其它要求及说明</w:t>
      </w:r>
      <w:bookmarkEnd w:id="75"/>
      <w:bookmarkEnd w:id="76"/>
      <w:bookmarkEnd w:id="77"/>
      <w:bookmarkEnd w:id="78"/>
      <w:bookmarkEnd w:id="79"/>
    </w:p>
    <w:p>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一、要求</w:t>
      </w:r>
    </w:p>
    <w:p>
      <w:pPr>
        <w:pStyle w:val="20"/>
        <w:pageBreakBefore w:val="0"/>
        <w:kinsoku/>
        <w:wordWrap/>
        <w:overflowPunct/>
        <w:topLinePunct w:val="0"/>
        <w:autoSpaceDE/>
        <w:autoSpaceDN/>
        <w:bidi w:val="0"/>
        <w:spacing w:beforeAutospacing="0" w:afterAutospacing="0" w:line="300" w:lineRule="auto"/>
        <w:rPr>
          <w:rFonts w:hint="eastAsia"/>
        </w:rPr>
      </w:pPr>
      <w:r>
        <w:rPr>
          <w:rFonts w:hint="eastAsia"/>
        </w:rPr>
        <w:t>为保证本技术标书所列采购设备的质量以及先进性、可靠性、经济性和实用性，要求投标方在投标文件中，至少应具备以下资格证明文件或资料：</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1、投标方应是独立法人或得到法人授权的机构。应当在投标文件中提供法人营业执照（复印件）、税务登记证以及组织机构代码证（国外供应商参考该要求提供有效证明文件），并保证其真实性和有效性。</w:t>
      </w:r>
    </w:p>
    <w:p>
      <w:pPr>
        <w:pageBreakBefore w:val="0"/>
        <w:kinsoku/>
        <w:wordWrap/>
        <w:overflowPunct/>
        <w:topLinePunct w:val="0"/>
        <w:autoSpaceDE/>
        <w:autoSpaceDN/>
        <w:bidi w:val="0"/>
        <w:spacing w:beforeAutospacing="0" w:afterAutospacing="0" w:line="300" w:lineRule="auto"/>
        <w:ind w:firstLine="417" w:firstLineChars="199"/>
        <w:rPr>
          <w:rFonts w:hint="eastAsia"/>
        </w:rPr>
      </w:pPr>
      <w:r>
        <w:rPr>
          <w:rFonts w:hint="eastAsia" w:ascii="宋体" w:hAnsi="宋体"/>
        </w:rPr>
        <w:t>2、投标方应当是通过有关资格认证的法人。应当在投标文件中提供有效期内的资格认证证</w:t>
      </w:r>
      <w:r>
        <w:rPr>
          <w:rFonts w:hint="eastAsia"/>
        </w:rPr>
        <w:t>书，如：ISO9001、VDA6.1、QS9000等。</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3、国产设备应附有采购设备涉及的由“中国质量认证中心”颁发的《中国国家强制性产品认证证书》（CCC证书）。</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4、应附有其它与投标单位、采购货物有关的荣誉证书或资料。</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5、必须附有投标货物涉及产品要求的、国家或行业管理规定要求的、或者投标方认为能够体现其投标货物合法性及先进性的最高级别的证明材料（投标货物不涉及的除外）：</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5.1  国家相关机构颁发的有效期之内所必需的《生产许可证》。</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5.2  产品（或技术）鉴定报告/证书、专利证书或专利许可证书、新技术成果证书等。</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5.3  产品相关检验、试验报告，如：型式试验检验报告、安全试验检验报告、电弧效应试验报告、噪声检测报告等</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5.4  其它能够证明所供设备的质量水平、技术水平、安全性水平、节能性水平、环保性水平等相关的其它证明文件或资料、报告等。</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5.5  该类报告或证明材料对于投标方胜出乃至中标极为重要！</w:t>
      </w:r>
    </w:p>
    <w:p>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pPr>
        <w:pageBreakBefore w:val="0"/>
        <w:kinsoku/>
        <w:wordWrap/>
        <w:overflowPunct/>
        <w:topLinePunct w:val="0"/>
        <w:autoSpaceDE/>
        <w:autoSpaceDN/>
        <w:bidi w:val="0"/>
        <w:spacing w:beforeAutospacing="0" w:afterAutospacing="0" w:line="300" w:lineRule="auto"/>
        <w:ind w:firstLine="417" w:firstLineChars="199"/>
        <w:rPr>
          <w:rFonts w:hint="eastAsia" w:ascii="黑体" w:hAnsi="宋体" w:eastAsia="黑体"/>
        </w:rPr>
      </w:pPr>
      <w:r>
        <w:rPr>
          <w:rFonts w:hint="eastAsia" w:ascii="黑体" w:hAnsi="宋体" w:eastAsia="黑体"/>
        </w:rPr>
        <w:t>二、说明</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1、投标方可以根据自身的技术、经验等优势以及对招标文件和本技术标书的理解，写明对招标方所采购设备的优化方案或建议意见。投标方的这些努力，招标方表示感谢，并将有助于投标方优先胜出。</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2、即使有建议意见或建议方案，仍应依据招标文件和本技术标书要求，编写符合要求的投标文件。建议方案或建议意见，应以单独篇章或文件，予以说明。</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3、请投标方仔细阅读“采购货物概况”章节内说明，针对允许分投分中的设备，招标方有权利选择其中优秀设备或服务，作为投标方合同供货范围中的指定选用设备或服务（替代投标方分投而未中标部分）。</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4、招标文件、投标文件、答疑文件、技术交流文件、技术协议书等，在采购过程全部为有效文件，如有差异，以对招标方最有利的条款为准。</w:t>
      </w:r>
    </w:p>
    <w:p>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5、为避免歧异，本技术标书涉及招投标环节的条款，均将潜在的卖方称为投标方、将买方称为招标方；定标后合同签署环节以及后续的合同执行环节条款，招标方称为买方、投标方中的中标方称为卖方。</w:t>
      </w:r>
    </w:p>
    <w:p>
      <w:pPr>
        <w:pageBreakBefore w:val="0"/>
        <w:kinsoku/>
        <w:wordWrap/>
        <w:overflowPunct/>
        <w:topLinePunct w:val="0"/>
        <w:autoSpaceDE/>
        <w:autoSpaceDN/>
        <w:bidi w:val="0"/>
        <w:spacing w:beforeAutospacing="0" w:afterAutospacing="0" w:line="300" w:lineRule="auto"/>
        <w:rPr>
          <w:rFonts w:hint="eastAsia" w:ascii="宋体" w:hAnsi="宋体"/>
        </w:rPr>
      </w:pPr>
    </w:p>
    <w:p>
      <w:pPr>
        <w:pageBreakBefore w:val="0"/>
        <w:kinsoku/>
        <w:wordWrap/>
        <w:overflowPunct/>
        <w:topLinePunct w:val="0"/>
        <w:autoSpaceDE/>
        <w:autoSpaceDN/>
        <w:bidi w:val="0"/>
        <w:spacing w:beforeAutospacing="0" w:afterAutospacing="0" w:line="300" w:lineRule="auto"/>
        <w:ind w:firstLine="420" w:firstLineChars="200"/>
        <w:rPr>
          <w:rFonts w:hint="default" w:ascii="宋体" w:hAnsi="宋体" w:eastAsia="宋体"/>
          <w:lang w:val="en-US" w:eastAsia="zh-CN"/>
        </w:rPr>
      </w:pPr>
      <w:r>
        <w:rPr>
          <w:rFonts w:hint="eastAsia" w:ascii="宋体" w:hAnsi="宋体"/>
          <w:b/>
        </w:rPr>
        <w:t xml:space="preserve">技术部分答疑人： </w:t>
      </w:r>
      <w:r>
        <w:rPr>
          <w:rFonts w:hint="eastAsia" w:ascii="宋体" w:hAnsi="宋体"/>
          <w:b/>
          <w:lang w:val="en-US" w:eastAsia="zh-CN"/>
        </w:rPr>
        <w:t>程博斌</w:t>
      </w:r>
      <w:r>
        <w:rPr>
          <w:rFonts w:hint="eastAsia" w:ascii="宋体" w:hAnsi="宋体"/>
          <w:b/>
        </w:rPr>
        <w:t xml:space="preserve"> </w:t>
      </w:r>
      <w:r>
        <w:rPr>
          <w:rFonts w:hint="eastAsia" w:ascii="宋体" w:hAnsi="宋体"/>
          <w:b/>
          <w:lang w:val="en-US" w:eastAsia="zh-CN"/>
        </w:rPr>
        <w:t>18234419252</w:t>
      </w:r>
    </w:p>
    <w:p>
      <w:pPr>
        <w:pageBreakBefore w:val="0"/>
        <w:kinsoku/>
        <w:wordWrap/>
        <w:overflowPunct/>
        <w:topLinePunct w:val="0"/>
        <w:autoSpaceDE/>
        <w:autoSpaceDN/>
        <w:bidi w:val="0"/>
        <w:spacing w:beforeAutospacing="0" w:afterAutospacing="0" w:line="300" w:lineRule="auto"/>
      </w:pPr>
    </w:p>
    <w:p>
      <w:pPr>
        <w:pageBreakBefore w:val="0"/>
        <w:kinsoku/>
        <w:wordWrap/>
        <w:overflowPunct/>
        <w:topLinePunct w:val="0"/>
        <w:autoSpaceDE/>
        <w:autoSpaceDN/>
        <w:bidi w:val="0"/>
        <w:spacing w:beforeAutospacing="0" w:afterAutospacing="0" w:line="300" w:lineRule="auto"/>
      </w:pPr>
    </w:p>
    <w:p>
      <w:pPr>
        <w:shd w:val="clear" w:color="auto" w:fill="auto"/>
        <w:ind w:firstLine="880"/>
        <w:rPr>
          <w:rFonts w:hint="eastAsia" w:ascii="黑体" w:hAnsi="宋体" w:eastAsia="黑体"/>
          <w:sz w:val="44"/>
          <w:szCs w:val="44"/>
          <w:highlight w:val="none"/>
        </w:rPr>
      </w:pPr>
      <w:bookmarkStart w:id="166" w:name="_GoBack"/>
      <w:bookmarkEnd w:id="166"/>
    </w:p>
    <w:p>
      <w:pPr>
        <w:shd w:val="clear" w:color="auto" w:fill="auto"/>
        <w:rPr>
          <w:highlight w:val="none"/>
        </w:rPr>
      </w:pPr>
    </w:p>
    <w:p>
      <w:pPr>
        <w:spacing w:after="0" w:line="360" w:lineRule="auto"/>
        <w:jc w:val="both"/>
        <w:rPr>
          <w:rFonts w:hint="eastAsia" w:ascii="宋体" w:hAnsi="宋体" w:eastAsia="宋体" w:cs="Times New Roman"/>
          <w:b/>
          <w:sz w:val="36"/>
          <w:szCs w:val="36"/>
          <w14:ligatures w14:val="none"/>
        </w:rPr>
        <w:sectPr>
          <w:headerReference r:id="rId12" w:type="default"/>
          <w:footerReference r:id="rId13" w:type="default"/>
          <w:pgSz w:w="11907" w:h="16840"/>
          <w:pgMar w:top="1304" w:right="1418" w:bottom="1304" w:left="1418" w:header="724" w:footer="851" w:gutter="0"/>
          <w:cols w:space="720" w:num="1"/>
          <w:docGrid w:linePitch="290" w:charSpace="-3931"/>
        </w:sectPr>
      </w:pPr>
    </w:p>
    <w:bookmarkEnd w:id="25"/>
    <w:bookmarkEnd w:id="26"/>
    <w:bookmarkEnd w:id="27"/>
    <w:bookmarkEnd w:id="28"/>
    <w:bookmarkEnd w:id="29"/>
    <w:bookmarkEnd w:id="30"/>
    <w:bookmarkEnd w:id="31"/>
    <w:bookmarkEnd w:id="32"/>
    <w:p/>
    <w:p>
      <w:pPr>
        <w:pStyle w:val="17"/>
      </w:pPr>
    </w:p>
    <w:p>
      <w:pPr>
        <w:spacing w:line="360" w:lineRule="auto"/>
        <w:jc w:val="center"/>
        <w:outlineLvl w:val="0"/>
        <w:rPr>
          <w:rFonts w:ascii="宋体" w:hAnsi="Calibri" w:eastAsia="宋体" w:cs="Times New Roman"/>
          <w:b/>
          <w:sz w:val="36"/>
          <w:szCs w:val="36"/>
        </w:rPr>
      </w:pPr>
      <w:bookmarkStart w:id="80"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80"/>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81"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2" w:name="_Toc11930"/>
      <w:bookmarkStart w:id="83" w:name="_Toc17619"/>
      <w:bookmarkStart w:id="84" w:name="_Toc11823"/>
      <w:bookmarkStart w:id="85" w:name="_Toc16330018"/>
      <w:r>
        <w:rPr>
          <w:rFonts w:hint="eastAsia" w:ascii="黑体" w:hAnsi="黑体" w:eastAsia="黑体" w:cstheme="minorEastAsia"/>
          <w:b w:val="0"/>
          <w:sz w:val="28"/>
          <w:szCs w:val="28"/>
        </w:rPr>
        <w:t>1 合同设备</w:t>
      </w:r>
      <w:bookmarkEnd w:id="82"/>
      <w:bookmarkEnd w:id="83"/>
      <w:bookmarkEnd w:id="84"/>
      <w:bookmarkEnd w:id="8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86" w:name="_Toc32510"/>
      <w:bookmarkStart w:id="87" w:name="_Toc22800"/>
      <w:bookmarkStart w:id="88"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6330019"/>
      <w:r>
        <w:rPr>
          <w:rFonts w:hint="eastAsia" w:ascii="黑体" w:hAnsi="黑体" w:eastAsia="黑体" w:cstheme="minorEastAsia"/>
          <w:b w:val="0"/>
          <w:sz w:val="28"/>
          <w:szCs w:val="28"/>
        </w:rPr>
        <w:t>2 包装</w:t>
      </w:r>
      <w:bookmarkEnd w:id="86"/>
      <w:bookmarkEnd w:id="87"/>
      <w:bookmarkEnd w:id="88"/>
      <w:bookmarkEnd w:id="8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2833"/>
      <w:bookmarkStart w:id="91" w:name="_Toc16330020"/>
      <w:bookmarkStart w:id="92" w:name="_Toc27453"/>
      <w:bookmarkStart w:id="93" w:name="_Toc27144"/>
      <w:r>
        <w:rPr>
          <w:rFonts w:hint="eastAsia" w:ascii="黑体" w:hAnsi="黑体" w:eastAsia="黑体" w:cstheme="minorEastAsia"/>
          <w:b w:val="0"/>
          <w:sz w:val="28"/>
          <w:szCs w:val="28"/>
        </w:rPr>
        <w:t>3 运输标记</w:t>
      </w:r>
      <w:bookmarkEnd w:id="90"/>
      <w:bookmarkEnd w:id="91"/>
      <w:bookmarkEnd w:id="92"/>
      <w:bookmarkEnd w:id="9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16133"/>
      <w:bookmarkStart w:id="95" w:name="_Toc10630"/>
      <w:bookmarkStart w:id="96" w:name="_Toc16330021"/>
      <w:bookmarkStart w:id="97" w:name="_Toc7431"/>
      <w:r>
        <w:rPr>
          <w:rFonts w:hint="eastAsia" w:ascii="黑体" w:hAnsi="黑体" w:eastAsia="黑体" w:cstheme="minorEastAsia"/>
          <w:b w:val="0"/>
          <w:sz w:val="28"/>
          <w:szCs w:val="28"/>
        </w:rPr>
        <w:t>4 检验</w:t>
      </w:r>
      <w:bookmarkEnd w:id="94"/>
      <w:bookmarkEnd w:id="95"/>
      <w:bookmarkEnd w:id="96"/>
      <w:bookmarkEnd w:id="9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9850"/>
      <w:bookmarkStart w:id="99" w:name="_Toc16330022"/>
      <w:bookmarkStart w:id="100" w:name="_Toc24467"/>
      <w:bookmarkStart w:id="101" w:name="_Toc11217"/>
      <w:r>
        <w:rPr>
          <w:rFonts w:hint="eastAsia" w:ascii="黑体" w:hAnsi="黑体" w:eastAsia="黑体" w:cstheme="minorEastAsia"/>
          <w:b w:val="0"/>
          <w:sz w:val="28"/>
          <w:szCs w:val="28"/>
        </w:rPr>
        <w:t>5 权利担保</w:t>
      </w:r>
      <w:bookmarkEnd w:id="98"/>
      <w:bookmarkEnd w:id="99"/>
      <w:bookmarkEnd w:id="100"/>
      <w:bookmarkEnd w:id="10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11759"/>
      <w:bookmarkStart w:id="103" w:name="_Toc14809"/>
      <w:bookmarkStart w:id="104" w:name="_Toc16330023"/>
      <w:bookmarkStart w:id="105" w:name="_Toc27500"/>
      <w:r>
        <w:rPr>
          <w:rFonts w:hint="eastAsia" w:ascii="黑体" w:hAnsi="黑体" w:eastAsia="黑体" w:cstheme="minorEastAsia"/>
          <w:b w:val="0"/>
          <w:sz w:val="28"/>
          <w:szCs w:val="28"/>
        </w:rPr>
        <w:t>6 交货</w:t>
      </w:r>
      <w:bookmarkEnd w:id="102"/>
      <w:bookmarkEnd w:id="103"/>
      <w:bookmarkEnd w:id="104"/>
      <w:bookmarkEnd w:id="10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6" w:name="_Toc2984"/>
      <w:bookmarkStart w:id="107" w:name="_Toc16330024"/>
      <w:bookmarkStart w:id="108" w:name="_Toc8024"/>
      <w:bookmarkStart w:id="109" w:name="_Toc25510"/>
      <w:r>
        <w:rPr>
          <w:rFonts w:hint="eastAsia" w:ascii="黑体" w:hAnsi="黑体" w:eastAsia="黑体" w:cstheme="minorEastAsia"/>
          <w:b w:val="0"/>
          <w:sz w:val="28"/>
          <w:szCs w:val="28"/>
        </w:rPr>
        <w:t>7 安装、调试</w:t>
      </w:r>
      <w:bookmarkEnd w:id="106"/>
      <w:bookmarkEnd w:id="107"/>
      <w:bookmarkEnd w:id="108"/>
      <w:bookmarkEnd w:id="109"/>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0" w:name="_Toc14260"/>
      <w:bookmarkStart w:id="111" w:name="_Toc14098"/>
      <w:bookmarkStart w:id="112" w:name="_Toc16330025"/>
      <w:bookmarkStart w:id="113" w:name="_Toc6350"/>
      <w:r>
        <w:rPr>
          <w:rFonts w:hint="eastAsia" w:ascii="黑体" w:hAnsi="黑体" w:eastAsia="黑体" w:cstheme="minorEastAsia"/>
          <w:b w:val="0"/>
          <w:sz w:val="28"/>
          <w:szCs w:val="28"/>
        </w:rPr>
        <w:t>8 价款与支付</w:t>
      </w:r>
      <w:bookmarkEnd w:id="110"/>
      <w:bookmarkEnd w:id="111"/>
      <w:bookmarkEnd w:id="112"/>
      <w:bookmarkEnd w:id="11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14" w:name="_Toc14676804"/>
      <w:bookmarkStart w:id="115"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14"/>
      <w:bookmarkEnd w:id="115"/>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6" w:name="_Toc6726"/>
      <w:bookmarkStart w:id="117" w:name="_Toc25708"/>
      <w:bookmarkStart w:id="118" w:name="_Toc24085"/>
      <w:bookmarkStart w:id="119" w:name="_Toc16330026"/>
      <w:r>
        <w:rPr>
          <w:rFonts w:hint="eastAsia" w:ascii="黑体" w:hAnsi="黑体" w:eastAsia="黑体" w:cstheme="minorEastAsia"/>
          <w:b w:val="0"/>
          <w:sz w:val="28"/>
          <w:szCs w:val="28"/>
        </w:rPr>
        <w:t>9 质量保证及售后服务</w:t>
      </w:r>
      <w:bookmarkEnd w:id="116"/>
      <w:bookmarkEnd w:id="117"/>
      <w:bookmarkEnd w:id="118"/>
      <w:bookmarkEnd w:id="11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lang w:val="en-US" w:eastAsia="zh-CN"/>
        </w:rPr>
        <w:t>1</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0" w:name="_Toc10359"/>
      <w:bookmarkStart w:id="121" w:name="_Toc16330027"/>
      <w:bookmarkStart w:id="122" w:name="_Toc15570"/>
      <w:bookmarkStart w:id="123" w:name="_Toc12927"/>
      <w:r>
        <w:rPr>
          <w:rFonts w:hint="eastAsia" w:ascii="黑体" w:hAnsi="黑体" w:eastAsia="黑体" w:cstheme="minorEastAsia"/>
          <w:b w:val="0"/>
          <w:sz w:val="28"/>
          <w:szCs w:val="28"/>
        </w:rPr>
        <w:t>10法定责任</w:t>
      </w:r>
      <w:bookmarkEnd w:id="120"/>
      <w:bookmarkEnd w:id="121"/>
      <w:bookmarkEnd w:id="122"/>
      <w:bookmarkEnd w:id="12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4" w:name="_Toc27314"/>
      <w:bookmarkStart w:id="125" w:name="_Toc9708"/>
      <w:bookmarkStart w:id="126" w:name="_Toc16330028"/>
      <w:bookmarkStart w:id="127" w:name="_Toc30381"/>
      <w:r>
        <w:rPr>
          <w:rFonts w:hint="eastAsia" w:ascii="黑体" w:hAnsi="黑体" w:eastAsia="黑体" w:cstheme="minorEastAsia"/>
          <w:b w:val="0"/>
          <w:sz w:val="28"/>
          <w:szCs w:val="28"/>
        </w:rPr>
        <w:t>11 违约责任</w:t>
      </w:r>
      <w:bookmarkEnd w:id="124"/>
      <w:bookmarkEnd w:id="125"/>
      <w:bookmarkEnd w:id="126"/>
      <w:bookmarkEnd w:id="12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8" w:name="_Toc1827"/>
      <w:bookmarkStart w:id="129" w:name="_Toc16330029"/>
      <w:bookmarkStart w:id="130" w:name="_Toc9172"/>
      <w:bookmarkStart w:id="131" w:name="_Toc31554"/>
      <w:r>
        <w:rPr>
          <w:rFonts w:hint="eastAsia" w:ascii="黑体" w:hAnsi="黑体" w:eastAsia="黑体" w:cstheme="minorEastAsia"/>
          <w:b w:val="0"/>
          <w:sz w:val="28"/>
          <w:szCs w:val="28"/>
        </w:rPr>
        <w:t>12 合同的终止与解除</w:t>
      </w:r>
      <w:bookmarkEnd w:id="128"/>
      <w:bookmarkEnd w:id="129"/>
      <w:bookmarkEnd w:id="130"/>
      <w:bookmarkEnd w:id="13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2" w:name="_Toc8620"/>
      <w:bookmarkStart w:id="133" w:name="_Toc16330030"/>
      <w:bookmarkStart w:id="134" w:name="_Toc13671"/>
      <w:bookmarkStart w:id="135" w:name="_Toc31945"/>
      <w:r>
        <w:rPr>
          <w:rFonts w:hint="eastAsia" w:ascii="黑体" w:hAnsi="黑体" w:eastAsia="黑体" w:cstheme="minorEastAsia"/>
          <w:b w:val="0"/>
          <w:sz w:val="28"/>
          <w:szCs w:val="28"/>
        </w:rPr>
        <w:t>13 不可抗力</w:t>
      </w:r>
      <w:bookmarkEnd w:id="132"/>
      <w:bookmarkEnd w:id="133"/>
      <w:bookmarkEnd w:id="134"/>
      <w:bookmarkEnd w:id="1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6" w:name="_Toc637"/>
      <w:bookmarkStart w:id="137" w:name="_Toc31243"/>
      <w:bookmarkStart w:id="138" w:name="_Toc16330031"/>
      <w:bookmarkStart w:id="139" w:name="_Toc30389"/>
      <w:r>
        <w:rPr>
          <w:rFonts w:hint="eastAsia" w:ascii="黑体" w:hAnsi="黑体" w:eastAsia="黑体" w:cstheme="minorEastAsia"/>
          <w:b w:val="0"/>
          <w:sz w:val="28"/>
          <w:szCs w:val="28"/>
        </w:rPr>
        <w:t>14 通讯</w:t>
      </w:r>
      <w:bookmarkEnd w:id="136"/>
      <w:bookmarkEnd w:id="137"/>
      <w:bookmarkEnd w:id="138"/>
      <w:bookmarkEnd w:id="13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beforeLines="100"/>
        <w:jc w:val="both"/>
        <w:rPr>
          <w:rFonts w:ascii="黑体" w:hAnsi="黑体" w:eastAsia="黑体" w:cstheme="minorEastAsia"/>
          <w:b w:val="0"/>
          <w:sz w:val="28"/>
          <w:szCs w:val="28"/>
        </w:rPr>
      </w:pPr>
      <w:bookmarkStart w:id="140" w:name="_Toc11290"/>
      <w:bookmarkStart w:id="141" w:name="_Toc9915"/>
      <w:bookmarkStart w:id="142" w:name="_Toc12984"/>
      <w:bookmarkStart w:id="143" w:name="_Toc16330032"/>
      <w:r>
        <w:rPr>
          <w:rFonts w:hint="eastAsia" w:ascii="黑体" w:hAnsi="黑体" w:eastAsia="黑体" w:cstheme="minorEastAsia"/>
          <w:b w:val="0"/>
          <w:sz w:val="28"/>
          <w:szCs w:val="28"/>
        </w:rPr>
        <w:t>15 适用法律及争议解决</w:t>
      </w:r>
      <w:bookmarkEnd w:id="140"/>
      <w:bookmarkEnd w:id="141"/>
      <w:bookmarkEnd w:id="142"/>
      <w:bookmarkEnd w:id="14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4" w:name="_Toc23906"/>
      <w:bookmarkStart w:id="145" w:name="_Toc16330033"/>
      <w:bookmarkStart w:id="146" w:name="_Toc23765"/>
      <w:bookmarkStart w:id="147" w:name="_Toc18207"/>
      <w:r>
        <w:rPr>
          <w:rFonts w:hint="eastAsia" w:ascii="黑体" w:hAnsi="黑体" w:eastAsia="黑体" w:cstheme="minorEastAsia"/>
          <w:b w:val="0"/>
          <w:sz w:val="28"/>
          <w:szCs w:val="28"/>
        </w:rPr>
        <w:t>16 附件</w:t>
      </w:r>
      <w:bookmarkEnd w:id="144"/>
      <w:bookmarkEnd w:id="145"/>
      <w:bookmarkEnd w:id="146"/>
      <w:bookmarkEnd w:id="14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8" w:name="_Toc31331"/>
      <w:bookmarkStart w:id="149" w:name="_Toc16330034"/>
      <w:bookmarkStart w:id="150" w:name="_Toc27202"/>
      <w:bookmarkStart w:id="151" w:name="_Toc17656"/>
      <w:r>
        <w:rPr>
          <w:rFonts w:hint="eastAsia" w:ascii="黑体" w:hAnsi="黑体" w:eastAsia="黑体" w:cstheme="minorEastAsia"/>
          <w:b w:val="0"/>
          <w:sz w:val="28"/>
          <w:szCs w:val="28"/>
        </w:rPr>
        <w:t>17 其他规定</w:t>
      </w:r>
      <w:bookmarkEnd w:id="148"/>
      <w:bookmarkEnd w:id="149"/>
      <w:bookmarkEnd w:id="150"/>
      <w:bookmarkEnd w:id="1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2" w:name="_Toc17952"/>
      <w:bookmarkStart w:id="153" w:name="_Toc19077"/>
      <w:bookmarkStart w:id="154" w:name="_Toc16330035"/>
      <w:bookmarkStart w:id="155"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52"/>
      <w:bookmarkEnd w:id="153"/>
      <w:bookmarkEnd w:id="154"/>
      <w:bookmarkEnd w:id="1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hint="eastAsia" w:ascii="黑体" w:hAnsi="黑体" w:eastAsia="黑体" w:cstheme="minorEastAsia"/>
          <w:b w:val="0"/>
          <w:sz w:val="28"/>
          <w:szCs w:val="28"/>
        </w:rPr>
      </w:pPr>
      <w:bookmarkStart w:id="156" w:name="_Toc5379"/>
      <w:bookmarkStart w:id="157" w:name="_Toc25120"/>
      <w:bookmarkStart w:id="158" w:name="_Toc24623"/>
      <w:bookmarkStart w:id="159" w:name="_Toc16330037"/>
      <w:bookmarkStart w:id="160" w:name="_Toc3778"/>
    </w:p>
    <w:p>
      <w:pPr>
        <w:rPr>
          <w:rFonts w:hint="eastAsia" w:ascii="黑体" w:hAnsi="黑体" w:eastAsia="黑体" w:cstheme="minorEastAsia"/>
          <w:b w:val="0"/>
          <w:sz w:val="28"/>
          <w:szCs w:val="28"/>
        </w:rPr>
      </w:pPr>
    </w:p>
    <w:p>
      <w:pPr>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56"/>
      <w:bookmarkEnd w:id="157"/>
      <w:bookmarkEnd w:id="158"/>
      <w:bookmarkEnd w:id="159"/>
      <w:bookmarkEnd w:id="160"/>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61" w:name="_Toc14341849"/>
    </w:p>
    <w:p>
      <w:pPr>
        <w:ind w:right="480"/>
        <w:jc w:val="center"/>
        <w:rPr>
          <w:sz w:val="24"/>
          <w:szCs w:val="24"/>
        </w:rPr>
      </w:pPr>
      <w:r>
        <w:rPr>
          <w:rFonts w:hint="eastAsia" w:ascii="楷体_GB2312" w:hAnsi="宋体" w:eastAsia="楷体_GB2312"/>
          <w:sz w:val="24"/>
        </w:rPr>
        <w:t xml:space="preserve">                                    </w:t>
      </w:r>
    </w:p>
    <w:bookmarkEnd w:id="161"/>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81"/>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2" w:name="_Toc639004"/>
      <w:bookmarkStart w:id="163" w:name="_Toc25811"/>
      <w:bookmarkStart w:id="164" w:name="_Toc212369550"/>
      <w:bookmarkStart w:id="165"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2"/>
      <w:bookmarkEnd w:id="163"/>
      <w:bookmarkEnd w:id="164"/>
      <w:bookmarkEnd w:id="16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缸盖装配线兼容性改造项目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 xml:space="preserve">联行号：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缸盖装配线兼容性改造项目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缸盖装配线兼容性改造项目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缸盖装配线兼容性改造项目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3997"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3997" w:type="dxa"/>
            <w:vAlign w:val="center"/>
          </w:tcPr>
          <w:p>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气门拍打试漏设备</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底板</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机构支撑架</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拍打机构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抬起定位机构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反力机构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封堵</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电气控制系统</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2</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排气管拧紧机改造</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固定背板</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拧紧轴升降机构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3</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悬挂吊具</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悬挂结构</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399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工装</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399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助力臂</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bl>
    <w:p>
      <w:pPr>
        <w:spacing w:before="78" w:line="219" w:lineRule="auto"/>
        <w:ind w:left="431"/>
        <w:rPr>
          <w:rFonts w:ascii="宋体" w:hAnsi="宋体" w:eastAsia="宋体" w:cs="宋体"/>
          <w:spacing w:val="-8"/>
          <w:szCs w:val="21"/>
        </w:rPr>
      </w:pPr>
    </w:p>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8"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缸盖装配线兼容性改造项目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缸盖装配线兼容性改造项目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缸盖装配线兼容性改造项目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缸盖装配线兼容性改造项目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spacing w:val="-2"/>
                <w:kern w:val="0"/>
                <w:sz w:val="20"/>
                <w:szCs w:val="20"/>
              </w:rPr>
            </w:pPr>
            <w:r>
              <w:rPr>
                <w:rFonts w:hint="eastAsia" w:ascii="宋体" w:hAnsi="宋体" w:eastAsia="宋体" w:cs="宋体"/>
                <w:b/>
                <w:bCs/>
                <w:i w:val="0"/>
                <w:iCs w:val="0"/>
                <w:color w:val="000000"/>
                <w:kern w:val="0"/>
                <w:sz w:val="20"/>
                <w:szCs w:val="20"/>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b/>
                <w:bCs/>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气门拍打试漏设备</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底板</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机构支撑架</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拍打机构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抬起定位机构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反力机构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封堵</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电气控制系统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r>
              <w:rPr>
                <w:rFonts w:hint="eastAsia" w:ascii="宋体" w:hAnsi="宋体" w:eastAsia="宋体" w:cs="宋体"/>
                <w:b/>
                <w:bCs/>
                <w:i w:val="0"/>
                <w:iCs w:val="0"/>
                <w:color w:val="000000"/>
                <w:kern w:val="0"/>
                <w:sz w:val="20"/>
                <w:szCs w:val="20"/>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排气管拧紧机改造</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固定背板</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拧紧轴升降机构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悬挂吊具</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悬挂结构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工装</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助力臂</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b w:val="0"/>
                <w:bCs w:val="0"/>
                <w:color w:val="000000"/>
                <w:kern w:val="0"/>
                <w:sz w:val="20"/>
                <w:szCs w:val="20"/>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总</w:t>
            </w:r>
            <w:r>
              <w:rPr>
                <w:rStyle w:val="136"/>
                <w:rFonts w:hint="eastAsia" w:ascii="宋体" w:hAnsi="宋体" w:eastAsia="宋体" w:cs="宋体"/>
                <w:b/>
                <w:bCs/>
                <w:sz w:val="20"/>
                <w:szCs w:val="20"/>
                <w:lang w:val="en-US" w:eastAsia="zh-CN" w:bidi="ar"/>
              </w:rPr>
              <w:t xml:space="preserve">价合计列入价格汇总表 </w:t>
            </w:r>
            <w:r>
              <w:rPr>
                <w:rStyle w:val="137"/>
                <w:rFonts w:hint="eastAsia" w:ascii="宋体" w:hAnsi="宋体" w:eastAsia="宋体" w:cs="宋体"/>
                <w:b/>
                <w:bCs/>
                <w:sz w:val="20"/>
                <w:szCs w:val="20"/>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b w:val="0"/>
                <w:bCs w:val="0"/>
                <w:sz w:val="20"/>
                <w:szCs w:val="20"/>
              </w:rPr>
            </w:pPr>
            <w:r>
              <w:rPr>
                <w:rFonts w:hint="eastAsia" w:ascii="宋体" w:hAnsi="宋体" w:eastAsia="宋体" w:cs="宋体"/>
                <w:b/>
                <w:bCs/>
                <w:i w:val="0"/>
                <w:iCs w:val="0"/>
                <w:color w:val="000000"/>
                <w:kern w:val="0"/>
                <w:sz w:val="20"/>
                <w:szCs w:val="20"/>
                <w:u w:val="none"/>
                <w:lang w:val="en-US" w:eastAsia="zh-CN" w:bidi="ar"/>
              </w:rPr>
              <w:t>总价合计（不含税）￥    元</w:t>
            </w: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noWrap w:val="0"/>
            <w:vAlign w:val="top"/>
          </w:tcPr>
          <w:p>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noWrap w:val="0"/>
            <w:vAlign w:val="top"/>
          </w:tcPr>
          <w:p>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596" w:type="dxa"/>
            <w:noWrap w:val="0"/>
            <w:vAlign w:val="top"/>
          </w:tcPr>
          <w:p>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164" w:type="dxa"/>
            <w:noWrap w:val="0"/>
            <w:vAlign w:val="top"/>
          </w:tcPr>
          <w:p>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pPr>
              <w:rPr>
                <w:rFonts w:ascii="Arial"/>
              </w:rPr>
            </w:pPr>
          </w:p>
        </w:tc>
        <w:tc>
          <w:tcPr>
            <w:tcW w:w="3530" w:type="dxa"/>
            <w:vMerge w:val="continue"/>
            <w:tcBorders>
              <w:top w:val="nil"/>
            </w:tcBorders>
            <w:noWrap w:val="0"/>
            <w:vAlign w:val="top"/>
          </w:tcPr>
          <w:p>
            <w:pPr>
              <w:rPr>
                <w:rFonts w:ascii="Arial"/>
              </w:rPr>
            </w:pPr>
          </w:p>
        </w:tc>
        <w:tc>
          <w:tcPr>
            <w:tcW w:w="2159" w:type="dxa"/>
            <w:noWrap w:val="0"/>
            <w:vAlign w:val="top"/>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noWrap w:val="0"/>
            <w:vAlign w:val="top"/>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noWrap w:val="0"/>
            <w:vAlign w:val="top"/>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noWrap w:val="0"/>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noWrap w:val="0"/>
            <w:vAlign w:val="top"/>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noWrap w:val="0"/>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vMerge w:val="restart"/>
            <w:tcBorders>
              <w:bottom w:val="nil"/>
            </w:tcBorders>
            <w:noWrap w:val="0"/>
            <w:vAlign w:val="top"/>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noWrap w:val="0"/>
            <w:vAlign w:val="top"/>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vMerge w:val="continue"/>
            <w:tcBorders>
              <w:top w:val="nil"/>
            </w:tcBorders>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noWrap w:val="0"/>
            <w:vAlign w:val="top"/>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7" w:line="183" w:lineRule="auto"/>
              <w:ind w:left="352" w:leftChars="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530" w:type="dxa"/>
            <w:noWrap w:val="0"/>
            <w:vAlign w:val="top"/>
          </w:tcPr>
          <w:p>
            <w:pPr>
              <w:spacing w:before="211" w:line="221" w:lineRule="auto"/>
              <w:ind w:left="1557" w:leftChars="0"/>
              <w:rPr>
                <w:rFonts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spacing w:before="210" w:line="221" w:lineRule="auto"/>
              <w:ind w:left="456" w:leftChars="0"/>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line="172" w:lineRule="exact"/>
      </w:pPr>
    </w:p>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2"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1"/>
                <w:szCs w:val="21"/>
                <w:highlight w:val="none"/>
                <w:u w:val="single"/>
                <w:lang w:val="en-US" w:eastAsia="zh-CN"/>
              </w:rPr>
              <w:t>缸盖装配线兼容性改造项目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缸盖装配线兼容性改造项目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缸盖装配线兼容性改造项目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缸盖装配线兼容性改造项目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rPr>
          <w:rFonts w:hint="eastAsia" w:ascii="宋体" w:hAnsi="宋体" w:eastAsia="宋体" w:cs="Times New Roman"/>
          <w:b/>
          <w:bCs/>
          <w:sz w:val="24"/>
          <w:szCs w:val="24"/>
          <w:highlight w:val="none"/>
        </w:rPr>
      </w:pP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546"/>
        <w:gridCol w:w="611"/>
        <w:gridCol w:w="467"/>
        <w:gridCol w:w="2382"/>
        <w:gridCol w:w="505"/>
        <w:gridCol w:w="4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评价类型</w:t>
            </w:r>
          </w:p>
        </w:tc>
        <w:tc>
          <w:tcPr>
            <w:tcW w:w="335"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评审内容</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内   容</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标准分</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restar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技术</w:t>
            </w:r>
            <w:r>
              <w:rPr>
                <w:rFonts w:hint="eastAsia" w:ascii="宋体" w:hAnsi="宋体" w:eastAsia="宋体" w:cs="宋体"/>
                <w:sz w:val="21"/>
                <w:szCs w:val="21"/>
                <w:lang w:val="en-US" w:eastAsia="zh-CN"/>
              </w:rPr>
              <w:t>标</w:t>
            </w:r>
            <w:r>
              <w:rPr>
                <w:rFonts w:hint="eastAsia" w:ascii="宋体" w:hAnsi="宋体" w:eastAsia="宋体" w:cs="宋体"/>
                <w:sz w:val="21"/>
                <w:szCs w:val="21"/>
              </w:rPr>
              <w:t>100分</w:t>
            </w:r>
          </w:p>
        </w:tc>
        <w:tc>
          <w:tcPr>
            <w:tcW w:w="335"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业绩</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设备制造商同 类型项目业绩</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restar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产品技术</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设备制造商装备制造能力、生产设备、加工工艺、完善程度</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产品方案技术先进、各系统完善、性能可靠，设备主要核心部件，具备自身技术优势</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以下各项由评标委员会成员独立进行客观、公正的评价打分。</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①定制系统方案已到达招标要求，设备主要核心部件，具备自身技术优势，打分0-16分。</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②系统配置齐全，其精度、参数、技术水平、可靠性等优势明显，打分0-16分。</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③操作灵活方便，系统开放程度高，打分0-10分。</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④综合评价，打分0-8分。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答疑</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现场答疑</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投标人代表对方案、技术优势的讲解，</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以及就该项目难点回答评标专家现场提问，打分0-8分。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技术偏离</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技术偏离</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restar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售后服务</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技术培训方案：对招标方人员的技术培训方案安排科学、合理、可行</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安装调试方案：有详尽的安装调试计划及方案，方案科学合理，可实施性强。</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售后服务及时周到，有相应 的服务承诺和具体的保证措施</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商务标100分</w:t>
            </w:r>
          </w:p>
        </w:tc>
        <w:tc>
          <w:tcPr>
            <w:tcW w:w="4699" w:type="pct"/>
            <w:gridSpan w:val="5"/>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评标基准价：</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1、评标基准价为所有合理有效的最终投标报价的最低价。</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2、有效的评标基准价得</w:t>
            </w:r>
            <w:r>
              <w:rPr>
                <w:rFonts w:hint="eastAsia" w:ascii="宋体" w:hAnsi="宋体" w:eastAsia="宋体" w:cs="宋体"/>
                <w:sz w:val="21"/>
                <w:szCs w:val="21"/>
                <w:lang w:val="en-US" w:eastAsia="zh-CN"/>
              </w:rPr>
              <w:t>100</w:t>
            </w:r>
            <w:r>
              <w:rPr>
                <w:rFonts w:hint="eastAsia" w:ascii="宋体" w:hAnsi="宋体" w:eastAsia="宋体" w:cs="宋体"/>
                <w:sz w:val="21"/>
                <w:szCs w:val="21"/>
              </w:rPr>
              <w:t>分；其他投标人的价格得分按下列公式计算：投标价格得分=</w:t>
            </w:r>
            <w:r>
              <w:rPr>
                <w:rFonts w:hint="eastAsia" w:ascii="宋体" w:hAnsi="宋体" w:eastAsia="宋体" w:cs="宋体"/>
                <w:sz w:val="21"/>
                <w:szCs w:val="21"/>
                <w:lang w:val="en-US" w:eastAsia="zh-CN"/>
              </w:rPr>
              <w:t>100</w:t>
            </w:r>
            <w:r>
              <w:rPr>
                <w:rFonts w:hint="eastAsia" w:ascii="宋体" w:hAnsi="宋体" w:eastAsia="宋体" w:cs="宋体"/>
                <w:sz w:val="21"/>
                <w:szCs w:val="21"/>
              </w:rPr>
              <w:t>×（评标基准价/投标报价）。</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注：得分值取小数点后两位，不足一个百分点的，按照四舍五入法计算。</w:t>
            </w:r>
          </w:p>
        </w:tc>
      </w:tr>
    </w:tbl>
    <w:p>
      <w:pPr>
        <w:pStyle w:val="17"/>
        <w:rPr>
          <w:rFonts w:hint="eastAsia"/>
        </w:rPr>
        <w:sectPr>
          <w:pgSz w:w="11906" w:h="16838"/>
          <w:pgMar w:top="1588" w:right="1418" w:bottom="1134" w:left="1418" w:header="851" w:footer="992" w:gutter="0"/>
          <w:cols w:space="720" w:num="1"/>
          <w:titlePg/>
          <w:docGrid w:type="lines" w:linePitch="312" w:charSpace="0"/>
        </w:sect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配套能力“供货类别”填“工艺装备”，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pPr>
        <w:pStyle w:val="17"/>
        <w:rPr>
          <w:rFonts w:hint="eastAsia" w:hAnsi="宋体" w:eastAsia="宋体" w:cs="Times New Roman"/>
          <w:b/>
          <w:color w:val="000000"/>
          <w:sz w:val="24"/>
          <w:szCs w:val="24"/>
          <w:lang w:val="en-US" w:eastAsia="zh-CN"/>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12" w:space="9"/>
      </w:pBdr>
      <w:jc w:val="both"/>
      <w:rPr>
        <w:rFonts w:hint="default"/>
        <w:lang w:val="en-US"/>
      </w:rPr>
    </w:pPr>
    <w:r>
      <w:object>
        <v:shape id="_x0000_i1026"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6" DrawAspect="Content" ObjectID="_1468075725" r:id="rId1">
          <o:LockedField>false</o:LockedField>
        </o:OLEObject>
      </w:object>
    </w:r>
    <w:r>
      <w:rPr>
        <w:rFonts w:hint="eastAsia" w:ascii="黑体" w:eastAsia="黑体"/>
        <w:sz w:val="24"/>
      </w:rPr>
      <w:t xml:space="preserve">        </w:t>
    </w:r>
    <w:r>
      <w:rPr>
        <w:rFonts w:hint="eastAsia" w:ascii="黑体" w:eastAsia="黑体"/>
        <w:sz w:val="24"/>
        <w:lang w:val="en-US" w:eastAsia="zh-CN"/>
      </w:rPr>
      <w:t xml:space="preserve">     </w:t>
    </w:r>
    <w:r>
      <w:rPr>
        <w:rFonts w:hint="eastAsia" w:ascii="黑体" w:eastAsia="黑体"/>
        <w:sz w:val="24"/>
      </w:rPr>
      <w:t xml:space="preserve"> </w:t>
    </w:r>
    <w:r>
      <w:rPr>
        <w:rFonts w:hint="eastAsia" w:ascii="黑体" w:eastAsia="黑体"/>
        <w:sz w:val="24"/>
        <w:lang w:val="en-US" w:eastAsia="zh-CN"/>
      </w:rPr>
      <w:t xml:space="preserve">     </w:t>
    </w:r>
    <w:r>
      <w:rPr>
        <w:rFonts w:hint="eastAsia" w:ascii="黑体" w:hAnsi="Times New Roman" w:eastAsia="黑体" w:cs="Times New Roman"/>
        <w:sz w:val="24"/>
        <w:szCs w:val="24"/>
        <w:lang w:val="en-US" w:eastAsia="zh-CN"/>
      </w:rPr>
      <w:t>缸盖装配线兼容性改造项目</w:t>
    </w:r>
    <w:r>
      <w:rPr>
        <w:rFonts w:hint="eastAsia" w:ascii="黑体" w:eastAsia="黑体"/>
        <w:sz w:val="24"/>
        <w:szCs w:val="24"/>
        <w:lang w:val="en-US" w:eastAsia="zh-CN"/>
      </w:rPr>
      <w:t>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6" r:id="rId1">
          <o:LockedField>false</o:LockedField>
        </o:OLEObject>
      </w:object>
    </w: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357F37"/>
    <w:rsid w:val="027408EE"/>
    <w:rsid w:val="02963F39"/>
    <w:rsid w:val="02B3095A"/>
    <w:rsid w:val="02BA7274"/>
    <w:rsid w:val="02EE59E6"/>
    <w:rsid w:val="03251978"/>
    <w:rsid w:val="0325718A"/>
    <w:rsid w:val="042921B6"/>
    <w:rsid w:val="043342B8"/>
    <w:rsid w:val="043B72BB"/>
    <w:rsid w:val="04461EC1"/>
    <w:rsid w:val="04504B3F"/>
    <w:rsid w:val="04AD02B8"/>
    <w:rsid w:val="04BA6AFF"/>
    <w:rsid w:val="04DE51C8"/>
    <w:rsid w:val="04DF17D4"/>
    <w:rsid w:val="04EE7F1F"/>
    <w:rsid w:val="05412745"/>
    <w:rsid w:val="05491761"/>
    <w:rsid w:val="05793C8D"/>
    <w:rsid w:val="05A351AD"/>
    <w:rsid w:val="05F9748A"/>
    <w:rsid w:val="06266F78"/>
    <w:rsid w:val="06344057"/>
    <w:rsid w:val="063E7B7A"/>
    <w:rsid w:val="06582413"/>
    <w:rsid w:val="06682E69"/>
    <w:rsid w:val="067E33B8"/>
    <w:rsid w:val="06B96433"/>
    <w:rsid w:val="06E82FCB"/>
    <w:rsid w:val="06F34B95"/>
    <w:rsid w:val="07571DAC"/>
    <w:rsid w:val="07867620"/>
    <w:rsid w:val="08916B94"/>
    <w:rsid w:val="08DD171B"/>
    <w:rsid w:val="08E64121"/>
    <w:rsid w:val="09390B2F"/>
    <w:rsid w:val="0942017F"/>
    <w:rsid w:val="09BA1FBB"/>
    <w:rsid w:val="09CB139F"/>
    <w:rsid w:val="0A0106F5"/>
    <w:rsid w:val="0A112AB7"/>
    <w:rsid w:val="0A4E5482"/>
    <w:rsid w:val="0A617F01"/>
    <w:rsid w:val="0AA70866"/>
    <w:rsid w:val="0AAA504A"/>
    <w:rsid w:val="0AD71BC7"/>
    <w:rsid w:val="0AF420EB"/>
    <w:rsid w:val="0B2B2BF5"/>
    <w:rsid w:val="0B2F3908"/>
    <w:rsid w:val="0B3F6206"/>
    <w:rsid w:val="0BAB6B6A"/>
    <w:rsid w:val="0BDE715C"/>
    <w:rsid w:val="0BE12DB6"/>
    <w:rsid w:val="0BFC6504"/>
    <w:rsid w:val="0C345AD1"/>
    <w:rsid w:val="0C360B29"/>
    <w:rsid w:val="0C626CE4"/>
    <w:rsid w:val="0C7B29E0"/>
    <w:rsid w:val="0CE51C08"/>
    <w:rsid w:val="0D030966"/>
    <w:rsid w:val="0D0C2B7B"/>
    <w:rsid w:val="0D865199"/>
    <w:rsid w:val="0D9308F8"/>
    <w:rsid w:val="0DE76C3D"/>
    <w:rsid w:val="0E1A1D85"/>
    <w:rsid w:val="0E750568"/>
    <w:rsid w:val="0E8042DE"/>
    <w:rsid w:val="0E9C3C97"/>
    <w:rsid w:val="0F2D7A80"/>
    <w:rsid w:val="0F4277E5"/>
    <w:rsid w:val="0FA75561"/>
    <w:rsid w:val="0FB83603"/>
    <w:rsid w:val="0FCA77F1"/>
    <w:rsid w:val="0FCD5DCC"/>
    <w:rsid w:val="10043197"/>
    <w:rsid w:val="102313C5"/>
    <w:rsid w:val="10270545"/>
    <w:rsid w:val="103409DF"/>
    <w:rsid w:val="108A1D4B"/>
    <w:rsid w:val="10A10111"/>
    <w:rsid w:val="10BE093E"/>
    <w:rsid w:val="10E20BD8"/>
    <w:rsid w:val="10E31DED"/>
    <w:rsid w:val="11146F5F"/>
    <w:rsid w:val="111B0FE9"/>
    <w:rsid w:val="112C77F4"/>
    <w:rsid w:val="114755AB"/>
    <w:rsid w:val="115F67A8"/>
    <w:rsid w:val="117619C8"/>
    <w:rsid w:val="117F4F8B"/>
    <w:rsid w:val="119A7465"/>
    <w:rsid w:val="11A833CB"/>
    <w:rsid w:val="11C07DA5"/>
    <w:rsid w:val="11C2491E"/>
    <w:rsid w:val="11F36B75"/>
    <w:rsid w:val="12491386"/>
    <w:rsid w:val="12E60579"/>
    <w:rsid w:val="12EB0F02"/>
    <w:rsid w:val="13280AA0"/>
    <w:rsid w:val="135961A8"/>
    <w:rsid w:val="13695B36"/>
    <w:rsid w:val="1372609F"/>
    <w:rsid w:val="13D73572"/>
    <w:rsid w:val="14504752"/>
    <w:rsid w:val="145A6A37"/>
    <w:rsid w:val="1467440F"/>
    <w:rsid w:val="15400323"/>
    <w:rsid w:val="15433A9B"/>
    <w:rsid w:val="15AC59B8"/>
    <w:rsid w:val="15FC2F04"/>
    <w:rsid w:val="16181FAC"/>
    <w:rsid w:val="167553FD"/>
    <w:rsid w:val="168756A0"/>
    <w:rsid w:val="16F94849"/>
    <w:rsid w:val="17045E51"/>
    <w:rsid w:val="172011D4"/>
    <w:rsid w:val="17252C3B"/>
    <w:rsid w:val="173C25C7"/>
    <w:rsid w:val="173F0A2E"/>
    <w:rsid w:val="176E561B"/>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CBF2475"/>
    <w:rsid w:val="1CFC59F9"/>
    <w:rsid w:val="1D5C514E"/>
    <w:rsid w:val="1D6B43AB"/>
    <w:rsid w:val="1D70551D"/>
    <w:rsid w:val="1D865D14"/>
    <w:rsid w:val="1D8705EC"/>
    <w:rsid w:val="1DEC0E7D"/>
    <w:rsid w:val="1E43150B"/>
    <w:rsid w:val="1E796654"/>
    <w:rsid w:val="1EA93E80"/>
    <w:rsid w:val="1ED33FB6"/>
    <w:rsid w:val="1EE81332"/>
    <w:rsid w:val="1F1C3BAF"/>
    <w:rsid w:val="1F32415A"/>
    <w:rsid w:val="1F542F9A"/>
    <w:rsid w:val="1F702632"/>
    <w:rsid w:val="1F7E2174"/>
    <w:rsid w:val="1FA66A00"/>
    <w:rsid w:val="1FAA11BB"/>
    <w:rsid w:val="1FB64E98"/>
    <w:rsid w:val="20107567"/>
    <w:rsid w:val="202F346E"/>
    <w:rsid w:val="205567CA"/>
    <w:rsid w:val="20AB56C6"/>
    <w:rsid w:val="20E3645C"/>
    <w:rsid w:val="21547789"/>
    <w:rsid w:val="2176507C"/>
    <w:rsid w:val="21815F4B"/>
    <w:rsid w:val="21BE35AF"/>
    <w:rsid w:val="21C11174"/>
    <w:rsid w:val="22244B28"/>
    <w:rsid w:val="22467FD4"/>
    <w:rsid w:val="227C56E4"/>
    <w:rsid w:val="229451FD"/>
    <w:rsid w:val="22A12DB6"/>
    <w:rsid w:val="22DF561F"/>
    <w:rsid w:val="236356D1"/>
    <w:rsid w:val="23A91C83"/>
    <w:rsid w:val="23C962E8"/>
    <w:rsid w:val="247D6439"/>
    <w:rsid w:val="247E4FED"/>
    <w:rsid w:val="24AD78E0"/>
    <w:rsid w:val="24B30BE8"/>
    <w:rsid w:val="24E34060"/>
    <w:rsid w:val="252C4420"/>
    <w:rsid w:val="253A0491"/>
    <w:rsid w:val="254E0478"/>
    <w:rsid w:val="25E036B2"/>
    <w:rsid w:val="25E9082A"/>
    <w:rsid w:val="25F42473"/>
    <w:rsid w:val="268D0343"/>
    <w:rsid w:val="269C17B8"/>
    <w:rsid w:val="269C3827"/>
    <w:rsid w:val="26AF2D79"/>
    <w:rsid w:val="26B34B91"/>
    <w:rsid w:val="270D66E8"/>
    <w:rsid w:val="27321A96"/>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A056A9"/>
    <w:rsid w:val="29BD6726"/>
    <w:rsid w:val="29C32A87"/>
    <w:rsid w:val="29CF26DC"/>
    <w:rsid w:val="2A1C5DA0"/>
    <w:rsid w:val="2A200D39"/>
    <w:rsid w:val="2A507EFF"/>
    <w:rsid w:val="2AA07F73"/>
    <w:rsid w:val="2AB92B7C"/>
    <w:rsid w:val="2ADC05A4"/>
    <w:rsid w:val="2AEF2177"/>
    <w:rsid w:val="2B161149"/>
    <w:rsid w:val="2B6F0D7F"/>
    <w:rsid w:val="2B8716BD"/>
    <w:rsid w:val="2B8A1EA0"/>
    <w:rsid w:val="2B8B76FF"/>
    <w:rsid w:val="2B9B7D74"/>
    <w:rsid w:val="2BD5034F"/>
    <w:rsid w:val="2CE101E6"/>
    <w:rsid w:val="2D025012"/>
    <w:rsid w:val="2D4178F0"/>
    <w:rsid w:val="2DAE631A"/>
    <w:rsid w:val="2DD877E0"/>
    <w:rsid w:val="2DE616C9"/>
    <w:rsid w:val="2DEE4968"/>
    <w:rsid w:val="2DFC2451"/>
    <w:rsid w:val="2E3422F8"/>
    <w:rsid w:val="2E5D3BD9"/>
    <w:rsid w:val="2E6E566D"/>
    <w:rsid w:val="2E7F188E"/>
    <w:rsid w:val="2EBC0905"/>
    <w:rsid w:val="2EC73739"/>
    <w:rsid w:val="2EFB1B0E"/>
    <w:rsid w:val="2F0D5C9B"/>
    <w:rsid w:val="2F432A92"/>
    <w:rsid w:val="2F5C684F"/>
    <w:rsid w:val="2F63756E"/>
    <w:rsid w:val="30444D13"/>
    <w:rsid w:val="307610EA"/>
    <w:rsid w:val="307776D1"/>
    <w:rsid w:val="30862574"/>
    <w:rsid w:val="30B631E1"/>
    <w:rsid w:val="30ED7159"/>
    <w:rsid w:val="311933AA"/>
    <w:rsid w:val="317D15BB"/>
    <w:rsid w:val="31C825FC"/>
    <w:rsid w:val="31D07E6C"/>
    <w:rsid w:val="31F6203D"/>
    <w:rsid w:val="323F65DA"/>
    <w:rsid w:val="32412074"/>
    <w:rsid w:val="327C2FDC"/>
    <w:rsid w:val="32990C1B"/>
    <w:rsid w:val="32A43435"/>
    <w:rsid w:val="32DE0199"/>
    <w:rsid w:val="33124E6A"/>
    <w:rsid w:val="33153593"/>
    <w:rsid w:val="333170A5"/>
    <w:rsid w:val="333C2963"/>
    <w:rsid w:val="335B2774"/>
    <w:rsid w:val="33A4642E"/>
    <w:rsid w:val="33D4039C"/>
    <w:rsid w:val="33D47E05"/>
    <w:rsid w:val="3413677D"/>
    <w:rsid w:val="342B544B"/>
    <w:rsid w:val="345E036E"/>
    <w:rsid w:val="348731B2"/>
    <w:rsid w:val="34C47852"/>
    <w:rsid w:val="34DE1E4F"/>
    <w:rsid w:val="34F07DB1"/>
    <w:rsid w:val="35092435"/>
    <w:rsid w:val="355F614C"/>
    <w:rsid w:val="359009FB"/>
    <w:rsid w:val="35D354B8"/>
    <w:rsid w:val="35D4025C"/>
    <w:rsid w:val="362666BC"/>
    <w:rsid w:val="367774C5"/>
    <w:rsid w:val="368A6B11"/>
    <w:rsid w:val="37085B1F"/>
    <w:rsid w:val="372E04CB"/>
    <w:rsid w:val="37A4078E"/>
    <w:rsid w:val="38353194"/>
    <w:rsid w:val="38891F93"/>
    <w:rsid w:val="38E070F2"/>
    <w:rsid w:val="390D33AB"/>
    <w:rsid w:val="391E6D06"/>
    <w:rsid w:val="3A074847"/>
    <w:rsid w:val="3A830B2E"/>
    <w:rsid w:val="3AA90FE6"/>
    <w:rsid w:val="3AA9318F"/>
    <w:rsid w:val="3AB62DA0"/>
    <w:rsid w:val="3ACF7DBC"/>
    <w:rsid w:val="3B4C2CCE"/>
    <w:rsid w:val="3B69577B"/>
    <w:rsid w:val="3B702D85"/>
    <w:rsid w:val="3B7D3FD5"/>
    <w:rsid w:val="3B823DDF"/>
    <w:rsid w:val="3BA7084C"/>
    <w:rsid w:val="3BBD3BCC"/>
    <w:rsid w:val="3BD827B4"/>
    <w:rsid w:val="3C237ED3"/>
    <w:rsid w:val="3C460D90"/>
    <w:rsid w:val="3C4D2D59"/>
    <w:rsid w:val="3CAA596A"/>
    <w:rsid w:val="3CAF1D22"/>
    <w:rsid w:val="3CB13731"/>
    <w:rsid w:val="3CB1587B"/>
    <w:rsid w:val="3CB735F2"/>
    <w:rsid w:val="3D006466"/>
    <w:rsid w:val="3D186684"/>
    <w:rsid w:val="3D363C36"/>
    <w:rsid w:val="3D8B2178"/>
    <w:rsid w:val="3DB34909"/>
    <w:rsid w:val="3DCC459A"/>
    <w:rsid w:val="3DD115F5"/>
    <w:rsid w:val="3DE435F0"/>
    <w:rsid w:val="3DE5122C"/>
    <w:rsid w:val="3DF37E53"/>
    <w:rsid w:val="3E502AD5"/>
    <w:rsid w:val="3ED26DE9"/>
    <w:rsid w:val="3EED17D0"/>
    <w:rsid w:val="3F0C0304"/>
    <w:rsid w:val="3F3D1325"/>
    <w:rsid w:val="3F430395"/>
    <w:rsid w:val="3F774839"/>
    <w:rsid w:val="3FEC147E"/>
    <w:rsid w:val="40376375"/>
    <w:rsid w:val="40632A1B"/>
    <w:rsid w:val="40843913"/>
    <w:rsid w:val="412732B7"/>
    <w:rsid w:val="4127791F"/>
    <w:rsid w:val="41281794"/>
    <w:rsid w:val="413C1FDF"/>
    <w:rsid w:val="41806A69"/>
    <w:rsid w:val="41B0259C"/>
    <w:rsid w:val="41BC6F1C"/>
    <w:rsid w:val="41EF2363"/>
    <w:rsid w:val="41F77860"/>
    <w:rsid w:val="42041029"/>
    <w:rsid w:val="420E6F2F"/>
    <w:rsid w:val="424A4B98"/>
    <w:rsid w:val="42581D3A"/>
    <w:rsid w:val="42AB29D0"/>
    <w:rsid w:val="42ED2EA4"/>
    <w:rsid w:val="42F6649D"/>
    <w:rsid w:val="42FE0080"/>
    <w:rsid w:val="43315D2E"/>
    <w:rsid w:val="43670C99"/>
    <w:rsid w:val="43824A1C"/>
    <w:rsid w:val="43D110E1"/>
    <w:rsid w:val="43DF072A"/>
    <w:rsid w:val="43E873C9"/>
    <w:rsid w:val="444C1F91"/>
    <w:rsid w:val="44905B1F"/>
    <w:rsid w:val="45141C49"/>
    <w:rsid w:val="45316885"/>
    <w:rsid w:val="45334280"/>
    <w:rsid w:val="45A95EE9"/>
    <w:rsid w:val="45FB0F21"/>
    <w:rsid w:val="46167166"/>
    <w:rsid w:val="4636719A"/>
    <w:rsid w:val="46A55ABD"/>
    <w:rsid w:val="47200EE3"/>
    <w:rsid w:val="47435AC2"/>
    <w:rsid w:val="47544B78"/>
    <w:rsid w:val="47587AF7"/>
    <w:rsid w:val="476F0470"/>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B01057"/>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E546612"/>
    <w:rsid w:val="4F08773C"/>
    <w:rsid w:val="4F31409F"/>
    <w:rsid w:val="4F5E670E"/>
    <w:rsid w:val="4F846A83"/>
    <w:rsid w:val="50070E2C"/>
    <w:rsid w:val="501112F3"/>
    <w:rsid w:val="504B57F2"/>
    <w:rsid w:val="50850D04"/>
    <w:rsid w:val="50853693"/>
    <w:rsid w:val="50C5433A"/>
    <w:rsid w:val="50C62BC7"/>
    <w:rsid w:val="50F72A66"/>
    <w:rsid w:val="5123368C"/>
    <w:rsid w:val="5130747C"/>
    <w:rsid w:val="515C765A"/>
    <w:rsid w:val="518B0A10"/>
    <w:rsid w:val="51905BB3"/>
    <w:rsid w:val="51946FCB"/>
    <w:rsid w:val="51DD796B"/>
    <w:rsid w:val="51DF373B"/>
    <w:rsid w:val="52EF4CB5"/>
    <w:rsid w:val="52F959F0"/>
    <w:rsid w:val="5302488E"/>
    <w:rsid w:val="53136173"/>
    <w:rsid w:val="531445D8"/>
    <w:rsid w:val="533B1C60"/>
    <w:rsid w:val="534B12B7"/>
    <w:rsid w:val="539A4AC7"/>
    <w:rsid w:val="541A51E1"/>
    <w:rsid w:val="542631B6"/>
    <w:rsid w:val="543D6020"/>
    <w:rsid w:val="5447483C"/>
    <w:rsid w:val="54862A07"/>
    <w:rsid w:val="54942CAE"/>
    <w:rsid w:val="5495528E"/>
    <w:rsid w:val="54A61722"/>
    <w:rsid w:val="54B31FAF"/>
    <w:rsid w:val="54FB10D7"/>
    <w:rsid w:val="55326D63"/>
    <w:rsid w:val="555D1A10"/>
    <w:rsid w:val="55C300FC"/>
    <w:rsid w:val="55DF2C65"/>
    <w:rsid w:val="567B1032"/>
    <w:rsid w:val="56AC4A78"/>
    <w:rsid w:val="56DB16B9"/>
    <w:rsid w:val="570109B9"/>
    <w:rsid w:val="577A3463"/>
    <w:rsid w:val="57F967AD"/>
    <w:rsid w:val="58052975"/>
    <w:rsid w:val="58063909"/>
    <w:rsid w:val="584D1A65"/>
    <w:rsid w:val="584F5C44"/>
    <w:rsid w:val="58E525CA"/>
    <w:rsid w:val="58EE7372"/>
    <w:rsid w:val="590D7AE9"/>
    <w:rsid w:val="593D045A"/>
    <w:rsid w:val="5960739E"/>
    <w:rsid w:val="59896D0A"/>
    <w:rsid w:val="59B72684"/>
    <w:rsid w:val="5A9579AE"/>
    <w:rsid w:val="5AB50438"/>
    <w:rsid w:val="5AC468CD"/>
    <w:rsid w:val="5B342B9A"/>
    <w:rsid w:val="5B5953B0"/>
    <w:rsid w:val="5B630802"/>
    <w:rsid w:val="5B807F68"/>
    <w:rsid w:val="5BA72CE5"/>
    <w:rsid w:val="5BDF6C13"/>
    <w:rsid w:val="5C034D53"/>
    <w:rsid w:val="5C0A43A9"/>
    <w:rsid w:val="5C6B7CDD"/>
    <w:rsid w:val="5CDF79EE"/>
    <w:rsid w:val="5D722852"/>
    <w:rsid w:val="5DA13E95"/>
    <w:rsid w:val="5DF60588"/>
    <w:rsid w:val="5E025830"/>
    <w:rsid w:val="5E1D6F56"/>
    <w:rsid w:val="5E52187F"/>
    <w:rsid w:val="5E6567AD"/>
    <w:rsid w:val="5E6A13CD"/>
    <w:rsid w:val="5E705D15"/>
    <w:rsid w:val="5E93326C"/>
    <w:rsid w:val="5E9F1A7A"/>
    <w:rsid w:val="5EAF3818"/>
    <w:rsid w:val="5ED8390F"/>
    <w:rsid w:val="5EFB4BA4"/>
    <w:rsid w:val="5F025452"/>
    <w:rsid w:val="5F5F46B5"/>
    <w:rsid w:val="5FB25360"/>
    <w:rsid w:val="5FBA3CC0"/>
    <w:rsid w:val="5FBE258A"/>
    <w:rsid w:val="5FD90D61"/>
    <w:rsid w:val="5FE54FEA"/>
    <w:rsid w:val="60114363"/>
    <w:rsid w:val="60177697"/>
    <w:rsid w:val="602329DB"/>
    <w:rsid w:val="607777D6"/>
    <w:rsid w:val="60BC76A1"/>
    <w:rsid w:val="610B7637"/>
    <w:rsid w:val="610E07BF"/>
    <w:rsid w:val="612279BA"/>
    <w:rsid w:val="615F5624"/>
    <w:rsid w:val="61D215CF"/>
    <w:rsid w:val="61D73926"/>
    <w:rsid w:val="625C563D"/>
    <w:rsid w:val="626A1704"/>
    <w:rsid w:val="627921C2"/>
    <w:rsid w:val="62B362C8"/>
    <w:rsid w:val="62C1330E"/>
    <w:rsid w:val="6342085E"/>
    <w:rsid w:val="636F415C"/>
    <w:rsid w:val="6477050C"/>
    <w:rsid w:val="648B3FB8"/>
    <w:rsid w:val="64917820"/>
    <w:rsid w:val="64AA1CC5"/>
    <w:rsid w:val="64D771FD"/>
    <w:rsid w:val="6528341F"/>
    <w:rsid w:val="656B2909"/>
    <w:rsid w:val="65970AF2"/>
    <w:rsid w:val="65A3045D"/>
    <w:rsid w:val="65D97752"/>
    <w:rsid w:val="65E25E59"/>
    <w:rsid w:val="66307F76"/>
    <w:rsid w:val="66580EAF"/>
    <w:rsid w:val="66694D0D"/>
    <w:rsid w:val="667B4472"/>
    <w:rsid w:val="66A5036A"/>
    <w:rsid w:val="66F041A8"/>
    <w:rsid w:val="6721178A"/>
    <w:rsid w:val="6739399A"/>
    <w:rsid w:val="673F39DE"/>
    <w:rsid w:val="674C5D22"/>
    <w:rsid w:val="67663AF8"/>
    <w:rsid w:val="67762CFD"/>
    <w:rsid w:val="677A678D"/>
    <w:rsid w:val="67B77327"/>
    <w:rsid w:val="67BF46A4"/>
    <w:rsid w:val="67D30B32"/>
    <w:rsid w:val="68011379"/>
    <w:rsid w:val="68252C37"/>
    <w:rsid w:val="683338F6"/>
    <w:rsid w:val="685E3EBD"/>
    <w:rsid w:val="68646FFA"/>
    <w:rsid w:val="68817BAC"/>
    <w:rsid w:val="689A5E59"/>
    <w:rsid w:val="68A94E70"/>
    <w:rsid w:val="68EE72DF"/>
    <w:rsid w:val="68FE744E"/>
    <w:rsid w:val="690B4C92"/>
    <w:rsid w:val="69485FEA"/>
    <w:rsid w:val="69677DC0"/>
    <w:rsid w:val="69937EC7"/>
    <w:rsid w:val="699833FF"/>
    <w:rsid w:val="69D64558"/>
    <w:rsid w:val="6A042548"/>
    <w:rsid w:val="6A471EFD"/>
    <w:rsid w:val="6AB57116"/>
    <w:rsid w:val="6B17424A"/>
    <w:rsid w:val="6B2218FA"/>
    <w:rsid w:val="6B4A74E9"/>
    <w:rsid w:val="6B686C59"/>
    <w:rsid w:val="6B691672"/>
    <w:rsid w:val="6BE97F42"/>
    <w:rsid w:val="6C4433CA"/>
    <w:rsid w:val="6C5172C5"/>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28162D"/>
    <w:rsid w:val="6F651FD5"/>
    <w:rsid w:val="6F7F7CB0"/>
    <w:rsid w:val="6FE0165C"/>
    <w:rsid w:val="6FE10C44"/>
    <w:rsid w:val="6FE32EFA"/>
    <w:rsid w:val="70222744"/>
    <w:rsid w:val="706D25DF"/>
    <w:rsid w:val="706D2B21"/>
    <w:rsid w:val="707B1384"/>
    <w:rsid w:val="70857A34"/>
    <w:rsid w:val="70985D3C"/>
    <w:rsid w:val="70D80585"/>
    <w:rsid w:val="70ED2282"/>
    <w:rsid w:val="70F81685"/>
    <w:rsid w:val="71047C73"/>
    <w:rsid w:val="7109004F"/>
    <w:rsid w:val="71103167"/>
    <w:rsid w:val="712E56F7"/>
    <w:rsid w:val="71542301"/>
    <w:rsid w:val="71691ABB"/>
    <w:rsid w:val="718F3339"/>
    <w:rsid w:val="71AE1AEA"/>
    <w:rsid w:val="71CF3B6C"/>
    <w:rsid w:val="71F80F33"/>
    <w:rsid w:val="722922C6"/>
    <w:rsid w:val="726C6634"/>
    <w:rsid w:val="727176A7"/>
    <w:rsid w:val="72785B7B"/>
    <w:rsid w:val="72AC2584"/>
    <w:rsid w:val="72CB03A1"/>
    <w:rsid w:val="72F336D6"/>
    <w:rsid w:val="732B7092"/>
    <w:rsid w:val="732D4B5D"/>
    <w:rsid w:val="73393C88"/>
    <w:rsid w:val="7362513F"/>
    <w:rsid w:val="73771D49"/>
    <w:rsid w:val="73A1354E"/>
    <w:rsid w:val="74006876"/>
    <w:rsid w:val="7434641A"/>
    <w:rsid w:val="74A11E7D"/>
    <w:rsid w:val="74E03EAC"/>
    <w:rsid w:val="75590B0A"/>
    <w:rsid w:val="7582279F"/>
    <w:rsid w:val="75843EB5"/>
    <w:rsid w:val="75BB71AF"/>
    <w:rsid w:val="75F01962"/>
    <w:rsid w:val="760E19DF"/>
    <w:rsid w:val="764E52E0"/>
    <w:rsid w:val="764F3097"/>
    <w:rsid w:val="76557F3E"/>
    <w:rsid w:val="76676A53"/>
    <w:rsid w:val="768C42EB"/>
    <w:rsid w:val="76A3294D"/>
    <w:rsid w:val="76B620A1"/>
    <w:rsid w:val="76F20814"/>
    <w:rsid w:val="77462524"/>
    <w:rsid w:val="779A6594"/>
    <w:rsid w:val="77A21064"/>
    <w:rsid w:val="77E34EB2"/>
    <w:rsid w:val="78071E5D"/>
    <w:rsid w:val="781564B8"/>
    <w:rsid w:val="781B2E5F"/>
    <w:rsid w:val="78224ACF"/>
    <w:rsid w:val="78CD6DCC"/>
    <w:rsid w:val="78D07CAF"/>
    <w:rsid w:val="78DE12D7"/>
    <w:rsid w:val="78FD0B56"/>
    <w:rsid w:val="79210683"/>
    <w:rsid w:val="799C3465"/>
    <w:rsid w:val="79A27982"/>
    <w:rsid w:val="79B14EC4"/>
    <w:rsid w:val="7A2A6B4A"/>
    <w:rsid w:val="7A3727C0"/>
    <w:rsid w:val="7A37456E"/>
    <w:rsid w:val="7A681070"/>
    <w:rsid w:val="7A860C7C"/>
    <w:rsid w:val="7A895529"/>
    <w:rsid w:val="7AB879FE"/>
    <w:rsid w:val="7B072683"/>
    <w:rsid w:val="7B212602"/>
    <w:rsid w:val="7B252618"/>
    <w:rsid w:val="7B272834"/>
    <w:rsid w:val="7B3264DD"/>
    <w:rsid w:val="7B81188A"/>
    <w:rsid w:val="7B9E2902"/>
    <w:rsid w:val="7BC854E2"/>
    <w:rsid w:val="7C0562EC"/>
    <w:rsid w:val="7C067A45"/>
    <w:rsid w:val="7C27683F"/>
    <w:rsid w:val="7CB14B4D"/>
    <w:rsid w:val="7CF26969"/>
    <w:rsid w:val="7CF90201"/>
    <w:rsid w:val="7D25523C"/>
    <w:rsid w:val="7D5176F5"/>
    <w:rsid w:val="7DB23041"/>
    <w:rsid w:val="7DB303AF"/>
    <w:rsid w:val="7E062BD5"/>
    <w:rsid w:val="7E253FEC"/>
    <w:rsid w:val="7E5C45A3"/>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3"/>
    <w:qFormat/>
    <w:uiPriority w:val="9"/>
    <w:rPr>
      <w:rFonts w:ascii="Arial" w:hAnsi="Arial" w:eastAsia="宋体" w:cs="Times New Roman"/>
      <w:b/>
      <w:bCs/>
      <w:sz w:val="24"/>
      <w:szCs w:val="32"/>
    </w:rPr>
  </w:style>
  <w:style w:type="character" w:customStyle="1" w:styleId="48">
    <w:name w:val="标题 3 字符"/>
    <w:basedOn w:val="38"/>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8"/>
    <w:qFormat/>
    <w:uiPriority w:val="0"/>
    <w:rPr>
      <w:rFonts w:hint="default" w:ascii="Times New Roman" w:hAnsi="Times New Roman" w:cs="Times New Roman"/>
      <w:color w:val="000000"/>
      <w:sz w:val="20"/>
      <w:szCs w:val="20"/>
      <w:u w:val="none"/>
    </w:rPr>
  </w:style>
  <w:style w:type="character" w:customStyle="1" w:styleId="137">
    <w:name w:val="font51"/>
    <w:basedOn w:val="38"/>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 w:val="21"/>
      <w:szCs w:val="21"/>
      <w:lang w:val="en-US" w:eastAsia="en-US" w:bidi="ar-SA"/>
    </w:rPr>
  </w:style>
  <w:style w:type="paragraph" w:customStyle="1" w:styleId="139">
    <w:name w:val="表格样式1"/>
    <w:basedOn w:val="1"/>
    <w:qFormat/>
    <w:uiPriority w:val="0"/>
    <w:pPr>
      <w:spacing w:line="276" w:lineRule="auto"/>
      <w:jc w:val="left"/>
    </w:pPr>
    <w:rPr>
      <w:rFonts w:ascii="宋体" w:hAnsi="宋体" w:eastAsia="宋体"/>
      <w:kern w:val="0"/>
      <w:sz w:val="24"/>
      <w:szCs w:val="24"/>
      <w:lang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61</Pages>
  <Words>9895</Words>
  <Characters>10453</Characters>
  <Lines>305</Lines>
  <Paragraphs>86</Paragraphs>
  <TotalTime>0</TotalTime>
  <ScaleCrop>false</ScaleCrop>
  <LinksUpToDate>false</LinksUpToDate>
  <CharactersWithSpaces>10819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赵力</cp:lastModifiedBy>
  <dcterms:modified xsi:type="dcterms:W3CDTF">2025-11-24T08:16:23Z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09BDEC1243614C78AFDF3F798DF4106D_11</vt:lpwstr>
  </property>
  <property fmtid="{D5CDD505-2E9C-101B-9397-08002B2CF9AE}" pid="4" name="KSOTemplateDocerSaveRecord">
    <vt:lpwstr>eyJoZGlkIjoiMzhlYmU0MzMzZWIzM2IwMjVhMTBmZjNmYThlMGUyZGUiLCJ1c2VySWQiOiI2NzU0NjI1OTEifQ==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