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pStyle w:val="2"/>
      </w:pP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缸盖气密性检测设备项目</w:t>
      </w:r>
    </w:p>
    <w:p>
      <w:pPr>
        <w:jc w:val="both"/>
        <w:rPr>
          <w:rFonts w:ascii="Calibri" w:hAnsi="Calibri" w:eastAsia="宋体" w:cs="Times New Roman"/>
          <w:color w:val="000000"/>
          <w:sz w:val="28"/>
          <w:szCs w:val="28"/>
        </w:rPr>
      </w:pPr>
    </w:p>
    <w:p>
      <w:pPr>
        <w:pStyle w:val="2"/>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w:t>
      </w:r>
      <w:r>
        <w:rPr>
          <w:rFonts w:hint="eastAsia" w:ascii="华文仿宋" w:hAnsi="华文仿宋" w:eastAsia="华文仿宋"/>
          <w:b/>
          <w:bCs/>
          <w:sz w:val="32"/>
          <w:szCs w:val="28"/>
          <w:lang w:val="en-US" w:eastAsia="zh-CN"/>
        </w:rPr>
        <w:t>教传英</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w:t>
      </w:r>
      <w:r>
        <w:rPr>
          <w:rFonts w:hint="eastAsia" w:ascii="华文仿宋" w:hAnsi="华文仿宋" w:eastAsia="华文仿宋"/>
          <w:b/>
          <w:bCs/>
          <w:sz w:val="32"/>
          <w:szCs w:val="28"/>
          <w:lang w:val="en-US" w:eastAsia="zh-CN"/>
        </w:rPr>
        <w:t>庄福河</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w:t>
      </w:r>
      <w:r>
        <w:rPr>
          <w:rFonts w:hint="eastAsia" w:ascii="华文仿宋" w:hAnsi="华文仿宋" w:eastAsia="华文仿宋"/>
          <w:b/>
          <w:bCs/>
          <w:sz w:val="32"/>
          <w:szCs w:val="28"/>
          <w:lang w:val="en-US" w:eastAsia="zh-CN"/>
        </w:rPr>
        <w:t>李成伍</w:t>
      </w:r>
      <w:r>
        <w:rPr>
          <w:rFonts w:hint="eastAsia" w:ascii="华文仿宋" w:hAnsi="华文仿宋" w:eastAsia="华文仿宋"/>
          <w:b/>
          <w:bCs/>
          <w:sz w:val="32"/>
          <w:szCs w:val="28"/>
        </w:rPr>
        <w:t xml:space="preserve">     </w:t>
      </w:r>
    </w:p>
    <w:p>
      <w:pPr>
        <w:pStyle w:val="18"/>
        <w:rPr>
          <w:b/>
          <w:bCs/>
        </w:rPr>
      </w:pP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lang w:eastAsia="zh-CN"/>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8"/>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8"/>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缸盖气密性检测设备项目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 xml:space="preserve"> FSCZB2025110433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缸盖气密性检测设备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 xml:space="preserve">济南市章丘区世纪大道7777号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sz w:val="24"/>
                <w:szCs w:val="24"/>
                <w:highlight w:val="yellow"/>
                <w:u w:val="single"/>
                <w:lang w:val="en-US" w:eastAsia="zh-CN"/>
              </w:rPr>
              <w:t xml:space="preserve"> 赵力             </w:t>
            </w:r>
          </w:p>
          <w:p>
            <w:pPr>
              <w:pStyle w:val="18"/>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sz w:val="24"/>
                <w:szCs w:val="24"/>
                <w:highlight w:val="yellow"/>
                <w:u w:val="single"/>
                <w:lang w:val="en-US" w:eastAsia="zh-CN"/>
              </w:rPr>
              <w:t xml:space="preserve">  </w:t>
            </w:r>
            <w:r>
              <w:rPr>
                <w:rFonts w:hint="eastAsia" w:hAnsi="宋体" w:eastAsia="宋体" w:cs="宋体"/>
                <w:sz w:val="24"/>
                <w:szCs w:val="24"/>
                <w:highlight w:val="yellow"/>
                <w:u w:val="single"/>
                <w:lang w:val="en-US" w:eastAsia="zh-CN"/>
              </w:rPr>
              <w:t>17860606595</w:t>
            </w:r>
            <w:r>
              <w:rPr>
                <w:rFonts w:hint="eastAsia" w:ascii="宋体" w:hAnsi="宋体" w:eastAsia="宋体" w:cs="宋体"/>
                <w:sz w:val="24"/>
                <w:szCs w:val="24"/>
                <w:highlight w:val="yellow"/>
                <w:u w:val="single"/>
                <w:lang w:val="en-US" w:eastAsia="zh-CN"/>
              </w:rPr>
              <w:t xml:space="preserve">            </w:t>
            </w:r>
          </w:p>
          <w:p>
            <w:pPr>
              <w:ind w:firstLine="482" w:firstLineChars="200"/>
              <w:rPr>
                <w:rFonts w:hint="eastAsia" w:ascii="宋体" w:hAnsi="宋体" w:eastAsia="宋体" w:cs="宋体"/>
                <w:sz w:val="24"/>
                <w:szCs w:val="24"/>
                <w:highlight w:val="yellow"/>
                <w:u w:val="singl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sz w:val="24"/>
                <w:szCs w:val="24"/>
                <w:highlight w:val="yellow"/>
                <w:u w:val="single"/>
                <w:lang w:val="en-US" w:eastAsia="zh-CN"/>
              </w:rPr>
              <w:t xml:space="preserve">  zhaoli@sinotruk.com  </w:t>
            </w:r>
          </w:p>
          <w:p>
            <w:pPr>
              <w:pStyle w:val="2"/>
              <w:spacing w:line="240" w:lineRule="auto"/>
              <w:ind w:firstLine="481"/>
              <w:rPr>
                <w:rFonts w:hint="default" w:cs="宋体"/>
                <w:color w:val="auto"/>
                <w:sz w:val="24"/>
                <w:szCs w:val="24"/>
                <w:highlight w:val="yellow"/>
                <w:u w:val="single"/>
                <w:lang w:val="en-US" w:eastAsia="zh-CN"/>
              </w:rPr>
            </w:pPr>
            <w:r>
              <w:rPr>
                <w:rFonts w:hint="eastAsia" w:cs="宋体"/>
                <w:color w:val="auto"/>
                <w:sz w:val="24"/>
                <w:szCs w:val="24"/>
                <w:highlight w:val="yellow"/>
                <w:u w:val="none"/>
                <w:lang w:val="en-US" w:eastAsia="zh-CN"/>
              </w:rPr>
              <w:t>技术联系人：</w:t>
            </w:r>
            <w:r>
              <w:rPr>
                <w:rFonts w:hint="eastAsia" w:cs="宋体"/>
                <w:color w:val="auto"/>
                <w:sz w:val="24"/>
                <w:szCs w:val="24"/>
                <w:highlight w:val="yellow"/>
                <w:u w:val="single"/>
                <w:lang w:val="en-US" w:eastAsia="zh-CN"/>
              </w:rPr>
              <w:t xml:space="preserve"> </w:t>
            </w:r>
            <w:r>
              <w:rPr>
                <w:rFonts w:hint="eastAsia" w:cs="宋体"/>
                <w:b w:val="0"/>
                <w:bCs/>
                <w:color w:val="auto"/>
                <w:sz w:val="24"/>
                <w:szCs w:val="24"/>
                <w:highlight w:val="yellow"/>
                <w:u w:val="single"/>
                <w:lang w:val="en-US" w:eastAsia="zh-CN"/>
              </w:rPr>
              <w:t xml:space="preserve">教传英 </w:t>
            </w:r>
          </w:p>
          <w:p>
            <w:pPr>
              <w:pStyle w:val="18"/>
              <w:spacing w:line="240" w:lineRule="auto"/>
              <w:ind w:firstLine="482" w:firstLineChars="200"/>
              <w:rPr>
                <w:rFonts w:hint="default"/>
                <w:color w:val="auto"/>
                <w:highlight w:val="yellow"/>
                <w:lang w:val="en-US" w:eastAsia="zh-CN"/>
              </w:rPr>
            </w:pPr>
            <w:r>
              <w:rPr>
                <w:rFonts w:hint="eastAsia" w:ascii="宋体" w:hAnsi="宋体" w:eastAsia="宋体" w:cs="宋体"/>
                <w:b/>
                <w:snapToGrid w:val="0"/>
                <w:color w:val="auto"/>
                <w:kern w:val="0"/>
                <w:sz w:val="24"/>
                <w:szCs w:val="24"/>
                <w:highlight w:val="yellow"/>
              </w:rPr>
              <w:t>电话：</w:t>
            </w:r>
            <w:r>
              <w:rPr>
                <w:rFonts w:hint="eastAsia" w:ascii="宋体" w:hAnsi="宋体" w:eastAsia="宋体" w:cs="宋体"/>
                <w:color w:val="auto"/>
                <w:sz w:val="24"/>
                <w:szCs w:val="24"/>
                <w:highlight w:val="yellow"/>
                <w:u w:val="single"/>
                <w:lang w:val="en-US" w:eastAsia="zh-CN"/>
              </w:rPr>
              <w:t xml:space="preserve"> 15253173206 </w:t>
            </w:r>
          </w:p>
          <w:p>
            <w:pPr>
              <w:spacing w:line="240" w:lineRule="auto"/>
              <w:ind w:firstLine="481"/>
              <w:rPr>
                <w:rFonts w:hint="default"/>
                <w:lang w:val="en-US" w:eastAsia="zh-CN"/>
              </w:rPr>
            </w:pPr>
            <w:r>
              <w:rPr>
                <w:rFonts w:hint="eastAsia" w:ascii="宋体" w:hAnsi="宋体" w:eastAsia="宋体" w:cs="宋体"/>
                <w:b/>
                <w:snapToGrid w:val="0"/>
                <w:color w:val="auto"/>
                <w:kern w:val="0"/>
                <w:sz w:val="24"/>
                <w:szCs w:val="24"/>
                <w:highlight w:val="yellow"/>
                <w:lang w:val="en-US" w:eastAsia="zh-CN"/>
              </w:rPr>
              <w:t>邮箱</w:t>
            </w:r>
            <w:r>
              <w:rPr>
                <w:rFonts w:hint="eastAsia" w:ascii="宋体" w:hAnsi="宋体" w:eastAsia="宋体" w:cs="宋体"/>
                <w:b/>
                <w:snapToGrid w:val="0"/>
                <w:color w:val="auto"/>
                <w:kern w:val="0"/>
                <w:sz w:val="24"/>
                <w:szCs w:val="24"/>
                <w:highlight w:val="yellow"/>
              </w:rPr>
              <w:t>：</w:t>
            </w:r>
            <w:r>
              <w:rPr>
                <w:rFonts w:hint="eastAsia" w:ascii="宋体" w:hAnsi="宋体" w:eastAsia="宋体" w:cs="宋体"/>
                <w:color w:val="auto"/>
                <w:sz w:val="24"/>
                <w:szCs w:val="24"/>
                <w:highlight w:val="yellow"/>
                <w:u w:val="single"/>
                <w:lang w:val="en-US" w:eastAsia="zh-CN"/>
              </w:rPr>
              <w:t xml:space="preserve"> jiaochuanying@sinotruk.com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8"/>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u w:val="single"/>
                <w:lang w:val="en-US" w:eastAsia="zh-CN"/>
              </w:rPr>
              <w:t xml:space="preserve"> 190 </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0万</w:t>
            </w:r>
            <w:r>
              <w:rPr>
                <w:rFonts w:hint="eastAsia" w:ascii="宋体" w:hAnsi="宋体" w:eastAsia="宋体" w:cs="宋体"/>
                <w:color w:val="000000"/>
                <w:sz w:val="24"/>
                <w:szCs w:val="24"/>
              </w:rPr>
              <w:t>人民币（或等值其他货币）；公司成立三年以上（以营业执照成立日期到开标当日满三年为准），且经营范围满足招标人需求；并在人员、设备、资金等方面具有承担本项目的能力；</w:t>
            </w:r>
          </w:p>
          <w:p>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2.拟投标人应提供营业执照副本原件和扫描件（需盖章）；</w:t>
            </w:r>
          </w:p>
          <w:p>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w:t>
            </w:r>
            <w:r>
              <w:rPr>
                <w:rFonts w:hint="eastAsia" w:hAnsi="宋体" w:eastAsia="宋体" w:cs="宋体"/>
                <w:color w:val="000000"/>
                <w:sz w:val="24"/>
                <w:szCs w:val="24"/>
                <w:lang w:val="en-US" w:eastAsia="zh-CN"/>
              </w:rPr>
              <w:t>文件</w:t>
            </w:r>
            <w:r>
              <w:rPr>
                <w:rFonts w:hint="eastAsia" w:ascii="宋体" w:hAnsi="宋体" w:eastAsia="宋体" w:cs="宋体"/>
                <w:color w:val="000000"/>
                <w:sz w:val="24"/>
                <w:szCs w:val="24"/>
              </w:rPr>
              <w:t>；</w:t>
            </w:r>
          </w:p>
          <w:p>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4.拟投标人在国家市场监督管理总局的《国家企业信用信息公示系统》中查询不存在不良记录；</w:t>
            </w:r>
          </w:p>
          <w:p>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w:t>
            </w:r>
            <w:r>
              <w:rPr>
                <w:rFonts w:hint="eastAsia" w:hAnsi="宋体" w:eastAsia="宋体" w:cs="宋体"/>
                <w:color w:val="000000"/>
                <w:sz w:val="24"/>
                <w:szCs w:val="24"/>
                <w:highlight w:val="none"/>
                <w:lang w:val="en-US" w:eastAsia="zh-CN"/>
              </w:rPr>
              <w:t>近三年</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w:t>
            </w:r>
            <w:r>
              <w:rPr>
                <w:rFonts w:hint="eastAsia" w:hAnsi="宋体" w:eastAsia="宋体" w:cs="宋体"/>
                <w:color w:val="000000"/>
                <w:sz w:val="24"/>
                <w:szCs w:val="24"/>
                <w:lang w:val="en-US" w:eastAsia="zh-CN"/>
              </w:rPr>
              <w:t>近三年</w:t>
            </w:r>
            <w:r>
              <w:rPr>
                <w:rFonts w:hint="eastAsia" w:ascii="宋体" w:hAnsi="宋体" w:eastAsia="宋体" w:cs="宋体"/>
                <w:color w:val="000000"/>
                <w:sz w:val="24"/>
                <w:szCs w:val="24"/>
              </w:rPr>
              <w:t>有与本次招标内容相同或类似项目业绩</w:t>
            </w:r>
            <w:r>
              <w:rPr>
                <w:rFonts w:hint="eastAsia" w:hAnsi="宋体" w:eastAsia="宋体" w:cs="宋体"/>
                <w:color w:val="000000"/>
                <w:sz w:val="24"/>
                <w:szCs w:val="24"/>
                <w:highlight w:val="none"/>
                <w:lang w:val="en-US" w:eastAsia="zh-CN"/>
              </w:rPr>
              <w:t>（需出示合同）</w:t>
            </w:r>
            <w:r>
              <w:rPr>
                <w:rFonts w:hint="eastAsia" w:ascii="宋体" w:hAnsi="宋体" w:eastAsia="宋体" w:cs="宋体"/>
                <w:color w:val="000000"/>
                <w:sz w:val="24"/>
                <w:szCs w:val="24"/>
              </w:rPr>
              <w:t>，近三年内无因服务不当而造成重大事故；</w:t>
            </w:r>
          </w:p>
          <w:p>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8.拟投标人近三年内在经营活动中无与本项目有关的违法及重大违规情况；</w:t>
            </w:r>
          </w:p>
          <w:p>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9.拟投标人须认可招标人的工作指令，包括节、假日能正常开展工作的要求；</w:t>
            </w:r>
          </w:p>
          <w:p>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10.拟投标人最近半年纳税正常；</w:t>
            </w:r>
          </w:p>
          <w:p>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11.拟投标人信用证明材料（征信报告）未显示异常；</w:t>
            </w:r>
          </w:p>
          <w:p>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12.拟投标人的直接或间接股东、法定代表人、董事、监事、高管非重汽员工及其亲属；</w:t>
            </w:r>
          </w:p>
          <w:p>
            <w:pPr>
              <w:pStyle w:val="18"/>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13.与招标人存在利害关系可能影响招标公正性的法人、其他组织或者个人，不得参加投标；</w:t>
            </w:r>
          </w:p>
          <w:p>
            <w:pPr>
              <w:pStyle w:val="18"/>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rPr>
              <w:t>14.本项目不接受联合体投标，拟投标人必须是最终投标单位和签订合同单位，不得以任何理由将已中标项目以任何形式分包或转包给其他单位；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u w:val="single"/>
                <w:lang w:val="en-US" w:eastAsia="zh-CN"/>
              </w:rPr>
              <w:t xml:space="preserve">  11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24   </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u w:val="single"/>
                <w:lang w:val="en-US" w:eastAsia="zh-CN"/>
              </w:rPr>
              <w:t xml:space="preserve">  11  </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29   </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w:t>
            </w:r>
            <w:r>
              <w:rPr>
                <w:rFonts w:hint="eastAsia" w:ascii="宋体" w:hAnsi="宋体" w:eastAsia="宋体" w:cs="宋体"/>
                <w:bCs/>
                <w:sz w:val="24"/>
                <w:szCs w:val="24"/>
                <w:highlight w:val="yellow"/>
                <w:u w:val="single"/>
                <w:lang w:val="en-US" w:eastAsia="zh-CN"/>
              </w:rPr>
              <w:t xml:space="preserve">  11  </w:t>
            </w:r>
            <w:r>
              <w:rPr>
                <w:rFonts w:hint="eastAsia" w:ascii="宋体" w:hAnsi="宋体" w:eastAsia="宋体" w:cs="宋体"/>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29  </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11</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29</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rPr>
              <w:t>日</w:t>
            </w:r>
            <w:r>
              <w:rPr>
                <w:rFonts w:hint="eastAsia" w:eastAsia="宋体" w:cs="宋体"/>
                <w:highlight w:val="yellow"/>
                <w:lang w:val="en-US" w:eastAsia="zh-CN"/>
              </w:rPr>
              <w:t>17时00分00秒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default" w:ascii="宋体" w:hAnsi="宋体" w:eastAsia="宋体" w:cs="Times New Roman"/>
                <w:color w:val="000000"/>
                <w:sz w:val="24"/>
                <w:szCs w:val="24"/>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rPr>
                <w:rFonts w:hint="eastAsia" w:eastAsia="宋体" w:cs="宋体" w:asciiTheme="minorHAnsi" w:hAnsiTheme="minorHAnsi"/>
                <w:b/>
                <w:color w:val="auto"/>
                <w:kern w:val="2"/>
                <w:sz w:val="24"/>
                <w:szCs w:val="24"/>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sz w:val="24"/>
                <w:szCs w:val="24"/>
                <w:highlight w:val="yellow"/>
                <w:u w:val="single"/>
                <w:lang w:eastAsia="zh-CN"/>
              </w:rPr>
              <w:t>月</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u w:val="single"/>
                <w:lang w:val="en-US" w:eastAsia="zh-CN"/>
              </w:rPr>
              <w:t xml:space="preserve">  </w:t>
            </w:r>
            <w:r>
              <w:rPr>
                <w:rFonts w:hint="eastAsia" w:ascii="宋体" w:hAnsi="宋体" w:eastAsia="宋体" w:cs="宋体"/>
                <w:sz w:val="24"/>
                <w:szCs w:val="24"/>
                <w:highlight w:val="yellow"/>
              </w:rPr>
              <w:t>日</w:t>
            </w:r>
            <w:r>
              <w:rPr>
                <w:rFonts w:hint="eastAsia" w:hAnsi="宋体" w:eastAsia="宋体" w:cs="宋体"/>
                <w:sz w:val="24"/>
                <w:szCs w:val="24"/>
                <w:highlight w:val="yellow"/>
                <w:lang w:val="en-US" w:eastAsia="zh-CN"/>
              </w:rPr>
              <w:t>下</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17</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8"/>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pPr>
              <w:ind w:firstLine="482" w:firstLineChars="200"/>
              <w:rPr>
                <w:rFonts w:hint="eastAsia" w:ascii="宋体" w:hAnsi="宋体" w:eastAsia="宋体" w:cs="宋体"/>
                <w:b w:val="0"/>
                <w:bCs w:val="0"/>
                <w:color w:val="auto"/>
                <w:kern w:val="0"/>
                <w:sz w:val="24"/>
                <w:szCs w:val="24"/>
                <w:highlight w:val="yellow"/>
              </w:rPr>
            </w:pPr>
            <w:r>
              <w:rPr>
                <w:rFonts w:hint="eastAsia" w:ascii="宋体" w:hAnsi="宋体" w:eastAsia="宋体" w:cs="宋体"/>
                <w:b/>
                <w:bCs/>
                <w:color w:val="auto"/>
                <w:kern w:val="0"/>
                <w:sz w:val="24"/>
                <w:szCs w:val="24"/>
                <w:highlight w:val="yellow"/>
              </w:rPr>
              <w:t>单位名称：</w:t>
            </w:r>
            <w:r>
              <w:rPr>
                <w:rFonts w:ascii="宋体" w:hAnsi="宋体" w:eastAsia="宋体" w:cs="宋体"/>
                <w:sz w:val="24"/>
                <w:szCs w:val="24"/>
              </w:rPr>
              <w:t>中国重汽集团济南动力有限公司发动机厂</w:t>
            </w:r>
          </w:p>
          <w:p>
            <w:pPr>
              <w:ind w:firstLine="482" w:firstLineChars="200"/>
              <w:rPr>
                <w:rFonts w:hint="eastAsia" w:ascii="宋体" w:hAnsi="宋体" w:eastAsia="宋体" w:cs="宋体"/>
                <w:b w:val="0"/>
                <w:bCs w:val="0"/>
                <w:color w:val="auto"/>
                <w:kern w:val="0"/>
                <w:sz w:val="24"/>
                <w:szCs w:val="24"/>
                <w:highlight w:val="yellow"/>
              </w:rPr>
            </w:pPr>
            <w:r>
              <w:rPr>
                <w:rFonts w:hint="eastAsia" w:ascii="宋体" w:hAnsi="宋体" w:eastAsia="宋体" w:cs="宋体"/>
                <w:b/>
                <w:bCs/>
                <w:color w:val="auto"/>
                <w:kern w:val="0"/>
                <w:sz w:val="24"/>
                <w:szCs w:val="24"/>
                <w:highlight w:val="yellow"/>
              </w:rPr>
              <w:t>收款账号：</w:t>
            </w:r>
            <w:r>
              <w:rPr>
                <w:rFonts w:ascii="宋体" w:hAnsi="宋体" w:eastAsia="宋体" w:cs="宋体"/>
                <w:sz w:val="24"/>
                <w:szCs w:val="24"/>
              </w:rPr>
              <w:t>2234 0557 4478</w:t>
            </w:r>
          </w:p>
          <w:p>
            <w:pPr>
              <w:ind w:firstLine="482" w:firstLineChars="200"/>
              <w:rPr>
                <w:rFonts w:hint="eastAsia" w:ascii="宋体" w:hAnsi="宋体" w:eastAsia="宋体" w:cs="宋体"/>
                <w:b w:val="0"/>
                <w:bCs w:val="0"/>
                <w:color w:val="auto"/>
                <w:kern w:val="0"/>
                <w:sz w:val="24"/>
                <w:szCs w:val="24"/>
                <w:highlight w:val="yellow"/>
              </w:rPr>
            </w:pPr>
            <w:r>
              <w:rPr>
                <w:rFonts w:hint="eastAsia" w:ascii="宋体" w:hAnsi="宋体" w:eastAsia="宋体" w:cs="宋体"/>
                <w:b/>
                <w:bCs/>
                <w:color w:val="auto"/>
                <w:kern w:val="0"/>
                <w:sz w:val="24"/>
                <w:szCs w:val="24"/>
                <w:highlight w:val="yellow"/>
              </w:rPr>
              <w:t>开户行名称：</w:t>
            </w:r>
            <w:r>
              <w:rPr>
                <w:rFonts w:ascii="宋体" w:hAnsi="宋体" w:eastAsia="宋体" w:cs="宋体"/>
                <w:sz w:val="24"/>
                <w:szCs w:val="24"/>
              </w:rPr>
              <w:t>中国银行章丘支行</w:t>
            </w:r>
          </w:p>
          <w:p>
            <w:pPr>
              <w:ind w:firstLine="482" w:firstLineChars="200"/>
              <w:rPr>
                <w:rFonts w:hint="eastAsia" w:ascii="宋体" w:hAnsi="宋体" w:eastAsia="宋体" w:cs="宋体"/>
                <w:b w:val="0"/>
                <w:bCs w:val="0"/>
                <w:color w:val="auto"/>
                <w:kern w:val="0"/>
                <w:sz w:val="24"/>
                <w:szCs w:val="24"/>
                <w:highlight w:val="yellow"/>
              </w:rPr>
            </w:pPr>
            <w:r>
              <w:rPr>
                <w:rFonts w:hint="eastAsia" w:ascii="宋体" w:hAnsi="宋体" w:eastAsia="宋体" w:cs="宋体"/>
                <w:b/>
                <w:bCs/>
                <w:color w:val="auto"/>
                <w:kern w:val="0"/>
                <w:sz w:val="24"/>
                <w:szCs w:val="24"/>
                <w:highlight w:val="yellow"/>
              </w:rPr>
              <w:t>开户行行号：</w:t>
            </w:r>
            <w:r>
              <w:rPr>
                <w:rFonts w:ascii="宋体" w:hAnsi="宋体" w:eastAsia="宋体" w:cs="宋体"/>
                <w:sz w:val="24"/>
                <w:szCs w:val="24"/>
              </w:rPr>
              <w:t>1044 5104 0689</w:t>
            </w:r>
          </w:p>
          <w:p>
            <w:pPr>
              <w:ind w:firstLine="482" w:firstLineChars="200"/>
              <w:rPr>
                <w:rFonts w:hint="eastAsia" w:ascii="宋体" w:hAnsi="宋体" w:eastAsia="宋体" w:cs="宋体"/>
                <w:b/>
                <w:bCs/>
                <w:color w:val="auto"/>
                <w:kern w:val="0"/>
                <w:sz w:val="24"/>
                <w:szCs w:val="24"/>
                <w:highlight w:val="yellow"/>
              </w:rPr>
            </w:pPr>
            <w:r>
              <w:rPr>
                <w:rFonts w:hint="eastAsia" w:ascii="宋体" w:hAnsi="宋体" w:eastAsia="宋体" w:cs="宋体"/>
                <w:b/>
                <w:bCs/>
                <w:color w:val="auto"/>
                <w:kern w:val="0"/>
                <w:sz w:val="24"/>
                <w:szCs w:val="24"/>
                <w:highlight w:val="yellow"/>
              </w:rPr>
              <w:t>投标保证金应从投标人的基本账户转出至上述账户并到账，否则视为无效投标。</w:t>
            </w:r>
          </w:p>
          <w:p>
            <w:pPr>
              <w:ind w:firstLine="482" w:firstLineChars="200"/>
              <w:rPr>
                <w:rFonts w:hint="eastAsia" w:ascii="宋体" w:hAnsi="宋体" w:eastAsia="宋体" w:cs="宋体"/>
                <w:sz w:val="24"/>
                <w:szCs w:val="24"/>
                <w:highlight w:val="cyan"/>
                <w:lang w:eastAsia="zh-CN"/>
              </w:rPr>
            </w:pPr>
            <w:r>
              <w:rPr>
                <w:rFonts w:hint="eastAsia" w:eastAsia="宋体" w:cs="Times New Roman"/>
                <w:b/>
                <w:bCs/>
                <w:sz w:val="24"/>
                <w:szCs w:val="28"/>
                <w:highlight w:val="yellow"/>
              </w:rPr>
              <w:t>转账附言：公司名称+项目名称+投标保证金</w:t>
            </w:r>
            <w:r>
              <w:rPr>
                <w:rFonts w:hint="eastAsia" w:eastAsia="宋体" w:cs="Times New Roman"/>
                <w:b/>
                <w:bCs/>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bCs/>
                <w:sz w:val="24"/>
                <w:szCs w:val="24"/>
                <w:highlight w:val="yellow"/>
                <w:u w:val="single"/>
                <w:lang w:val="en-US" w:eastAsia="zh-CN"/>
              </w:rPr>
              <w:t>12</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bCs/>
                <w:sz w:val="24"/>
                <w:szCs w:val="24"/>
                <w:highlight w:val="yellow"/>
                <w:u w:val="single"/>
                <w:lang w:val="en-US" w:eastAsia="zh-CN"/>
              </w:rPr>
              <w:t>4</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w:t>
            </w:r>
            <w:r>
              <w:rPr>
                <w:rFonts w:hint="eastAsia" w:ascii="宋体" w:hAnsi="宋体" w:eastAsia="宋体" w:cs="宋体"/>
                <w:bCs/>
                <w:sz w:val="24"/>
                <w:szCs w:val="24"/>
                <w:highlight w:val="yellow"/>
                <w:u w:val="single"/>
                <w:lang w:val="en-US" w:eastAsia="zh-CN"/>
              </w:rPr>
              <w:t xml:space="preserve">  12  </w:t>
            </w:r>
            <w:r>
              <w:rPr>
                <w:rFonts w:hint="eastAsia" w:ascii="宋体" w:hAnsi="宋体" w:eastAsia="宋体" w:cs="宋体"/>
                <w:sz w:val="24"/>
                <w:szCs w:val="24"/>
                <w:highlight w:val="yellow"/>
                <w:lang w:eastAsia="zh-CN"/>
              </w:rPr>
              <w:t>月</w:t>
            </w:r>
            <w:r>
              <w:rPr>
                <w:rFonts w:hint="eastAsia" w:ascii="宋体" w:hAnsi="宋体" w:eastAsia="宋体" w:cs="宋体"/>
                <w:bCs/>
                <w:sz w:val="24"/>
                <w:szCs w:val="24"/>
                <w:highlight w:val="yellow"/>
                <w:u w:val="single"/>
                <w:lang w:val="en-US" w:eastAsia="zh-CN"/>
              </w:rPr>
              <w:t xml:space="preserve">  5  </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r>
              <w:rPr>
                <w:rFonts w:hint="eastAsia" w:ascii="宋体" w:hAnsi="宋体" w:eastAsia="宋体" w:cs="宋体"/>
                <w:kern w:val="0"/>
                <w:sz w:val="24"/>
                <w:szCs w:val="24"/>
                <w:highlight w:val="yellow"/>
                <w:lang w:eastAsia="zh-CN"/>
              </w:rPr>
              <w:t>（</w:t>
            </w:r>
            <w:r>
              <w:rPr>
                <w:rFonts w:hint="eastAsia" w:ascii="宋体" w:hAnsi="宋体" w:eastAsia="宋体" w:cs="宋体"/>
                <w:kern w:val="0"/>
                <w:sz w:val="24"/>
                <w:szCs w:val="24"/>
                <w:highlight w:val="yellow"/>
                <w:lang w:val="en-US" w:eastAsia="zh-CN"/>
              </w:rPr>
              <w:t>具体时间地点另行通知</w:t>
            </w:r>
            <w:r>
              <w:rPr>
                <w:rFonts w:hint="eastAsia" w:ascii="宋体" w:hAnsi="宋体" w:eastAsia="宋体" w:cs="宋体"/>
                <w:kern w:val="0"/>
                <w:sz w:val="24"/>
                <w:szCs w:val="24"/>
                <w:highlight w:val="yellow"/>
                <w:lang w:eastAsia="zh-CN"/>
              </w:rPr>
              <w:t>）</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资质标审核→唱标→技术标评审→商务标评审。技术标入围后，原则上选取综合评分最高者中标。</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keepNext w:val="0"/>
              <w:keepLines w:val="0"/>
              <w:pageBreakBefore w:val="0"/>
              <w:widowControl w:val="0"/>
              <w:kinsoku/>
              <w:wordWrap/>
              <w:overflowPunct/>
              <w:topLinePunct w:val="0"/>
              <w:autoSpaceDE/>
              <w:autoSpaceDN/>
              <w:bidi w:val="0"/>
              <w:adjustRightInd/>
              <w:snapToGrid/>
              <w:ind w:firstLine="0" w:firstLineChars="0"/>
              <w:textAlignment w:val="auto"/>
              <w:rPr>
                <w:rFonts w:hAnsi="宋体" w:eastAsia="宋体" w:cs="宋体"/>
                <w:b/>
                <w:bCs/>
                <w:color w:val="000000"/>
                <w:sz w:val="24"/>
                <w:szCs w:val="24"/>
              </w:rPr>
            </w:pPr>
            <w:r>
              <w:rPr>
                <w:rFonts w:hint="eastAsia" w:hAnsi="宋体" w:eastAsia="宋体" w:cs="宋体"/>
                <w:b/>
                <w:bCs/>
                <w:color w:val="000000"/>
                <w:sz w:val="24"/>
                <w:szCs w:val="24"/>
              </w:rPr>
              <w:t>交货期：</w:t>
            </w:r>
          </w:p>
          <w:p>
            <w:pPr>
              <w:pStyle w:val="1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hAnsi="宋体" w:eastAsia="宋体" w:cs="宋体"/>
                <w:color w:val="000000"/>
                <w:sz w:val="24"/>
                <w:szCs w:val="24"/>
              </w:rPr>
            </w:pPr>
            <w:r>
              <w:rPr>
                <w:rFonts w:hint="eastAsia" w:hAnsi="宋体" w:eastAsia="宋体" w:cs="宋体"/>
                <w:color w:val="000000"/>
                <w:sz w:val="24"/>
                <w:szCs w:val="24"/>
              </w:rPr>
              <w:t>1.自接到中标通知起，</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105</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color w:val="000000"/>
                <w:sz w:val="24"/>
                <w:szCs w:val="24"/>
                <w:highlight w:val="yellow"/>
              </w:rPr>
              <w:t>日历日</w:t>
            </w:r>
            <w:r>
              <w:rPr>
                <w:rFonts w:hint="eastAsia" w:hAnsi="宋体" w:eastAsia="宋体" w:cs="宋体"/>
                <w:color w:val="000000"/>
                <w:sz w:val="24"/>
                <w:szCs w:val="24"/>
              </w:rPr>
              <w:t>之内交货至供货地点。</w:t>
            </w:r>
          </w:p>
          <w:p>
            <w:pPr>
              <w:pStyle w:val="18"/>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25</w:t>
            </w:r>
            <w:r>
              <w:rPr>
                <w:rFonts w:hint="eastAsia" w:hAnsi="宋体" w:eastAsia="宋体" w:cs="宋体"/>
                <w:color w:val="000000"/>
                <w:sz w:val="24"/>
                <w:szCs w:val="24"/>
              </w:rPr>
              <w:t>个日历日之内安装调试完毕。</w:t>
            </w:r>
          </w:p>
          <w:p>
            <w:pPr>
              <w:pStyle w:val="18"/>
              <w:keepNext w:val="0"/>
              <w:keepLines w:val="0"/>
              <w:pageBreakBefore w:val="0"/>
              <w:widowControl w:val="0"/>
              <w:kinsoku/>
              <w:wordWrap/>
              <w:overflowPunct/>
              <w:topLinePunct w:val="0"/>
              <w:autoSpaceDE/>
              <w:autoSpaceDN/>
              <w:bidi w:val="0"/>
              <w:adjustRightInd/>
              <w:snapToGrid/>
              <w:ind w:firstLine="0" w:firstLineChars="0"/>
              <w:textAlignment w:val="auto"/>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8"/>
              <w:keepNext w:val="0"/>
              <w:keepLines w:val="0"/>
              <w:pageBreakBefore w:val="0"/>
              <w:widowControl w:val="0"/>
              <w:kinsoku/>
              <w:wordWrap/>
              <w:overflowPunct/>
              <w:topLinePunct w:val="0"/>
              <w:autoSpaceDE/>
              <w:autoSpaceDN/>
              <w:bidi w:val="0"/>
              <w:adjustRightInd/>
              <w:snapToGrid/>
              <w:ind w:firstLine="0" w:firstLineChars="0"/>
              <w:textAlignment w:val="auto"/>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8"/>
              <w:keepNext w:val="0"/>
              <w:keepLines w:val="0"/>
              <w:pageBreakBefore w:val="0"/>
              <w:widowControl w:val="0"/>
              <w:kinsoku/>
              <w:wordWrap/>
              <w:overflowPunct/>
              <w:topLinePunct w:val="0"/>
              <w:autoSpaceDE/>
              <w:autoSpaceDN/>
              <w:bidi w:val="0"/>
              <w:adjustRightInd/>
              <w:snapToGrid/>
              <w:ind w:firstLine="0" w:firstLineChars="0"/>
              <w:textAlignment w:val="auto"/>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w:t>
            </w:r>
            <w:r>
              <w:rPr>
                <w:rFonts w:hint="eastAsia" w:hAnsi="宋体" w:eastAsia="宋体" w:cs="宋体"/>
                <w:color w:val="000000"/>
                <w:sz w:val="24"/>
                <w:szCs w:val="24"/>
                <w:u w:val="single"/>
                <w:lang w:val="en-US" w:eastAsia="zh-CN"/>
              </w:rPr>
              <w:t>77</w:t>
            </w:r>
            <w:r>
              <w:rPr>
                <w:rFonts w:hint="eastAsia" w:ascii="宋体" w:hAnsi="宋体" w:eastAsia="宋体" w:cs="宋体"/>
                <w:color w:val="000000"/>
                <w:sz w:val="24"/>
                <w:szCs w:val="24"/>
                <w:u w:val="single"/>
              </w:rPr>
              <w:t>77号中国重汽集团济南动力有限公司</w:t>
            </w:r>
            <w:r>
              <w:rPr>
                <w:rFonts w:hint="eastAsia" w:hAnsi="宋体" w:eastAsia="宋体" w:cs="宋体"/>
                <w:color w:val="000000"/>
                <w:sz w:val="24"/>
                <w:szCs w:val="24"/>
                <w:u w:val="single"/>
                <w:lang w:val="en-US" w:eastAsia="zh-CN"/>
              </w:rPr>
              <w:t>济南发动机</w:t>
            </w:r>
            <w:r>
              <w:rPr>
                <w:rFonts w:hint="eastAsia" w:ascii="宋体" w:hAnsi="宋体" w:eastAsia="宋体" w:cs="宋体"/>
                <w:color w:val="000000"/>
                <w:sz w:val="24"/>
                <w:szCs w:val="24"/>
                <w:u w:val="single"/>
              </w:rPr>
              <w:t>厂</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 xml:space="preserve"> 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8"/>
              <w:keepNext w:val="0"/>
              <w:keepLines w:val="0"/>
              <w:pageBreakBefore w:val="0"/>
              <w:widowControl w:val="0"/>
              <w:kinsoku/>
              <w:wordWrap/>
              <w:overflowPunct w:val="0"/>
              <w:topLinePunct w:val="0"/>
              <w:autoSpaceDE/>
              <w:autoSpaceDN/>
              <w:bidi w:val="0"/>
              <w:adjustRightInd/>
              <w:snapToGrid/>
              <w:ind w:leftChars="0" w:firstLine="0" w:firstLineChars="0"/>
              <w:jc w:val="both"/>
              <w:textAlignment w:val="auto"/>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pStyle w:val="35"/>
              <w:keepNext w:val="0"/>
              <w:keepLines w:val="0"/>
              <w:pageBreakBefore w:val="0"/>
              <w:widowControl w:val="0"/>
              <w:numPr>
                <w:ilvl w:val="0"/>
                <w:numId w:val="0"/>
              </w:numPr>
              <w:kinsoku/>
              <w:wordWrap/>
              <w:overflowPunct w:val="0"/>
              <w:topLinePunct w:val="0"/>
              <w:autoSpaceDE/>
              <w:autoSpaceDN/>
              <w:bidi w:val="0"/>
              <w:adjustRightInd/>
              <w:snapToGrid/>
              <w:spacing w:after="0" w:line="240" w:lineRule="auto"/>
              <w:ind w:leftChars="0" w:firstLine="0" w:firstLineChars="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1.合同生效后，卖方开具金额为该合同设备价格</w:t>
            </w:r>
            <w:r>
              <w:rPr>
                <w:rFonts w:hint="eastAsia" w:ascii="宋体" w:hAnsi="宋体" w:cs="宋体"/>
                <w:sz w:val="24"/>
                <w:szCs w:val="24"/>
                <w:highlight w:val="yellow"/>
                <w:u w:val="single"/>
                <w:lang w:val="en-US" w:eastAsia="zh-CN"/>
              </w:rPr>
              <w:t xml:space="preserve"> 0% </w:t>
            </w:r>
            <w:r>
              <w:rPr>
                <w:rFonts w:hint="eastAsia" w:ascii="宋体" w:hAnsi="宋体" w:cs="宋体"/>
                <w:sz w:val="24"/>
                <w:szCs w:val="24"/>
                <w:lang w:val="en-US" w:eastAsia="zh-CN"/>
              </w:rPr>
              <w:t>的增值税专用发票带</w:t>
            </w:r>
            <w:r>
              <w:rPr>
                <w:rFonts w:hint="eastAsia" w:ascii="宋体" w:hAnsi="宋体" w:cs="宋体"/>
                <w:sz w:val="24"/>
                <w:szCs w:val="24"/>
                <w:highlight w:val="yellow"/>
                <w:u w:val="single"/>
                <w:lang w:val="en-US" w:eastAsia="zh-CN"/>
              </w:rPr>
              <w:t xml:space="preserve"> 0% </w:t>
            </w:r>
            <w:r>
              <w:rPr>
                <w:rFonts w:hint="eastAsia" w:ascii="宋体" w:hAnsi="宋体" w:cs="宋体"/>
                <w:sz w:val="24"/>
                <w:szCs w:val="24"/>
                <w:lang w:val="en-US" w:eastAsia="zh-CN"/>
              </w:rPr>
              <w:t>的收据（含复印件二份），经买方依照财务制度审核无误后30个工作日支付合同价款的</w:t>
            </w:r>
            <w:r>
              <w:rPr>
                <w:rFonts w:hint="eastAsia" w:ascii="宋体" w:hAnsi="宋体" w:cs="宋体"/>
                <w:sz w:val="24"/>
                <w:szCs w:val="24"/>
                <w:highlight w:val="yellow"/>
                <w:u w:val="single"/>
                <w:lang w:val="en-US" w:eastAsia="zh-CN"/>
              </w:rPr>
              <w:t xml:space="preserve"> 0% </w:t>
            </w:r>
            <w:r>
              <w:rPr>
                <w:rFonts w:hint="eastAsia" w:ascii="宋体" w:hAnsi="宋体" w:cs="宋体"/>
                <w:sz w:val="24"/>
                <w:szCs w:val="24"/>
                <w:lang w:val="en-US" w:eastAsia="zh-CN"/>
              </w:rPr>
              <w:t>。</w:t>
            </w:r>
          </w:p>
          <w:p>
            <w:pPr>
              <w:pStyle w:val="35"/>
              <w:keepNext w:val="0"/>
              <w:keepLines w:val="0"/>
              <w:pageBreakBefore w:val="0"/>
              <w:widowControl w:val="0"/>
              <w:numPr>
                <w:ilvl w:val="0"/>
                <w:numId w:val="0"/>
              </w:numPr>
              <w:kinsoku/>
              <w:wordWrap/>
              <w:overflowPunct w:val="0"/>
              <w:topLinePunct w:val="0"/>
              <w:autoSpaceDE/>
              <w:autoSpaceDN/>
              <w:bidi w:val="0"/>
              <w:adjustRightInd/>
              <w:snapToGrid/>
              <w:spacing w:after="0" w:line="240" w:lineRule="auto"/>
              <w:ind w:leftChars="0" w:firstLine="0" w:firstLineChars="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2.设备全部到齐且无质量问题，卖方提交金额为合同价款</w:t>
            </w:r>
            <w:r>
              <w:rPr>
                <w:rFonts w:hint="eastAsia" w:ascii="宋体" w:hAnsi="宋体" w:cs="宋体"/>
                <w:sz w:val="24"/>
                <w:szCs w:val="24"/>
                <w:highlight w:val="yellow"/>
                <w:u w:val="single"/>
                <w:lang w:val="en-US" w:eastAsia="zh-CN"/>
              </w:rPr>
              <w:t xml:space="preserve"> 30% </w:t>
            </w:r>
            <w:r>
              <w:rPr>
                <w:rFonts w:hint="eastAsia" w:ascii="宋体" w:hAnsi="宋体" w:cs="宋体"/>
                <w:sz w:val="24"/>
                <w:szCs w:val="24"/>
                <w:lang w:val="en-US" w:eastAsia="zh-CN"/>
              </w:rPr>
              <w:t>的增值税专用发票带0%的收据（含复印件二份），经买方依照财务制度审核无误后30个工作日支付合同价款的</w:t>
            </w:r>
            <w:r>
              <w:rPr>
                <w:rFonts w:hint="eastAsia" w:ascii="宋体" w:hAnsi="宋体" w:cs="宋体"/>
                <w:sz w:val="24"/>
                <w:szCs w:val="24"/>
                <w:highlight w:val="yellow"/>
                <w:u w:val="single"/>
                <w:lang w:val="en-US" w:eastAsia="zh-CN"/>
              </w:rPr>
              <w:t xml:space="preserve"> 30% </w:t>
            </w:r>
            <w:r>
              <w:rPr>
                <w:rFonts w:hint="eastAsia" w:ascii="宋体" w:hAnsi="宋体" w:cs="宋体"/>
                <w:sz w:val="24"/>
                <w:szCs w:val="24"/>
                <w:lang w:val="en-US" w:eastAsia="zh-CN"/>
              </w:rPr>
              <w:t>。</w:t>
            </w:r>
          </w:p>
          <w:p>
            <w:pPr>
              <w:pStyle w:val="35"/>
              <w:keepNext w:val="0"/>
              <w:keepLines w:val="0"/>
              <w:pageBreakBefore w:val="0"/>
              <w:widowControl w:val="0"/>
              <w:numPr>
                <w:ilvl w:val="0"/>
                <w:numId w:val="0"/>
              </w:numPr>
              <w:kinsoku/>
              <w:wordWrap/>
              <w:overflowPunct w:val="0"/>
              <w:topLinePunct w:val="0"/>
              <w:autoSpaceDE/>
              <w:autoSpaceDN/>
              <w:bidi w:val="0"/>
              <w:adjustRightInd/>
              <w:snapToGrid/>
              <w:spacing w:after="0" w:line="240" w:lineRule="auto"/>
              <w:ind w:leftChars="0" w:firstLine="0" w:firstLineChars="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3.设备经现场安装、调试、终验收合格交付使用后，卖方提交金额为合同价款</w:t>
            </w:r>
            <w:r>
              <w:rPr>
                <w:rFonts w:hint="eastAsia" w:ascii="宋体" w:hAnsi="宋体" w:cs="宋体"/>
                <w:sz w:val="24"/>
                <w:szCs w:val="24"/>
                <w:highlight w:val="yellow"/>
                <w:u w:val="single"/>
                <w:lang w:val="en-US" w:eastAsia="zh-CN"/>
              </w:rPr>
              <w:t xml:space="preserve"> 60% </w:t>
            </w:r>
            <w:r>
              <w:rPr>
                <w:rFonts w:hint="eastAsia" w:ascii="宋体" w:hAnsi="宋体" w:cs="宋体"/>
                <w:sz w:val="24"/>
                <w:szCs w:val="24"/>
                <w:lang w:val="en-US" w:eastAsia="zh-CN"/>
              </w:rPr>
              <w:t>的收据并附带下列单据，经买方依照财务制度审核无误后30个工作日支付合同价款的</w:t>
            </w:r>
            <w:r>
              <w:rPr>
                <w:rFonts w:hint="eastAsia" w:ascii="宋体" w:hAnsi="宋体" w:cs="宋体"/>
                <w:sz w:val="24"/>
                <w:szCs w:val="24"/>
                <w:highlight w:val="yellow"/>
                <w:u w:val="single"/>
                <w:lang w:val="en-US" w:eastAsia="zh-CN"/>
              </w:rPr>
              <w:t xml:space="preserve"> 60% </w:t>
            </w:r>
            <w:r>
              <w:rPr>
                <w:rFonts w:hint="eastAsia" w:ascii="宋体" w:hAnsi="宋体" w:cs="宋体"/>
                <w:sz w:val="24"/>
                <w:szCs w:val="24"/>
                <w:lang w:val="en-US" w:eastAsia="zh-CN"/>
              </w:rPr>
              <w:t>。</w:t>
            </w:r>
          </w:p>
          <w:p>
            <w:pPr>
              <w:pStyle w:val="35"/>
              <w:keepNext w:val="0"/>
              <w:keepLines w:val="0"/>
              <w:pageBreakBefore w:val="0"/>
              <w:widowControl w:val="0"/>
              <w:numPr>
                <w:ilvl w:val="0"/>
                <w:numId w:val="0"/>
              </w:numPr>
              <w:kinsoku/>
              <w:wordWrap/>
              <w:overflowPunct w:val="0"/>
              <w:topLinePunct w:val="0"/>
              <w:autoSpaceDE/>
              <w:autoSpaceDN/>
              <w:bidi w:val="0"/>
              <w:adjustRightInd/>
              <w:snapToGrid/>
              <w:spacing w:after="0" w:line="240" w:lineRule="auto"/>
              <w:ind w:leftChars="0" w:firstLine="0" w:firstLineChars="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a.金额为该合同设备价格</w:t>
            </w:r>
            <w:r>
              <w:rPr>
                <w:rFonts w:hint="eastAsia" w:ascii="宋体" w:hAnsi="宋体" w:cs="宋体"/>
                <w:sz w:val="24"/>
                <w:szCs w:val="24"/>
                <w:highlight w:val="yellow"/>
                <w:u w:val="single"/>
                <w:lang w:val="en-US" w:eastAsia="zh-CN"/>
              </w:rPr>
              <w:t xml:space="preserve"> 70% </w:t>
            </w:r>
            <w:r>
              <w:rPr>
                <w:rFonts w:hint="eastAsia" w:ascii="宋体" w:hAnsi="宋体" w:cs="宋体"/>
                <w:sz w:val="24"/>
                <w:szCs w:val="24"/>
                <w:lang w:val="en-US" w:eastAsia="zh-CN"/>
              </w:rPr>
              <w:t>的增值税专用发票（含复印件二份），具体开票信息详见发票信息表，根据表中所列分别开具增值税发票。</w:t>
            </w:r>
          </w:p>
          <w:p>
            <w:pPr>
              <w:pStyle w:val="35"/>
              <w:keepNext w:val="0"/>
              <w:keepLines w:val="0"/>
              <w:pageBreakBefore w:val="0"/>
              <w:widowControl w:val="0"/>
              <w:numPr>
                <w:ilvl w:val="0"/>
                <w:numId w:val="0"/>
              </w:numPr>
              <w:kinsoku/>
              <w:wordWrap/>
              <w:overflowPunct w:val="0"/>
              <w:topLinePunct w:val="0"/>
              <w:autoSpaceDE/>
              <w:autoSpaceDN/>
              <w:bidi w:val="0"/>
              <w:adjustRightInd/>
              <w:snapToGrid/>
              <w:spacing w:after="0" w:line="240" w:lineRule="auto"/>
              <w:ind w:leftChars="0" w:firstLine="0" w:firstLineChars="0"/>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b.该套设备最终验收报告的原件及其复印件两份。</w:t>
            </w:r>
          </w:p>
          <w:p>
            <w:pPr>
              <w:pStyle w:val="35"/>
              <w:keepNext w:val="0"/>
              <w:keepLines w:val="0"/>
              <w:pageBreakBefore w:val="0"/>
              <w:widowControl w:val="0"/>
              <w:numPr>
                <w:ilvl w:val="0"/>
                <w:numId w:val="0"/>
              </w:numPr>
              <w:kinsoku/>
              <w:wordWrap/>
              <w:overflowPunct w:val="0"/>
              <w:topLinePunct w:val="0"/>
              <w:autoSpaceDE/>
              <w:autoSpaceDN/>
              <w:bidi w:val="0"/>
              <w:adjustRightInd/>
              <w:snapToGrid/>
              <w:spacing w:after="0" w:line="240" w:lineRule="auto"/>
              <w:ind w:leftChars="0" w:firstLine="0" w:firstLineChars="0"/>
              <w:jc w:val="both"/>
              <w:textAlignment w:val="auto"/>
              <w:rPr>
                <w:rFonts w:ascii="宋体" w:hAnsi="宋体" w:eastAsia="宋体" w:cs="宋体"/>
                <w:sz w:val="24"/>
                <w:szCs w:val="24"/>
              </w:rPr>
            </w:pPr>
            <w:r>
              <w:rPr>
                <w:rFonts w:hint="eastAsia" w:ascii="宋体" w:hAnsi="宋体" w:cs="宋体"/>
                <w:sz w:val="24"/>
                <w:szCs w:val="24"/>
                <w:lang w:val="en-US" w:eastAsia="zh-CN"/>
              </w:rPr>
              <w:t>4.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lang w:val="en-US" w:eastAsia="zh-CN"/>
              </w:rPr>
              <w:t>15</w:t>
            </w:r>
            <w:r>
              <w:rPr>
                <w:rFonts w:hint="eastAsia" w:ascii="宋体" w:hAnsi="宋体" w:cs="宋体"/>
                <w:sz w:val="24"/>
                <w:szCs w:val="24"/>
                <w:highlight w:val="yellow"/>
                <w:u w:val="single"/>
                <w:lang w:val="en-US" w:eastAsia="zh-CN"/>
              </w:rPr>
              <w:t xml:space="preserve"> </w:t>
            </w:r>
            <w:r>
              <w:rPr>
                <w:rFonts w:hint="eastAsia" w:ascii="宋体" w:hAnsi="宋体" w:eastAsia="宋体" w:cs="宋体"/>
                <w:sz w:val="24"/>
                <w:szCs w:val="24"/>
                <w:highlight w:val="none"/>
              </w:rPr>
              <w:t>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8"/>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8"/>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8"/>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8"/>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8"/>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85487"/>
      <w:bookmarkStart w:id="7" w:name="_Toc33265653"/>
      <w:bookmarkStart w:id="8" w:name="_Toc33265752"/>
      <w:bookmarkStart w:id="9" w:name="_Toc33266950"/>
      <w:bookmarkStart w:id="10" w:name="_Toc33267001"/>
      <w:bookmarkStart w:id="11" w:name="_Toc33266914"/>
      <w:bookmarkStart w:id="12" w:name="_Toc3326662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技术标入围后，原则上选取综合评分最高者中标</w:t>
      </w:r>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选择综合评分最高者</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8"/>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中标人确定：技术标入围后，原则上选取综合评分最高者中标。</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4" w:name="OLE_LINK28"/>
      <w:bookmarkStart w:id="15" w:name="OLE_LINK25"/>
      <w:bookmarkStart w:id="16" w:name="OLE_LINK27"/>
      <w:bookmarkStart w:id="17" w:name="OLE_LINK26"/>
      <w:bookmarkStart w:id="18" w:name="OLE_LINK29"/>
      <w:r>
        <w:rPr>
          <w:rFonts w:hint="eastAsia" w:ascii="宋体" w:hAnsi="宋体" w:eastAsia="宋体" w:cs="宋体"/>
          <w:bCs/>
          <w:sz w:val="24"/>
          <w:szCs w:val="24"/>
        </w:rPr>
        <w:t>；</w:t>
      </w:r>
      <w:bookmarkEnd w:id="14"/>
      <w:bookmarkEnd w:id="15"/>
      <w:bookmarkEnd w:id="16"/>
      <w:bookmarkEnd w:id="17"/>
      <w:bookmarkEnd w:id="18"/>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8"/>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18"/>
        <w:numPr>
          <w:ilvl w:val="-1"/>
          <w:numId w:val="0"/>
        </w:numPr>
        <w:jc w:val="center"/>
        <w:outlineLvl w:val="0"/>
        <w:rPr>
          <w:rFonts w:ascii="Calibri" w:hAnsi="Calibri" w:eastAsia="宋体" w:cs="Times New Roman"/>
          <w:b/>
          <w:bCs/>
          <w:kern w:val="44"/>
          <w:sz w:val="36"/>
          <w:szCs w:val="44"/>
        </w:rPr>
      </w:pPr>
      <w:bookmarkStart w:id="19"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19"/>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0"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0"/>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1"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1"/>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2" w:name="OLE_LINK19"/>
      <w:bookmarkStart w:id="23" w:name="OLE_LINK18"/>
      <w:r>
        <w:rPr>
          <w:rFonts w:hint="eastAsia" w:ascii="宋体" w:hAnsi="宋体" w:eastAsia="宋体" w:cs="宋体"/>
          <w:b/>
          <w:color w:val="000000"/>
          <w:sz w:val="24"/>
          <w:szCs w:val="24"/>
        </w:rPr>
        <w:t>；</w:t>
      </w:r>
      <w:bookmarkEnd w:id="22"/>
      <w:bookmarkEnd w:id="23"/>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spacing w:after="0" w:line="240" w:lineRule="auto"/>
        <w:jc w:val="center"/>
        <w:outlineLvl w:val="0"/>
        <w:rPr>
          <w:rFonts w:ascii="Calibri" w:hAnsi="Calibri" w:eastAsia="宋体" w:cs="Times New Roman"/>
          <w:b/>
          <w:bCs/>
          <w:kern w:val="44"/>
          <w:sz w:val="36"/>
          <w:szCs w:val="44"/>
          <w14:ligatures w14:val="none"/>
        </w:rPr>
      </w:pPr>
      <w:bookmarkStart w:id="24" w:name="_Toc9849"/>
      <w:bookmarkStart w:id="25" w:name="_Toc257033749"/>
      <w:bookmarkStart w:id="26" w:name="_Toc169605877"/>
      <w:bookmarkStart w:id="27" w:name="_Toc227726571"/>
      <w:bookmarkStart w:id="28" w:name="_Toc227726361"/>
      <w:bookmarkStart w:id="29" w:name="_Toc257037877"/>
      <w:bookmarkStart w:id="30" w:name="_Toc465187648"/>
      <w:bookmarkStart w:id="31" w:name="_Toc127880405"/>
      <w:bookmarkStart w:id="32" w:name="_Toc137705865"/>
      <w:r>
        <w:rPr>
          <w:rFonts w:hint="eastAsia" w:ascii="Calibri" w:hAnsi="Calibri" w:eastAsia="宋体" w:cs="Times New Roman"/>
          <w:b/>
          <w:bCs/>
          <w:kern w:val="44"/>
          <w:sz w:val="36"/>
          <w:szCs w:val="44"/>
          <w14:ligatures w14:val="none"/>
        </w:rPr>
        <w:t>第四部分 技术标书</w:t>
      </w:r>
      <w:bookmarkEnd w:id="24"/>
    </w:p>
    <w:p>
      <w:pPr>
        <w:spacing w:after="0" w:line="240" w:lineRule="auto"/>
        <w:jc w:val="both"/>
        <w:rPr>
          <w:rFonts w:ascii="宋体" w:hAnsi="Courier New" w:eastAsia="等线" w:cs="Times New Roman"/>
          <w:sz w:val="21"/>
          <w:szCs w:val="22"/>
          <w14:ligatures w14:val="none"/>
        </w:rPr>
      </w:pPr>
    </w:p>
    <w:p>
      <w:pPr>
        <w:shd w:val="clear" w:color="auto" w:fill="auto"/>
        <w:spacing w:line="480" w:lineRule="exact"/>
        <w:rPr>
          <w:rFonts w:hint="eastAsia" w:ascii="宋体" w:hAnsi="宋体"/>
          <w:highlight w:val="none"/>
        </w:rPr>
      </w:pPr>
    </w:p>
    <w:p>
      <w:pPr>
        <w:spacing w:line="480" w:lineRule="exact"/>
        <w:rPr>
          <w:rFonts w:hint="eastAsia" w:ascii="宋体" w:hAnsi="宋体"/>
        </w:rPr>
      </w:pPr>
    </w:p>
    <w:p>
      <w:pPr>
        <w:spacing w:line="480" w:lineRule="exact"/>
        <w:jc w:val="center"/>
        <w:rPr>
          <w:rFonts w:hint="eastAsia" w:ascii="黑体" w:hAnsi="宋体" w:eastAsia="黑体"/>
          <w:sz w:val="44"/>
          <w:szCs w:val="44"/>
        </w:rPr>
      </w:pPr>
    </w:p>
    <w:p>
      <w:pPr>
        <w:tabs>
          <w:tab w:val="left" w:pos="906"/>
          <w:tab w:val="center" w:pos="4595"/>
        </w:tabs>
        <w:spacing w:line="480" w:lineRule="exact"/>
        <w:jc w:val="left"/>
        <w:rPr>
          <w:rFonts w:hint="default" w:ascii="黑体" w:hAnsi="宋体" w:eastAsia="黑体"/>
          <w:sz w:val="44"/>
          <w:szCs w:val="44"/>
          <w:lang w:val="en-US" w:eastAsia="zh-CN"/>
        </w:rPr>
      </w:pPr>
      <w:r>
        <w:rPr>
          <w:rFonts w:hint="eastAsia" w:ascii="黑体" w:hAnsi="宋体" w:eastAsia="黑体"/>
          <w:sz w:val="44"/>
          <w:szCs w:val="44"/>
          <w:lang w:eastAsia="zh-CN"/>
        </w:rPr>
        <w:tab/>
      </w:r>
      <w:r>
        <w:rPr>
          <w:rFonts w:hint="eastAsia" w:ascii="黑体" w:hAnsi="宋体" w:eastAsia="黑体"/>
          <w:sz w:val="44"/>
          <w:szCs w:val="44"/>
          <w:lang w:eastAsia="zh-CN"/>
        </w:rPr>
        <w:tab/>
      </w:r>
      <w:r>
        <w:rPr>
          <w:rFonts w:hint="eastAsia" w:ascii="黑体" w:hAnsi="宋体" w:eastAsia="黑体"/>
          <w:sz w:val="44"/>
          <w:szCs w:val="44"/>
        </w:rPr>
        <w:t>项目名称：</w:t>
      </w:r>
      <w:r>
        <w:rPr>
          <w:rFonts w:hint="eastAsia" w:ascii="黑体" w:hAnsi="宋体" w:eastAsia="黑体"/>
          <w:sz w:val="44"/>
          <w:szCs w:val="44"/>
          <w:lang w:val="en-US" w:eastAsia="zh-CN"/>
        </w:rPr>
        <w:t>缸盖气密性检测设备项目</w:t>
      </w:r>
    </w:p>
    <w:p>
      <w:pPr>
        <w:spacing w:after="0" w:line="240" w:lineRule="auto"/>
        <w:rPr>
          <w:rFonts w:hint="eastAsia" w:ascii="黑体" w:hAnsi="宋体" w:eastAsia="黑体" w:cs="Times New Roman"/>
          <w:color w:val="000000"/>
          <w:sz w:val="72"/>
          <w:szCs w:val="72"/>
        </w:rPr>
      </w:pPr>
    </w:p>
    <w:p>
      <w:pPr>
        <w:spacing w:after="0" w:line="240" w:lineRule="auto"/>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pPr>
        <w:spacing w:after="0" w:line="240" w:lineRule="auto"/>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pPr>
        <w:spacing w:after="0" w:line="240" w:lineRule="auto"/>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spacing w:after="0" w:line="240" w:lineRule="auto"/>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pPr>
        <w:spacing w:line="480" w:lineRule="exact"/>
        <w:rPr>
          <w:rFonts w:hint="eastAsia" w:ascii="宋体" w:hAnsi="宋体"/>
        </w:rPr>
      </w:pPr>
      <w:r>
        <w:rPr>
          <w:rFonts w:ascii="宋体" w:hAnsi="宋体"/>
        </w:rPr>
        <w:t xml:space="preserve">             </w:t>
      </w:r>
    </w:p>
    <w:p>
      <w:pPr>
        <w:spacing w:line="480" w:lineRule="exact"/>
        <w:rPr>
          <w:rFonts w:hint="eastAsia" w:ascii="宋体" w:hAnsi="宋体"/>
        </w:rPr>
      </w:pPr>
    </w:p>
    <w:p>
      <w:pPr>
        <w:ind w:firstLine="480"/>
        <w:rPr>
          <w:rFonts w:hint="eastAsia" w:ascii="宋体" w:hAnsi="宋体"/>
        </w:rPr>
      </w:pPr>
    </w:p>
    <w:p>
      <w:pPr>
        <w:spacing w:before="120" w:beforeLines="50" w:after="120" w:afterLines="50" w:line="360" w:lineRule="auto"/>
        <w:ind w:left="2100" w:leftChars="1000"/>
        <w:rPr>
          <w:rFonts w:hint="eastAsia" w:eastAsia="宋体"/>
          <w:bCs/>
          <w:sz w:val="32"/>
          <w:szCs w:val="32"/>
          <w:lang w:val="en-US" w:eastAsia="zh-CN"/>
        </w:rPr>
      </w:pPr>
      <w:r>
        <w:rPr>
          <w:rFonts w:hint="eastAsia"/>
          <w:b/>
          <w:sz w:val="32"/>
          <w:szCs w:val="32"/>
        </w:rPr>
        <w:t>编      制：</w:t>
      </w:r>
      <w:r>
        <w:rPr>
          <w:rFonts w:hint="eastAsia" w:ascii="Times New Roman" w:hAnsi="Times New Roman" w:eastAsia="宋体" w:cs="Times New Roman"/>
          <w:bCs/>
          <w:sz w:val="32"/>
          <w:szCs w:val="32"/>
          <w:lang w:val="en-US" w:eastAsia="zh-CN"/>
        </w:rPr>
        <w:t>教传英</w:t>
      </w:r>
    </w:p>
    <w:p>
      <w:pPr>
        <w:spacing w:before="120" w:beforeLines="50" w:after="120" w:afterLines="50" w:line="360" w:lineRule="auto"/>
        <w:ind w:left="4021" w:leftChars="1000" w:hanging="1921" w:hangingChars="600"/>
        <w:rPr>
          <w:rFonts w:hint="eastAsia"/>
          <w:bCs/>
          <w:sz w:val="32"/>
          <w:szCs w:val="32"/>
          <w:lang w:val="en-US" w:eastAsia="zh-CN"/>
        </w:rPr>
      </w:pPr>
      <w:r>
        <w:rPr>
          <w:rFonts w:hint="eastAsia"/>
          <w:b/>
          <w:sz w:val="32"/>
          <w:szCs w:val="32"/>
        </w:rPr>
        <w:t>审      核：</w:t>
      </w:r>
      <w:r>
        <w:rPr>
          <w:rFonts w:hint="eastAsia"/>
          <w:bCs/>
          <w:sz w:val="32"/>
          <w:szCs w:val="32"/>
        </w:rPr>
        <w:t>庄福河</w:t>
      </w:r>
    </w:p>
    <w:p>
      <w:pPr>
        <w:spacing w:before="120" w:beforeLines="50" w:after="120" w:afterLines="50" w:line="360" w:lineRule="auto"/>
        <w:ind w:left="4021" w:leftChars="1000" w:hanging="1921" w:hangingChars="600"/>
        <w:rPr>
          <w:rFonts w:hint="default" w:eastAsia="宋体"/>
          <w:b/>
          <w:sz w:val="32"/>
          <w:szCs w:val="32"/>
          <w:lang w:val="en-US" w:eastAsia="zh-CN"/>
        </w:rPr>
      </w:pPr>
      <w:r>
        <w:rPr>
          <w:rFonts w:hint="eastAsia"/>
          <w:b/>
          <w:sz w:val="32"/>
          <w:szCs w:val="32"/>
        </w:rPr>
        <w:t>会      签：</w:t>
      </w:r>
      <w:r>
        <w:rPr>
          <w:rFonts w:hint="eastAsia"/>
          <w:bCs/>
          <w:sz w:val="32"/>
          <w:szCs w:val="32"/>
          <w:lang w:val="en-US" w:eastAsia="zh-CN"/>
        </w:rPr>
        <w:t>陈丙磊</w:t>
      </w:r>
      <w:r>
        <w:rPr>
          <w:rFonts w:hint="eastAsia"/>
          <w:bCs/>
          <w:sz w:val="32"/>
          <w:szCs w:val="32"/>
        </w:rPr>
        <w:t>、</w:t>
      </w:r>
      <w:r>
        <w:rPr>
          <w:rFonts w:hint="eastAsia"/>
          <w:bCs/>
          <w:sz w:val="32"/>
          <w:szCs w:val="32"/>
          <w:lang w:val="en-US" w:eastAsia="zh-CN"/>
        </w:rPr>
        <w:t>李庆军、彭超、</w:t>
      </w:r>
      <w:r>
        <w:rPr>
          <w:rFonts w:hint="eastAsia" w:ascii="仿宋" w:hAnsi="仿宋" w:eastAsia="仿宋" w:cs="仿宋"/>
          <w:sz w:val="32"/>
          <w:szCs w:val="32"/>
          <w:u w:val="none"/>
          <w:lang w:val="en-US" w:eastAsia="zh-CN"/>
        </w:rPr>
        <w:t>崔毅刚</w:t>
      </w:r>
    </w:p>
    <w:p>
      <w:pPr>
        <w:spacing w:line="360" w:lineRule="auto"/>
        <w:ind w:left="2100" w:leftChars="1000"/>
        <w:rPr>
          <w:rFonts w:hint="default" w:eastAsia="宋体"/>
          <w:b/>
          <w:sz w:val="32"/>
          <w:szCs w:val="32"/>
          <w:lang w:val="en-US" w:eastAsia="zh-CN"/>
        </w:rPr>
      </w:pPr>
      <w:r>
        <w:rPr>
          <w:rFonts w:hint="eastAsia"/>
          <w:b/>
          <w:sz w:val="32"/>
          <w:szCs w:val="32"/>
        </w:rPr>
        <w:t>批      准：</w:t>
      </w:r>
      <w:r>
        <w:rPr>
          <w:rFonts w:hint="eastAsia"/>
          <w:bCs/>
          <w:sz w:val="32"/>
          <w:szCs w:val="32"/>
          <w:lang w:val="en-US" w:eastAsia="zh-CN"/>
        </w:rPr>
        <w:t>李成伍</w:t>
      </w:r>
    </w:p>
    <w:p>
      <w:pPr>
        <w:pStyle w:val="2"/>
        <w:rPr>
          <w:rFonts w:hint="eastAsia"/>
        </w:rPr>
      </w:pPr>
    </w:p>
    <w:p>
      <w:pPr>
        <w:rPr>
          <w:rFonts w:hint="eastAsia"/>
        </w:rPr>
      </w:pPr>
    </w:p>
    <w:p>
      <w:pPr>
        <w:spacing w:after="0" w:line="240" w:lineRule="auto"/>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spacing w:after="0" w:line="240" w:lineRule="auto"/>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pPr>
        <w:spacing w:after="0" w:line="360" w:lineRule="auto"/>
        <w:jc w:val="both"/>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rPr>
          <w:rFonts w:hint="eastAsia" w:ascii="黑体" w:hAnsi="宋体" w:eastAsia="黑体"/>
          <w:sz w:val="44"/>
          <w:szCs w:val="44"/>
        </w:rPr>
      </w:pPr>
    </w:p>
    <w:p>
      <w:pPr>
        <w:ind w:firstLine="880"/>
        <w:rPr>
          <w:rFonts w:hint="eastAsia" w:ascii="黑体" w:hAnsi="宋体" w:eastAsia="黑体"/>
          <w:sz w:val="44"/>
          <w:szCs w:val="44"/>
        </w:rPr>
      </w:pPr>
    </w:p>
    <w:p>
      <w:pPr>
        <w:ind w:firstLine="880"/>
        <w:rPr>
          <w:rFonts w:hint="eastAsia" w:ascii="黑体" w:hAnsi="宋体" w:eastAsia="黑体"/>
          <w:sz w:val="44"/>
          <w:szCs w:val="44"/>
        </w:rPr>
      </w:pPr>
    </w:p>
    <w:p>
      <w:pPr>
        <w:ind w:firstLine="880"/>
        <w:rPr>
          <w:rFonts w:hint="eastAsia" w:ascii="黑体" w:hAnsi="宋体" w:eastAsia="黑体"/>
          <w:sz w:val="44"/>
          <w:szCs w:val="44"/>
        </w:rPr>
      </w:pPr>
    </w:p>
    <w:p>
      <w:pPr>
        <w:spacing w:line="480" w:lineRule="exact"/>
        <w:jc w:val="center"/>
        <w:rPr>
          <w:rFonts w:hint="eastAsia" w:ascii="宋体" w:hAnsi="宋体"/>
          <w:sz w:val="40"/>
          <w:szCs w:val="40"/>
        </w:rPr>
      </w:pPr>
      <w:r>
        <w:rPr>
          <w:rFonts w:hint="eastAsia" w:ascii="黑体" w:hAnsi="宋体" w:eastAsia="黑体"/>
          <w:sz w:val="40"/>
          <w:szCs w:val="40"/>
        </w:rPr>
        <w:t>目        录</w:t>
      </w:r>
    </w:p>
    <w:p>
      <w:pPr>
        <w:spacing w:line="480" w:lineRule="exact"/>
        <w:rPr>
          <w:rFonts w:hint="eastAsia" w:ascii="宋体" w:hAnsi="宋体"/>
        </w:rPr>
      </w:pPr>
    </w:p>
    <w:p>
      <w:pPr>
        <w:pStyle w:val="2"/>
        <w:tabs>
          <w:tab w:val="right" w:leader="dot" w:pos="8787"/>
        </w:tabs>
        <w:spacing w:line="480" w:lineRule="auto"/>
      </w:pPr>
      <w:r>
        <w:rPr>
          <w:rFonts w:hint="eastAsia" w:ascii="宋体" w:hAnsi="宋体"/>
          <w:sz w:val="24"/>
          <w:szCs w:val="24"/>
        </w:rPr>
        <w:fldChar w:fldCharType="begin"/>
      </w:r>
      <w:r>
        <w:rPr>
          <w:rFonts w:hint="eastAsia" w:ascii="宋体" w:hAnsi="宋体"/>
          <w:sz w:val="24"/>
          <w:szCs w:val="24"/>
        </w:rPr>
        <w:instrText xml:space="preserve"> TOC \o "1-2" \h \z \u </w:instrText>
      </w:r>
      <w:r>
        <w:rPr>
          <w:rFonts w:hint="eastAsia" w:ascii="宋体" w:hAnsi="宋体"/>
          <w:sz w:val="24"/>
          <w:szCs w:val="24"/>
        </w:rPr>
        <w:fldChar w:fldCharType="separate"/>
      </w:r>
      <w:r>
        <w:rPr>
          <w:rFonts w:hint="eastAsia" w:ascii="宋体" w:hAnsi="宋体"/>
        </w:rPr>
        <w:fldChar w:fldCharType="begin"/>
      </w:r>
      <w:r>
        <w:rPr>
          <w:rFonts w:hint="eastAsia" w:ascii="宋体" w:hAnsi="宋体"/>
        </w:rPr>
        <w:instrText xml:space="preserve"> HYPERLINK \l _Toc2567 </w:instrText>
      </w:r>
      <w:r>
        <w:rPr>
          <w:rFonts w:hint="eastAsia" w:ascii="宋体" w:hAnsi="宋体"/>
        </w:rPr>
        <w:fldChar w:fldCharType="separate"/>
      </w:r>
      <w:r>
        <w:rPr>
          <w:rFonts w:hint="eastAsia" w:ascii="黑体" w:eastAsia="黑体"/>
          <w:szCs w:val="24"/>
        </w:rPr>
        <w:t>第一章  采购货物概况</w:t>
      </w:r>
      <w:r>
        <w:tab/>
      </w:r>
      <w:r>
        <w:fldChar w:fldCharType="begin"/>
      </w:r>
      <w:r>
        <w:instrText xml:space="preserve"> PAGEREF _Toc2567 </w:instrText>
      </w:r>
      <w:r>
        <w:fldChar w:fldCharType="separate"/>
      </w:r>
      <w:r>
        <w:t>1</w:t>
      </w:r>
      <w:r>
        <w:fldChar w:fldCharType="end"/>
      </w:r>
      <w:r>
        <w:rPr>
          <w:rFonts w:hint="eastAsia" w:ascii="宋体" w:hAnsi="宋体"/>
        </w:rPr>
        <w:fldChar w:fldCharType="end"/>
      </w:r>
    </w:p>
    <w:p>
      <w:pPr>
        <w:pStyle w:val="2"/>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_Toc32262 </w:instrText>
      </w:r>
      <w:r>
        <w:rPr>
          <w:rFonts w:hint="eastAsia" w:ascii="宋体" w:hAnsi="宋体"/>
        </w:rPr>
        <w:fldChar w:fldCharType="separate"/>
      </w:r>
      <w:r>
        <w:rPr>
          <w:rFonts w:hint="eastAsia" w:ascii="黑体" w:eastAsia="黑体"/>
          <w:szCs w:val="24"/>
        </w:rPr>
        <w:t>第二章  技术要求</w:t>
      </w:r>
      <w:r>
        <w:tab/>
      </w:r>
      <w:r>
        <w:fldChar w:fldCharType="begin"/>
      </w:r>
      <w:r>
        <w:instrText xml:space="preserve"> PAGEREF _Toc32262 </w:instrText>
      </w:r>
      <w:r>
        <w:fldChar w:fldCharType="separate"/>
      </w:r>
      <w:r>
        <w:t>3</w:t>
      </w:r>
      <w:r>
        <w:fldChar w:fldCharType="end"/>
      </w:r>
      <w:r>
        <w:rPr>
          <w:rFonts w:hint="eastAsia" w:ascii="宋体" w:hAnsi="宋体"/>
        </w:rPr>
        <w:fldChar w:fldCharType="end"/>
      </w:r>
    </w:p>
    <w:p>
      <w:pPr>
        <w:pStyle w:val="2"/>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_Toc10963 </w:instrText>
      </w:r>
      <w:r>
        <w:rPr>
          <w:rFonts w:hint="eastAsia" w:ascii="宋体" w:hAnsi="宋体"/>
        </w:rPr>
        <w:fldChar w:fldCharType="separate"/>
      </w:r>
      <w:r>
        <w:rPr>
          <w:rFonts w:hint="eastAsia" w:ascii="黑体" w:eastAsia="黑体"/>
          <w:szCs w:val="24"/>
        </w:rPr>
        <w:t>第三章  供货范围及供货方式</w:t>
      </w:r>
      <w:r>
        <w:tab/>
      </w:r>
      <w:r>
        <w:fldChar w:fldCharType="begin"/>
      </w:r>
      <w:r>
        <w:instrText xml:space="preserve"> PAGEREF _Toc10963 </w:instrText>
      </w:r>
      <w:r>
        <w:fldChar w:fldCharType="separate"/>
      </w:r>
      <w:r>
        <w:t>11</w:t>
      </w:r>
      <w:r>
        <w:fldChar w:fldCharType="end"/>
      </w:r>
      <w:r>
        <w:rPr>
          <w:rFonts w:hint="eastAsia" w:ascii="宋体" w:hAnsi="宋体"/>
        </w:rPr>
        <w:fldChar w:fldCharType="end"/>
      </w:r>
    </w:p>
    <w:p>
      <w:pPr>
        <w:pStyle w:val="2"/>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_Toc30960 </w:instrText>
      </w:r>
      <w:r>
        <w:rPr>
          <w:rFonts w:hint="eastAsia" w:ascii="宋体" w:hAnsi="宋体"/>
        </w:rPr>
        <w:fldChar w:fldCharType="separate"/>
      </w:r>
      <w:r>
        <w:rPr>
          <w:rFonts w:hint="eastAsia" w:ascii="黑体" w:eastAsia="黑体"/>
          <w:szCs w:val="24"/>
        </w:rPr>
        <w:t>第四章  售中售后服务</w:t>
      </w:r>
      <w:r>
        <w:tab/>
      </w:r>
      <w:r>
        <w:fldChar w:fldCharType="begin"/>
      </w:r>
      <w:r>
        <w:instrText xml:space="preserve"> PAGEREF _Toc30960 </w:instrText>
      </w:r>
      <w:r>
        <w:fldChar w:fldCharType="separate"/>
      </w:r>
      <w:r>
        <w:t>15</w:t>
      </w:r>
      <w:r>
        <w:fldChar w:fldCharType="end"/>
      </w:r>
      <w:r>
        <w:rPr>
          <w:rFonts w:hint="eastAsia" w:ascii="宋体" w:hAnsi="宋体"/>
        </w:rPr>
        <w:fldChar w:fldCharType="end"/>
      </w:r>
    </w:p>
    <w:p>
      <w:pPr>
        <w:pStyle w:val="2"/>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_Toc21539 </w:instrText>
      </w:r>
      <w:r>
        <w:rPr>
          <w:rFonts w:hint="eastAsia" w:ascii="宋体" w:hAnsi="宋体"/>
        </w:rPr>
        <w:fldChar w:fldCharType="separate"/>
      </w:r>
      <w:r>
        <w:rPr>
          <w:rFonts w:hint="eastAsia" w:ascii="黑体" w:eastAsia="黑体"/>
          <w:szCs w:val="24"/>
        </w:rPr>
        <w:t>第五章  预验收和终验收</w:t>
      </w:r>
      <w:r>
        <w:tab/>
      </w:r>
      <w:r>
        <w:fldChar w:fldCharType="begin"/>
      </w:r>
      <w:r>
        <w:instrText xml:space="preserve"> PAGEREF _Toc21539 </w:instrText>
      </w:r>
      <w:r>
        <w:fldChar w:fldCharType="separate"/>
      </w:r>
      <w:r>
        <w:t>18</w:t>
      </w:r>
      <w:r>
        <w:fldChar w:fldCharType="end"/>
      </w:r>
      <w:r>
        <w:rPr>
          <w:rFonts w:hint="eastAsia" w:ascii="宋体" w:hAnsi="宋体"/>
        </w:rPr>
        <w:fldChar w:fldCharType="end"/>
      </w:r>
    </w:p>
    <w:p>
      <w:pPr>
        <w:pStyle w:val="2"/>
        <w:tabs>
          <w:tab w:val="right" w:leader="dot" w:pos="8787"/>
        </w:tabs>
        <w:spacing w:line="480" w:lineRule="auto"/>
        <w:rPr>
          <w:rFonts w:hint="default" w:ascii="宋体" w:hAnsi="宋体" w:eastAsia="宋体" w:cs="Times New Roman"/>
          <w:b/>
          <w:bCs/>
          <w:caps/>
          <w:lang w:val="en-US" w:eastAsia="zh-CN"/>
        </w:rPr>
      </w:pPr>
      <w:r>
        <w:rPr>
          <w:rFonts w:hint="eastAsia" w:ascii="宋体" w:hAnsi="宋体" w:eastAsia="宋体" w:cs="Times New Roman"/>
          <w:b/>
          <w:bCs/>
          <w:caps/>
        </w:rPr>
        <w:fldChar w:fldCharType="begin"/>
      </w:r>
      <w:r>
        <w:rPr>
          <w:rFonts w:hint="eastAsia" w:ascii="宋体" w:hAnsi="宋体" w:eastAsia="宋体" w:cs="Times New Roman"/>
          <w:b/>
          <w:bCs/>
          <w:caps/>
        </w:rPr>
        <w:instrText xml:space="preserve"> HYPERLINK \l _Toc12996 </w:instrText>
      </w:r>
      <w:r>
        <w:rPr>
          <w:rFonts w:hint="eastAsia" w:ascii="宋体" w:hAnsi="宋体" w:eastAsia="宋体" w:cs="Times New Roman"/>
          <w:b/>
          <w:bCs/>
          <w:caps/>
        </w:rPr>
        <w:fldChar w:fldCharType="separate"/>
      </w:r>
      <w:r>
        <w:rPr>
          <w:rFonts w:hint="eastAsia" w:ascii="黑体" w:hAnsi="黑体" w:eastAsia="黑体" w:cs="黑体"/>
          <w:b/>
          <w:bCs/>
          <w:caps/>
        </w:rPr>
        <w:t>第六章  投标技术档一般要求</w:t>
      </w:r>
      <w:r>
        <w:tab/>
      </w:r>
      <w:r>
        <w:rPr>
          <w:rFonts w:hint="eastAsia" w:ascii="宋体" w:hAnsi="宋体" w:eastAsia="宋体" w:cs="Times New Roman"/>
          <w:b/>
          <w:bCs/>
          <w:caps/>
        </w:rPr>
        <w:fldChar w:fldCharType="end"/>
      </w:r>
      <w:r>
        <w:rPr>
          <w:rFonts w:hint="eastAsia" w:ascii="Times New Roman" w:hAnsi="Times New Roman" w:eastAsia="宋体" w:cs="Times New Roman"/>
          <w:b/>
          <w:bCs/>
          <w:caps/>
          <w:lang w:val="en-US" w:eastAsia="zh-CN"/>
        </w:rPr>
        <w:t>21</w:t>
      </w:r>
    </w:p>
    <w:p>
      <w:pPr>
        <w:pStyle w:val="2"/>
        <w:tabs>
          <w:tab w:val="right" w:leader="dot" w:pos="8787"/>
        </w:tabs>
        <w:spacing w:line="480" w:lineRule="auto"/>
      </w:pPr>
      <w:r>
        <w:rPr>
          <w:rFonts w:hint="eastAsia" w:ascii="宋体" w:hAnsi="宋体"/>
        </w:rPr>
        <w:fldChar w:fldCharType="begin"/>
      </w:r>
      <w:r>
        <w:rPr>
          <w:rFonts w:hint="eastAsia" w:ascii="宋体" w:hAnsi="宋体"/>
        </w:rPr>
        <w:instrText xml:space="preserve"> HYPERLINK \l _Toc31849 </w:instrText>
      </w:r>
      <w:r>
        <w:rPr>
          <w:rFonts w:hint="eastAsia" w:ascii="宋体" w:hAnsi="宋体"/>
        </w:rPr>
        <w:fldChar w:fldCharType="separate"/>
      </w:r>
      <w:r>
        <w:rPr>
          <w:rFonts w:hint="eastAsia" w:ascii="黑体" w:eastAsia="黑体"/>
          <w:szCs w:val="24"/>
        </w:rPr>
        <w:t>第七章  其它要求及说明</w:t>
      </w:r>
      <w:r>
        <w:tab/>
      </w:r>
      <w:r>
        <w:fldChar w:fldCharType="begin"/>
      </w:r>
      <w:r>
        <w:instrText xml:space="preserve"> PAGEREF _Toc31849 </w:instrText>
      </w:r>
      <w:r>
        <w:fldChar w:fldCharType="separate"/>
      </w:r>
      <w:r>
        <w:t>23</w:t>
      </w:r>
      <w:r>
        <w:fldChar w:fldCharType="end"/>
      </w:r>
      <w:r>
        <w:rPr>
          <w:rFonts w:hint="eastAsia" w:ascii="宋体" w:hAnsi="宋体"/>
        </w:rPr>
        <w:fldChar w:fldCharType="end"/>
      </w:r>
    </w:p>
    <w:p>
      <w:pPr>
        <w:spacing w:line="480" w:lineRule="auto"/>
        <w:rPr>
          <w:rFonts w:hint="eastAsia" w:ascii="宋体" w:hAnsi="宋体"/>
        </w:rPr>
      </w:pPr>
      <w:r>
        <w:rPr>
          <w:rFonts w:hint="eastAsia" w:ascii="宋体" w:hAnsi="宋体"/>
        </w:rPr>
        <w:fldChar w:fldCharType="end"/>
      </w:r>
    </w:p>
    <w:p>
      <w:pPr>
        <w:spacing w:line="480" w:lineRule="exact"/>
        <w:ind w:firstLine="840" w:firstLineChars="400"/>
        <w:rPr>
          <w:rFonts w:hint="eastAsia" w:ascii="黑体" w:hAnsi="宋体" w:eastAsia="黑体"/>
        </w:rPr>
      </w:pPr>
    </w:p>
    <w:p>
      <w:pPr>
        <w:spacing w:line="480" w:lineRule="exact"/>
        <w:ind w:firstLine="840" w:firstLineChars="400"/>
        <w:rPr>
          <w:rFonts w:hint="eastAsia" w:ascii="黑体" w:hAnsi="宋体" w:eastAsia="黑体"/>
        </w:rPr>
      </w:pPr>
    </w:p>
    <w:p>
      <w:pPr>
        <w:spacing w:line="480" w:lineRule="exact"/>
        <w:ind w:firstLine="840" w:firstLineChars="400"/>
        <w:rPr>
          <w:rFonts w:ascii="黑体" w:hAnsi="宋体" w:eastAsia="黑体"/>
        </w:rPr>
        <w:sectPr>
          <w:headerReference r:id="rId10" w:type="default"/>
          <w:footerReference r:id="rId11" w:type="default"/>
          <w:pgSz w:w="11906" w:h="16838"/>
          <w:pgMar w:top="1701" w:right="1418" w:bottom="1134" w:left="1701" w:header="1021" w:footer="680" w:gutter="0"/>
          <w:pgNumType w:start="1"/>
          <w:cols w:space="720" w:num="1"/>
          <w:docGrid w:type="lines" w:linePitch="312" w:charSpace="0"/>
        </w:sectPr>
      </w:pPr>
    </w:p>
    <w:p>
      <w:pPr>
        <w:pStyle w:val="3"/>
        <w:spacing w:before="120" w:after="120" w:line="480" w:lineRule="exact"/>
        <w:jc w:val="center"/>
        <w:rPr>
          <w:rFonts w:hint="eastAsia" w:ascii="黑体" w:eastAsia="黑体"/>
          <w:b w:val="0"/>
          <w:sz w:val="24"/>
          <w:szCs w:val="24"/>
        </w:rPr>
      </w:pPr>
      <w:bookmarkStart w:id="33" w:name="_Toc2894"/>
      <w:bookmarkStart w:id="34" w:name="_Toc1271"/>
      <w:bookmarkStart w:id="35" w:name="_Toc28854"/>
      <w:bookmarkStart w:id="36" w:name="_Toc2567"/>
      <w:r>
        <w:rPr>
          <w:rFonts w:hint="eastAsia" w:ascii="黑体" w:eastAsia="黑体"/>
          <w:b w:val="0"/>
          <w:sz w:val="24"/>
          <w:szCs w:val="24"/>
        </w:rPr>
        <w:t>第一章  采购货物概况</w:t>
      </w:r>
      <w:bookmarkEnd w:id="33"/>
      <w:bookmarkEnd w:id="34"/>
      <w:bookmarkEnd w:id="35"/>
      <w:bookmarkEnd w:id="36"/>
    </w:p>
    <w:p>
      <w:pPr>
        <w:spacing w:line="480" w:lineRule="exact"/>
        <w:rPr>
          <w:rFonts w:hint="eastAsia" w:ascii="黑体" w:hAnsi="宋体" w:eastAsia="黑体"/>
        </w:rPr>
      </w:pPr>
    </w:p>
    <w:p>
      <w:pPr>
        <w:pStyle w:val="4"/>
        <w:spacing w:before="120" w:after="120" w:line="480" w:lineRule="exact"/>
        <w:jc w:val="center"/>
        <w:rPr>
          <w:rFonts w:hint="eastAsia"/>
          <w:b w:val="0"/>
          <w:sz w:val="24"/>
          <w:szCs w:val="24"/>
        </w:rPr>
      </w:pPr>
      <w:bookmarkStart w:id="37" w:name="_Toc24900"/>
      <w:bookmarkStart w:id="38" w:name="_Toc13953"/>
      <w:bookmarkStart w:id="39" w:name="_Toc13530"/>
      <w:bookmarkStart w:id="40" w:name="_Toc137705866"/>
      <w:bookmarkStart w:id="41" w:name="_Toc9247"/>
      <w:r>
        <w:rPr>
          <w:rFonts w:hint="eastAsia"/>
          <w:b w:val="0"/>
          <w:sz w:val="24"/>
          <w:szCs w:val="24"/>
        </w:rPr>
        <w:t>第一节  使用环境</w:t>
      </w:r>
      <w:bookmarkEnd w:id="37"/>
      <w:bookmarkEnd w:id="38"/>
      <w:bookmarkEnd w:id="39"/>
      <w:bookmarkEnd w:id="40"/>
      <w:bookmarkEnd w:id="41"/>
    </w:p>
    <w:p>
      <w:pPr>
        <w:spacing w:line="480" w:lineRule="exact"/>
        <w:ind w:firstLine="420" w:firstLineChars="200"/>
        <w:rPr>
          <w:rFonts w:hint="eastAsia" w:ascii="黑体" w:hAnsi="宋体" w:eastAsia="黑体"/>
          <w:u w:val="single"/>
          <w:shd w:val="pct10" w:color="auto" w:fill="FFFFFF"/>
        </w:rPr>
      </w:pPr>
      <w:r>
        <w:rPr>
          <w:rFonts w:hint="eastAsia" w:ascii="黑体" w:hAnsi="宋体" w:eastAsia="黑体"/>
        </w:rPr>
        <w:t>一、项目名称：</w:t>
      </w:r>
      <w:r>
        <w:rPr>
          <w:rFonts w:hint="eastAsia" w:ascii="黑体" w:hAnsi="宋体" w:eastAsia="黑体"/>
          <w:u w:val="single"/>
          <w:shd w:val="pct10" w:color="auto" w:fill="FFFFFF"/>
        </w:rPr>
        <w:t xml:space="preserve"> </w:t>
      </w:r>
      <w:r>
        <w:rPr>
          <w:rFonts w:hint="eastAsia" w:ascii="黑体" w:hAnsi="宋体" w:eastAsia="黑体"/>
          <w:u w:val="single"/>
          <w:shd w:val="pct10" w:color="auto" w:fill="FFFFFF"/>
          <w:lang w:val="en-US" w:eastAsia="zh-CN"/>
        </w:rPr>
        <w:t xml:space="preserve"> </w:t>
      </w:r>
      <w:r>
        <w:rPr>
          <w:rFonts w:hint="eastAsia" w:ascii="宋体" w:hAnsi="宋体" w:eastAsia="宋体" w:cs="Times New Roman"/>
          <w:u w:val="single"/>
          <w:shd w:val="pct10" w:color="auto" w:fill="FFFFFF"/>
          <w:lang w:val="en-US" w:eastAsia="zh-CN"/>
        </w:rPr>
        <w:t>缸盖气密性检测设备项目</w:t>
      </w:r>
      <w:r>
        <w:rPr>
          <w:rFonts w:hint="eastAsia" w:ascii="宋体" w:hAnsi="宋体"/>
          <w:u w:val="single"/>
          <w:shd w:val="pct10" w:color="auto" w:fill="FFFFFF"/>
        </w:rPr>
        <w:t xml:space="preserve">   </w:t>
      </w:r>
      <w:r>
        <w:rPr>
          <w:rFonts w:hint="eastAsia" w:ascii="黑体" w:hAnsi="宋体" w:eastAsia="黑体"/>
          <w:u w:val="single"/>
          <w:shd w:val="pct10" w:color="auto" w:fill="FFFFFF"/>
        </w:rPr>
        <w:t xml:space="preserve">   </w:t>
      </w:r>
    </w:p>
    <w:p>
      <w:pPr>
        <w:spacing w:line="480" w:lineRule="exact"/>
        <w:ind w:firstLine="420" w:firstLineChars="200"/>
        <w:rPr>
          <w:rFonts w:hint="eastAsia" w:ascii="宋体" w:hAnsi="宋体"/>
        </w:rPr>
      </w:pPr>
      <w:r>
        <w:rPr>
          <w:rFonts w:hint="eastAsia" w:ascii="黑体" w:hAnsi="宋体" w:eastAsia="黑体"/>
        </w:rPr>
        <w:t>二、建设地点：</w:t>
      </w:r>
      <w:r>
        <w:rPr>
          <w:rFonts w:hint="eastAsia" w:ascii="宋体" w:hAnsi="宋体"/>
          <w:u w:val="single"/>
          <w:shd w:val="pct10" w:color="auto" w:fill="FFFFFF"/>
        </w:rPr>
        <w:t xml:space="preserve">  章丘市圣井镇重汽工业园            </w:t>
      </w:r>
    </w:p>
    <w:p>
      <w:pPr>
        <w:spacing w:line="480" w:lineRule="exact"/>
        <w:ind w:firstLine="420" w:firstLineChars="200"/>
        <w:rPr>
          <w:rFonts w:hint="eastAsia" w:ascii="宋体" w:hAnsi="宋体"/>
          <w:u w:val="single"/>
          <w:shd w:val="pct10" w:color="auto" w:fill="FFFFFF"/>
        </w:rPr>
      </w:pPr>
      <w:r>
        <w:rPr>
          <w:rFonts w:hint="eastAsia" w:ascii="黑体" w:hAnsi="宋体" w:eastAsia="黑体"/>
        </w:rPr>
        <w:t>三、使用地点：</w:t>
      </w:r>
      <w:r>
        <w:rPr>
          <w:rFonts w:hint="eastAsia" w:ascii="宋体" w:hAnsi="宋体"/>
          <w:u w:val="single"/>
          <w:shd w:val="pct10" w:color="auto" w:fill="FFFFFF"/>
        </w:rPr>
        <w:t xml:space="preserve"> </w:t>
      </w:r>
      <w:r>
        <w:rPr>
          <w:rFonts w:hint="eastAsia" w:ascii="宋体" w:hAnsi="宋体" w:eastAsia="宋体" w:cs="Times New Roman"/>
          <w:u w:val="single"/>
          <w:shd w:val="pct10" w:color="auto" w:fill="FFFFFF"/>
          <w:lang w:val="en-US" w:eastAsia="zh-CN"/>
        </w:rPr>
        <w:t xml:space="preserve"> 中国重汽集团济南发动机厂   </w:t>
      </w:r>
      <w:r>
        <w:rPr>
          <w:rFonts w:hint="eastAsia" w:ascii="宋体" w:hAnsi="宋体"/>
          <w:u w:val="single"/>
          <w:shd w:val="pct10" w:color="auto" w:fill="FFFFFF"/>
        </w:rPr>
        <w:t xml:space="preserve">       </w:t>
      </w:r>
    </w:p>
    <w:p>
      <w:pPr>
        <w:spacing w:line="480" w:lineRule="exact"/>
        <w:ind w:firstLine="420" w:firstLineChars="200"/>
        <w:rPr>
          <w:rFonts w:hint="eastAsia" w:ascii="宋体" w:hAnsi="宋体"/>
        </w:rPr>
      </w:pPr>
      <w:r>
        <w:rPr>
          <w:rFonts w:hint="eastAsia" w:ascii="黑体" w:hAnsi="宋体" w:eastAsia="黑体"/>
        </w:rPr>
        <w:t>四、工作制度：</w:t>
      </w:r>
      <w:r>
        <w:rPr>
          <w:rFonts w:hint="eastAsia" w:ascii="宋体" w:hAnsi="宋体"/>
        </w:rPr>
        <w:t>全年工作250天、</w:t>
      </w:r>
      <w:r>
        <w:rPr>
          <w:rFonts w:hint="eastAsia" w:ascii="宋体" w:hAnsi="宋体"/>
          <w:u w:val="single"/>
          <w:shd w:val="pct10" w:color="auto" w:fill="FFFFFF"/>
        </w:rPr>
        <w:t xml:space="preserve">   3  </w:t>
      </w:r>
      <w:r>
        <w:rPr>
          <w:rFonts w:hint="eastAsia" w:ascii="宋体" w:hAnsi="宋体"/>
        </w:rPr>
        <w:t>班制、设备年时基数</w:t>
      </w:r>
      <w:r>
        <w:rPr>
          <w:rFonts w:hint="eastAsia" w:ascii="宋体" w:hAnsi="宋体"/>
          <w:u w:val="single"/>
          <w:shd w:val="pct10" w:color="auto" w:fill="FFFFFF"/>
        </w:rPr>
        <w:t xml:space="preserve"> 5000     </w:t>
      </w:r>
      <w:r>
        <w:rPr>
          <w:rFonts w:hint="eastAsia" w:ascii="宋体" w:hAnsi="宋体"/>
        </w:rPr>
        <w:t>小时</w:t>
      </w:r>
    </w:p>
    <w:p>
      <w:pPr>
        <w:spacing w:line="480" w:lineRule="exact"/>
        <w:ind w:firstLine="420" w:firstLineChars="200"/>
        <w:rPr>
          <w:rFonts w:hint="eastAsia" w:ascii="黑体" w:hAnsi="宋体" w:eastAsia="黑体"/>
        </w:rPr>
      </w:pPr>
      <w:r>
        <w:rPr>
          <w:rFonts w:hint="eastAsia" w:ascii="黑体" w:hAnsi="宋体" w:eastAsia="黑体"/>
        </w:rPr>
        <w:t>五、使用地点区域自然环境：</w:t>
      </w:r>
    </w:p>
    <w:p>
      <w:pPr>
        <w:spacing w:line="480" w:lineRule="exact"/>
        <w:ind w:firstLine="420" w:firstLineChars="200"/>
        <w:rPr>
          <w:rFonts w:hint="eastAsia" w:ascii="宋体" w:hAnsi="宋体"/>
        </w:rPr>
      </w:pPr>
      <w:r>
        <w:rPr>
          <w:rFonts w:hint="eastAsia" w:ascii="宋体" w:hAnsi="宋体"/>
          <w:bCs/>
        </w:rPr>
        <w:t>1、海拨高度：1000</w:t>
      </w:r>
      <w:r>
        <w:rPr>
          <w:rFonts w:ascii="宋体" w:hAnsi="宋体"/>
          <w:bCs/>
        </w:rPr>
        <w:t>m</w:t>
      </w:r>
      <w:r>
        <w:rPr>
          <w:rFonts w:hint="eastAsia" w:ascii="宋体" w:hAnsi="宋体"/>
          <w:bCs/>
        </w:rPr>
        <w:t>以下</w:t>
      </w:r>
    </w:p>
    <w:p>
      <w:pPr>
        <w:spacing w:line="480" w:lineRule="exact"/>
        <w:ind w:left="2047" w:leftChars="200" w:hanging="1627" w:hangingChars="775"/>
        <w:rPr>
          <w:rFonts w:hint="eastAsia" w:ascii="宋体" w:hAnsi="宋体"/>
        </w:rPr>
      </w:pPr>
      <w:r>
        <w:rPr>
          <w:rFonts w:hint="eastAsia" w:ascii="宋体" w:hAnsi="宋体"/>
        </w:rPr>
        <w:t>2、环境温度：室外极端最低温度-19.7℃、极端最高温度42℃，昼夜最大温</w:t>
      </w:r>
      <w:r>
        <w:rPr>
          <w:rFonts w:hint="eastAsia" w:ascii="宋体" w:hAnsi="宋体"/>
          <w:bCs/>
        </w:rPr>
        <w:t>差25℃；室内温度5～40℃。</w:t>
      </w:r>
    </w:p>
    <w:p>
      <w:pPr>
        <w:spacing w:line="480" w:lineRule="exact"/>
        <w:ind w:firstLine="420" w:firstLineChars="200"/>
        <w:rPr>
          <w:rFonts w:hint="eastAsia" w:ascii="宋体" w:hAnsi="宋体"/>
        </w:rPr>
      </w:pPr>
      <w:r>
        <w:rPr>
          <w:rFonts w:hint="eastAsia" w:ascii="宋体" w:hAnsi="宋体"/>
        </w:rPr>
        <w:t>3、相对湿度：年平均59%，</w:t>
      </w:r>
      <w:r>
        <w:rPr>
          <w:rFonts w:hint="eastAsia" w:ascii="宋体" w:hAnsi="宋体"/>
          <w:bCs/>
        </w:rPr>
        <w:t>最大95%、最小15%。</w:t>
      </w:r>
    </w:p>
    <w:p>
      <w:pPr>
        <w:spacing w:line="480" w:lineRule="exact"/>
        <w:ind w:firstLine="420" w:firstLineChars="200"/>
        <w:rPr>
          <w:rFonts w:hint="eastAsia" w:ascii="宋体" w:hAnsi="宋体"/>
        </w:rPr>
      </w:pPr>
      <w:r>
        <w:rPr>
          <w:rFonts w:hint="eastAsia" w:ascii="宋体" w:hAnsi="宋体"/>
        </w:rPr>
        <w:t>4、降雨量：日最大降雨量300mm、时最大降雨量100mm。</w:t>
      </w:r>
    </w:p>
    <w:p>
      <w:pPr>
        <w:spacing w:line="480" w:lineRule="exact"/>
        <w:ind w:firstLine="420" w:firstLineChars="200"/>
        <w:rPr>
          <w:rFonts w:hint="eastAsia" w:ascii="宋体" w:hAnsi="宋体"/>
        </w:rPr>
      </w:pPr>
      <w:r>
        <w:rPr>
          <w:rFonts w:hint="eastAsia" w:ascii="宋体" w:hAnsi="宋体"/>
        </w:rPr>
        <w:t>5、最大风速：33.3m/s。</w:t>
      </w:r>
    </w:p>
    <w:p>
      <w:pPr>
        <w:spacing w:line="480" w:lineRule="exact"/>
        <w:ind w:firstLine="420" w:firstLineChars="200"/>
        <w:rPr>
          <w:rFonts w:hint="eastAsia" w:ascii="宋体" w:hAnsi="宋体"/>
        </w:rPr>
      </w:pPr>
      <w:r>
        <w:rPr>
          <w:rFonts w:hint="eastAsia" w:ascii="宋体" w:hAnsi="宋体"/>
        </w:rPr>
        <w:t>6、最大积雪厚度：200mm。</w:t>
      </w:r>
    </w:p>
    <w:p>
      <w:pPr>
        <w:spacing w:line="480" w:lineRule="exact"/>
        <w:ind w:firstLine="420" w:firstLineChars="200"/>
        <w:rPr>
          <w:rFonts w:hint="eastAsia" w:ascii="宋体" w:hAnsi="宋体"/>
        </w:rPr>
      </w:pPr>
      <w:r>
        <w:rPr>
          <w:rFonts w:hint="eastAsia" w:ascii="宋体" w:hAnsi="宋体"/>
        </w:rPr>
        <w:t>7、最大冻土深度：450mm。</w:t>
      </w:r>
    </w:p>
    <w:p>
      <w:pPr>
        <w:spacing w:line="480" w:lineRule="exact"/>
        <w:ind w:firstLine="420" w:firstLineChars="200"/>
        <w:rPr>
          <w:rFonts w:hint="eastAsia" w:ascii="宋体" w:hAnsi="宋体"/>
        </w:rPr>
      </w:pPr>
      <w:r>
        <w:rPr>
          <w:rFonts w:hint="eastAsia" w:ascii="宋体" w:hAnsi="宋体"/>
        </w:rPr>
        <w:t>8、地震设防裂度：七度。</w:t>
      </w:r>
    </w:p>
    <w:p>
      <w:pPr>
        <w:spacing w:line="480" w:lineRule="exact"/>
        <w:ind w:firstLine="420" w:firstLineChars="200"/>
        <w:rPr>
          <w:rFonts w:hint="default" w:ascii="宋体" w:hAnsi="宋体" w:eastAsia="宋体" w:cs="Times New Roman"/>
          <w:lang w:val="en-US" w:eastAsia="zh-CN"/>
        </w:rPr>
      </w:pPr>
      <w:r>
        <w:rPr>
          <w:rFonts w:hint="eastAsia" w:ascii="宋体" w:hAnsi="宋体" w:eastAsia="宋体" w:cs="Times New Roman"/>
          <w:lang w:val="en-US" w:eastAsia="zh-CN"/>
        </w:rPr>
        <w:t>9、混凝土基础：C35混凝土，地面厚度300mm，承重是3T/㎡</w:t>
      </w:r>
    </w:p>
    <w:p>
      <w:pPr>
        <w:spacing w:line="480" w:lineRule="exact"/>
        <w:ind w:firstLine="420" w:firstLineChars="200"/>
        <w:rPr>
          <w:rFonts w:hint="eastAsia" w:ascii="宋体" w:hAnsi="宋体"/>
        </w:rPr>
      </w:pPr>
      <w:r>
        <w:rPr>
          <w:rFonts w:hint="eastAsia" w:ascii="黑体" w:hAnsi="宋体" w:eastAsia="黑体"/>
        </w:rPr>
        <w:t>六、能源环境：</w:t>
      </w:r>
    </w:p>
    <w:p>
      <w:pPr>
        <w:spacing w:line="480" w:lineRule="exact"/>
        <w:ind w:firstLine="420" w:firstLineChars="200"/>
        <w:rPr>
          <w:rFonts w:hint="eastAsia" w:ascii="宋体" w:hAnsi="宋体"/>
        </w:rPr>
      </w:pPr>
      <w:r>
        <w:rPr>
          <w:rFonts w:hint="eastAsia" w:ascii="宋体" w:hAnsi="宋体"/>
        </w:rPr>
        <w:t>1、电力：中国制式，供电电压</w:t>
      </w:r>
      <w:r>
        <w:rPr>
          <w:rFonts w:ascii="宋体" w:hAnsi="宋体"/>
        </w:rPr>
        <w:t>380V</w:t>
      </w:r>
      <w:r>
        <w:rPr>
          <w:rFonts w:hint="eastAsia" w:ascii="宋体" w:hAnsi="宋体"/>
        </w:rPr>
        <w:t>±</w:t>
      </w:r>
      <w:r>
        <w:rPr>
          <w:rFonts w:ascii="宋体" w:hAnsi="宋体"/>
        </w:rPr>
        <w:t>1</w:t>
      </w:r>
      <w:r>
        <w:rPr>
          <w:rFonts w:hint="eastAsia" w:ascii="宋体" w:hAnsi="宋体"/>
        </w:rPr>
        <w:t>5</w:t>
      </w:r>
      <w:r>
        <w:rPr>
          <w:rFonts w:ascii="宋体" w:hAnsi="宋体"/>
        </w:rPr>
        <w:t>%</w:t>
      </w:r>
      <w:r>
        <w:rPr>
          <w:rFonts w:hint="eastAsia" w:ascii="宋体" w:hAnsi="宋体"/>
        </w:rPr>
        <w:t>/220V±</w:t>
      </w:r>
      <w:r>
        <w:rPr>
          <w:rFonts w:ascii="宋体" w:hAnsi="宋体"/>
        </w:rPr>
        <w:t>1</w:t>
      </w:r>
      <w:r>
        <w:rPr>
          <w:rFonts w:hint="eastAsia" w:ascii="宋体" w:hAnsi="宋体"/>
        </w:rPr>
        <w:t>5</w:t>
      </w:r>
      <w:r>
        <w:rPr>
          <w:rFonts w:ascii="宋体" w:hAnsi="宋体"/>
        </w:rPr>
        <w:t>%</w:t>
      </w:r>
      <w:r>
        <w:rPr>
          <w:rFonts w:hint="eastAsia" w:ascii="宋体" w:hAnsi="宋体"/>
        </w:rPr>
        <w:t>，供电频率</w:t>
      </w:r>
      <w:r>
        <w:rPr>
          <w:rFonts w:ascii="宋体" w:hAnsi="宋体"/>
        </w:rPr>
        <w:t>50Hz</w:t>
      </w:r>
      <w:r>
        <w:rPr>
          <w:rFonts w:hint="eastAsia" w:ascii="宋体" w:hAnsi="宋体"/>
        </w:rPr>
        <w:t>±</w:t>
      </w:r>
      <w:r>
        <w:rPr>
          <w:rFonts w:ascii="宋体" w:hAnsi="宋体"/>
        </w:rPr>
        <w:t>2%</w:t>
      </w:r>
      <w:r>
        <w:rPr>
          <w:rFonts w:hint="eastAsia" w:ascii="宋体" w:hAnsi="宋体"/>
        </w:rPr>
        <w:t>。</w:t>
      </w:r>
    </w:p>
    <w:p>
      <w:pPr>
        <w:spacing w:line="480" w:lineRule="exact"/>
        <w:ind w:firstLine="420" w:firstLineChars="200"/>
        <w:rPr>
          <w:rFonts w:hint="eastAsia" w:ascii="宋体" w:hAnsi="宋体"/>
        </w:rPr>
      </w:pPr>
      <w:r>
        <w:rPr>
          <w:rFonts w:hint="eastAsia" w:ascii="宋体" w:hAnsi="宋体"/>
        </w:rPr>
        <w:t>2、压缩空气：自备空压机自产压缩空气，</w:t>
      </w:r>
      <w:r>
        <w:rPr>
          <w:rFonts w:ascii="宋体" w:hAnsi="宋体"/>
        </w:rPr>
        <w:t>0.</w:t>
      </w:r>
      <w:r>
        <w:rPr>
          <w:rFonts w:hint="eastAsia" w:ascii="宋体" w:hAnsi="宋体"/>
        </w:rPr>
        <w:t>4～0.6</w:t>
      </w:r>
      <w:r>
        <w:rPr>
          <w:rFonts w:ascii="宋体" w:hAnsi="宋体"/>
        </w:rPr>
        <w:t>M</w:t>
      </w:r>
      <w:r>
        <w:rPr>
          <w:rFonts w:hint="eastAsia" w:ascii="宋体" w:hAnsi="宋体"/>
        </w:rPr>
        <w:t>P</w:t>
      </w:r>
      <w:r>
        <w:rPr>
          <w:rFonts w:ascii="宋体" w:hAnsi="宋体"/>
        </w:rPr>
        <w:t>a</w:t>
      </w:r>
      <w:r>
        <w:rPr>
          <w:rFonts w:hint="eastAsia" w:ascii="宋体" w:hAnsi="宋体"/>
        </w:rPr>
        <w:t>。</w:t>
      </w: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rPr>
          <w:rFonts w:hint="eastAsia" w:ascii="宋体" w:hAnsi="宋体"/>
        </w:rPr>
      </w:pPr>
    </w:p>
    <w:p>
      <w:pPr>
        <w:pStyle w:val="4"/>
        <w:spacing w:before="120" w:after="120" w:line="480" w:lineRule="exact"/>
        <w:jc w:val="center"/>
        <w:rPr>
          <w:rFonts w:hint="eastAsia"/>
          <w:b w:val="0"/>
          <w:sz w:val="24"/>
          <w:szCs w:val="24"/>
        </w:rPr>
      </w:pPr>
      <w:bookmarkStart w:id="42" w:name="_Toc137705867"/>
      <w:bookmarkStart w:id="43" w:name="_Toc13018"/>
      <w:bookmarkStart w:id="44" w:name="_Toc19068"/>
      <w:bookmarkStart w:id="45" w:name="_Toc9838"/>
      <w:bookmarkStart w:id="46" w:name="_Toc27088"/>
      <w:r>
        <w:rPr>
          <w:rFonts w:hint="eastAsia"/>
          <w:b w:val="0"/>
          <w:sz w:val="24"/>
          <w:szCs w:val="24"/>
        </w:rPr>
        <w:t>第二节  采购货物概况</w:t>
      </w:r>
      <w:bookmarkEnd w:id="42"/>
      <w:bookmarkEnd w:id="43"/>
      <w:bookmarkEnd w:id="44"/>
      <w:bookmarkEnd w:id="45"/>
      <w:bookmarkEnd w:id="46"/>
    </w:p>
    <w:p>
      <w:pPr>
        <w:spacing w:line="480" w:lineRule="exact"/>
        <w:ind w:firstLine="420" w:firstLineChars="200"/>
        <w:rPr>
          <w:rFonts w:hint="eastAsia" w:ascii="宋体" w:hAnsi="宋体"/>
        </w:rPr>
      </w:pPr>
      <w:r>
        <w:rPr>
          <w:rFonts w:hint="eastAsia" w:ascii="黑体" w:hAnsi="宋体" w:eastAsia="黑体"/>
        </w:rPr>
        <w:t>一、设备名称：</w:t>
      </w:r>
      <w:r>
        <w:rPr>
          <w:rFonts w:hint="eastAsia" w:ascii="黑体" w:hAnsi="宋体" w:eastAsia="黑体"/>
          <w:u w:val="single"/>
        </w:rPr>
        <w:t xml:space="preserve">  </w:t>
      </w:r>
      <w:r>
        <w:rPr>
          <w:rFonts w:hint="eastAsia" w:ascii="Times New Roman" w:hAnsi="Times New Roman" w:eastAsia="宋体" w:cs="Times New Roman"/>
          <w:u w:val="single"/>
          <w:lang w:val="en-US" w:eastAsia="zh-CN"/>
        </w:rPr>
        <w:t>缸盖气密性检测设备</w:t>
      </w:r>
      <w:r>
        <w:rPr>
          <w:rFonts w:hint="eastAsia"/>
          <w:u w:val="single"/>
        </w:rPr>
        <w:t xml:space="preserve"> </w:t>
      </w:r>
      <w:r>
        <w:rPr>
          <w:rFonts w:hint="eastAsia" w:ascii="宋体" w:hAnsi="宋体"/>
        </w:rPr>
        <w:t>（详见下表）</w:t>
      </w:r>
    </w:p>
    <w:p>
      <w:pPr>
        <w:spacing w:line="480" w:lineRule="exact"/>
        <w:ind w:firstLine="420" w:firstLineChars="200"/>
        <w:rPr>
          <w:rFonts w:hint="eastAsia" w:ascii="宋体" w:hAnsi="宋体"/>
        </w:rPr>
      </w:pPr>
      <w:r>
        <w:rPr>
          <w:rFonts w:hint="eastAsia" w:ascii="黑体" w:hAnsi="宋体" w:eastAsia="黑体"/>
        </w:rPr>
        <w:t>二、设备数量：</w:t>
      </w:r>
      <w:r>
        <w:rPr>
          <w:rFonts w:hint="eastAsia"/>
          <w:u w:val="single"/>
        </w:rPr>
        <w:t xml:space="preserve">  </w:t>
      </w:r>
      <w:r>
        <w:rPr>
          <w:rFonts w:hint="eastAsia"/>
          <w:u w:val="single"/>
          <w:lang w:val="en-US" w:eastAsia="zh-CN"/>
        </w:rPr>
        <w:t>1</w:t>
      </w:r>
      <w:r>
        <w:rPr>
          <w:rFonts w:hint="eastAsia"/>
          <w:u w:val="single"/>
        </w:rPr>
        <w:t xml:space="preserve">套     </w:t>
      </w:r>
      <w:r>
        <w:rPr>
          <w:rFonts w:hint="eastAsia"/>
          <w:u w:val="single"/>
          <w:lang w:val="en-US" w:eastAsia="zh-CN"/>
        </w:rPr>
        <w:t xml:space="preserve"> </w:t>
      </w:r>
      <w:r>
        <w:rPr>
          <w:rFonts w:hint="eastAsia"/>
          <w:u w:val="single"/>
        </w:rPr>
        <w:t xml:space="preserve">          </w:t>
      </w:r>
      <w:r>
        <w:rPr>
          <w:rFonts w:hint="eastAsia" w:ascii="宋体" w:hAnsi="宋体"/>
        </w:rPr>
        <w:t>（详见下表）</w:t>
      </w:r>
    </w:p>
    <w:p>
      <w:pPr>
        <w:spacing w:line="560" w:lineRule="exact"/>
        <w:ind w:firstLine="420" w:firstLineChars="200"/>
        <w:rPr>
          <w:rFonts w:hint="eastAsia" w:ascii="宋体" w:hAnsi="宋体"/>
        </w:rPr>
      </w:pPr>
      <w:r>
        <w:rPr>
          <w:rFonts w:hint="eastAsia" w:ascii="黑体" w:hAnsi="宋体" w:eastAsia="黑体"/>
        </w:rPr>
        <w:t>三、分投分中：不</w:t>
      </w:r>
      <w:r>
        <w:rPr>
          <w:rFonts w:hint="eastAsia" w:ascii="宋体" w:hAnsi="宋体"/>
        </w:rPr>
        <w:t>允许。</w:t>
      </w:r>
    </w:p>
    <w:p>
      <w:pPr>
        <w:widowControl/>
        <w:jc w:val="center"/>
        <w:rPr>
          <w:rFonts w:hint="eastAsia" w:ascii="宋体" w:hAnsi="宋体"/>
        </w:rPr>
      </w:pPr>
    </w:p>
    <w:p>
      <w:pPr>
        <w:widowControl/>
        <w:jc w:val="center"/>
        <w:rPr>
          <w:rFonts w:ascii="宋体" w:hAnsi="宋体"/>
        </w:rPr>
      </w:pPr>
      <w:r>
        <w:rPr>
          <w:rFonts w:hint="eastAsia" w:ascii="宋体" w:hAnsi="宋体"/>
        </w:rPr>
        <w:t>采购货物主要构成一览表</w:t>
      </w:r>
    </w:p>
    <w:tbl>
      <w:tblPr>
        <w:tblStyle w:val="36"/>
        <w:tblW w:w="7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061"/>
        <w:gridCol w:w="868"/>
        <w:gridCol w:w="1050"/>
        <w:gridCol w:w="1771"/>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50"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61"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设备名称</w:t>
            </w:r>
          </w:p>
        </w:tc>
        <w:tc>
          <w:tcPr>
            <w:tcW w:w="868"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050"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771"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安装地点/服务对象</w:t>
            </w:r>
          </w:p>
        </w:tc>
        <w:tc>
          <w:tcPr>
            <w:tcW w:w="1080"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供货方式</w:t>
            </w:r>
          </w:p>
        </w:tc>
        <w:tc>
          <w:tcPr>
            <w:tcW w:w="1080" w:type="dx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5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61"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缸盖气密性检测设备</w:t>
            </w:r>
          </w:p>
        </w:tc>
        <w:tc>
          <w:tcPr>
            <w:tcW w:w="86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5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7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济南发动机厂</w:t>
            </w:r>
          </w:p>
        </w:tc>
        <w:tc>
          <w:tcPr>
            <w:tcW w:w="108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交钥匙</w:t>
            </w:r>
          </w:p>
        </w:tc>
        <w:tc>
          <w:tcPr>
            <w:tcW w:w="108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bl>
    <w:p>
      <w:pPr>
        <w:spacing w:line="480" w:lineRule="exact"/>
        <w:ind w:firstLine="420" w:firstLineChars="200"/>
        <w:rPr>
          <w:sz w:val="21"/>
          <w:szCs w:val="21"/>
        </w:rPr>
      </w:pPr>
      <w:r>
        <w:rPr>
          <w:sz w:val="21"/>
          <w:szCs w:val="21"/>
        </w:rPr>
        <w:t>备注：</w:t>
      </w:r>
      <w:bookmarkStart w:id="47" w:name="_Toc137705868"/>
    </w:p>
    <w:p>
      <w:pPr>
        <w:spacing w:line="480" w:lineRule="exact"/>
        <w:ind w:firstLine="420" w:firstLineChars="200"/>
        <w:rPr>
          <w:sz w:val="21"/>
          <w:szCs w:val="21"/>
        </w:rPr>
      </w:pPr>
      <w:r>
        <w:rPr>
          <w:sz w:val="21"/>
          <w:szCs w:val="21"/>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pPr>
        <w:spacing w:line="480" w:lineRule="exact"/>
        <w:ind w:firstLine="420" w:firstLineChars="200"/>
        <w:rPr>
          <w:sz w:val="21"/>
          <w:szCs w:val="21"/>
        </w:rPr>
      </w:pPr>
      <w:r>
        <w:rPr>
          <w:sz w:val="21"/>
          <w:szCs w:val="21"/>
        </w:rPr>
        <w:t>②本表“供货方式”指：交钥匙方式——包括设计、制造、运输、</w:t>
      </w:r>
      <w:r>
        <w:rPr>
          <w:rFonts w:hint="eastAsia" w:ascii="宋体" w:hAnsi="宋体"/>
          <w:color w:val="000000"/>
          <w:sz w:val="21"/>
          <w:szCs w:val="21"/>
        </w:rPr>
        <w:t>定点卸货</w:t>
      </w:r>
      <w:r>
        <w:rPr>
          <w:rFonts w:hint="eastAsia" w:ascii="宋体" w:hAnsi="宋体"/>
          <w:color w:val="000000"/>
          <w:sz w:val="21"/>
          <w:szCs w:val="21"/>
          <w:lang w:eastAsia="zh-CN"/>
        </w:rPr>
        <w:t>、</w:t>
      </w:r>
      <w:r>
        <w:rPr>
          <w:sz w:val="21"/>
          <w:szCs w:val="21"/>
        </w:rPr>
        <w:t>安装、调试和验收直到交付使用以及培训等。</w:t>
      </w:r>
    </w:p>
    <w:p>
      <w:pPr>
        <w:spacing w:line="480" w:lineRule="exact"/>
        <w:rPr>
          <w:rFonts w:hint="eastAsia"/>
          <w:sz w:val="21"/>
          <w:szCs w:val="21"/>
        </w:rPr>
      </w:pPr>
    </w:p>
    <w:p>
      <w:pPr>
        <w:pStyle w:val="3"/>
        <w:spacing w:before="120" w:after="120"/>
        <w:jc w:val="center"/>
        <w:rPr>
          <w:rFonts w:hint="eastAsia" w:ascii="黑体" w:eastAsia="黑体"/>
          <w:sz w:val="24"/>
          <w:szCs w:val="24"/>
        </w:rPr>
      </w:pPr>
      <w:bookmarkStart w:id="48" w:name="_Toc17328"/>
      <w:bookmarkStart w:id="49" w:name="_Toc32262"/>
      <w:r>
        <w:rPr>
          <w:rFonts w:hint="eastAsia" w:ascii="黑体" w:eastAsia="黑体"/>
          <w:sz w:val="24"/>
          <w:szCs w:val="24"/>
        </w:rPr>
        <w:br w:type="page"/>
      </w:r>
      <w:r>
        <w:rPr>
          <w:rFonts w:hint="eastAsia" w:ascii="黑体" w:eastAsia="黑体"/>
          <w:sz w:val="24"/>
          <w:szCs w:val="24"/>
        </w:rPr>
        <w:t>第二章  技术要求</w:t>
      </w:r>
      <w:bookmarkEnd w:id="47"/>
      <w:bookmarkEnd w:id="48"/>
      <w:bookmarkEnd w:id="49"/>
    </w:p>
    <w:p>
      <w:pPr>
        <w:spacing w:line="480" w:lineRule="exact"/>
        <w:rPr>
          <w:rFonts w:hint="eastAsia" w:ascii="黑体" w:hAnsi="宋体" w:eastAsia="黑体" w:cs="Times New Roman"/>
          <w:b/>
          <w:bCs/>
          <w:sz w:val="28"/>
          <w:szCs w:val="28"/>
        </w:rPr>
      </w:pPr>
      <w:r>
        <w:rPr>
          <w:rFonts w:hint="eastAsia" w:ascii="黑体" w:hAnsi="宋体" w:eastAsia="黑体" w:cs="Times New Roman"/>
          <w:b/>
          <w:bCs/>
          <w:sz w:val="28"/>
          <w:szCs w:val="28"/>
        </w:rPr>
        <w:t>一、特别提示</w:t>
      </w:r>
    </w:p>
    <w:p>
      <w:pPr>
        <w:spacing w:line="480" w:lineRule="exact"/>
        <w:ind w:firstLine="420" w:firstLineChars="200"/>
        <w:rPr>
          <w:rFonts w:hint="eastAsia" w:ascii="宋体" w:hAnsi="宋体" w:eastAsia="宋体" w:cs="Times New Roman"/>
        </w:rPr>
      </w:pPr>
      <w:r>
        <w:rPr>
          <w:rFonts w:hint="eastAsia" w:ascii="宋体" w:hAnsi="宋体" w:eastAsia="宋体" w:cs="Times New Roman"/>
        </w:rPr>
        <w:t>1.本章技术要求，仅对功能、设计、结构、性能、安装和试验检验等方面，提出了最低和一般性的技术要求，并未对一切技术细节作出规定。</w:t>
      </w:r>
    </w:p>
    <w:p>
      <w:pPr>
        <w:spacing w:line="480" w:lineRule="exact"/>
        <w:ind w:firstLine="420" w:firstLineChars="200"/>
        <w:rPr>
          <w:rFonts w:hint="eastAsia" w:ascii="宋体" w:hAnsi="宋体" w:eastAsia="宋体" w:cs="Times New Roman"/>
        </w:rPr>
      </w:pPr>
      <w:r>
        <w:rPr>
          <w:rFonts w:hint="eastAsia" w:ascii="宋体" w:hAnsi="宋体" w:eastAsia="宋体" w:cs="Times New Roman"/>
        </w:rPr>
        <w:t>2.本技术要求所使用的标准、规范等，如与投标人所执行的标准、规范不一致时，应按高于本技术要求所列的标准、规范执行。</w:t>
      </w:r>
    </w:p>
    <w:p>
      <w:pPr>
        <w:spacing w:line="480" w:lineRule="exact"/>
        <w:ind w:firstLine="420" w:firstLineChars="200"/>
        <w:rPr>
          <w:rFonts w:hint="eastAsia" w:ascii="宋体" w:hAnsi="宋体" w:eastAsia="宋体" w:cs="Times New Roman"/>
        </w:rPr>
      </w:pPr>
      <w:r>
        <w:rPr>
          <w:rFonts w:hint="eastAsia" w:ascii="宋体" w:hAnsi="宋体" w:eastAsia="宋体" w:cs="Times New Roman"/>
        </w:rPr>
        <w:t>3.投标人认为所供货物必需由招标人配备、解决或提供的其它要求，如设备基础隔振和减振设施、软化水、洁净气源等，均应在投标文件“技术偏离”中予以充分说明。</w:t>
      </w:r>
    </w:p>
    <w:p>
      <w:pPr>
        <w:spacing w:line="480" w:lineRule="exact"/>
        <w:ind w:firstLine="420" w:firstLineChars="200"/>
        <w:rPr>
          <w:rFonts w:hint="eastAsia" w:ascii="宋体" w:hAnsi="宋体" w:eastAsia="宋体" w:cs="Times New Roman"/>
        </w:rPr>
      </w:pPr>
      <w:r>
        <w:rPr>
          <w:rFonts w:hint="eastAsia" w:ascii="宋体" w:hAnsi="宋体" w:eastAsia="宋体" w:cs="Times New Roman"/>
        </w:rPr>
        <w:t>4.投标人应根据招投标货物具体要求，提出对厂房、设备基础（或安装平台）、公用设施、消防、环保等超出招标文件、投标文件、答疑文件、技术交流文件、技术协议书和合同等规定的、有特殊需要的解释、说明和要求。</w:t>
      </w:r>
    </w:p>
    <w:p>
      <w:pPr>
        <w:spacing w:line="480" w:lineRule="exact"/>
        <w:ind w:firstLine="420" w:firstLineChars="200"/>
        <w:rPr>
          <w:rFonts w:hint="eastAsia" w:ascii="宋体" w:hAnsi="宋体" w:eastAsia="宋体" w:cs="Times New Roman"/>
        </w:rPr>
      </w:pPr>
      <w:r>
        <w:rPr>
          <w:rFonts w:hint="eastAsia" w:ascii="宋体" w:hAnsi="宋体" w:eastAsia="宋体" w:cs="Times New Roman"/>
        </w:rPr>
        <w:t>5.无论是否有技术偏离，投标人均应在投标文件“技术偏离”中明确作出有无说明。若有异议，不管是多么微小，投标人必须予以明确和详细的说明或澄清。</w:t>
      </w:r>
    </w:p>
    <w:p>
      <w:pPr>
        <w:spacing w:line="480" w:lineRule="exact"/>
        <w:ind w:firstLine="420" w:firstLineChars="200"/>
        <w:rPr>
          <w:rFonts w:hint="eastAsia" w:ascii="宋体" w:hAnsi="宋体" w:eastAsia="宋体" w:cs="Times New Roman"/>
        </w:rPr>
      </w:pPr>
      <w:r>
        <w:rPr>
          <w:rFonts w:hint="eastAsia" w:ascii="宋体" w:hAnsi="宋体" w:eastAsia="宋体" w:cs="Times New Roman"/>
        </w:rPr>
        <w:t>6.为避免投标人优势在招标评审时漏项，质保期超出本技术标书要求的，应当在投标文件“技术偏离”中特别注明。</w:t>
      </w:r>
    </w:p>
    <w:p>
      <w:pPr>
        <w:spacing w:line="480" w:lineRule="exact"/>
        <w:ind w:firstLine="420" w:firstLineChars="200"/>
        <w:rPr>
          <w:rFonts w:hint="eastAsia" w:ascii="宋体" w:hAnsi="宋体" w:eastAsia="宋体" w:cs="Times New Roman"/>
        </w:rPr>
      </w:pPr>
      <w:r>
        <w:rPr>
          <w:rFonts w:hint="eastAsia" w:ascii="宋体" w:hAnsi="宋体" w:eastAsia="宋体" w:cs="Times New Roman"/>
        </w:rPr>
        <w:t>7.投标文件中，针对“特别提示”条款所做的回应，将作为投标人能否中标的重要依据之一。</w:t>
      </w:r>
    </w:p>
    <w:p>
      <w:pPr>
        <w:spacing w:line="480" w:lineRule="exact"/>
        <w:rPr>
          <w:rFonts w:hint="eastAsia" w:ascii="黑体" w:hAnsi="宋体" w:eastAsia="黑体"/>
          <w:b/>
          <w:bCs/>
          <w:sz w:val="28"/>
          <w:szCs w:val="28"/>
        </w:rPr>
      </w:pPr>
      <w:r>
        <w:rPr>
          <w:rFonts w:hint="eastAsia" w:ascii="黑体" w:hAnsi="宋体" w:eastAsia="黑体"/>
          <w:b/>
          <w:bCs/>
          <w:sz w:val="28"/>
          <w:szCs w:val="28"/>
          <w:lang w:val="en-US" w:eastAsia="zh-CN"/>
        </w:rPr>
        <w:t>二</w:t>
      </w:r>
      <w:r>
        <w:rPr>
          <w:rFonts w:hint="eastAsia" w:ascii="黑体" w:hAnsi="宋体" w:eastAsia="黑体"/>
          <w:b/>
          <w:bCs/>
          <w:sz w:val="28"/>
          <w:szCs w:val="28"/>
        </w:rPr>
        <w:t>、基本要求</w:t>
      </w:r>
    </w:p>
    <w:p>
      <w:pPr>
        <w:spacing w:after="0" w:line="36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1.投标方负责本项目相关的备配件</w:t>
      </w:r>
      <w:r>
        <w:rPr>
          <w:rFonts w:hint="eastAsia" w:ascii="宋体" w:hAnsi="宋体" w:eastAsia="宋体" w:cs="宋体"/>
          <w:color w:val="auto"/>
          <w:sz w:val="24"/>
          <w:lang w:val="en-US" w:eastAsia="zh-CN"/>
        </w:rPr>
        <w:t>等的</w:t>
      </w:r>
      <w:r>
        <w:rPr>
          <w:rFonts w:hint="eastAsia" w:ascii="宋体" w:hAnsi="宋体" w:eastAsia="宋体" w:cs="宋体"/>
          <w:color w:val="auto"/>
          <w:sz w:val="24"/>
        </w:rPr>
        <w:t>运输、卸车，现场调试时的电</w:t>
      </w:r>
      <w:r>
        <w:rPr>
          <w:rFonts w:hint="eastAsia" w:ascii="宋体" w:hAnsi="宋体" w:eastAsia="宋体" w:cs="宋体"/>
          <w:color w:val="auto"/>
          <w:sz w:val="24"/>
          <w:lang w:eastAsia="zh-CN"/>
        </w:rPr>
        <w:t>、</w:t>
      </w:r>
      <w:r>
        <w:rPr>
          <w:rFonts w:hint="eastAsia" w:ascii="宋体" w:hAnsi="宋体" w:eastAsia="宋体" w:cs="宋体"/>
          <w:color w:val="auto"/>
          <w:sz w:val="24"/>
        </w:rPr>
        <w:t>气</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设备</w:t>
      </w:r>
      <w:r>
        <w:rPr>
          <w:rFonts w:hint="eastAsia" w:ascii="宋体" w:hAnsi="宋体" w:eastAsia="宋体" w:cs="宋体"/>
          <w:color w:val="auto"/>
          <w:sz w:val="24"/>
        </w:rPr>
        <w:t>的连接工作，招标方只负责提供接口。</w:t>
      </w:r>
    </w:p>
    <w:p>
      <w:pPr>
        <w:spacing w:after="0" w:line="36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2.投标方应自行设计设备，并负责相关备配件的运输、安装、调试等工作，不得将本项目转包给其他单位，并对该设备改造项目的质量负责。</w:t>
      </w:r>
    </w:p>
    <w:p>
      <w:pPr>
        <w:spacing w:after="0" w:line="36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3.投标方应注明主要零部件的型号、参数和生产厂家。</w:t>
      </w:r>
    </w:p>
    <w:p>
      <w:pPr>
        <w:spacing w:line="480" w:lineRule="exact"/>
        <w:ind w:firstLine="420" w:firstLineChars="200"/>
        <w:rPr>
          <w:rFonts w:hint="eastAsia" w:ascii="宋体" w:hAnsi="宋体"/>
        </w:rPr>
      </w:pPr>
      <w:r>
        <w:rPr>
          <w:rFonts w:hint="eastAsia" w:ascii="宋体" w:hAnsi="宋体"/>
          <w:lang w:val="en-US" w:eastAsia="zh-CN"/>
        </w:rPr>
        <w:t>4.</w:t>
      </w:r>
      <w:r>
        <w:rPr>
          <w:rFonts w:hint="eastAsia" w:ascii="宋体" w:hAnsi="宋体"/>
        </w:rPr>
        <w:t>投标方所供的设备，必须符合中国最新版的法律、法规和相关标准、规范的要求，符合项目所在地政府有关特殊要求。</w:t>
      </w:r>
    </w:p>
    <w:p>
      <w:pPr>
        <w:spacing w:line="480" w:lineRule="exact"/>
        <w:ind w:firstLine="420" w:firstLineChars="200"/>
        <w:rPr>
          <w:rFonts w:hint="eastAsia" w:ascii="宋体" w:hAnsi="宋体"/>
        </w:rPr>
      </w:pPr>
      <w:r>
        <w:rPr>
          <w:rFonts w:hint="eastAsia" w:ascii="宋体" w:hAnsi="宋体"/>
          <w:lang w:val="en-US" w:eastAsia="zh-CN"/>
        </w:rPr>
        <w:t>5.</w:t>
      </w:r>
      <w:r>
        <w:rPr>
          <w:rFonts w:hint="eastAsia" w:ascii="宋体" w:hAnsi="宋体"/>
        </w:rPr>
        <w:t>投标方所供设备涉及的专利权技术以及知识产权保护的其它技术等，应保证招标方不因此受到任何侵权指控以及实际损失。</w:t>
      </w:r>
    </w:p>
    <w:p>
      <w:pPr>
        <w:spacing w:line="480" w:lineRule="exact"/>
        <w:ind w:firstLine="420" w:firstLineChars="200"/>
        <w:rPr>
          <w:rFonts w:hint="eastAsia" w:ascii="宋体" w:hAnsi="宋体"/>
        </w:rPr>
      </w:pPr>
      <w:r>
        <w:rPr>
          <w:rFonts w:hint="eastAsia" w:ascii="宋体" w:hAnsi="宋体"/>
          <w:lang w:val="en-US" w:eastAsia="zh-CN"/>
        </w:rPr>
        <w:t>6.</w:t>
      </w:r>
      <w:r>
        <w:rPr>
          <w:rFonts w:hint="eastAsia" w:ascii="宋体" w:hAnsi="宋体"/>
        </w:rPr>
        <w:t>投标方应保证所供设备的先进性、可靠性、经济性和实用性，并为全新设备。</w:t>
      </w:r>
    </w:p>
    <w:p>
      <w:pPr>
        <w:spacing w:line="480" w:lineRule="exact"/>
        <w:ind w:firstLine="420" w:firstLineChars="200"/>
        <w:rPr>
          <w:rFonts w:hint="eastAsia" w:ascii="宋体" w:hAnsi="宋体"/>
          <w:color w:val="auto"/>
        </w:rPr>
      </w:pPr>
      <w:r>
        <w:rPr>
          <w:rFonts w:hint="eastAsia" w:ascii="宋体" w:hAnsi="宋体"/>
          <w:lang w:val="en-US" w:eastAsia="zh-CN"/>
        </w:rPr>
        <w:t>7.</w:t>
      </w:r>
      <w:r>
        <w:rPr>
          <w:rFonts w:hint="eastAsia" w:ascii="宋体" w:hAnsi="宋体"/>
        </w:rPr>
        <w:t>投标方应满足招标方提出的各项技术要求，必要时应当免费提供技术承诺或</w:t>
      </w:r>
      <w:r>
        <w:rPr>
          <w:rFonts w:hint="eastAsia" w:ascii="宋体" w:hAnsi="宋体"/>
          <w:color w:val="auto"/>
        </w:rPr>
        <w:t>担保。</w:t>
      </w:r>
    </w:p>
    <w:p>
      <w:pPr>
        <w:spacing w:after="0" w:line="360" w:lineRule="auto"/>
        <w:ind w:firstLine="480" w:firstLineChars="200"/>
        <w:jc w:val="both"/>
        <w:rPr>
          <w:rFonts w:hint="eastAsia" w:ascii="宋体" w:hAnsi="宋体" w:eastAsia="宋体" w:cs="宋体"/>
          <w:color w:val="auto"/>
          <w:sz w:val="24"/>
        </w:rPr>
      </w:pPr>
      <w:r>
        <w:rPr>
          <w:rFonts w:hint="eastAsia" w:ascii="宋体" w:hAnsi="宋体" w:eastAsia="宋体" w:cs="宋体"/>
          <w:color w:val="auto"/>
          <w:sz w:val="24"/>
        </w:rPr>
        <w:t>8.投标人应保证所供货物（或设备）为中国政府指定或规定的主管部门公布的非淘汰货物（或设备），并尽力提供中国政府指定或规定的主管部门认可的环保型和节能型货物（或设备）。</w:t>
      </w:r>
    </w:p>
    <w:p>
      <w:pPr>
        <w:spacing w:line="480" w:lineRule="exact"/>
        <w:ind w:firstLine="420" w:firstLineChars="200"/>
        <w:rPr>
          <w:rFonts w:hint="eastAsia" w:ascii="宋体" w:hAnsi="宋体"/>
        </w:rPr>
      </w:pPr>
      <w:r>
        <w:rPr>
          <w:rFonts w:hint="eastAsia" w:ascii="宋体" w:hAnsi="宋体"/>
          <w:lang w:val="en-US" w:eastAsia="zh-CN"/>
        </w:rPr>
        <w:t>9.</w:t>
      </w:r>
      <w:r>
        <w:rPr>
          <w:rFonts w:hint="eastAsia" w:ascii="宋体" w:hAnsi="宋体"/>
        </w:rPr>
        <w:t>投标方应保证所供设备的完整性和成套性，能保证设备的正常运行、使用。</w:t>
      </w:r>
    </w:p>
    <w:p>
      <w:pPr>
        <w:spacing w:line="480" w:lineRule="exact"/>
        <w:ind w:firstLine="420" w:firstLineChars="200"/>
        <w:rPr>
          <w:rFonts w:hint="eastAsia" w:ascii="宋体" w:hAnsi="宋体"/>
        </w:rPr>
      </w:pPr>
      <w:r>
        <w:rPr>
          <w:rFonts w:hint="eastAsia" w:ascii="宋体" w:hAnsi="宋体"/>
          <w:lang w:val="en-US" w:eastAsia="zh-CN"/>
        </w:rPr>
        <w:t>10.</w:t>
      </w:r>
      <w:r>
        <w:rPr>
          <w:rFonts w:hint="eastAsia" w:ascii="宋体" w:hAnsi="宋体"/>
        </w:rPr>
        <w:t>投标方应对招标方采购的设备所涉及的技术、产能等信息负有保密义务，招标方拥有追究投标方泄密责任的权利；招标方如有需要，投标方应无条件签署保密协议。</w:t>
      </w:r>
    </w:p>
    <w:p>
      <w:pPr>
        <w:spacing w:line="480" w:lineRule="exact"/>
        <w:rPr>
          <w:rFonts w:hint="eastAsia" w:ascii="黑体" w:hAnsi="宋体" w:eastAsia="黑体"/>
          <w:b/>
          <w:bCs/>
          <w:sz w:val="28"/>
          <w:szCs w:val="28"/>
        </w:rPr>
      </w:pPr>
      <w:r>
        <w:rPr>
          <w:rFonts w:hint="eastAsia" w:ascii="黑体" w:hAnsi="宋体" w:eastAsia="黑体"/>
          <w:b/>
          <w:bCs/>
          <w:sz w:val="28"/>
          <w:szCs w:val="28"/>
          <w:lang w:val="en-US" w:eastAsia="zh-CN"/>
        </w:rPr>
        <w:t>三</w:t>
      </w:r>
      <w:r>
        <w:rPr>
          <w:rFonts w:hint="eastAsia" w:ascii="黑体" w:hAnsi="宋体" w:eastAsia="黑体"/>
          <w:b/>
          <w:bCs/>
          <w:sz w:val="28"/>
          <w:szCs w:val="28"/>
        </w:rPr>
        <w:t>、执行标准</w:t>
      </w:r>
    </w:p>
    <w:p>
      <w:pPr>
        <w:spacing w:line="480" w:lineRule="exact"/>
        <w:ind w:firstLine="420" w:firstLineChars="200"/>
        <w:rPr>
          <w:rFonts w:hint="eastAsia" w:ascii="宋体" w:hAnsi="宋体"/>
        </w:rPr>
      </w:pPr>
      <w:r>
        <w:rPr>
          <w:rFonts w:hint="eastAsia" w:ascii="宋体" w:hAnsi="宋体"/>
        </w:rPr>
        <w:t>1、招标方此处所列标准仅为涉及的主要标准，而且不保证其为最新版执行标准；投标方应当在投标文件中认真予以填写、补充和修改完善。</w:t>
      </w:r>
    </w:p>
    <w:p>
      <w:pPr>
        <w:spacing w:line="480" w:lineRule="exact"/>
        <w:ind w:firstLine="420" w:firstLineChars="200"/>
        <w:rPr>
          <w:rFonts w:hint="eastAsia" w:ascii="宋体" w:hAnsi="宋体"/>
        </w:rPr>
      </w:pPr>
      <w:r>
        <w:rPr>
          <w:rFonts w:hint="eastAsia" w:ascii="宋体" w:hAnsi="宋体"/>
        </w:rPr>
        <w:t>2、投标方需要执行的标准，应当以所供设备通过招标方将来组织的最终验收之日开始执行的最新标准。</w:t>
      </w:r>
    </w:p>
    <w:p>
      <w:pPr>
        <w:spacing w:after="0" w:line="360" w:lineRule="auto"/>
        <w:ind w:firstLine="420" w:firstLineChars="200"/>
        <w:jc w:val="both"/>
        <w:rPr>
          <w:rFonts w:hint="eastAsia" w:ascii="宋体" w:hAnsi="宋体"/>
          <w:color w:val="auto"/>
        </w:rPr>
      </w:pPr>
      <w:r>
        <w:rPr>
          <w:rFonts w:hint="eastAsia" w:ascii="宋体" w:hAnsi="宋体"/>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w:t>
      </w:r>
      <w:r>
        <w:rPr>
          <w:rFonts w:hint="eastAsia" w:ascii="宋体" w:hAnsi="宋体"/>
          <w:color w:val="auto"/>
        </w:rPr>
        <w:t>标准执行。</w:t>
      </w:r>
    </w:p>
    <w:p>
      <w:pPr>
        <w:spacing w:after="0" w:line="360" w:lineRule="auto"/>
        <w:ind w:firstLine="420" w:firstLineChars="200"/>
        <w:jc w:val="both"/>
        <w:rPr>
          <w:rFonts w:hint="eastAsia" w:ascii="宋体" w:hAnsi="宋体" w:eastAsia="宋体" w:cs="宋体"/>
          <w:color w:val="auto"/>
          <w:sz w:val="24"/>
        </w:rPr>
      </w:pPr>
      <w:r>
        <w:rPr>
          <w:rFonts w:hint="eastAsia" w:ascii="宋体" w:hAnsi="宋体" w:eastAsia="宋体"/>
          <w:color w:val="auto"/>
          <w:lang w:val="en-US" w:eastAsia="zh-CN"/>
        </w:rPr>
        <w:t>4、</w:t>
      </w:r>
      <w:r>
        <w:rPr>
          <w:rFonts w:hint="eastAsia" w:ascii="宋体" w:hAnsi="宋体" w:eastAsia="宋体" w:cs="宋体"/>
          <w:color w:val="auto"/>
          <w:sz w:val="24"/>
          <w:lang w:eastAsia="zh-CN"/>
        </w:rPr>
        <w:t>投标方</w:t>
      </w:r>
      <w:r>
        <w:rPr>
          <w:rFonts w:hint="eastAsia" w:ascii="宋体" w:hAnsi="宋体" w:eastAsia="宋体" w:cs="宋体"/>
          <w:color w:val="auto"/>
          <w:sz w:val="24"/>
        </w:rPr>
        <w:t>应在合同签署之前，将所涉及的企业标准提供给</w:t>
      </w:r>
      <w:r>
        <w:rPr>
          <w:rFonts w:hint="eastAsia" w:ascii="宋体" w:hAnsi="宋体" w:eastAsia="宋体" w:cs="宋体"/>
          <w:color w:val="auto"/>
          <w:sz w:val="24"/>
          <w:lang w:eastAsia="zh-CN"/>
        </w:rPr>
        <w:t>招标方</w:t>
      </w:r>
      <w:r>
        <w:rPr>
          <w:rFonts w:hint="eastAsia" w:ascii="宋体" w:hAnsi="宋体" w:eastAsia="宋体" w:cs="宋体"/>
          <w:color w:val="auto"/>
          <w:sz w:val="24"/>
        </w:rPr>
        <w:t>确认。</w:t>
      </w:r>
    </w:p>
    <w:p>
      <w:pPr>
        <w:spacing w:line="360" w:lineRule="exact"/>
        <w:ind w:firstLine="420" w:firstLineChars="200"/>
        <w:rPr>
          <w:rFonts w:hint="eastAsia" w:ascii="宋体" w:hAnsi="宋体"/>
          <w:color w:val="auto"/>
        </w:rPr>
      </w:pPr>
      <w:r>
        <w:rPr>
          <w:rFonts w:hint="eastAsia" w:ascii="宋体" w:hAnsi="宋体"/>
          <w:color w:val="auto"/>
          <w:lang w:val="en-US" w:eastAsia="zh-CN"/>
        </w:rPr>
        <w:t>5</w:t>
      </w:r>
      <w:r>
        <w:rPr>
          <w:rFonts w:hint="eastAsia" w:ascii="宋体" w:hAnsi="宋体"/>
          <w:color w:val="auto"/>
        </w:rPr>
        <w:t>、如果有采用国际标准的货物，其执行标准由投标方提供、招标方确认。</w:t>
      </w:r>
    </w:p>
    <w:p>
      <w:pPr>
        <w:spacing w:line="360" w:lineRule="auto"/>
        <w:ind w:firstLine="420" w:firstLineChars="200"/>
        <w:rPr>
          <w:rFonts w:ascii="宋体"/>
          <w:color w:val="auto"/>
        </w:rPr>
      </w:pPr>
      <w:r>
        <w:rPr>
          <w:rFonts w:hint="eastAsia" w:ascii="宋体"/>
          <w:color w:val="auto"/>
          <w:lang w:val="en-US" w:eastAsia="zh-CN"/>
        </w:rPr>
        <w:t>6</w:t>
      </w:r>
      <w:r>
        <w:rPr>
          <w:rFonts w:hint="eastAsia" w:ascii="宋体"/>
          <w:color w:val="auto"/>
        </w:rPr>
        <w:t>、涉及的主要标准：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5311"/>
        <w:gridCol w:w="2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noWrap w:val="0"/>
            <w:vAlign w:val="center"/>
          </w:tcPr>
          <w:p>
            <w:pPr>
              <w:spacing w:before="100" w:beforeAutospacing="1" w:after="100" w:afterAutospacing="1" w:line="360" w:lineRule="auto"/>
              <w:ind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5311" w:type="dxa"/>
            <w:noWrap w:val="0"/>
            <w:vAlign w:val="center"/>
          </w:tcPr>
          <w:p>
            <w:pPr>
              <w:spacing w:before="100" w:beforeAutospacing="1" w:after="100" w:afterAutospacing="1" w:line="360" w:lineRule="auto"/>
              <w:ind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标准名称</w:t>
            </w:r>
          </w:p>
        </w:tc>
        <w:tc>
          <w:tcPr>
            <w:tcW w:w="2203" w:type="dxa"/>
            <w:noWrap w:val="0"/>
            <w:vAlign w:val="center"/>
          </w:tcPr>
          <w:p>
            <w:pPr>
              <w:spacing w:before="100" w:beforeAutospacing="1" w:after="100" w:afterAutospacing="1" w:line="360" w:lineRule="auto"/>
              <w:ind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5311" w:type="dxa"/>
            <w:noWrap w:val="0"/>
            <w:vAlign w:val="center"/>
          </w:tcPr>
          <w:p>
            <w:pPr>
              <w:spacing w:before="100" w:beforeAutospacing="1" w:after="100" w:afterAutospacing="1" w:line="360" w:lineRule="auto"/>
              <w:ind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《机械安全防护装置固定式和活动式防护装置设计与制造一般要求》</w:t>
            </w:r>
          </w:p>
        </w:tc>
        <w:tc>
          <w:tcPr>
            <w:tcW w:w="2203"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GB/T8196-2017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5311" w:type="dxa"/>
            <w:noWrap w:val="0"/>
            <w:vAlign w:val="center"/>
          </w:tcPr>
          <w:p>
            <w:pPr>
              <w:spacing w:before="100" w:beforeAutospacing="1" w:after="100" w:afterAutospacing="1" w:line="360" w:lineRule="auto"/>
              <w:ind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《机械电气安全机械电气设备第1部分:通用技术条件》</w:t>
            </w:r>
          </w:p>
        </w:tc>
        <w:tc>
          <w:tcPr>
            <w:tcW w:w="2203"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 5226.1-2019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5311" w:type="dxa"/>
            <w:noWrap w:val="0"/>
            <w:vAlign w:val="center"/>
          </w:tcPr>
          <w:p>
            <w:pPr>
              <w:spacing w:before="100" w:beforeAutospacing="1" w:after="100" w:afterAutospacing="1" w:line="360" w:lineRule="auto"/>
              <w:ind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《电气设备安全设计导则》</w:t>
            </w:r>
          </w:p>
        </w:tc>
        <w:tc>
          <w:tcPr>
            <w:tcW w:w="2203"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 25295-2010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5311" w:type="dxa"/>
            <w:noWrap w:val="0"/>
            <w:vAlign w:val="center"/>
          </w:tcPr>
          <w:p>
            <w:pPr>
              <w:spacing w:before="100" w:beforeAutospacing="1" w:after="100" w:afterAutospacing="1" w:line="360" w:lineRule="auto"/>
              <w:ind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fldChar w:fldCharType="begin"/>
            </w:r>
            <w:r>
              <w:rPr>
                <w:rFonts w:hint="eastAsia" w:ascii="宋体" w:hAnsi="宋体" w:eastAsia="宋体" w:cs="宋体"/>
                <w:color w:val="auto"/>
                <w:sz w:val="21"/>
                <w:szCs w:val="21"/>
                <w:lang w:val="en-US" w:eastAsia="zh-CN"/>
              </w:rPr>
              <w:instrText xml:space="preserve"> HYPERLINK "http://product.dangdang.com/1100236607.html" \t "_blank" </w:instrText>
            </w:r>
            <w:r>
              <w:rPr>
                <w:rFonts w:hint="eastAsia" w:ascii="宋体" w:hAnsi="宋体" w:eastAsia="宋体" w:cs="宋体"/>
                <w:color w:val="auto"/>
                <w:sz w:val="21"/>
                <w:szCs w:val="21"/>
                <w:lang w:val="en-US" w:eastAsia="zh-CN"/>
              </w:rPr>
              <w:fldChar w:fldCharType="separate"/>
            </w:r>
            <w:r>
              <w:rPr>
                <w:rFonts w:hint="eastAsia" w:ascii="宋体" w:hAnsi="宋体" w:eastAsia="宋体" w:cs="宋体"/>
                <w:color w:val="auto"/>
                <w:sz w:val="21"/>
                <w:szCs w:val="21"/>
                <w:lang w:val="en-US" w:eastAsia="zh-CN"/>
              </w:rPr>
              <w:t>机器的安全性 防止人体上下肢触及危险区的安全距离</w:t>
            </w:r>
            <w:r>
              <w:rPr>
                <w:rFonts w:hint="eastAsia" w:ascii="宋体" w:hAnsi="宋体" w:eastAsia="宋体" w:cs="宋体"/>
                <w:color w:val="auto"/>
                <w:sz w:val="21"/>
                <w:szCs w:val="21"/>
                <w:lang w:val="en-US" w:eastAsia="zh-CN"/>
              </w:rPr>
              <w:fldChar w:fldCharType="end"/>
            </w:r>
          </w:p>
        </w:tc>
        <w:tc>
          <w:tcPr>
            <w:tcW w:w="2203"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GB/T23821-2022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5311" w:type="dxa"/>
            <w:noWrap w:val="0"/>
            <w:vAlign w:val="center"/>
          </w:tcPr>
          <w:p>
            <w:pPr>
              <w:spacing w:before="100" w:beforeAutospacing="1" w:after="100" w:afterAutospacing="1" w:line="360" w:lineRule="auto"/>
              <w:ind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中国重型汽车有限公司企业标准《设备设施颜色标识》</w:t>
            </w:r>
          </w:p>
        </w:tc>
        <w:tc>
          <w:tcPr>
            <w:tcW w:w="2203"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Q/ZZ30070-2020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5311" w:type="dxa"/>
            <w:noWrap w:val="0"/>
            <w:vAlign w:val="center"/>
          </w:tcPr>
          <w:p>
            <w:pPr>
              <w:spacing w:before="100" w:beforeAutospacing="1" w:after="100" w:afterAutospacing="1" w:line="360" w:lineRule="auto"/>
              <w:ind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《机械电气安全机械电气设备第34部分：机床技术条件》</w:t>
            </w:r>
          </w:p>
        </w:tc>
        <w:tc>
          <w:tcPr>
            <w:tcW w:w="2203"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GB/T5226.34-2020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5311" w:type="dxa"/>
            <w:noWrap w:val="0"/>
            <w:vAlign w:val="center"/>
          </w:tcPr>
          <w:p>
            <w:pPr>
              <w:spacing w:before="100" w:beforeAutospacing="1" w:after="100" w:afterAutospacing="1" w:line="360" w:lineRule="auto"/>
              <w:ind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《电线电缆识别标志方法》</w:t>
            </w:r>
          </w:p>
        </w:tc>
        <w:tc>
          <w:tcPr>
            <w:tcW w:w="2203"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GB/T6995-2008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5311" w:type="dxa"/>
            <w:noWrap w:val="0"/>
            <w:vAlign w:val="center"/>
          </w:tcPr>
          <w:p>
            <w:pPr>
              <w:spacing w:before="100" w:beforeAutospacing="1" w:after="100" w:afterAutospacing="1" w:line="360" w:lineRule="auto"/>
              <w:ind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《工业场所物理因素测量第8部分：噪声》</w:t>
            </w:r>
          </w:p>
        </w:tc>
        <w:tc>
          <w:tcPr>
            <w:tcW w:w="2203"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GB/T189.8-2007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2"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p>
        </w:tc>
        <w:tc>
          <w:tcPr>
            <w:tcW w:w="5311" w:type="dxa"/>
            <w:noWrap w:val="0"/>
            <w:vAlign w:val="center"/>
          </w:tcPr>
          <w:p>
            <w:pPr>
              <w:spacing w:before="100" w:beforeAutospacing="1" w:after="100" w:afterAutospacing="1" w:line="360" w:lineRule="auto"/>
              <w:ind w:right="-105" w:rightChars="-5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《工业企业噪声控制设计规范》</w:t>
            </w:r>
          </w:p>
        </w:tc>
        <w:tc>
          <w:tcPr>
            <w:tcW w:w="2203" w:type="dxa"/>
            <w:noWrap w:val="0"/>
            <w:vAlign w:val="center"/>
          </w:tcPr>
          <w:p>
            <w:pPr>
              <w:spacing w:before="100" w:beforeAutospacing="1" w:after="100" w:afterAutospacing="1" w:line="360" w:lineRule="auto"/>
              <w:ind w:right="-105" w:rightChars="-50"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GB/T50087-2013</w:t>
            </w:r>
          </w:p>
        </w:tc>
      </w:tr>
    </w:tbl>
    <w:p>
      <w:pPr>
        <w:spacing w:line="360" w:lineRule="exact"/>
        <w:rPr>
          <w:rFonts w:hint="eastAsia" w:ascii="宋体" w:hAnsi="宋体"/>
        </w:rPr>
      </w:pPr>
    </w:p>
    <w:p>
      <w:pPr>
        <w:numPr>
          <w:ilvl w:val="0"/>
          <w:numId w:val="0"/>
        </w:numPr>
        <w:spacing w:line="480" w:lineRule="exact"/>
        <w:rPr>
          <w:rFonts w:hint="eastAsia" w:ascii="黑体" w:hAnsi="黑体" w:eastAsia="黑体" w:cs="Times New Roman"/>
          <w:b/>
          <w:bCs/>
          <w:kern w:val="2"/>
          <w:sz w:val="28"/>
          <w:szCs w:val="28"/>
          <w:lang w:val="en-US" w:eastAsia="zh-CN" w:bidi="ar-SA"/>
        </w:rPr>
      </w:pPr>
      <w:r>
        <w:rPr>
          <w:rFonts w:hint="eastAsia" w:ascii="黑体" w:hAnsi="黑体" w:eastAsia="黑体" w:cs="Times New Roman"/>
          <w:b/>
          <w:bCs/>
          <w:kern w:val="2"/>
          <w:sz w:val="28"/>
          <w:szCs w:val="28"/>
          <w:lang w:val="en-US" w:eastAsia="zh-CN" w:bidi="ar-SA"/>
        </w:rPr>
        <w:t>四、技术规范和技术要求</w:t>
      </w:r>
    </w:p>
    <w:p>
      <w:pPr>
        <w:spacing w:after="0" w:line="360" w:lineRule="auto"/>
        <w:ind w:firstLine="482" w:firstLineChars="200"/>
        <w:jc w:val="both"/>
        <w:rPr>
          <w:rFonts w:hint="eastAsia" w:ascii="宋体" w:hAnsi="宋体" w:eastAsia="宋体" w:cs="宋体"/>
          <w:b/>
          <w:bCs/>
          <w:color w:val="auto"/>
          <w:sz w:val="24"/>
          <w:lang w:val="en-US" w:eastAsia="zh-CN"/>
        </w:rPr>
      </w:pPr>
      <w:r>
        <w:rPr>
          <w:rFonts w:hint="eastAsia" w:ascii="宋体" w:hAnsi="宋体" w:eastAsia="宋体" w:cs="宋体"/>
          <w:b/>
          <w:bCs/>
          <w:color w:val="auto"/>
          <w:sz w:val="24"/>
        </w:rPr>
        <w:t>1</w:t>
      </w:r>
      <w:r>
        <w:rPr>
          <w:rFonts w:hint="eastAsia" w:ascii="宋体" w:hAnsi="宋体" w:eastAsia="宋体" w:cs="宋体"/>
          <w:b/>
          <w:bCs/>
          <w:color w:val="auto"/>
          <w:sz w:val="24"/>
          <w:lang w:eastAsia="zh-CN"/>
        </w:rPr>
        <w:t>、</w:t>
      </w:r>
      <w:r>
        <w:rPr>
          <w:rFonts w:hint="eastAsia" w:ascii="宋体" w:hAnsi="宋体" w:eastAsia="宋体" w:cs="宋体"/>
          <w:b/>
          <w:bCs/>
          <w:color w:val="auto"/>
          <w:sz w:val="24"/>
          <w:lang w:val="en-US" w:eastAsia="zh-CN"/>
        </w:rPr>
        <w:t>项目概况和现状：</w:t>
      </w:r>
    </w:p>
    <w:p>
      <w:pPr>
        <w:spacing w:after="0" w:line="360" w:lineRule="auto"/>
        <w:ind w:firstLine="480" w:firstLineChars="200"/>
        <w:jc w:val="both"/>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该项目主要为在缸盖A线新增1台气密性检测设备，采用弗洛里希四通道试漏仪，测试缸盖水道、压力油道和进气道的气密性。设备布置在原气密性检测设备西侧空地，通过新增转台、滚道和滑轨（或其他搬运方法）的形式，与现有生产线实现自动化对接。</w:t>
      </w:r>
    </w:p>
    <w:p>
      <w:pPr>
        <w:spacing w:after="0" w:line="360" w:lineRule="auto"/>
        <w:ind w:firstLine="480" w:firstLineChars="200"/>
        <w:jc w:val="both"/>
        <w:rPr>
          <w:rFonts w:hint="eastAsia"/>
          <w:color w:val="auto"/>
          <w:lang w:val="en-US" w:eastAsia="zh-CN"/>
        </w:rPr>
      </w:pPr>
      <w:r>
        <w:rPr>
          <w:rFonts w:hint="eastAsia" w:ascii="宋体" w:hAnsi="宋体" w:eastAsia="宋体" w:cs="宋体"/>
          <w:b w:val="0"/>
          <w:bCs w:val="0"/>
          <w:color w:val="auto"/>
          <w:sz w:val="24"/>
          <w:lang w:val="en-US" w:eastAsia="zh-CN"/>
        </w:rPr>
        <w:t>因该产品火花塞衬套安装后，缸盖厚度增加至少5mm，需更换大行程油缸或改造现有气密性检测设备的通过性。</w:t>
      </w:r>
    </w:p>
    <w:p>
      <w:pPr>
        <w:spacing w:after="0" w:line="360" w:lineRule="auto"/>
        <w:ind w:firstLine="482" w:firstLineChars="200"/>
        <w:jc w:val="both"/>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1.1产品相关信息</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名称：</w:t>
      </w:r>
      <w:r>
        <w:rPr>
          <w:rFonts w:hint="eastAsia" w:ascii="宋体" w:hAnsi="宋体" w:eastAsia="宋体" w:cs="宋体"/>
          <w:b w:val="0"/>
          <w:bCs w:val="0"/>
          <w:color w:val="auto"/>
          <w:sz w:val="24"/>
          <w:szCs w:val="24"/>
          <w:lang w:val="en-US" w:eastAsia="zh-CN"/>
        </w:rPr>
        <w:t>MT13H TD机型</w:t>
      </w:r>
      <w:r>
        <w:rPr>
          <w:rFonts w:hint="eastAsia" w:ascii="宋体" w:hAnsi="宋体" w:eastAsia="宋体" w:cs="宋体"/>
          <w:b w:val="0"/>
          <w:bCs w:val="0"/>
          <w:color w:val="auto"/>
          <w:sz w:val="24"/>
          <w:szCs w:val="24"/>
        </w:rPr>
        <w:t>缸盖</w:t>
      </w:r>
      <w:r>
        <w:rPr>
          <w:rFonts w:hint="eastAsia" w:ascii="宋体" w:hAnsi="宋体" w:eastAsia="宋体" w:cs="宋体"/>
          <w:b w:val="0"/>
          <w:bCs w:val="0"/>
          <w:color w:val="auto"/>
          <w:sz w:val="24"/>
          <w:szCs w:val="24"/>
          <w:lang w:eastAsia="zh-CN"/>
        </w:rPr>
        <w:t>。</w:t>
      </w:r>
    </w:p>
    <w:p>
      <w:pPr>
        <w:rPr>
          <w:rFonts w:hint="default"/>
          <w:lang w:val="en-US" w:eastAsia="zh-CN"/>
        </w:rPr>
      </w:pPr>
      <w:r>
        <w:rPr>
          <w:rFonts w:hint="eastAsia" w:ascii="宋体" w:hAnsi="宋体" w:eastAsia="宋体" w:cs="宋体"/>
          <w:b w:val="0"/>
          <w:bCs w:val="0"/>
          <w:color w:val="auto"/>
          <w:sz w:val="24"/>
          <w:szCs w:val="24"/>
          <w:lang w:val="en-US" w:eastAsia="zh-CN"/>
        </w:rPr>
        <w:t xml:space="preserve">    图号：AZ100004000026、AZ100004000027、AZ100004000050、AZ100004000051。</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材质：</w:t>
      </w:r>
      <w:r>
        <w:rPr>
          <w:rFonts w:hint="eastAsia" w:ascii="宋体" w:hAnsi="宋体" w:eastAsia="宋体" w:cs="宋体"/>
          <w:b w:val="0"/>
          <w:bCs w:val="0"/>
          <w:color w:val="auto"/>
          <w:sz w:val="24"/>
          <w:szCs w:val="24"/>
          <w:lang w:val="en-US" w:eastAsia="zh-CN"/>
        </w:rPr>
        <w:t>RT</w:t>
      </w:r>
      <w:r>
        <w:rPr>
          <w:rFonts w:hint="eastAsia" w:ascii="宋体" w:hAnsi="宋体" w:eastAsia="宋体" w:cs="宋体"/>
          <w:b w:val="0"/>
          <w:bCs w:val="0"/>
          <w:color w:val="auto"/>
          <w:sz w:val="24"/>
          <w:szCs w:val="24"/>
        </w:rPr>
        <w:t>450</w:t>
      </w:r>
      <w:r>
        <w:rPr>
          <w:rFonts w:hint="eastAsia" w:ascii="宋体" w:hAnsi="宋体" w:eastAsia="宋体" w:cs="宋体"/>
          <w:b w:val="0"/>
          <w:bCs w:val="0"/>
          <w:color w:val="auto"/>
          <w:sz w:val="24"/>
          <w:szCs w:val="24"/>
          <w:lang w:eastAsia="zh-CN"/>
        </w:rPr>
        <w:t>。</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尺寸：1031 mm×340mm×157.5mm</w:t>
      </w:r>
      <w:r>
        <w:rPr>
          <w:rFonts w:hint="eastAsia" w:ascii="宋体" w:hAnsi="宋体" w:eastAsia="宋体" w:cs="宋体"/>
          <w:b w:val="0"/>
          <w:bCs w:val="0"/>
          <w:color w:val="auto"/>
          <w:sz w:val="24"/>
          <w:szCs w:val="24"/>
          <w:lang w:eastAsia="zh-CN"/>
        </w:rPr>
        <w:t>。</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重量：约1</w:t>
      </w:r>
      <w:r>
        <w:rPr>
          <w:rFonts w:hint="eastAsia" w:ascii="宋体" w:hAnsi="宋体" w:eastAsia="宋体" w:cs="宋体"/>
          <w:b w:val="0"/>
          <w:bCs w:val="0"/>
          <w:color w:val="auto"/>
          <w:sz w:val="24"/>
          <w:szCs w:val="24"/>
          <w:lang w:val="en-US" w:eastAsia="zh-CN"/>
        </w:rPr>
        <w:t>50</w:t>
      </w:r>
      <w:r>
        <w:rPr>
          <w:rFonts w:hint="eastAsia" w:ascii="宋体" w:hAnsi="宋体" w:eastAsia="宋体" w:cs="宋体"/>
          <w:b w:val="0"/>
          <w:bCs w:val="0"/>
          <w:color w:val="auto"/>
          <w:sz w:val="24"/>
          <w:szCs w:val="24"/>
        </w:rPr>
        <w:t>kg</w:t>
      </w:r>
      <w:r>
        <w:rPr>
          <w:rFonts w:hint="eastAsia" w:ascii="宋体" w:hAnsi="宋体" w:eastAsia="宋体" w:cs="宋体"/>
          <w:b w:val="0"/>
          <w:bCs w:val="0"/>
          <w:color w:val="auto"/>
          <w:sz w:val="24"/>
          <w:szCs w:val="24"/>
          <w:lang w:eastAsia="zh-CN"/>
        </w:rPr>
        <w:t>。</w:t>
      </w:r>
    </w:p>
    <w:p>
      <w:pPr>
        <w:pStyle w:val="7"/>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均为四气门六缸均匀分布。</w:t>
      </w:r>
    </w:p>
    <w:p>
      <w:pPr>
        <w:spacing w:after="0" w:line="360" w:lineRule="auto"/>
        <w:ind w:firstLine="482" w:firstLineChars="200"/>
        <w:jc w:val="both"/>
        <w:rPr>
          <w:rFonts w:hint="default"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1.2生产节拍</w:t>
      </w:r>
    </w:p>
    <w:p>
      <w:pPr>
        <w:spacing w:after="0" w:line="360" w:lineRule="auto"/>
        <w:ind w:left="660" w:leftChars="200" w:hanging="240" w:hangingChars="100"/>
        <w:jc w:val="both"/>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生产节拍＜4分钟/件（包含上下料、工装夹紧松开、输送滚道等所有辅助时间）。</w:t>
      </w:r>
    </w:p>
    <w:p>
      <w:pPr>
        <w:spacing w:after="0" w:line="360" w:lineRule="auto"/>
        <w:ind w:left="661" w:leftChars="200" w:hanging="241" w:hangingChars="100"/>
        <w:jc w:val="both"/>
        <w:rPr>
          <w:rFonts w:hint="default"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1.3工件输入、输出状态</w:t>
      </w:r>
    </w:p>
    <w:p>
      <w:pPr>
        <w:numPr>
          <w:ilvl w:val="0"/>
          <w:numId w:val="0"/>
        </w:numPr>
        <w:tabs>
          <w:tab w:val="left" w:pos="0"/>
        </w:tabs>
        <w:spacing w:line="360" w:lineRule="auto"/>
        <w:ind w:firstLine="420" w:firstLineChars="200"/>
        <w:rPr>
          <w:rFonts w:hint="eastAsia" w:ascii="宋体" w:hAnsi="宋体"/>
          <w:color w:val="000000"/>
        </w:rPr>
      </w:pPr>
      <w:r>
        <w:rPr>
          <w:rFonts w:hint="eastAsia" w:ascii="宋体" w:hAnsi="宋体"/>
          <w:color w:val="000000"/>
        </w:rPr>
        <w:t>输入：</w:t>
      </w:r>
      <w:r>
        <w:rPr>
          <w:rFonts w:hint="eastAsia" w:ascii="宋体" w:hAnsi="宋体"/>
          <w:color w:val="000000"/>
          <w:lang w:val="en-US" w:eastAsia="zh-CN"/>
        </w:rPr>
        <w:t>3000</w:t>
      </w:r>
      <w:r>
        <w:rPr>
          <w:rFonts w:hint="eastAsia" w:ascii="宋体" w:hAnsi="宋体"/>
          <w:color w:val="000000"/>
        </w:rPr>
        <w:t>面朝下，6000面朝前，辊道输送</w:t>
      </w:r>
      <w:r>
        <w:rPr>
          <w:rFonts w:hint="eastAsia" w:ascii="宋体" w:hAnsi="宋体"/>
          <w:color w:val="000000"/>
          <w:lang w:eastAsia="zh-CN"/>
        </w:rPr>
        <w:t>面</w:t>
      </w:r>
      <w:r>
        <w:rPr>
          <w:rFonts w:hint="eastAsia" w:ascii="宋体" w:hAnsi="宋体"/>
          <w:color w:val="000000"/>
        </w:rPr>
        <w:t>高度850mm。</w:t>
      </w:r>
    </w:p>
    <w:p>
      <w:pPr>
        <w:numPr>
          <w:ilvl w:val="0"/>
          <w:numId w:val="0"/>
        </w:numPr>
        <w:tabs>
          <w:tab w:val="left" w:pos="0"/>
        </w:tabs>
        <w:spacing w:line="360" w:lineRule="auto"/>
        <w:ind w:firstLine="420" w:firstLineChars="200"/>
        <w:rPr>
          <w:rFonts w:hint="eastAsia" w:ascii="宋体" w:hAnsi="宋体"/>
          <w:color w:val="000000"/>
        </w:rPr>
      </w:pPr>
      <w:r>
        <w:rPr>
          <w:rFonts w:hint="eastAsia" w:ascii="宋体" w:hAnsi="宋体"/>
          <w:color w:val="000000"/>
        </w:rPr>
        <w:t>输</w:t>
      </w:r>
      <w:r>
        <w:rPr>
          <w:rFonts w:hint="eastAsia" w:ascii="宋体" w:hAnsi="宋体"/>
          <w:color w:val="000000"/>
          <w:lang w:eastAsia="zh-CN"/>
        </w:rPr>
        <w:t>出</w:t>
      </w:r>
      <w:r>
        <w:rPr>
          <w:rFonts w:hint="eastAsia" w:ascii="宋体" w:hAnsi="宋体"/>
          <w:color w:val="000000"/>
        </w:rPr>
        <w:t>：</w:t>
      </w:r>
      <w:r>
        <w:rPr>
          <w:rFonts w:hint="eastAsia" w:ascii="宋体" w:hAnsi="宋体"/>
          <w:color w:val="000000"/>
          <w:lang w:val="en-US" w:eastAsia="zh-CN"/>
        </w:rPr>
        <w:t>3000</w:t>
      </w:r>
      <w:r>
        <w:rPr>
          <w:rFonts w:hint="eastAsia" w:ascii="宋体" w:hAnsi="宋体"/>
          <w:color w:val="000000"/>
        </w:rPr>
        <w:t>面朝下，6000面朝前，辊道输送</w:t>
      </w:r>
      <w:r>
        <w:rPr>
          <w:rFonts w:hint="eastAsia" w:ascii="宋体" w:hAnsi="宋体"/>
          <w:color w:val="000000"/>
          <w:lang w:eastAsia="zh-CN"/>
        </w:rPr>
        <w:t>面</w:t>
      </w:r>
      <w:r>
        <w:rPr>
          <w:rFonts w:hint="eastAsia" w:ascii="宋体" w:hAnsi="宋体"/>
          <w:color w:val="000000"/>
        </w:rPr>
        <w:t>高度850mm。</w:t>
      </w:r>
    </w:p>
    <w:p>
      <w:pPr>
        <w:spacing w:after="0" w:line="360" w:lineRule="auto"/>
        <w:ind w:left="661" w:leftChars="200" w:hanging="241" w:hangingChars="100"/>
        <w:jc w:val="both"/>
        <w:rPr>
          <w:rFonts w:hint="default" w:ascii="宋体" w:hAnsi="Times New Roman" w:eastAsia="宋体" w:cs="Times New Roman"/>
          <w:sz w:val="24"/>
          <w:lang w:val="en-US" w:eastAsia="zh-CN"/>
        </w:rPr>
      </w:pPr>
      <w:r>
        <w:rPr>
          <w:rFonts w:hint="eastAsia" w:ascii="宋体" w:hAnsi="宋体" w:eastAsia="宋体" w:cs="宋体"/>
          <w:b/>
          <w:bCs/>
          <w:color w:val="auto"/>
          <w:sz w:val="24"/>
          <w:lang w:val="en-US" w:eastAsia="zh-CN"/>
        </w:rPr>
        <w:t>1.4设备布局</w:t>
      </w:r>
    </w:p>
    <w:p>
      <w:pPr>
        <w:spacing w:after="0" w:line="360" w:lineRule="auto"/>
        <w:ind w:firstLine="480" w:firstLineChars="200"/>
        <w:jc w:val="both"/>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设备布置在原气密性检测设备西侧空地，通过新增转台、滚道和滑轨（或其他搬运方法）的形式，与现有生产线实现自动化对接。</w:t>
      </w:r>
    </w:p>
    <w:p>
      <w:pPr>
        <w:spacing w:after="0" w:line="360" w:lineRule="auto"/>
        <w:ind w:firstLine="480" w:firstLineChars="200"/>
        <w:jc w:val="both"/>
        <w:rPr>
          <w:rFonts w:hint="eastAsia" w:ascii="宋体" w:hAnsi="宋体" w:eastAsia="宋体" w:cs="宋体"/>
          <w:b w:val="0"/>
          <w:bCs w:val="0"/>
          <w:color w:val="auto"/>
          <w:sz w:val="24"/>
          <w:lang w:val="en-US" w:eastAsia="zh-CN"/>
        </w:rPr>
      </w:pPr>
    </w:p>
    <w:p>
      <w:pPr>
        <w:spacing w:after="0" w:line="360" w:lineRule="auto"/>
        <w:ind w:firstLine="480" w:firstLineChars="200"/>
        <w:jc w:val="both"/>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工艺布局：</w:t>
      </w:r>
    </w:p>
    <w:p>
      <w:pPr>
        <w:spacing w:after="0" w:line="360" w:lineRule="auto"/>
        <w:ind w:firstLine="480" w:firstLineChars="200"/>
        <w:jc w:val="both"/>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安装完火花塞衬套→转台→滚道→滑轨→进入气密性检测设备→通过原设备→下线检测</w:t>
      </w:r>
    </w:p>
    <w:p>
      <w:pPr>
        <w:spacing w:after="0" w:line="360" w:lineRule="auto"/>
        <w:jc w:val="center"/>
        <w:rPr>
          <w:rFonts w:hint="eastAsia" w:ascii="宋体" w:hAnsi="宋体" w:eastAsia="宋体" w:cs="宋体"/>
          <w:b/>
          <w:bCs/>
          <w:sz w:val="24"/>
          <w:lang w:val="en-US" w:eastAsia="zh-CN"/>
        </w:rPr>
      </w:pPr>
      <w:r>
        <w:drawing>
          <wp:inline distT="0" distB="0" distL="114300" distR="114300">
            <wp:extent cx="5505450" cy="2305050"/>
            <wp:effectExtent l="0" t="0" r="6350" b="635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42"/>
                    <a:stretch>
                      <a:fillRect/>
                    </a:stretch>
                  </pic:blipFill>
                  <pic:spPr>
                    <a:xfrm>
                      <a:off x="0" y="0"/>
                      <a:ext cx="5505450" cy="2305050"/>
                    </a:xfrm>
                    <a:prstGeom prst="rect">
                      <a:avLst/>
                    </a:prstGeom>
                    <a:noFill/>
                    <a:ln>
                      <a:noFill/>
                    </a:ln>
                  </pic:spPr>
                </pic:pic>
              </a:graphicData>
            </a:graphic>
          </wp:inline>
        </w:drawing>
      </w:r>
    </w:p>
    <w:p>
      <w:pPr>
        <w:spacing w:after="0" w:line="360" w:lineRule="auto"/>
        <w:ind w:firstLine="482" w:firstLineChars="200"/>
        <w:jc w:val="both"/>
        <w:rPr>
          <w:rFonts w:hint="eastAsia" w:ascii="宋体" w:hAnsi="宋体" w:eastAsia="宋体" w:cs="宋体"/>
          <w:b/>
          <w:bCs/>
          <w:sz w:val="24"/>
          <w:lang w:val="en-US" w:eastAsia="zh-CN"/>
        </w:rPr>
      </w:pPr>
      <w:r>
        <w:rPr>
          <w:rFonts w:hint="eastAsia" w:ascii="宋体" w:hAnsi="宋体" w:eastAsia="宋体" w:cs="宋体"/>
          <w:b/>
          <w:bCs/>
          <w:sz w:val="24"/>
          <w:lang w:val="en-US" w:eastAsia="zh-CN"/>
        </w:rPr>
        <w:t>2</w:t>
      </w:r>
      <w:r>
        <w:rPr>
          <w:rFonts w:hint="eastAsia" w:ascii="宋体" w:hAnsi="宋体" w:eastAsia="宋体" w:cs="宋体"/>
          <w:b/>
          <w:bCs/>
          <w:sz w:val="24"/>
        </w:rPr>
        <w:t>、</w:t>
      </w:r>
      <w:r>
        <w:rPr>
          <w:rFonts w:hint="eastAsia" w:ascii="宋体" w:hAnsi="宋体" w:eastAsia="宋体" w:cs="宋体"/>
          <w:b/>
          <w:bCs/>
          <w:sz w:val="24"/>
          <w:lang w:val="en-US" w:eastAsia="zh-CN"/>
        </w:rPr>
        <w:t>详细技术要求</w:t>
      </w:r>
    </w:p>
    <w:p>
      <w:pPr>
        <w:pStyle w:val="126"/>
        <w:numPr>
          <w:ilvl w:val="0"/>
          <w:numId w:val="0"/>
        </w:numPr>
        <w:autoSpaceDE w:val="0"/>
        <w:autoSpaceDN w:val="0"/>
        <w:adjustRightInd w:val="0"/>
        <w:spacing w:line="440" w:lineRule="exact"/>
        <w:ind w:firstLine="480" w:firstLineChars="200"/>
        <w:jc w:val="left"/>
        <w:outlineLvl w:val="1"/>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投标方负责新增设备同原生产线连接、安装，涉及的搬迁（包括设备就位位置现有设备的搬迁）、改造及增加的硬件均由投标方负责。 新增设备涉及的水、电、气等均有由投标方负责。</w:t>
      </w:r>
    </w:p>
    <w:p>
      <w:pPr>
        <w:pStyle w:val="126"/>
        <w:numPr>
          <w:ilvl w:val="0"/>
          <w:numId w:val="0"/>
        </w:numPr>
        <w:autoSpaceDE w:val="0"/>
        <w:autoSpaceDN w:val="0"/>
        <w:adjustRightInd w:val="0"/>
        <w:spacing w:line="440" w:lineRule="exact"/>
        <w:ind w:firstLine="480" w:firstLineChars="200"/>
        <w:jc w:val="left"/>
        <w:outlineLvl w:val="1"/>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投标方负责对</w:t>
      </w:r>
      <w:r>
        <w:rPr>
          <w:rFonts w:hint="eastAsia" w:ascii="宋体" w:hAnsi="宋体" w:eastAsia="宋体" w:cs="宋体"/>
          <w:b w:val="0"/>
          <w:bCs w:val="0"/>
          <w:color w:val="auto"/>
          <w:sz w:val="24"/>
          <w:lang w:val="en-US" w:eastAsia="zh-CN"/>
        </w:rPr>
        <w:t>现有气密性检测设备更换大行程油缸或改造其具备通过性</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投标方负责完成本项目设备与生产现场MES系统、轨道对接（包括与MES厂家的对接及所有涉及的软硬件均由投标方负责）。</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投标方负责各设备在现有布局中详细布局，按招标方要求预留接口。</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投标方设计或预验收所需调试样件，由招标方提供，所产生的运输费用由投标方负责。</w:t>
      </w:r>
    </w:p>
    <w:p>
      <w:pPr>
        <w:pStyle w:val="18"/>
        <w:spacing w:line="360" w:lineRule="auto"/>
        <w:ind w:firstLine="480" w:firstLineChars="200"/>
        <w:outlineLvl w:val="0"/>
        <w:rPr>
          <w:rFonts w:hint="default" w:hAnsi="宋体" w:cs="宋体"/>
          <w:b/>
          <w:bCs/>
          <w:sz w:val="24"/>
          <w:szCs w:val="24"/>
          <w:lang w:val="en-US" w:eastAsia="zh-CN"/>
        </w:rPr>
      </w:pPr>
      <w:r>
        <w:rPr>
          <w:rFonts w:hint="eastAsia" w:hAnsi="宋体" w:cs="宋体"/>
          <w:b/>
          <w:bCs/>
          <w:sz w:val="24"/>
          <w:szCs w:val="24"/>
          <w:lang w:val="en-US" w:eastAsia="zh-CN"/>
        </w:rPr>
        <w:t>2.1检测内容</w:t>
      </w:r>
    </w:p>
    <w:p>
      <w:pPr>
        <w:numPr>
          <w:ilvl w:val="0"/>
          <w:numId w:val="0"/>
        </w:numPr>
        <w:spacing w:line="360" w:lineRule="auto"/>
        <w:ind w:left="482" w:leftChars="0"/>
        <w:rPr>
          <w:rFonts w:hint="eastAsia" w:ascii="宋体" w:hAnsi="宋体"/>
          <w:color w:val="000000"/>
        </w:rPr>
      </w:pPr>
      <w:r>
        <w:rPr>
          <w:rFonts w:hint="eastAsia" w:ascii="宋体" w:hAnsi="宋体"/>
          <w:color w:val="000000"/>
          <w:lang w:val="en-US" w:eastAsia="zh-CN"/>
        </w:rPr>
        <w:t>2.1.1</w:t>
      </w:r>
      <w:r>
        <w:rPr>
          <w:rFonts w:hint="eastAsia" w:ascii="宋体" w:hAnsi="宋体"/>
          <w:color w:val="000000"/>
        </w:rPr>
        <w:t>气密性检测部位的压力及泄漏率指标如下：</w:t>
      </w:r>
    </w:p>
    <w:tbl>
      <w:tblPr>
        <w:tblStyle w:val="36"/>
        <w:tblW w:w="45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2204"/>
        <w:gridCol w:w="2723"/>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16"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检测位置</w:t>
            </w:r>
          </w:p>
        </w:tc>
        <w:tc>
          <w:tcPr>
            <w:tcW w:w="1316"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检测压力（bar）</w:t>
            </w:r>
          </w:p>
        </w:tc>
        <w:tc>
          <w:tcPr>
            <w:tcW w:w="1626"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极限泄漏率（cm³/min）</w:t>
            </w:r>
          </w:p>
        </w:tc>
        <w:tc>
          <w:tcPr>
            <w:tcW w:w="1140"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工件体积（dm³）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16"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水道</w:t>
            </w:r>
          </w:p>
        </w:tc>
        <w:tc>
          <w:tcPr>
            <w:tcW w:w="1316"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.5</w:t>
            </w:r>
          </w:p>
        </w:tc>
        <w:tc>
          <w:tcPr>
            <w:tcW w:w="1626"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6.0</w:t>
            </w:r>
          </w:p>
        </w:tc>
        <w:tc>
          <w:tcPr>
            <w:tcW w:w="1140"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16"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进气道</w:t>
            </w:r>
          </w:p>
        </w:tc>
        <w:tc>
          <w:tcPr>
            <w:tcW w:w="1316"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1626"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10.0</w:t>
            </w:r>
          </w:p>
        </w:tc>
        <w:tc>
          <w:tcPr>
            <w:tcW w:w="1140"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16"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机</w:t>
            </w:r>
            <w:r>
              <w:rPr>
                <w:rFonts w:hint="eastAsia" w:ascii="宋体" w:hAnsi="宋体" w:eastAsia="宋体" w:cs="宋体"/>
                <w:color w:val="auto"/>
                <w:sz w:val="24"/>
                <w:szCs w:val="24"/>
              </w:rPr>
              <w:t>油道</w:t>
            </w:r>
          </w:p>
        </w:tc>
        <w:tc>
          <w:tcPr>
            <w:tcW w:w="1316"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4.0</w:t>
            </w:r>
          </w:p>
        </w:tc>
        <w:tc>
          <w:tcPr>
            <w:tcW w:w="1626"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4.0</w:t>
            </w:r>
          </w:p>
        </w:tc>
        <w:tc>
          <w:tcPr>
            <w:tcW w:w="1140"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～0.21</w:t>
            </w:r>
          </w:p>
        </w:tc>
      </w:tr>
    </w:tbl>
    <w:p>
      <w:pPr>
        <w:numPr>
          <w:ilvl w:val="0"/>
          <w:numId w:val="0"/>
        </w:numPr>
        <w:spacing w:line="360" w:lineRule="auto"/>
        <w:ind w:left="482" w:leftChars="0"/>
        <w:rPr>
          <w:rFonts w:hint="eastAsia" w:ascii="宋体" w:hAnsi="宋体" w:eastAsia="宋体"/>
          <w:color w:val="000000"/>
          <w:lang w:val="en-US" w:eastAsia="zh-CN"/>
        </w:rPr>
      </w:pPr>
      <w:r>
        <w:rPr>
          <w:rFonts w:hint="eastAsia" w:ascii="宋体" w:hAnsi="宋体"/>
          <w:color w:val="000000"/>
          <w:sz w:val="21"/>
          <w:szCs w:val="21"/>
          <w:lang w:val="en-US" w:eastAsia="zh-CN"/>
        </w:rPr>
        <w:t>备注：缸盖水道检测压力按满足6bar压力进行设计。</w:t>
      </w:r>
    </w:p>
    <w:p>
      <w:pPr>
        <w:numPr>
          <w:ilvl w:val="0"/>
          <w:numId w:val="0"/>
        </w:numPr>
        <w:spacing w:line="360" w:lineRule="auto"/>
        <w:ind w:left="482" w:leftChars="0"/>
        <w:rPr>
          <w:rFonts w:hint="eastAsia" w:ascii="宋体" w:hAnsi="宋体"/>
          <w:color w:val="000000"/>
          <w:lang w:val="en-US" w:eastAsia="zh-CN"/>
        </w:rPr>
      </w:pPr>
    </w:p>
    <w:p>
      <w:pPr>
        <w:numPr>
          <w:ilvl w:val="0"/>
          <w:numId w:val="0"/>
        </w:numPr>
        <w:spacing w:line="360" w:lineRule="auto"/>
        <w:ind w:left="482" w:leftChars="0"/>
        <w:rPr>
          <w:rFonts w:hint="eastAsia" w:ascii="宋体" w:hAnsi="宋体"/>
          <w:color w:val="000000"/>
          <w:lang w:val="en-US" w:eastAsia="zh-CN"/>
        </w:rPr>
      </w:pPr>
    </w:p>
    <w:p>
      <w:pPr>
        <w:numPr>
          <w:ilvl w:val="0"/>
          <w:numId w:val="0"/>
        </w:numPr>
        <w:spacing w:line="360" w:lineRule="auto"/>
        <w:ind w:left="482" w:leftChars="0"/>
        <w:rPr>
          <w:rFonts w:hint="eastAsia" w:ascii="宋体" w:hAnsi="宋体" w:eastAsia="宋体"/>
          <w:color w:val="000000"/>
          <w:lang w:eastAsia="zh-CN"/>
        </w:rPr>
      </w:pPr>
      <w:r>
        <w:rPr>
          <w:rFonts w:hint="eastAsia" w:ascii="宋体" w:hAnsi="宋体"/>
          <w:color w:val="000000"/>
          <w:lang w:val="en-US" w:eastAsia="zh-CN"/>
        </w:rPr>
        <w:t>2.1.2</w:t>
      </w:r>
      <w:r>
        <w:rPr>
          <w:rFonts w:hint="eastAsia" w:ascii="宋体" w:hAnsi="宋体"/>
          <w:color w:val="000000"/>
        </w:rPr>
        <w:t>测试时间及顺序满足下表要求</w:t>
      </w:r>
      <w:r>
        <w:rPr>
          <w:rFonts w:hint="eastAsia" w:ascii="宋体" w:hAnsi="宋体"/>
          <w:color w:val="000000"/>
          <w:lang w:eastAsia="zh-CN"/>
        </w:rPr>
        <w:t>：</w:t>
      </w:r>
    </w:p>
    <w:tbl>
      <w:tblPr>
        <w:tblStyle w:val="36"/>
        <w:tblW w:w="34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3"/>
        <w:gridCol w:w="1978"/>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933"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顺序/阶段</w:t>
            </w:r>
          </w:p>
        </w:tc>
        <w:tc>
          <w:tcPr>
            <w:tcW w:w="1546"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充气（s）</w:t>
            </w:r>
          </w:p>
        </w:tc>
        <w:tc>
          <w:tcPr>
            <w:tcW w:w="1519"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测量（s）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33"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水道</w:t>
            </w:r>
          </w:p>
        </w:tc>
        <w:tc>
          <w:tcPr>
            <w:tcW w:w="1546" w:type="pct"/>
            <w:noWrap w:val="0"/>
            <w:vAlign w:val="center"/>
          </w:tcPr>
          <w:p>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60</w:t>
            </w:r>
          </w:p>
        </w:tc>
        <w:tc>
          <w:tcPr>
            <w:tcW w:w="1519" w:type="pct"/>
            <w:noWrap w:val="0"/>
            <w:vAlign w:val="center"/>
          </w:tcPr>
          <w:p>
            <w:pPr>
              <w:spacing w:line="36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33"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进气道</w:t>
            </w:r>
          </w:p>
        </w:tc>
        <w:tc>
          <w:tcPr>
            <w:tcW w:w="1546" w:type="pct"/>
            <w:noWrap w:val="0"/>
            <w:vAlign w:val="center"/>
          </w:tcPr>
          <w:p>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60</w:t>
            </w:r>
          </w:p>
        </w:tc>
        <w:tc>
          <w:tcPr>
            <w:tcW w:w="1519" w:type="pct"/>
            <w:noWrap w:val="0"/>
            <w:vAlign w:val="center"/>
          </w:tcPr>
          <w:p>
            <w:pPr>
              <w:spacing w:line="36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933" w:type="pct"/>
            <w:noWrap w:val="0"/>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机</w:t>
            </w:r>
            <w:r>
              <w:rPr>
                <w:rFonts w:hint="eastAsia" w:ascii="宋体" w:hAnsi="宋体" w:eastAsia="宋体" w:cs="宋体"/>
                <w:color w:val="auto"/>
                <w:sz w:val="24"/>
                <w:szCs w:val="24"/>
              </w:rPr>
              <w:t>油道</w:t>
            </w:r>
          </w:p>
        </w:tc>
        <w:tc>
          <w:tcPr>
            <w:tcW w:w="1546" w:type="pct"/>
            <w:noWrap w:val="0"/>
            <w:vAlign w:val="center"/>
          </w:tcPr>
          <w:p>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w:t>
            </w:r>
          </w:p>
        </w:tc>
        <w:tc>
          <w:tcPr>
            <w:tcW w:w="1519" w:type="pct"/>
            <w:noWrap w:val="0"/>
            <w:vAlign w:val="center"/>
          </w:tcPr>
          <w:p>
            <w:pPr>
              <w:spacing w:line="36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r>
    </w:tbl>
    <w:p>
      <w:pPr>
        <w:pStyle w:val="18"/>
        <w:spacing w:line="360" w:lineRule="auto"/>
        <w:ind w:firstLine="480" w:firstLineChars="200"/>
        <w:outlineLvl w:val="0"/>
        <w:rPr>
          <w:rFonts w:hint="eastAsia" w:ascii="宋体" w:hAnsi="宋体"/>
          <w:color w:val="000000"/>
          <w:lang w:val="en-US" w:eastAsia="zh-CN"/>
        </w:rPr>
      </w:pPr>
      <w:r>
        <w:rPr>
          <w:rFonts w:hint="eastAsia" w:hAnsi="宋体" w:cs="宋体"/>
          <w:b/>
          <w:bCs/>
          <w:sz w:val="24"/>
          <w:szCs w:val="24"/>
          <w:lang w:val="en-US" w:eastAsia="zh-CN"/>
        </w:rPr>
        <w:t>2.2检测内容</w:t>
      </w:r>
    </w:p>
    <w:p>
      <w:pPr>
        <w:numPr>
          <w:ilvl w:val="0"/>
          <w:numId w:val="0"/>
        </w:numPr>
        <w:spacing w:line="360" w:lineRule="auto"/>
        <w:ind w:firstLine="420" w:firstLineChars="200"/>
        <w:rPr>
          <w:rFonts w:hint="eastAsia" w:ascii="宋体" w:hAnsi="宋体"/>
          <w:color w:val="000000"/>
        </w:rPr>
      </w:pPr>
      <w:r>
        <w:rPr>
          <w:rFonts w:hint="eastAsia" w:ascii="宋体" w:hAnsi="宋体"/>
          <w:color w:val="000000"/>
          <w:lang w:val="en-US" w:eastAsia="zh-CN"/>
        </w:rPr>
        <w:t>2.2.1</w:t>
      </w:r>
      <w:r>
        <w:rPr>
          <w:rFonts w:hint="eastAsia" w:ascii="宋体" w:hAnsi="宋体"/>
          <w:color w:val="000000"/>
        </w:rPr>
        <w:t>设备需实现</w:t>
      </w:r>
      <w:r>
        <w:rPr>
          <w:rFonts w:hint="eastAsia" w:ascii="宋体" w:hAnsi="宋体"/>
          <w:color w:val="000000"/>
          <w:lang w:val="en-US" w:eastAsia="zh-CN"/>
        </w:rPr>
        <w:t>MT13H TD机型</w:t>
      </w:r>
      <w:r>
        <w:rPr>
          <w:rFonts w:hint="eastAsia" w:ascii="宋体" w:hAnsi="宋体"/>
          <w:color w:val="000000"/>
        </w:rPr>
        <w:t>缸盖的</w:t>
      </w:r>
      <w:r>
        <w:rPr>
          <w:rFonts w:hint="eastAsia" w:ascii="宋体" w:hAnsi="宋体"/>
          <w:color w:val="000000"/>
          <w:lang w:val="en-US" w:eastAsia="zh-CN"/>
        </w:rPr>
        <w:t>气密性检测</w:t>
      </w:r>
      <w:r>
        <w:rPr>
          <w:rFonts w:hint="eastAsia" w:ascii="宋体" w:hAnsi="宋体"/>
          <w:color w:val="000000"/>
        </w:rPr>
        <w:t>，</w:t>
      </w:r>
      <w:r>
        <w:rPr>
          <w:rFonts w:hint="eastAsia" w:ascii="宋体" w:hAnsi="宋体"/>
          <w:color w:val="000000"/>
          <w:lang w:val="en-US" w:eastAsia="zh-CN"/>
        </w:rPr>
        <w:t>具体</w:t>
      </w:r>
      <w:r>
        <w:rPr>
          <w:rFonts w:hint="eastAsia" w:ascii="宋体" w:hAnsi="宋体"/>
          <w:color w:val="000000"/>
        </w:rPr>
        <w:t>封堵位置见附件</w:t>
      </w:r>
      <w:r>
        <w:rPr>
          <w:rFonts w:hint="eastAsia" w:ascii="宋体" w:hAnsi="宋体"/>
          <w:color w:val="000000"/>
          <w:lang w:val="en-US" w:eastAsia="zh-CN"/>
        </w:rPr>
        <w:t>2</w:t>
      </w:r>
      <w:r>
        <w:rPr>
          <w:rFonts w:hint="eastAsia" w:ascii="宋体" w:hAnsi="宋体"/>
          <w:color w:val="000000"/>
        </w:rPr>
        <w:t>。</w:t>
      </w:r>
    </w:p>
    <w:p>
      <w:pPr>
        <w:numPr>
          <w:ilvl w:val="0"/>
          <w:numId w:val="0"/>
        </w:numPr>
        <w:spacing w:line="360" w:lineRule="auto"/>
        <w:ind w:firstLine="420" w:firstLineChars="200"/>
        <w:rPr>
          <w:rFonts w:hint="default" w:ascii="宋体" w:hAnsi="宋体" w:eastAsia="宋体"/>
          <w:color w:val="000000"/>
          <w:lang w:val="en-US" w:eastAsia="zh-CN"/>
        </w:rPr>
      </w:pPr>
      <w:r>
        <w:rPr>
          <w:rFonts w:hint="eastAsia" w:ascii="宋体" w:hAnsi="宋体"/>
          <w:color w:val="000000"/>
          <w:lang w:val="en-US" w:eastAsia="zh-CN"/>
        </w:rPr>
        <w:t>2.2.2</w:t>
      </w:r>
      <w:r>
        <w:rPr>
          <w:rFonts w:hint="eastAsia" w:ascii="宋体" w:hAnsi="宋体"/>
          <w:color w:val="000000"/>
        </w:rPr>
        <w:t>具有工件类型判别功能，设备作为</w:t>
      </w:r>
      <w:r>
        <w:rPr>
          <w:rFonts w:hint="eastAsia" w:ascii="宋体" w:hAnsi="宋体"/>
          <w:color w:val="000000"/>
          <w:lang w:val="en-US" w:eastAsia="zh-CN"/>
        </w:rPr>
        <w:t>滚</w:t>
      </w:r>
      <w:r>
        <w:rPr>
          <w:rFonts w:hint="eastAsia" w:ascii="宋体" w:hAnsi="宋体"/>
          <w:color w:val="000000"/>
        </w:rPr>
        <w:t>道允许</w:t>
      </w:r>
      <w:r>
        <w:rPr>
          <w:rFonts w:hint="eastAsia" w:ascii="宋体" w:hAnsi="宋体"/>
          <w:color w:val="000000"/>
          <w:lang w:eastAsia="zh-CN"/>
        </w:rPr>
        <w:t>不需检测的</w:t>
      </w:r>
      <w:r>
        <w:rPr>
          <w:rFonts w:hint="eastAsia" w:ascii="宋体" w:hAnsi="宋体"/>
          <w:color w:val="000000"/>
        </w:rPr>
        <w:t>工件通行。</w:t>
      </w:r>
      <w:r>
        <w:rPr>
          <w:rFonts w:hint="eastAsia" w:ascii="宋体" w:hAnsi="宋体"/>
          <w:color w:val="000000"/>
          <w:lang w:val="en-US" w:eastAsia="zh-CN"/>
        </w:rPr>
        <w:t>设备内部使用电机滚道，不采用液压马达滚道，满足现场节能需求。</w:t>
      </w:r>
    </w:p>
    <w:p>
      <w:pPr>
        <w:numPr>
          <w:ilvl w:val="0"/>
          <w:numId w:val="0"/>
        </w:numPr>
        <w:spacing w:line="360" w:lineRule="auto"/>
        <w:ind w:firstLine="420" w:firstLineChars="200"/>
        <w:rPr>
          <w:rFonts w:hint="eastAsia" w:ascii="宋体" w:hAnsi="宋体"/>
          <w:color w:val="000000"/>
        </w:rPr>
      </w:pPr>
      <w:r>
        <w:rPr>
          <w:rFonts w:hint="eastAsia" w:ascii="宋体" w:hAnsi="宋体"/>
          <w:color w:val="000000"/>
          <w:lang w:val="en-US" w:eastAsia="zh-CN"/>
        </w:rPr>
        <w:t>2.2.3</w:t>
      </w:r>
      <w:r>
        <w:rPr>
          <w:rFonts w:hint="eastAsia" w:ascii="宋体" w:hAnsi="宋体"/>
          <w:color w:val="000000"/>
        </w:rPr>
        <w:t>设备要求为全自动气密性检测设备，包括并不限于工件自动输送、自动密封、自动检测、合格/不合格自动判定报警、不合格件自动剔除。</w:t>
      </w:r>
    </w:p>
    <w:p>
      <w:pPr>
        <w:numPr>
          <w:ilvl w:val="0"/>
          <w:numId w:val="0"/>
        </w:numPr>
        <w:spacing w:line="360" w:lineRule="auto"/>
        <w:ind w:firstLine="420" w:firstLineChars="200"/>
        <w:rPr>
          <w:rFonts w:hint="eastAsia" w:ascii="宋体" w:hAnsi="宋体"/>
          <w:color w:val="000000"/>
        </w:rPr>
      </w:pPr>
      <w:r>
        <w:rPr>
          <w:rFonts w:hint="eastAsia" w:ascii="宋体" w:hAnsi="宋体"/>
          <w:color w:val="000000"/>
          <w:lang w:val="en-US" w:eastAsia="zh-CN"/>
        </w:rPr>
        <w:t>2.2.4</w:t>
      </w:r>
      <w:r>
        <w:rPr>
          <w:rFonts w:hint="eastAsia" w:ascii="宋体" w:hAnsi="宋体"/>
          <w:color w:val="000000"/>
        </w:rPr>
        <w:t>设备采用质量流量法检测，使用JW-FROEHLICH气密性检测仪（MFL 400或高于该型号）</w:t>
      </w:r>
      <w:r>
        <w:rPr>
          <w:rFonts w:hint="eastAsia" w:ascii="宋体" w:hAnsi="宋体"/>
          <w:color w:val="000000"/>
          <w:lang w:val="en-US" w:eastAsia="zh-CN"/>
        </w:rPr>
        <w:t>或其他同等水平的</w:t>
      </w:r>
      <w:r>
        <w:rPr>
          <w:rFonts w:hint="eastAsia" w:ascii="宋体" w:hAnsi="宋体"/>
          <w:color w:val="000000"/>
        </w:rPr>
        <w:t>气密性检测仪。所有部位必须独立进行气密性检测，并检查各道之间的贯通性。</w:t>
      </w:r>
    </w:p>
    <w:p>
      <w:pPr>
        <w:numPr>
          <w:ilvl w:val="0"/>
          <w:numId w:val="0"/>
        </w:numPr>
        <w:spacing w:line="360" w:lineRule="auto"/>
        <w:ind w:firstLine="420" w:firstLineChars="200"/>
        <w:rPr>
          <w:rFonts w:ascii="宋体" w:hAnsi="宋体"/>
          <w:color w:val="000000"/>
        </w:rPr>
      </w:pPr>
      <w:r>
        <w:rPr>
          <w:rFonts w:hint="eastAsia" w:ascii="宋体" w:hAnsi="宋体"/>
          <w:color w:val="000000"/>
          <w:lang w:val="en-US" w:eastAsia="zh-CN"/>
        </w:rPr>
        <w:t>2.2.5</w:t>
      </w:r>
      <w:r>
        <w:rPr>
          <w:rFonts w:hint="eastAsia" w:ascii="宋体" w:hAnsi="宋体"/>
          <w:color w:val="000000"/>
        </w:rPr>
        <w:t>具有气密性检测仪是否泄漏的自检功能，具有温度补偿功能, 具有气压低自动检测报警功能。</w:t>
      </w:r>
    </w:p>
    <w:p>
      <w:pPr>
        <w:numPr>
          <w:ilvl w:val="0"/>
          <w:numId w:val="0"/>
        </w:numPr>
        <w:spacing w:line="360" w:lineRule="auto"/>
        <w:ind w:firstLine="420" w:firstLineChars="200"/>
        <w:rPr>
          <w:rFonts w:ascii="宋体" w:hAnsi="宋体"/>
          <w:color w:val="000000"/>
        </w:rPr>
      </w:pPr>
      <w:r>
        <w:rPr>
          <w:rFonts w:hint="eastAsia" w:ascii="宋体" w:hAnsi="宋体"/>
          <w:color w:val="000000"/>
          <w:lang w:val="en-US" w:eastAsia="zh-CN"/>
        </w:rPr>
        <w:t>2.2.6</w:t>
      </w:r>
      <w:r>
        <w:rPr>
          <w:rFonts w:hint="eastAsia" w:ascii="宋体" w:hAnsi="宋体"/>
          <w:color w:val="000000"/>
        </w:rPr>
        <w:t>设备能进行判断和显示检测结果，进行声光报警。具有合格件、不合格件的累积计数功能，气密性检测合格工件在F2900面进行刻印“G”。</w:t>
      </w:r>
    </w:p>
    <w:p>
      <w:pPr>
        <w:numPr>
          <w:ilvl w:val="0"/>
          <w:numId w:val="0"/>
        </w:numPr>
        <w:spacing w:line="360" w:lineRule="auto"/>
        <w:ind w:firstLine="420" w:firstLineChars="200"/>
        <w:rPr>
          <w:rFonts w:ascii="宋体" w:hAnsi="宋体"/>
          <w:color w:val="000000"/>
        </w:rPr>
      </w:pPr>
      <w:r>
        <w:rPr>
          <w:rFonts w:hint="eastAsia" w:ascii="宋体" w:hAnsi="宋体"/>
          <w:color w:val="000000"/>
          <w:lang w:val="en-US" w:eastAsia="zh-CN"/>
        </w:rPr>
        <w:t>2.2.7</w:t>
      </w:r>
      <w:r>
        <w:rPr>
          <w:rFonts w:hint="eastAsia" w:ascii="宋体" w:hAnsi="宋体"/>
          <w:color w:val="000000"/>
        </w:rPr>
        <w:t>设备入口处配备二维码扫描器自动扫描工件二维码，扫描器型号</w:t>
      </w:r>
      <w:r>
        <w:rPr>
          <w:rFonts w:hint="eastAsia" w:ascii="宋体" w:hAnsi="宋体"/>
          <w:color w:val="000000"/>
          <w:lang w:val="en-US" w:eastAsia="zh-CN"/>
        </w:rPr>
        <w:t>招标方</w:t>
      </w:r>
      <w:r>
        <w:rPr>
          <w:rFonts w:hint="eastAsia" w:ascii="宋体" w:hAnsi="宋体"/>
          <w:color w:val="000000"/>
        </w:rPr>
        <w:t>指定。工件气密性检测数据关联二维码，单独设置气密性检测数据本地存储服务器，存储气密性检测数据，保存期限不低于三年。</w:t>
      </w:r>
    </w:p>
    <w:p>
      <w:pPr>
        <w:numPr>
          <w:ilvl w:val="0"/>
          <w:numId w:val="0"/>
        </w:numPr>
        <w:spacing w:line="360" w:lineRule="auto"/>
        <w:ind w:firstLine="420" w:firstLineChars="200"/>
        <w:rPr>
          <w:rFonts w:hint="eastAsia" w:ascii="宋体" w:hAnsi="宋体"/>
          <w:color w:val="000000"/>
        </w:rPr>
      </w:pPr>
      <w:r>
        <w:rPr>
          <w:rFonts w:hint="eastAsia" w:ascii="宋体" w:hAnsi="宋体"/>
          <w:color w:val="000000"/>
          <w:lang w:val="en-US" w:eastAsia="zh-CN"/>
        </w:rPr>
        <w:t>2.2.8</w:t>
      </w:r>
      <w:r>
        <w:rPr>
          <w:rFonts w:hint="eastAsia" w:ascii="宋体" w:hAnsi="宋体"/>
          <w:color w:val="000000"/>
        </w:rPr>
        <w:t>设备制造方提供设备控制信号及接口，与生产线输送辊道或设备进行交互。</w:t>
      </w:r>
    </w:p>
    <w:p>
      <w:pPr>
        <w:numPr>
          <w:ilvl w:val="0"/>
          <w:numId w:val="0"/>
        </w:numPr>
        <w:autoSpaceDE w:val="0"/>
        <w:autoSpaceDN w:val="0"/>
        <w:adjustRightInd w:val="0"/>
        <w:snapToGrid w:val="0"/>
        <w:spacing w:line="360" w:lineRule="auto"/>
        <w:ind w:firstLine="420" w:firstLineChars="200"/>
        <w:rPr>
          <w:rFonts w:hint="eastAsia" w:ascii="宋体" w:hAnsi="宋体"/>
          <w:color w:val="000000"/>
        </w:rPr>
      </w:pPr>
      <w:r>
        <w:rPr>
          <w:rFonts w:hint="eastAsia" w:ascii="宋体" w:hAnsi="宋体"/>
          <w:color w:val="000000"/>
          <w:lang w:val="en-US" w:eastAsia="zh-CN"/>
        </w:rPr>
        <w:t>2.2.9</w:t>
      </w:r>
      <w:r>
        <w:rPr>
          <w:rFonts w:hint="eastAsia" w:ascii="宋体" w:hAnsi="宋体"/>
          <w:color w:val="000000"/>
        </w:rPr>
        <w:t>允许不合格工件返修上线重新气密性检测。</w:t>
      </w:r>
    </w:p>
    <w:p>
      <w:pPr>
        <w:numPr>
          <w:ilvl w:val="0"/>
          <w:numId w:val="0"/>
        </w:numPr>
        <w:spacing w:line="360" w:lineRule="auto"/>
        <w:ind w:firstLine="420" w:firstLineChars="200"/>
        <w:rPr>
          <w:rFonts w:hint="eastAsia" w:ascii="宋体" w:hAnsi="宋体"/>
          <w:color w:val="000000"/>
        </w:rPr>
      </w:pPr>
      <w:r>
        <w:rPr>
          <w:rFonts w:hint="eastAsia" w:ascii="宋体" w:hAnsi="宋体"/>
          <w:color w:val="000000"/>
          <w:lang w:val="en-US" w:eastAsia="zh-CN"/>
        </w:rPr>
        <w:t>2.2.10</w:t>
      </w:r>
      <w:r>
        <w:rPr>
          <w:rFonts w:hint="eastAsia" w:ascii="宋体" w:hAnsi="宋体"/>
          <w:color w:val="000000"/>
        </w:rPr>
        <w:t>设计并制作气密性检测标准件的存放平台</w:t>
      </w:r>
      <w:r>
        <w:rPr>
          <w:rFonts w:hint="eastAsia" w:ascii="宋体" w:hAnsi="宋体"/>
          <w:color w:val="000000"/>
          <w:lang w:eastAsia="zh-CN"/>
        </w:rPr>
        <w:t>，</w:t>
      </w:r>
      <w:r>
        <w:rPr>
          <w:rFonts w:hint="eastAsia" w:ascii="宋体" w:hAnsi="宋体"/>
          <w:color w:val="000000"/>
          <w:lang w:val="en-US" w:eastAsia="zh-CN"/>
        </w:rPr>
        <w:t>辅助招标方制作标准件</w:t>
      </w:r>
      <w:r>
        <w:rPr>
          <w:rFonts w:hint="eastAsia" w:ascii="宋体" w:hAnsi="宋体"/>
          <w:color w:val="000000"/>
        </w:rPr>
        <w:t>。</w:t>
      </w:r>
    </w:p>
    <w:p>
      <w:pPr>
        <w:numPr>
          <w:ilvl w:val="0"/>
          <w:numId w:val="0"/>
        </w:numPr>
        <w:spacing w:line="360" w:lineRule="auto"/>
        <w:ind w:firstLine="420" w:firstLineChars="200"/>
        <w:rPr>
          <w:rFonts w:hint="eastAsia" w:ascii="宋体" w:hAnsi="宋体"/>
          <w:color w:val="auto"/>
        </w:rPr>
      </w:pPr>
      <w:r>
        <w:rPr>
          <w:rFonts w:hint="eastAsia" w:ascii="宋体" w:hAnsi="宋体"/>
          <w:color w:val="auto"/>
          <w:lang w:val="en-US" w:eastAsia="zh-CN"/>
        </w:rPr>
        <w:t>2.2.11投标方负责试漏仪的标定，并提供标定报告。各检测部位根据压力和泄漏量</w:t>
      </w:r>
      <w:r>
        <w:rPr>
          <w:rFonts w:hint="eastAsia" w:ascii="宋体" w:hAnsi="宋体"/>
          <w:color w:val="auto"/>
        </w:rPr>
        <w:t>配备</w:t>
      </w:r>
      <w:r>
        <w:rPr>
          <w:rFonts w:hint="eastAsia" w:ascii="宋体" w:hAnsi="宋体"/>
          <w:color w:val="auto"/>
          <w:lang w:val="en-US" w:eastAsia="zh-CN"/>
        </w:rPr>
        <w:t>标准固定漏口3</w:t>
      </w:r>
      <w:r>
        <w:rPr>
          <w:rFonts w:hint="eastAsia" w:ascii="宋体" w:hAnsi="宋体"/>
          <w:color w:val="auto"/>
        </w:rPr>
        <w:t>套</w:t>
      </w:r>
      <w:r>
        <w:rPr>
          <w:rFonts w:hint="eastAsia" w:ascii="宋体" w:hAnsi="宋体"/>
          <w:color w:val="auto"/>
          <w:lang w:eastAsia="zh-CN"/>
        </w:rPr>
        <w:t>，</w:t>
      </w:r>
      <w:r>
        <w:rPr>
          <w:rFonts w:hint="eastAsia" w:ascii="宋体" w:hAnsi="宋体"/>
          <w:color w:val="auto"/>
          <w:lang w:val="en-US" w:eastAsia="zh-CN"/>
        </w:rPr>
        <w:t>其他压力校准时需要的可调漏口级标定仪由投标方提供</w:t>
      </w:r>
      <w:r>
        <w:rPr>
          <w:rFonts w:hint="eastAsia" w:ascii="宋体" w:hAnsi="宋体"/>
          <w:color w:val="auto"/>
        </w:rPr>
        <w:t>。</w:t>
      </w:r>
    </w:p>
    <w:p>
      <w:pPr>
        <w:numPr>
          <w:ilvl w:val="0"/>
          <w:numId w:val="0"/>
        </w:numPr>
        <w:spacing w:line="360" w:lineRule="auto"/>
        <w:ind w:firstLine="420" w:firstLineChars="200"/>
        <w:rPr>
          <w:rFonts w:hint="eastAsia" w:ascii="宋体" w:hAnsi="宋体"/>
          <w:color w:val="000000"/>
        </w:rPr>
      </w:pPr>
      <w:r>
        <w:rPr>
          <w:rFonts w:hint="eastAsia" w:ascii="宋体" w:hAnsi="宋体"/>
          <w:color w:val="000000"/>
          <w:lang w:val="en-US" w:eastAsia="zh-CN"/>
        </w:rPr>
        <w:t>2.2.12 SPC设置于设备下料端，</w:t>
      </w:r>
      <w:r>
        <w:rPr>
          <w:rFonts w:hint="default" w:ascii="宋体" w:hAnsi="宋体"/>
          <w:color w:val="000000"/>
          <w:lang w:val="en-US" w:eastAsia="zh-CN"/>
        </w:rPr>
        <w:t>不合格工件机床报警并流转至SPC下料辊道，合格品进入下料辊道流入下一工序。</w:t>
      </w:r>
    </w:p>
    <w:p>
      <w:pPr>
        <w:numPr>
          <w:ilvl w:val="0"/>
          <w:numId w:val="0"/>
        </w:numPr>
        <w:spacing w:line="360" w:lineRule="auto"/>
        <w:ind w:firstLine="420" w:firstLineChars="200"/>
        <w:rPr>
          <w:rFonts w:hint="eastAsia" w:ascii="宋体" w:hAnsi="宋体"/>
          <w:color w:val="000000"/>
          <w:lang w:val="en-US" w:eastAsia="zh-CN"/>
        </w:rPr>
      </w:pPr>
      <w:r>
        <w:rPr>
          <w:rFonts w:hint="eastAsia" w:ascii="宋体" w:hAnsi="宋体"/>
          <w:color w:val="000000"/>
          <w:lang w:val="en-US" w:eastAsia="zh-CN"/>
        </w:rPr>
        <w:t>2.2.13</w:t>
      </w:r>
      <w:r>
        <w:rPr>
          <w:rFonts w:hint="eastAsia" w:ascii="宋体" w:hAnsi="宋体"/>
          <w:color w:val="000000"/>
        </w:rPr>
        <w:t>一般封堵头耐用度为不低于5000次，特殊封堵头耐用度为不低于2000次</w:t>
      </w:r>
      <w:r>
        <w:rPr>
          <w:rFonts w:hint="eastAsia" w:ascii="宋体" w:hAnsi="宋体"/>
          <w:color w:val="000000"/>
          <w:lang w:eastAsia="zh-CN"/>
        </w:rPr>
        <w:t>；</w:t>
      </w:r>
      <w:r>
        <w:rPr>
          <w:rFonts w:hint="eastAsia" w:ascii="宋体" w:hAnsi="宋体"/>
          <w:color w:val="000000"/>
        </w:rPr>
        <w:t>封堵板要具有隔绝温度的材料制造</w:t>
      </w:r>
      <w:r>
        <w:rPr>
          <w:rFonts w:hint="eastAsia" w:ascii="宋体" w:hAnsi="宋体"/>
          <w:color w:val="000000"/>
          <w:lang w:eastAsia="zh-CN"/>
        </w:rPr>
        <w:t>；</w:t>
      </w:r>
      <w:r>
        <w:rPr>
          <w:rFonts w:hint="eastAsia" w:ascii="宋体" w:hAnsi="宋体"/>
          <w:color w:val="000000"/>
        </w:rPr>
        <w:t>封堵头更换方便、快捷，各机型间封堵通用。</w:t>
      </w:r>
      <w:r>
        <w:rPr>
          <w:rFonts w:hint="eastAsia" w:ascii="宋体" w:hAnsi="宋体"/>
          <w:color w:val="000000"/>
          <w:lang w:val="en-US" w:eastAsia="zh-CN"/>
        </w:rPr>
        <w:t>投标方需提供3套更换用密封堵头，并且提供相应图纸。</w:t>
      </w:r>
    </w:p>
    <w:p>
      <w:pPr>
        <w:pStyle w:val="18"/>
        <w:spacing w:line="360" w:lineRule="auto"/>
        <w:rPr>
          <w:rFonts w:hint="eastAsia" w:ascii="黑体" w:hAnsi="黑体" w:eastAsia="黑体"/>
          <w:b/>
          <w:bCs/>
          <w:sz w:val="28"/>
          <w:szCs w:val="28"/>
          <w:lang w:eastAsia="zh-CN"/>
        </w:rPr>
      </w:pPr>
      <w:r>
        <w:rPr>
          <w:rFonts w:hint="eastAsia" w:ascii="黑体" w:hAnsi="黑体" w:eastAsia="黑体"/>
          <w:b/>
          <w:bCs/>
          <w:sz w:val="28"/>
          <w:szCs w:val="28"/>
          <w:lang w:val="en-US" w:eastAsia="zh-CN"/>
        </w:rPr>
        <w:t>五</w:t>
      </w:r>
      <w:r>
        <w:rPr>
          <w:rFonts w:hint="eastAsia" w:ascii="黑体" w:hAnsi="黑体" w:eastAsia="黑体"/>
          <w:b/>
          <w:bCs/>
          <w:sz w:val="28"/>
          <w:szCs w:val="28"/>
        </w:rPr>
        <w:t>、</w:t>
      </w:r>
      <w:r>
        <w:rPr>
          <w:rFonts w:hint="eastAsia" w:ascii="黑体" w:hAnsi="黑体" w:eastAsia="黑体"/>
          <w:b/>
          <w:bCs/>
          <w:sz w:val="28"/>
          <w:szCs w:val="28"/>
          <w:lang w:val="en-US" w:eastAsia="zh-CN"/>
        </w:rPr>
        <w:t>设备基本要求</w:t>
      </w:r>
    </w:p>
    <w:p>
      <w:pPr>
        <w:spacing w:after="0" w:line="360" w:lineRule="auto"/>
        <w:ind w:firstLine="480" w:firstLineChars="200"/>
        <w:jc w:val="both"/>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1、基本要求</w:t>
      </w:r>
    </w:p>
    <w:p>
      <w:pPr>
        <w:spacing w:line="360" w:lineRule="auto"/>
        <w:ind w:firstLine="480"/>
        <w:rPr>
          <w:rFonts w:hint="eastAsia" w:ascii="宋体" w:hAnsi="宋体" w:eastAsia="宋体" w:cs="宋体"/>
          <w:b w:val="0"/>
          <w:bCs w:val="0"/>
          <w:color w:val="000000"/>
          <w:sz w:val="24"/>
          <w:szCs w:val="24"/>
          <w:lang w:val="en-US" w:eastAsia="zh-CN"/>
        </w:rPr>
      </w:pPr>
      <w:bookmarkStart w:id="50" w:name="_Toc15387"/>
      <w:r>
        <w:rPr>
          <w:rFonts w:hint="eastAsia" w:ascii="宋体" w:hAnsi="宋体" w:eastAsia="宋体" w:cs="宋体"/>
          <w:b w:val="0"/>
          <w:bCs w:val="0"/>
          <w:color w:val="000000"/>
          <w:sz w:val="24"/>
          <w:szCs w:val="24"/>
          <w:lang w:val="en-US" w:eastAsia="zh-CN"/>
        </w:rPr>
        <w:t>1.1机械结构、工装设计合理，承载安全系数高；液压气动动作平稳，方便维护。</w:t>
      </w:r>
      <w:bookmarkEnd w:id="50"/>
    </w:p>
    <w:p>
      <w:pPr>
        <w:spacing w:line="360" w:lineRule="auto"/>
        <w:ind w:firstLine="480"/>
        <w:rPr>
          <w:rFonts w:hint="eastAsia" w:ascii="宋体" w:hAnsi="宋体" w:eastAsia="宋体" w:cs="宋体"/>
          <w:b w:val="0"/>
          <w:bCs w:val="0"/>
          <w:color w:val="000000"/>
          <w:sz w:val="24"/>
          <w:szCs w:val="24"/>
          <w:lang w:val="en-US" w:eastAsia="zh-CN"/>
        </w:rPr>
      </w:pPr>
      <w:bookmarkStart w:id="51" w:name="_Toc4255"/>
      <w:r>
        <w:rPr>
          <w:rFonts w:hint="eastAsia" w:ascii="宋体" w:hAnsi="宋体" w:eastAsia="宋体" w:cs="宋体"/>
          <w:b w:val="0"/>
          <w:bCs w:val="0"/>
          <w:color w:val="000000"/>
          <w:sz w:val="24"/>
          <w:szCs w:val="24"/>
          <w:lang w:val="en-US" w:eastAsia="zh-CN"/>
        </w:rPr>
        <w:t>1.2工件输送、夹持、举升要确保对精加工面的保护。定位机构与工件接触部要防止对工件表面产生损伤。</w:t>
      </w:r>
      <w:bookmarkEnd w:id="51"/>
    </w:p>
    <w:p>
      <w:pPr>
        <w:spacing w:line="360" w:lineRule="auto"/>
        <w:ind w:firstLine="480"/>
        <w:rPr>
          <w:rFonts w:hint="eastAsia" w:ascii="宋体" w:hAnsi="宋体" w:eastAsia="宋体" w:cs="宋体"/>
          <w:b w:val="0"/>
          <w:bCs w:val="0"/>
          <w:color w:val="000000"/>
          <w:sz w:val="24"/>
          <w:szCs w:val="24"/>
          <w:lang w:val="en-US" w:eastAsia="zh-CN"/>
        </w:rPr>
      </w:pPr>
      <w:bookmarkStart w:id="52" w:name="_Toc30089"/>
      <w:r>
        <w:rPr>
          <w:rFonts w:hint="eastAsia" w:ascii="宋体" w:hAnsi="宋体" w:eastAsia="宋体" w:cs="宋体"/>
          <w:b w:val="0"/>
          <w:bCs w:val="0"/>
          <w:color w:val="000000"/>
          <w:sz w:val="24"/>
          <w:szCs w:val="24"/>
          <w:lang w:val="en-US" w:eastAsia="zh-CN"/>
        </w:rPr>
        <w:t>1.3导轨、丝杠等运动部件采用THK或同等水平品牌，并在投标文件中予以标明。</w:t>
      </w:r>
      <w:bookmarkEnd w:id="52"/>
    </w:p>
    <w:p>
      <w:pPr>
        <w:spacing w:line="360" w:lineRule="auto"/>
        <w:ind w:firstLine="480" w:firstLineChars="2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2、</w:t>
      </w:r>
      <w:r>
        <w:rPr>
          <w:rFonts w:hint="eastAsia" w:ascii="宋体" w:hAnsi="宋体" w:eastAsia="宋体" w:cs="宋体"/>
          <w:b w:val="0"/>
          <w:bCs w:val="0"/>
          <w:color w:val="000000"/>
          <w:sz w:val="24"/>
          <w:szCs w:val="24"/>
        </w:rPr>
        <w:t>安全防护装置</w:t>
      </w:r>
    </w:p>
    <w:p>
      <w:pPr>
        <w:spacing w:line="360" w:lineRule="auto"/>
        <w:ind w:firstLine="48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2.1</w:t>
      </w:r>
      <w:r>
        <w:rPr>
          <w:rFonts w:hint="eastAsia" w:ascii="宋体" w:hAnsi="宋体" w:eastAsia="宋体" w:cs="宋体"/>
          <w:b w:val="0"/>
          <w:bCs w:val="0"/>
          <w:color w:val="000000"/>
          <w:sz w:val="24"/>
          <w:szCs w:val="24"/>
        </w:rPr>
        <w:t>安全防护装置符合欧洲的CE合格认证标准，确保操作作业区域、工件拿取、工件装配过程的安全。</w:t>
      </w:r>
    </w:p>
    <w:p>
      <w:pPr>
        <w:spacing w:line="360" w:lineRule="auto"/>
        <w:ind w:firstLine="48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2.2设备配备安全围栏（型材加钢化玻璃）。进出设备的门上配备安全门锁，安全门锁采用带信号指示灯的ECHNER或同等水平品牌，安全门锁与设备停止联锁。</w:t>
      </w:r>
    </w:p>
    <w:p>
      <w:pPr>
        <w:spacing w:line="360" w:lineRule="auto"/>
        <w:ind w:firstLine="48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3、电气系统</w:t>
      </w:r>
    </w:p>
    <w:p>
      <w:pPr>
        <w:spacing w:line="360" w:lineRule="auto"/>
        <w:ind w:firstLine="48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3.1设备的电气控制部分设计、制造和安装应当遵循国家标准（GB/T 7226.1-1996）和相关规定(如3C认证等)、国际相关标准。</w:t>
      </w:r>
    </w:p>
    <w:p>
      <w:pPr>
        <w:spacing w:line="360" w:lineRule="auto"/>
        <w:ind w:firstLine="48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3.2防护等级：电气柜、按钮箱、分线盒、防护等级IP54； 限位、压力等开关防护等级IP65。</w:t>
      </w:r>
    </w:p>
    <w:p>
      <w:pPr>
        <w:spacing w:line="360" w:lineRule="auto"/>
        <w:ind w:firstLine="48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3.3电气柜：独立落地型，采用威图或同等水平品牌。柜内空间大，带照明和维修电源插座；冷却方式：有数控时，采用宝鸡雷博空调或同等水平品牌空调。</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b w:val="0"/>
          <w:bCs w:val="0"/>
          <w:color w:val="000000"/>
          <w:sz w:val="24"/>
          <w:szCs w:val="24"/>
          <w:lang w:val="en-US" w:eastAsia="zh-CN"/>
        </w:rPr>
        <w:t>3.4 PLC系统采用西门子S7-1500系列，预留20%的输入输出点；人机界面采用西门子TP1500 H</w:t>
      </w:r>
      <w:r>
        <w:rPr>
          <w:rFonts w:hint="eastAsia" w:ascii="宋体" w:hAnsi="宋体" w:eastAsia="宋体" w:cs="宋体"/>
          <w:color w:val="000000"/>
          <w:sz w:val="24"/>
          <w:szCs w:val="24"/>
          <w:lang w:val="en-US" w:eastAsia="zh-CN"/>
        </w:rPr>
        <w:t>MI，操作面板采用可回转式结构，旋转结构采用辛机、怡合达等知名品牌；电气系统可实现手动调整、半自动、自动工作循环控制、标准件循环模式。</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3.5设备上使用的所有正版操作软件和控制器编程软件，所有的软件必须提供钥匙软件、序列号以及密码等，此外控制系统中有系统参数的设置等数据的修改，都必须有对应的授权级别的密码保护。</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3.6断路器、开关电源、按钮等低压电气选用西门子、施耐德</w:t>
      </w:r>
      <w:r>
        <w:rPr>
          <w:rFonts w:hint="eastAsia" w:ascii="宋体" w:hAnsi="宋体" w:eastAsia="宋体" w:cs="宋体"/>
          <w:b w:val="0"/>
          <w:bCs w:val="0"/>
          <w:color w:val="000000"/>
          <w:sz w:val="24"/>
          <w:szCs w:val="24"/>
          <w:lang w:val="en-US" w:eastAsia="zh-CN"/>
        </w:rPr>
        <w:t>或同等水平</w:t>
      </w:r>
      <w:r>
        <w:rPr>
          <w:rFonts w:hint="eastAsia" w:ascii="宋体" w:hAnsi="宋体" w:eastAsia="宋体" w:cs="宋体"/>
          <w:color w:val="000000"/>
          <w:sz w:val="24"/>
          <w:szCs w:val="24"/>
          <w:lang w:val="en-US" w:eastAsia="zh-CN"/>
        </w:rPr>
        <w:t>品牌，接近开关选用BALUIFU、图尔克</w:t>
      </w:r>
      <w:r>
        <w:rPr>
          <w:rFonts w:hint="eastAsia" w:ascii="宋体" w:hAnsi="宋体" w:eastAsia="宋体" w:cs="宋体"/>
          <w:b w:val="0"/>
          <w:bCs w:val="0"/>
          <w:color w:val="000000"/>
          <w:sz w:val="24"/>
          <w:szCs w:val="24"/>
          <w:lang w:val="en-US" w:eastAsia="zh-CN"/>
        </w:rPr>
        <w:t>或同等水平</w:t>
      </w:r>
      <w:r>
        <w:rPr>
          <w:rFonts w:hint="eastAsia" w:ascii="宋体" w:hAnsi="宋体" w:eastAsia="宋体" w:cs="宋体"/>
          <w:color w:val="000000"/>
          <w:sz w:val="24"/>
          <w:szCs w:val="24"/>
          <w:lang w:val="en-US" w:eastAsia="zh-CN"/>
        </w:rPr>
        <w:t>品牌，读码摄像头采用西门子品牌MV系列或基恩士SR2000系列。</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3.7设备需要与线体进行通讯，采用PN-PN-COUPLER，实现使能信号、安全回路、二维码信息等的交互，通讯方式为Profibus、Profinet等,通讯接口所需要软、硬件包含在方案中。</w:t>
      </w:r>
    </w:p>
    <w:p>
      <w:pPr>
        <w:spacing w:line="360" w:lineRule="auto"/>
        <w:ind w:firstLine="48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4、液压系统要求</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4.1液压泵、液压阀、液压缸采用博世力士乐、Parker</w:t>
      </w:r>
      <w:r>
        <w:rPr>
          <w:rFonts w:hint="eastAsia" w:ascii="宋体" w:hAnsi="宋体" w:eastAsia="宋体" w:cs="宋体"/>
          <w:b w:val="0"/>
          <w:bCs w:val="0"/>
          <w:color w:val="000000"/>
          <w:sz w:val="24"/>
          <w:szCs w:val="24"/>
          <w:lang w:val="en-US" w:eastAsia="zh-CN"/>
        </w:rPr>
        <w:t>或同等水平</w:t>
      </w:r>
      <w:r>
        <w:rPr>
          <w:rFonts w:hint="eastAsia" w:ascii="宋体" w:hAnsi="宋体" w:eastAsia="宋体" w:cs="宋体"/>
          <w:color w:val="000000"/>
          <w:sz w:val="24"/>
          <w:szCs w:val="24"/>
          <w:lang w:val="en-US" w:eastAsia="zh-CN"/>
        </w:rPr>
        <w:t>品牌产品，并在投标文件中予以标明。</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4.2液压油箱具液位和温度控制功能，使用IFM传感器。液压系统油温不得超过50℃，液压站配备独立油冷却机，要求知名品牌，并在投标文件中予以标明。</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4.3液压站安装储能器，电磁换向阀带灯光显示，使用插头式。</w:t>
      </w:r>
    </w:p>
    <w:p>
      <w:pPr>
        <w:spacing w:line="360" w:lineRule="auto"/>
        <w:ind w:firstLine="48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5、气动系统</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5.1选用FESTO、SMC、力士乐</w:t>
      </w:r>
      <w:r>
        <w:rPr>
          <w:rFonts w:hint="eastAsia" w:ascii="宋体" w:hAnsi="宋体" w:eastAsia="宋体" w:cs="宋体"/>
          <w:b w:val="0"/>
          <w:bCs w:val="0"/>
          <w:color w:val="000000"/>
          <w:sz w:val="24"/>
          <w:szCs w:val="24"/>
          <w:lang w:val="en-US" w:eastAsia="zh-CN"/>
        </w:rPr>
        <w:t>或同等水平</w:t>
      </w:r>
      <w:r>
        <w:rPr>
          <w:rFonts w:hint="eastAsia" w:ascii="宋体" w:hAnsi="宋体" w:eastAsia="宋体" w:cs="宋体"/>
          <w:color w:val="000000"/>
          <w:sz w:val="24"/>
          <w:szCs w:val="24"/>
          <w:lang w:val="en-US" w:eastAsia="zh-CN"/>
        </w:rPr>
        <w:t>品牌气动原件。</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5.2气动元件（气缸、电磁阀等）采用FESTO、SMC</w:t>
      </w:r>
      <w:r>
        <w:rPr>
          <w:rFonts w:hint="eastAsia" w:ascii="宋体" w:hAnsi="宋体" w:eastAsia="宋体" w:cs="宋体"/>
          <w:b w:val="0"/>
          <w:bCs w:val="0"/>
          <w:color w:val="000000"/>
          <w:sz w:val="24"/>
          <w:szCs w:val="24"/>
          <w:lang w:val="en-US" w:eastAsia="zh-CN"/>
        </w:rPr>
        <w:t>或同等水平</w:t>
      </w:r>
      <w:r>
        <w:rPr>
          <w:rFonts w:hint="eastAsia" w:ascii="宋体" w:hAnsi="宋体" w:eastAsia="宋体" w:cs="宋体"/>
          <w:color w:val="000000"/>
          <w:sz w:val="24"/>
          <w:szCs w:val="24"/>
          <w:lang w:val="en-US" w:eastAsia="zh-CN"/>
        </w:rPr>
        <w:t>知名品牌产品，并在投标文件中予以标明。</w:t>
      </w:r>
    </w:p>
    <w:p>
      <w:pPr>
        <w:spacing w:line="360" w:lineRule="auto"/>
        <w:ind w:firstLine="48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6、设备漆色：按招标方企业标准执行。</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7、标识：电气系统、气动系统、油路系统都要有明确标识。液位、气压等有明显的上下限识别标识；气动系统、油路系统的管路有进出方向标识；电气柜各元器件标识明确、线缆线号便于维修时查找。</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8、测量设备要求</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投标方提供《监视、测量设备清单》，清单应包含所有监视和测量设备，如：压力表、温度计、试漏仪、流量计、传感器等。验收前，需提供清单中设备对应的国家、省、市、县级法定计量检测机构第三方检测机构出具的检定、校准或测试报告。 </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9、输送辊道要求</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辊道电机选用SEW品牌。辊道采用PZR单段控制，避免磨伤工件表面。</w:t>
      </w:r>
    </w:p>
    <w:p>
      <w:pPr>
        <w:spacing w:line="360" w:lineRule="auto"/>
        <w:ind w:firstLine="480"/>
        <w:rPr>
          <w:rFonts w:hint="eastAsia" w:ascii="宋体" w:hAnsi="宋体" w:eastAsia="宋体" w:cs="宋体"/>
          <w:color w:val="000000"/>
          <w:sz w:val="24"/>
          <w:szCs w:val="24"/>
          <w:lang w:val="en-US" w:eastAsia="zh-CN"/>
        </w:rPr>
      </w:pPr>
      <w:bookmarkStart w:id="53" w:name="_Toc27869"/>
      <w:r>
        <w:rPr>
          <w:rFonts w:hint="eastAsia" w:ascii="宋体" w:hAnsi="宋体" w:eastAsia="宋体" w:cs="宋体"/>
          <w:color w:val="000000"/>
          <w:sz w:val="24"/>
          <w:szCs w:val="24"/>
          <w:lang w:val="en-US" w:eastAsia="zh-CN"/>
        </w:rPr>
        <w:t>10、润滑系统要求</w:t>
      </w:r>
      <w:bookmarkEnd w:id="53"/>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设备采用集中润滑方式，集中润滑采用VOGEL、SKF等知名品牌，并在投标文件中予以标明。</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11、MES对接要求</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11.1设备数据单向传递到MES系统，设备在脱离MES系统的状态下，可以正常运行，包含正常机型间的切换。</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 MES数据采集按照《MES接口定义》采集数据。</w:t>
      </w:r>
    </w:p>
    <w:p>
      <w:pPr>
        <w:spacing w:line="360" w:lineRule="auto"/>
        <w:ind w:firstLine="48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11.3工件类型获取方式除二维码扫描获取之后，还应当具备从MES获取的功能。</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12、</w:t>
      </w:r>
      <w:r>
        <w:rPr>
          <w:rFonts w:hint="eastAsia" w:ascii="宋体" w:hAnsi="宋体" w:eastAsia="宋体" w:cs="Times New Roman"/>
          <w:color w:val="auto"/>
          <w:sz w:val="24"/>
          <w:szCs w:val="24"/>
          <w:highlight w:val="none"/>
        </w:rPr>
        <w:t>程序图纸要求</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12.1</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必须提供所有设备程序的源代码，包括但不限于 PLC程序、HMI 程序、机器人程序、视觉程序、伺服等。</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12.2</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 xml:space="preserve">12.3 </w:t>
      </w:r>
      <w:r>
        <w:rPr>
          <w:rFonts w:hint="eastAsia" w:ascii="宋体" w:hAnsi="宋体" w:eastAsia="宋体" w:cs="Times New Roman"/>
          <w:color w:val="auto"/>
          <w:sz w:val="24"/>
          <w:szCs w:val="24"/>
          <w:highlight w:val="none"/>
        </w:rPr>
        <w:t>HMI 界面等需要密码保护的程序，</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必须提供所有级别的用户名、密码。</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12.4投标</w:t>
      </w:r>
      <w:r>
        <w:rPr>
          <w:rFonts w:hint="eastAsia" w:ascii="宋体" w:hAnsi="宋体" w:eastAsia="宋体" w:cs="Times New Roman"/>
          <w:color w:val="auto"/>
          <w:sz w:val="24"/>
          <w:szCs w:val="24"/>
          <w:highlight w:val="none"/>
        </w:rPr>
        <w:t>方需在设备</w:t>
      </w:r>
      <w:r>
        <w:rPr>
          <w:rFonts w:hint="eastAsia" w:ascii="宋体" w:hAnsi="宋体" w:eastAsia="宋体" w:cs="Times New Roman"/>
          <w:color w:val="auto"/>
          <w:sz w:val="24"/>
          <w:szCs w:val="24"/>
          <w:highlight w:val="none"/>
          <w:lang w:val="en-US" w:eastAsia="zh-CN"/>
        </w:rPr>
        <w:t>验收</w:t>
      </w:r>
      <w:r>
        <w:rPr>
          <w:rFonts w:hint="eastAsia" w:ascii="宋体" w:hAnsi="宋体" w:eastAsia="宋体" w:cs="Times New Roman"/>
          <w:color w:val="auto"/>
          <w:sz w:val="24"/>
          <w:szCs w:val="24"/>
          <w:highlight w:val="none"/>
        </w:rPr>
        <w:t>前提供设备程序源码，HMI 界面各级用户名和密码，并保证与现场程序一致。</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12.5</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需在终验收前提供最新的设备程序源码和电气图纸，图纸要求为可编辑原格式（EPLAN、CAD 格式）且与实际接线一致。</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13、接口协议要求</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13.1</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免费开放所有通讯接口，包括但不限于以太网、</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RS232、RS485、PROFIBUS、PROFINET、MODBUS 等常见接口，以及设备特有的专用接口。</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13.2</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免费提供数据交互功能，交互数据包括但不限于实时数据、历史数据、报警信息等。</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13.3</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在设备入场前提供接口的技术文档和参数说明，包括但不限于接口协议、通讯速率、数据格式等。</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13.4</w:t>
      </w:r>
      <w:r>
        <w:rPr>
          <w:rFonts w:hint="eastAsia" w:ascii="宋体" w:hAnsi="宋体" w:eastAsia="宋体" w:cs="Times New Roman"/>
          <w:color w:val="auto"/>
          <w:sz w:val="24"/>
          <w:szCs w:val="24"/>
          <w:highlight w:val="none"/>
        </w:rPr>
        <w:t xml:space="preserve"> 设备使用周期内，</w:t>
      </w:r>
      <w:r>
        <w:rPr>
          <w:rFonts w:hint="eastAsia" w:ascii="宋体" w:hAnsi="宋体" w:eastAsia="宋体" w:cs="Times New Roman"/>
          <w:color w:val="auto"/>
          <w:sz w:val="24"/>
          <w:szCs w:val="24"/>
          <w:highlight w:val="none"/>
          <w:lang w:eastAsia="zh-CN"/>
        </w:rPr>
        <w:t>投标方</w:t>
      </w:r>
      <w:r>
        <w:rPr>
          <w:rFonts w:hint="eastAsia" w:ascii="宋体" w:hAnsi="宋体" w:eastAsia="宋体" w:cs="Times New Roman"/>
          <w:color w:val="auto"/>
          <w:sz w:val="24"/>
          <w:szCs w:val="24"/>
          <w:highlight w:val="none"/>
        </w:rPr>
        <w:t>免费派遣技术人员与</w:t>
      </w:r>
      <w:r>
        <w:rPr>
          <w:rFonts w:hint="eastAsia" w:ascii="宋体" w:hAnsi="宋体" w:eastAsia="宋体" w:cs="Times New Roman"/>
          <w:color w:val="auto"/>
          <w:sz w:val="24"/>
          <w:szCs w:val="24"/>
          <w:highlight w:val="none"/>
          <w:lang w:val="en-US" w:eastAsia="zh-CN"/>
        </w:rPr>
        <w:t>招标</w:t>
      </w:r>
      <w:r>
        <w:rPr>
          <w:rFonts w:hint="eastAsia" w:ascii="宋体" w:hAnsi="宋体" w:eastAsia="宋体" w:cs="Times New Roman"/>
          <w:color w:val="auto"/>
          <w:sz w:val="24"/>
          <w:szCs w:val="24"/>
          <w:highlight w:val="none"/>
        </w:rPr>
        <w:t>方调试团队共同进行设备通讯接口的调试工作。</w:t>
      </w:r>
    </w:p>
    <w:p>
      <w:pPr>
        <w:spacing w:line="360" w:lineRule="auto"/>
        <w:ind w:firstLine="480" w:firstLineChars="200"/>
        <w:rPr>
          <w:rFonts w:hint="eastAsia"/>
          <w:lang w:val="en-US" w:eastAsia="zh-CN"/>
        </w:rPr>
      </w:pPr>
      <w:r>
        <w:rPr>
          <w:rFonts w:hint="eastAsia" w:ascii="宋体" w:hAnsi="宋体" w:eastAsia="宋体" w:cs="Times New Roman"/>
          <w:color w:val="auto"/>
          <w:sz w:val="24"/>
          <w:szCs w:val="24"/>
          <w:highlight w:val="none"/>
          <w:lang w:val="en-US" w:eastAsia="zh-CN"/>
        </w:rPr>
        <w:t>14、电机功率≥7.5kW,必须选用一级能效，电机功率＜7.5kW，优先选用一级能效；其中能源供应设备及年运行时间≥2000h工艺设备电机必须选用一级能效</w:t>
      </w:r>
      <w:r>
        <w:rPr>
          <w:rFonts w:hint="eastAsia" w:ascii="宋体" w:hAnsi="宋体" w:eastAsia="宋体" w:cs="Times New Roman"/>
          <w:color w:val="00B050"/>
          <w:sz w:val="24"/>
          <w:szCs w:val="24"/>
          <w:highlight w:val="none"/>
          <w:lang w:val="en-US" w:eastAsia="zh-CN"/>
        </w:rPr>
        <w:t>。</w:t>
      </w:r>
    </w:p>
    <w:p>
      <w:pPr>
        <w:pStyle w:val="3"/>
        <w:spacing w:before="120" w:after="120" w:line="480" w:lineRule="exact"/>
        <w:jc w:val="center"/>
        <w:rPr>
          <w:rFonts w:hint="eastAsia" w:ascii="黑体" w:eastAsia="黑体"/>
          <w:b w:val="0"/>
          <w:sz w:val="24"/>
          <w:szCs w:val="24"/>
        </w:rPr>
      </w:pPr>
      <w:bookmarkStart w:id="54" w:name="_Toc5879"/>
      <w:bookmarkStart w:id="55" w:name="_Toc9668"/>
      <w:bookmarkStart w:id="56" w:name="_Toc10810"/>
      <w:bookmarkStart w:id="57" w:name="_Toc10963"/>
      <w:bookmarkStart w:id="58" w:name="_Toc137705869"/>
      <w:r>
        <w:rPr>
          <w:rFonts w:hint="eastAsia" w:ascii="黑体" w:eastAsia="黑体"/>
          <w:b w:val="0"/>
          <w:sz w:val="24"/>
          <w:szCs w:val="24"/>
        </w:rPr>
        <w:br w:type="page"/>
      </w:r>
      <w:r>
        <w:rPr>
          <w:rFonts w:hint="eastAsia" w:ascii="黑体" w:eastAsia="黑体"/>
          <w:b w:val="0"/>
          <w:sz w:val="24"/>
          <w:szCs w:val="24"/>
        </w:rPr>
        <w:t>第三章  供货范围及供货方式</w:t>
      </w:r>
      <w:bookmarkEnd w:id="54"/>
      <w:bookmarkEnd w:id="55"/>
      <w:bookmarkEnd w:id="56"/>
      <w:bookmarkEnd w:id="57"/>
      <w:bookmarkEnd w:id="58"/>
    </w:p>
    <w:p>
      <w:pPr>
        <w:pStyle w:val="4"/>
        <w:spacing w:before="120" w:after="120" w:line="480" w:lineRule="exact"/>
        <w:jc w:val="center"/>
        <w:rPr>
          <w:rFonts w:hint="eastAsia"/>
          <w:b w:val="0"/>
          <w:sz w:val="24"/>
          <w:szCs w:val="24"/>
        </w:rPr>
      </w:pPr>
      <w:bookmarkStart w:id="59" w:name="_Toc19615"/>
      <w:bookmarkStart w:id="60" w:name="_Toc137705870"/>
      <w:bookmarkStart w:id="61" w:name="_Toc15892"/>
      <w:bookmarkStart w:id="62" w:name="_Toc22761"/>
      <w:bookmarkStart w:id="63" w:name="_Toc10065"/>
      <w:r>
        <w:rPr>
          <w:rFonts w:hint="eastAsia"/>
          <w:b w:val="0"/>
          <w:sz w:val="24"/>
          <w:szCs w:val="24"/>
        </w:rPr>
        <w:t>第一节  供货范围</w:t>
      </w:r>
      <w:bookmarkEnd w:id="59"/>
      <w:bookmarkEnd w:id="60"/>
      <w:bookmarkEnd w:id="61"/>
      <w:bookmarkEnd w:id="62"/>
      <w:bookmarkEnd w:id="63"/>
    </w:p>
    <w:p>
      <w:pPr>
        <w:spacing w:line="480" w:lineRule="exact"/>
        <w:ind w:firstLine="420" w:firstLineChars="200"/>
        <w:rPr>
          <w:rFonts w:hint="eastAsia" w:ascii="黑体" w:hAnsi="宋体" w:eastAsia="黑体"/>
        </w:rPr>
      </w:pPr>
      <w:r>
        <w:rPr>
          <w:rFonts w:hint="eastAsia" w:ascii="黑体" w:hAnsi="宋体" w:eastAsia="黑体"/>
        </w:rPr>
        <w:t>一、主要货物一般供货范围界定</w:t>
      </w:r>
    </w:p>
    <w:p>
      <w:pPr>
        <w:spacing w:line="480" w:lineRule="exact"/>
        <w:ind w:firstLine="420" w:firstLineChars="200"/>
        <w:rPr>
          <w:rFonts w:hint="eastAsia" w:ascii="宋体" w:hAnsi="宋体"/>
        </w:rPr>
      </w:pPr>
      <w:r>
        <w:rPr>
          <w:rFonts w:hint="eastAsia" w:ascii="宋体" w:hAnsi="宋体"/>
        </w:rPr>
        <w:t>1、供货范围包括本技术标书“采购货物概况” 所列及所要求的设备。</w:t>
      </w:r>
    </w:p>
    <w:p>
      <w:pPr>
        <w:spacing w:line="480" w:lineRule="exact"/>
        <w:ind w:firstLine="420" w:firstLineChars="200"/>
        <w:rPr>
          <w:rFonts w:hint="eastAsia" w:ascii="宋体" w:hAnsi="宋体"/>
        </w:rPr>
      </w:pPr>
      <w:r>
        <w:rPr>
          <w:rFonts w:hint="eastAsia" w:ascii="宋体" w:hAnsi="宋体"/>
        </w:rPr>
        <w:t>2、供货范围包括为保证设备正常安装、调试和验收完成及以前所必需的整套配件、附件及材料、油料、控制软件及程序或指令等。</w:t>
      </w:r>
    </w:p>
    <w:p>
      <w:pPr>
        <w:spacing w:line="480" w:lineRule="exact"/>
        <w:ind w:firstLine="420" w:firstLineChars="200"/>
        <w:rPr>
          <w:rFonts w:hint="eastAsia" w:ascii="宋体" w:hAnsi="宋体"/>
        </w:rPr>
      </w:pPr>
      <w:r>
        <w:rPr>
          <w:rFonts w:hint="eastAsia" w:ascii="宋体" w:hAnsi="宋体"/>
        </w:rPr>
        <w:t>如果终验收完成后，投标方有需要收回的配件、附件、材料、油料等，应当在投标文件的技术偏离条款中，予以详细说明；否则视同包括在供货范围之内。</w:t>
      </w:r>
    </w:p>
    <w:p>
      <w:pPr>
        <w:spacing w:line="480" w:lineRule="exact"/>
        <w:ind w:firstLine="420" w:firstLineChars="200"/>
        <w:rPr>
          <w:rFonts w:hint="eastAsia" w:ascii="宋体" w:hAnsi="宋体"/>
        </w:rPr>
      </w:pPr>
      <w:r>
        <w:rPr>
          <w:rFonts w:hint="eastAsia" w:ascii="宋体" w:hAnsi="宋体"/>
        </w:rPr>
        <w:t>3、供货范围包括货物维护维修所必需的专用工具。</w:t>
      </w:r>
    </w:p>
    <w:p>
      <w:pPr>
        <w:spacing w:line="480" w:lineRule="exact"/>
        <w:ind w:firstLine="420" w:firstLineChars="200"/>
        <w:rPr>
          <w:rFonts w:hint="eastAsia" w:ascii="宋体" w:hAnsi="宋体"/>
        </w:rPr>
      </w:pPr>
      <w:r>
        <w:rPr>
          <w:rFonts w:hint="eastAsia" w:ascii="宋体" w:hAnsi="宋体"/>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80" w:lineRule="exact"/>
        <w:ind w:firstLine="420" w:firstLineChars="200"/>
        <w:rPr>
          <w:rFonts w:hint="eastAsia" w:ascii="宋体" w:hAnsi="宋体"/>
        </w:rPr>
      </w:pPr>
      <w:r>
        <w:rPr>
          <w:rFonts w:hint="eastAsia" w:ascii="宋体" w:hAnsi="宋体"/>
        </w:rPr>
        <w:t>如投标方难以提供或无优势提供以及属于选用配置的，则应当在投标文件的技术偏离条款中，予以详细说明并注明投标报价未包含该部分的货值。</w:t>
      </w:r>
    </w:p>
    <w:p>
      <w:pPr>
        <w:spacing w:line="480" w:lineRule="exact"/>
        <w:ind w:firstLine="420" w:firstLineChars="200"/>
        <w:rPr>
          <w:rFonts w:hint="eastAsia" w:ascii="宋体" w:hAnsi="宋体"/>
        </w:rPr>
      </w:pPr>
      <w:r>
        <w:rPr>
          <w:rFonts w:hint="eastAsia" w:ascii="宋体" w:hAnsi="宋体"/>
        </w:rPr>
        <w:t>5、供货范围包括为保证设备自身正常运行所必需的、满足使用地点环境条件的通风、冷却、降温等必需设施。</w:t>
      </w:r>
    </w:p>
    <w:p>
      <w:pPr>
        <w:spacing w:line="480" w:lineRule="exact"/>
        <w:ind w:firstLine="420" w:firstLineChars="200"/>
        <w:rPr>
          <w:rFonts w:hint="eastAsia" w:ascii="宋体" w:hAnsi="宋体"/>
        </w:rPr>
      </w:pPr>
      <w:r>
        <w:rPr>
          <w:rFonts w:hint="eastAsia" w:ascii="宋体" w:hAnsi="宋体"/>
        </w:rPr>
        <w:t>6、以“交钥匙”方式采购的设备，在满足技术标书本节上述要求之外，供货范围还包括如下界定（货物）：</w:t>
      </w:r>
    </w:p>
    <w:p>
      <w:pPr>
        <w:spacing w:line="480" w:lineRule="exact"/>
        <w:ind w:firstLine="420" w:firstLineChars="200"/>
        <w:rPr>
          <w:rFonts w:hint="eastAsia" w:ascii="宋体" w:hAnsi="宋体"/>
        </w:rPr>
      </w:pPr>
      <w:r>
        <w:rPr>
          <w:rFonts w:hint="eastAsia" w:ascii="宋体" w:hAnsi="宋体"/>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pPr>
        <w:spacing w:line="480" w:lineRule="exact"/>
        <w:ind w:firstLine="420" w:firstLineChars="200"/>
        <w:rPr>
          <w:rFonts w:hint="eastAsia" w:ascii="宋体" w:hAnsi="宋体"/>
        </w:rPr>
      </w:pPr>
      <w:r>
        <w:rPr>
          <w:rFonts w:hint="eastAsia" w:ascii="宋体" w:hAnsi="宋体"/>
        </w:rPr>
        <w:t>6.2  供货范围包括设备正常运行所必需的全套连线设备、材料等。如货物端联接法兰外端面之内的、电气系统接口压线板（插座等）之内的设备、材料、联接螺栓、垫片等。</w:t>
      </w:r>
    </w:p>
    <w:p>
      <w:pPr>
        <w:spacing w:line="480" w:lineRule="exact"/>
        <w:ind w:firstLine="420" w:firstLineChars="200"/>
        <w:rPr>
          <w:rFonts w:hint="eastAsia" w:ascii="宋体" w:hAnsi="宋体"/>
        </w:rPr>
      </w:pPr>
      <w:r>
        <w:rPr>
          <w:rFonts w:hint="eastAsia" w:ascii="宋体" w:hAnsi="宋体"/>
        </w:rPr>
        <w:t>6.3  供货范围包括设备正常运行、使用所需要的过桥、护栏、防护网、盖板等辅助设施。</w:t>
      </w:r>
    </w:p>
    <w:p>
      <w:pPr>
        <w:spacing w:line="480" w:lineRule="exact"/>
        <w:ind w:firstLine="420" w:firstLineChars="200"/>
        <w:rPr>
          <w:rFonts w:hint="eastAsia" w:ascii="宋体" w:hAnsi="宋体"/>
        </w:rPr>
      </w:pPr>
      <w:r>
        <w:rPr>
          <w:rFonts w:hint="eastAsia" w:ascii="宋体" w:hAnsi="宋体"/>
        </w:rPr>
        <w:t>6.3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pPr>
        <w:spacing w:line="480" w:lineRule="exact"/>
        <w:ind w:firstLine="420" w:firstLineChars="200"/>
        <w:rPr>
          <w:rFonts w:hint="eastAsia" w:ascii="黑体" w:hAnsi="宋体" w:eastAsia="黑体"/>
        </w:rPr>
      </w:pPr>
      <w:r>
        <w:rPr>
          <w:rFonts w:hint="eastAsia" w:ascii="黑体" w:hAnsi="宋体" w:eastAsia="黑体"/>
        </w:rPr>
        <w:t>二、备品备件、易损件和专用耗材供货范围</w:t>
      </w:r>
    </w:p>
    <w:p>
      <w:pPr>
        <w:spacing w:line="480" w:lineRule="exact"/>
        <w:ind w:firstLine="420" w:firstLineChars="200"/>
        <w:rPr>
          <w:rFonts w:hint="eastAsia" w:ascii="宋体" w:hAnsi="宋体" w:eastAsia="宋体" w:cs="Times New Roman"/>
        </w:rPr>
      </w:pPr>
      <w:r>
        <w:rPr>
          <w:rFonts w:hint="eastAsia" w:ascii="宋体" w:hAnsi="宋体"/>
        </w:rPr>
        <w:t>1、备品备件、易损件和专用耗材是招标方为保证设备质保期之后正常运行一年所自备自用的备品备件、易损件和专用耗材。质保期之内正常需要的备品备件、易损</w:t>
      </w:r>
      <w:r>
        <w:rPr>
          <w:rFonts w:hint="eastAsia" w:ascii="宋体" w:hAnsi="宋体" w:eastAsia="宋体" w:cs="Times New Roman"/>
        </w:rPr>
        <w:t>件和专用耗材全部包括在供货范围之内而不属于本条款界定的范围。</w:t>
      </w:r>
    </w:p>
    <w:p>
      <w:pPr>
        <w:spacing w:line="480" w:lineRule="exact"/>
        <w:ind w:firstLine="420" w:firstLineChars="200"/>
        <w:rPr>
          <w:rFonts w:hint="eastAsia" w:ascii="宋体" w:hAnsi="宋体" w:eastAsia="宋体" w:cs="Times New Roman"/>
        </w:rPr>
      </w:pPr>
      <w:r>
        <w:rPr>
          <w:rFonts w:hint="eastAsia" w:ascii="宋体" w:hAnsi="宋体" w:eastAsia="宋体" w:cs="Times New Roman"/>
        </w:rPr>
        <w:t>2</w:t>
      </w:r>
      <w:r>
        <w:rPr>
          <w:rFonts w:hint="eastAsia" w:ascii="宋体" w:hAnsi="宋体" w:eastAsia="宋体" w:cs="Times New Roman"/>
          <w:lang w:eastAsia="zh-CN"/>
        </w:rPr>
        <w:t>、</w:t>
      </w:r>
      <w:r>
        <w:rPr>
          <w:rFonts w:hint="eastAsia" w:ascii="宋体" w:hAnsi="宋体" w:eastAsia="宋体" w:cs="Times New Roman"/>
        </w:rPr>
        <w:t>投标方应提供设备维修所必需的专用工具，并附详细清单（包括名称、型号、规格、单位、数量、生产厂家、单价、总价等条目）；</w:t>
      </w:r>
    </w:p>
    <w:p>
      <w:pPr>
        <w:spacing w:line="480" w:lineRule="exact"/>
        <w:ind w:firstLine="420" w:firstLineChars="200"/>
        <w:rPr>
          <w:rFonts w:hint="eastAsia" w:ascii="宋体" w:hAnsi="宋体" w:eastAsia="宋体" w:cs="Times New Roman"/>
        </w:rPr>
      </w:pPr>
      <w:r>
        <w:rPr>
          <w:rFonts w:hint="eastAsia" w:ascii="宋体" w:hAnsi="宋体" w:eastAsia="宋体" w:cs="Times New Roman"/>
          <w:lang w:val="en-US" w:eastAsia="zh-CN"/>
        </w:rPr>
        <w:t>3</w:t>
      </w:r>
      <w:r>
        <w:rPr>
          <w:rFonts w:hint="eastAsia" w:ascii="宋体" w:hAnsi="宋体" w:eastAsia="宋体" w:cs="Times New Roman"/>
        </w:rPr>
        <w:t>、供货范围包括易损件和专用耗材的制造图纸及其技术要求等资料。</w:t>
      </w:r>
    </w:p>
    <w:p>
      <w:pPr>
        <w:spacing w:line="360" w:lineRule="auto"/>
        <w:ind w:firstLine="420" w:firstLineChars="200"/>
        <w:rPr>
          <w:rFonts w:hint="eastAsia" w:ascii="宋体" w:hAnsi="宋体" w:eastAsia="宋体" w:cs="宋体"/>
          <w:color w:val="auto"/>
          <w:sz w:val="24"/>
          <w:szCs w:val="24"/>
          <w:lang w:eastAsia="zh-CN"/>
        </w:rPr>
      </w:pPr>
      <w:r>
        <w:rPr>
          <w:rFonts w:hint="eastAsia" w:ascii="宋体" w:hAnsi="宋体" w:eastAsia="宋体" w:cs="Times New Roman"/>
          <w:color w:val="auto"/>
          <w:lang w:val="en-US" w:eastAsia="zh-CN"/>
        </w:rPr>
        <w:t>4</w:t>
      </w:r>
      <w:r>
        <w:rPr>
          <w:rFonts w:hint="eastAsia" w:ascii="宋体" w:hAnsi="宋体" w:eastAsia="宋体" w:cs="Times New Roman"/>
          <w:color w:val="auto"/>
        </w:rPr>
        <w:t>、</w:t>
      </w:r>
      <w:r>
        <w:rPr>
          <w:rFonts w:hint="eastAsia" w:ascii="宋体" w:hAnsi="宋体" w:eastAsia="宋体" w:cs="宋体"/>
          <w:color w:val="auto"/>
          <w:sz w:val="24"/>
          <w:szCs w:val="24"/>
        </w:rPr>
        <w:t>为了保证设备质保期满后，还能得到优惠的备件供应，投标方须提供每个部件的零件图，还需提供一份常用的零部件及外购件（含易损件、易耗品等）价格表及供货周期，以后每年以此次报价为基准，允许根据市场情况进行一次调整。标准设备和非标设备的工装备件清单、投标方、联系方式、价格，在合同签订之后四个月内提交给招标方</w:t>
      </w:r>
      <w:r>
        <w:rPr>
          <w:rFonts w:hint="eastAsia" w:ascii="宋体" w:hAnsi="宋体" w:eastAsia="宋体" w:cs="宋体"/>
          <w:color w:val="auto"/>
          <w:sz w:val="24"/>
          <w:szCs w:val="24"/>
          <w:lang w:eastAsia="zh-CN"/>
        </w:rPr>
        <w:t>。</w:t>
      </w:r>
    </w:p>
    <w:p>
      <w:pPr>
        <w:spacing w:line="480" w:lineRule="exact"/>
        <w:ind w:firstLine="480" w:firstLineChars="200"/>
        <w:rPr>
          <w:rFonts w:hint="eastAsia" w:ascii="宋体" w:hAnsi="宋体" w:eastAsia="宋体" w:cs="Times New Roman"/>
          <w:lang w:val="en-US" w:eastAsia="zh-CN"/>
        </w:rPr>
      </w:pPr>
      <w:r>
        <w:rPr>
          <w:rFonts w:hint="eastAsia" w:ascii="宋体" w:hAnsi="宋体" w:eastAsia="宋体" w:cs="宋体"/>
          <w:color w:val="auto"/>
          <w:sz w:val="24"/>
          <w:szCs w:val="24"/>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备品备件、易损件和专用耗材，其费用应分类单列，并计入投标总报价之</w:t>
      </w:r>
      <w:r>
        <w:rPr>
          <w:rFonts w:hint="eastAsia" w:ascii="宋体" w:hAnsi="宋体" w:eastAsia="宋体" w:cs="宋体"/>
          <w:color w:val="auto"/>
          <w:sz w:val="24"/>
          <w:szCs w:val="24"/>
          <w:lang w:val="en-US" w:eastAsia="zh-CN"/>
        </w:rPr>
        <w:t>中。</w:t>
      </w:r>
    </w:p>
    <w:p>
      <w:pPr>
        <w:spacing w:line="480" w:lineRule="exact"/>
        <w:ind w:firstLine="420" w:firstLineChars="200"/>
        <w:rPr>
          <w:rFonts w:hint="eastAsia" w:ascii="黑体" w:hAnsi="宋体" w:eastAsia="黑体"/>
        </w:rPr>
      </w:pPr>
      <w:r>
        <w:rPr>
          <w:rFonts w:hint="eastAsia" w:ascii="黑体" w:hAnsi="宋体" w:eastAsia="黑体"/>
        </w:rPr>
        <w:t>三、技术资料供货范围</w:t>
      </w:r>
    </w:p>
    <w:p>
      <w:pPr>
        <w:spacing w:line="480" w:lineRule="exact"/>
        <w:ind w:firstLine="420" w:firstLineChars="200"/>
        <w:rPr>
          <w:rFonts w:hint="eastAsia" w:ascii="宋体" w:hAnsi="宋体"/>
          <w:color w:val="auto"/>
        </w:rPr>
      </w:pPr>
      <w:r>
        <w:rPr>
          <w:rFonts w:hint="eastAsia" w:ascii="宋体" w:hAnsi="宋体"/>
          <w:color w:val="auto"/>
        </w:rPr>
        <w:t>技术资料供货范围包括：</w:t>
      </w:r>
    </w:p>
    <w:p>
      <w:pPr>
        <w:spacing w:line="480" w:lineRule="exact"/>
        <w:ind w:firstLine="420" w:firstLineChars="200"/>
        <w:rPr>
          <w:rFonts w:hint="eastAsia" w:ascii="宋体" w:hAnsi="宋体"/>
          <w:bCs/>
        </w:rPr>
      </w:pPr>
      <w:r>
        <w:rPr>
          <w:rFonts w:hint="eastAsia" w:ascii="宋体" w:hAnsi="宋体"/>
          <w:color w:val="auto"/>
        </w:rPr>
        <w:t>1、在</w:t>
      </w:r>
      <w:r>
        <w:rPr>
          <w:rFonts w:hint="eastAsia" w:ascii="宋体" w:hAnsi="宋体"/>
          <w:bCs/>
          <w:color w:val="auto"/>
        </w:rPr>
        <w:t>合同签订后</w:t>
      </w:r>
      <w:r>
        <w:rPr>
          <w:rFonts w:hint="eastAsia" w:ascii="宋体" w:hAnsi="宋体"/>
          <w:bCs/>
          <w:color w:val="auto"/>
          <w:u w:val="single"/>
          <w:shd w:val="pct10" w:color="auto" w:fill="FFFFFF"/>
        </w:rPr>
        <w:t xml:space="preserve"> </w:t>
      </w:r>
      <w:r>
        <w:rPr>
          <w:rFonts w:hint="eastAsia" w:ascii="宋体" w:hAnsi="宋体"/>
          <w:bCs/>
          <w:color w:val="auto"/>
          <w:u w:val="single"/>
          <w:shd w:val="pct10" w:color="auto" w:fill="FFFFFF"/>
          <w:lang w:val="en-US" w:eastAsia="zh-CN"/>
        </w:rPr>
        <w:t>20</w:t>
      </w:r>
      <w:r>
        <w:rPr>
          <w:rFonts w:hint="eastAsia" w:ascii="宋体" w:hAnsi="宋体"/>
          <w:bCs/>
          <w:color w:val="auto"/>
          <w:u w:val="single"/>
          <w:shd w:val="pct10" w:color="auto" w:fill="FFFFFF"/>
        </w:rPr>
        <w:t xml:space="preserve"> </w:t>
      </w:r>
      <w:r>
        <w:rPr>
          <w:rFonts w:hint="eastAsia" w:ascii="宋体" w:hAnsi="宋体"/>
          <w:bCs/>
          <w:color w:val="auto"/>
        </w:rPr>
        <w:t>个日历日内，提供设备基础及相关的设计、制作所需的纸质及电子版资料；电子版文件应当能够使用常用版本软件可以阅读甚至使用，进口货</w:t>
      </w:r>
      <w:r>
        <w:rPr>
          <w:rFonts w:hint="eastAsia" w:ascii="宋体" w:hAnsi="宋体"/>
          <w:bCs/>
        </w:rPr>
        <w:t>物、设备应有中外文对照。</w:t>
      </w:r>
    </w:p>
    <w:p>
      <w:pPr>
        <w:spacing w:line="480" w:lineRule="exact"/>
        <w:ind w:firstLine="420" w:firstLineChars="200"/>
        <w:rPr>
          <w:rFonts w:hint="eastAsia" w:ascii="宋体" w:hAnsi="宋体"/>
        </w:rPr>
      </w:pPr>
      <w:r>
        <w:rPr>
          <w:rFonts w:hint="eastAsia" w:ascii="宋体" w:hAnsi="宋体"/>
        </w:rPr>
        <w:t>2、在预验收前，</w:t>
      </w:r>
      <w:r>
        <w:rPr>
          <w:rFonts w:hint="eastAsia" w:ascii="宋体" w:hAnsi="宋体"/>
          <w:bCs/>
        </w:rPr>
        <w:t>提供设备各部分的功能描述文件、图片、影像等资料（进口、设备应有中外文对照）。</w:t>
      </w:r>
    </w:p>
    <w:p>
      <w:pPr>
        <w:spacing w:line="480" w:lineRule="exact"/>
        <w:ind w:firstLine="420" w:firstLineChars="200"/>
        <w:rPr>
          <w:rFonts w:hint="eastAsia" w:ascii="宋体" w:hAnsi="宋体"/>
        </w:rPr>
      </w:pPr>
      <w:r>
        <w:rPr>
          <w:rFonts w:hint="eastAsia" w:ascii="宋体" w:hAnsi="宋体"/>
        </w:rPr>
        <w:t>3、在终验收前，提供为保证设备后续正常运行所需的工装、吊（挂）具明细及其图纸、具体技术要求等资料（如果供货范围包含该部分实物）。</w:t>
      </w:r>
    </w:p>
    <w:p>
      <w:pPr>
        <w:spacing w:line="480" w:lineRule="exact"/>
        <w:ind w:firstLine="420" w:firstLineChars="200"/>
        <w:rPr>
          <w:rFonts w:hint="eastAsia" w:ascii="宋体" w:hAnsi="宋体"/>
        </w:rPr>
      </w:pPr>
      <w:r>
        <w:rPr>
          <w:rFonts w:hint="eastAsia" w:ascii="宋体" w:hAnsi="宋体"/>
        </w:rPr>
        <w:t>4、在终验收前，提供确定的维修所需要且招标方可以自行采购的外购件、外协件、电气元件及主要原材料的供货厂家明细表。</w:t>
      </w:r>
    </w:p>
    <w:p>
      <w:pPr>
        <w:spacing w:line="480" w:lineRule="exact"/>
        <w:ind w:firstLine="420" w:firstLineChars="200"/>
        <w:rPr>
          <w:rFonts w:hint="eastAsia" w:ascii="宋体" w:hAnsi="宋体"/>
        </w:rPr>
      </w:pPr>
      <w:r>
        <w:rPr>
          <w:rFonts w:hint="eastAsia" w:ascii="宋体" w:hAnsi="宋体"/>
        </w:rPr>
        <w:t>5、在终验收后的第一笔货款支付日之前，提供包括设备的备品备件、易损件和专用耗材的图纸及技术参数、技术要求等资料。</w:t>
      </w:r>
    </w:p>
    <w:p>
      <w:pPr>
        <w:spacing w:line="480" w:lineRule="exact"/>
        <w:ind w:firstLine="420" w:firstLineChars="200"/>
        <w:rPr>
          <w:rFonts w:hint="eastAsia" w:ascii="宋体" w:hAnsi="宋体"/>
        </w:rPr>
      </w:pPr>
      <w:r>
        <w:rPr>
          <w:rFonts w:hint="eastAsia" w:ascii="宋体" w:hAnsi="宋体"/>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80" w:lineRule="exact"/>
        <w:ind w:firstLine="420" w:firstLineChars="200"/>
        <w:rPr>
          <w:rFonts w:hint="eastAsia" w:ascii="宋体" w:hAnsi="宋体"/>
        </w:rPr>
      </w:pPr>
      <w:r>
        <w:rPr>
          <w:rFonts w:hint="eastAsia" w:ascii="宋体" w:hAnsi="宋体"/>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pPr>
        <w:spacing w:line="480" w:lineRule="exact"/>
        <w:ind w:firstLine="420" w:firstLineChars="200"/>
        <w:rPr>
          <w:rFonts w:hint="eastAsia" w:ascii="宋体" w:hAnsi="宋体"/>
        </w:rPr>
      </w:pPr>
      <w:r>
        <w:rPr>
          <w:rFonts w:hint="eastAsia" w:ascii="宋体" w:hAnsi="宋体"/>
        </w:rPr>
        <w:t>8、本条款所列的技术资料、图片、影像等，投标方应各提供4套，其中2套为电子版光（U）盘；每份技术文件应装有目录清单。</w:t>
      </w:r>
    </w:p>
    <w:p>
      <w:pPr>
        <w:spacing w:line="480" w:lineRule="exact"/>
        <w:ind w:firstLine="420" w:firstLineChars="200"/>
        <w:rPr>
          <w:rFonts w:hint="eastAsia" w:ascii="宋体" w:hAnsi="宋体"/>
        </w:rPr>
      </w:pPr>
      <w:r>
        <w:rPr>
          <w:rFonts w:hint="eastAsia" w:ascii="宋体" w:hAnsi="宋体"/>
        </w:rPr>
        <w:t>9、本条款所列要求，如招标方认为投标方提供的资料不能满足要求时，有权要求投标方免费补充或增加。</w:t>
      </w:r>
    </w:p>
    <w:p>
      <w:pPr>
        <w:spacing w:line="480" w:lineRule="exact"/>
        <w:ind w:firstLine="420" w:firstLineChars="200"/>
        <w:rPr>
          <w:rFonts w:hint="eastAsia" w:ascii="宋体" w:hAnsi="宋体"/>
        </w:rPr>
      </w:pPr>
    </w:p>
    <w:p>
      <w:pPr>
        <w:pStyle w:val="4"/>
        <w:spacing w:before="120" w:after="120" w:line="480" w:lineRule="exact"/>
        <w:jc w:val="center"/>
        <w:rPr>
          <w:rFonts w:hint="eastAsia"/>
          <w:b w:val="0"/>
          <w:sz w:val="24"/>
          <w:szCs w:val="24"/>
        </w:rPr>
      </w:pPr>
      <w:bookmarkStart w:id="64" w:name="_Toc8159"/>
      <w:bookmarkStart w:id="65" w:name="_Toc137705871"/>
      <w:bookmarkStart w:id="66" w:name="_Toc26064"/>
      <w:bookmarkStart w:id="67" w:name="_Toc13936"/>
      <w:bookmarkStart w:id="68" w:name="_Toc9858"/>
      <w:r>
        <w:rPr>
          <w:rFonts w:hint="eastAsia"/>
          <w:b w:val="0"/>
          <w:sz w:val="24"/>
          <w:szCs w:val="24"/>
        </w:rPr>
        <w:t>第二节  供货方式</w:t>
      </w:r>
      <w:bookmarkEnd w:id="64"/>
      <w:bookmarkEnd w:id="65"/>
      <w:bookmarkEnd w:id="66"/>
      <w:bookmarkEnd w:id="67"/>
      <w:bookmarkEnd w:id="68"/>
    </w:p>
    <w:p>
      <w:pPr>
        <w:spacing w:line="480" w:lineRule="exact"/>
        <w:ind w:firstLine="420" w:firstLineChars="200"/>
        <w:rPr>
          <w:rFonts w:hint="eastAsia" w:ascii="宋体" w:hAnsi="宋体"/>
        </w:rPr>
      </w:pPr>
      <w:r>
        <w:rPr>
          <w:rFonts w:hint="eastAsia" w:ascii="黑体" w:hAnsi="宋体" w:eastAsia="黑体"/>
        </w:rPr>
        <w:t>一、供货地点：</w:t>
      </w:r>
      <w:r>
        <w:rPr>
          <w:rFonts w:hint="eastAsia" w:ascii="宋体" w:hAnsi="宋体"/>
        </w:rPr>
        <w:t>本项目建设工地。</w:t>
      </w:r>
    </w:p>
    <w:p>
      <w:pPr>
        <w:spacing w:line="480" w:lineRule="exact"/>
        <w:ind w:firstLine="420" w:firstLineChars="200"/>
        <w:jc w:val="left"/>
        <w:rPr>
          <w:rFonts w:hint="eastAsia" w:ascii="黑体" w:hAnsi="宋体" w:eastAsia="黑体"/>
        </w:rPr>
      </w:pPr>
      <w:r>
        <w:rPr>
          <w:rFonts w:hint="eastAsia" w:ascii="黑体" w:hAnsi="宋体" w:eastAsia="黑体"/>
        </w:rPr>
        <w:t>二、供货时间</w:t>
      </w:r>
    </w:p>
    <w:p>
      <w:pPr>
        <w:spacing w:line="480" w:lineRule="exact"/>
        <w:ind w:firstLine="420" w:firstLineChars="200"/>
        <w:jc w:val="left"/>
        <w:rPr>
          <w:rFonts w:hint="eastAsia" w:ascii="宋体" w:hAnsi="宋体"/>
        </w:rPr>
      </w:pPr>
      <w:r>
        <w:rPr>
          <w:rFonts w:hint="eastAsia" w:ascii="宋体" w:hAnsi="宋体"/>
        </w:rPr>
        <w:t>1、以交钥匙方式供货的，按照以下时间要求（安装调试工期超过10个日历日的，投标方应当随标书提供详细的工期计划）：</w:t>
      </w:r>
    </w:p>
    <w:p>
      <w:pPr>
        <w:spacing w:line="480" w:lineRule="exact"/>
        <w:ind w:firstLine="420" w:firstLineChars="200"/>
        <w:jc w:val="left"/>
        <w:rPr>
          <w:rFonts w:hint="eastAsia" w:ascii="宋体" w:hAnsi="宋体" w:eastAsia="宋体" w:cs="Times New Roman"/>
          <w:lang w:eastAsia="zh-CN"/>
        </w:rPr>
      </w:pPr>
      <w:r>
        <w:rPr>
          <w:rFonts w:hint="eastAsia" w:ascii="宋体" w:hAnsi="宋体"/>
        </w:rPr>
        <w:t>1.1  自</w:t>
      </w:r>
      <w:r>
        <w:rPr>
          <w:rFonts w:ascii="宋体" w:hAnsi="宋体" w:eastAsia="宋体" w:cs="宋体"/>
          <w:sz w:val="24"/>
          <w:szCs w:val="24"/>
        </w:rPr>
        <w:t>中标通知发出之日</w:t>
      </w:r>
      <w:r>
        <w:rPr>
          <w:rFonts w:hint="eastAsia" w:ascii="宋体" w:hAnsi="宋体"/>
        </w:rPr>
        <w:t>起，</w:t>
      </w:r>
      <w:r>
        <w:rPr>
          <w:rFonts w:hint="eastAsia" w:ascii="宋体" w:hAnsi="宋体"/>
          <w:u w:val="single"/>
          <w:shd w:val="pct10" w:color="auto" w:fill="FFFFFF"/>
        </w:rPr>
        <w:t xml:space="preserve"> </w:t>
      </w:r>
      <w:r>
        <w:rPr>
          <w:rFonts w:hint="eastAsia" w:ascii="宋体" w:hAnsi="宋体"/>
          <w:u w:val="single"/>
          <w:shd w:val="pct10" w:color="auto" w:fill="FFFFFF"/>
          <w:lang w:val="en-US" w:eastAsia="zh-CN"/>
        </w:rPr>
        <w:t>105</w:t>
      </w:r>
      <w:r>
        <w:rPr>
          <w:rFonts w:hint="eastAsia" w:ascii="宋体" w:hAnsi="宋体"/>
          <w:u w:val="single"/>
          <w:shd w:val="pct10" w:color="auto" w:fill="FFFFFF"/>
        </w:rPr>
        <w:t xml:space="preserve"> </w:t>
      </w:r>
      <w:r>
        <w:rPr>
          <w:rFonts w:hint="eastAsia" w:ascii="宋体" w:hAnsi="宋体"/>
        </w:rPr>
        <w:t>个日历日之内交货至供货</w:t>
      </w:r>
      <w:r>
        <w:rPr>
          <w:rFonts w:hint="eastAsia" w:ascii="宋体" w:hAnsi="宋体" w:eastAsia="宋体" w:cs="Times New Roman"/>
        </w:rPr>
        <w:t>地点。提前开展</w:t>
      </w:r>
      <w:r>
        <w:rPr>
          <w:rFonts w:hint="eastAsia" w:ascii="宋体" w:hAnsi="宋体" w:eastAsia="宋体" w:cs="Times New Roman"/>
          <w:lang w:val="en-US" w:eastAsia="zh-CN"/>
        </w:rPr>
        <w:t>设备</w:t>
      </w:r>
      <w:r>
        <w:rPr>
          <w:rFonts w:hint="eastAsia" w:ascii="宋体" w:hAnsi="宋体" w:eastAsia="宋体" w:cs="Times New Roman"/>
        </w:rPr>
        <w:t>基础施工，具备到货后即可进行设备安装</w:t>
      </w:r>
      <w:r>
        <w:rPr>
          <w:rFonts w:hint="eastAsia" w:ascii="宋体" w:hAnsi="宋体" w:eastAsia="宋体" w:cs="Times New Roman"/>
          <w:lang w:val="en-US" w:eastAsia="zh-CN"/>
        </w:rPr>
        <w:t>的条件</w:t>
      </w:r>
      <w:r>
        <w:rPr>
          <w:rFonts w:hint="eastAsia" w:ascii="宋体" w:hAnsi="宋体" w:eastAsia="宋体" w:cs="Times New Roman"/>
          <w:lang w:eastAsia="zh-CN"/>
        </w:rPr>
        <w:t>。</w:t>
      </w:r>
    </w:p>
    <w:p>
      <w:pPr>
        <w:spacing w:line="480" w:lineRule="exact"/>
        <w:ind w:firstLine="420" w:firstLineChars="200"/>
        <w:jc w:val="left"/>
        <w:rPr>
          <w:rFonts w:hint="eastAsia" w:ascii="宋体" w:hAnsi="宋体"/>
        </w:rPr>
      </w:pPr>
      <w:r>
        <w:rPr>
          <w:rFonts w:hint="eastAsia" w:ascii="宋体" w:hAnsi="宋体"/>
        </w:rPr>
        <w:t>1.2  接续</w:t>
      </w:r>
      <w:r>
        <w:rPr>
          <w:rFonts w:hint="eastAsia" w:ascii="宋体" w:hAnsi="宋体"/>
          <w:u w:val="single"/>
          <w:shd w:val="pct10" w:color="auto" w:fill="FFFFFF"/>
        </w:rPr>
        <w:t xml:space="preserve"> </w:t>
      </w:r>
      <w:r>
        <w:rPr>
          <w:rFonts w:hint="eastAsia" w:ascii="宋体" w:hAnsi="宋体"/>
          <w:u w:val="single"/>
          <w:shd w:val="pct10" w:color="auto" w:fill="FFFFFF"/>
          <w:lang w:val="en-US" w:eastAsia="zh-CN"/>
        </w:rPr>
        <w:t>20</w:t>
      </w:r>
      <w:r>
        <w:rPr>
          <w:rFonts w:hint="eastAsia" w:ascii="宋体" w:hAnsi="宋体"/>
          <w:u w:val="single"/>
          <w:shd w:val="pct10" w:color="auto" w:fill="FFFFFF"/>
        </w:rPr>
        <w:t xml:space="preserve"> </w:t>
      </w:r>
      <w:r>
        <w:rPr>
          <w:rFonts w:hint="eastAsia" w:ascii="宋体" w:hAnsi="宋体"/>
        </w:rPr>
        <w:t>个日历日之内安装调试完毕。</w:t>
      </w:r>
    </w:p>
    <w:p>
      <w:pPr>
        <w:spacing w:line="480" w:lineRule="exact"/>
        <w:ind w:firstLine="420" w:firstLineChars="200"/>
        <w:rPr>
          <w:rFonts w:hint="eastAsia" w:ascii="黑体" w:hAnsi="宋体" w:eastAsia="黑体"/>
        </w:rPr>
      </w:pPr>
      <w:r>
        <w:rPr>
          <w:rFonts w:hint="eastAsia" w:ascii="黑体" w:hAnsi="宋体" w:eastAsia="黑体"/>
          <w:lang w:val="en-US" w:eastAsia="zh-CN"/>
        </w:rPr>
        <w:t>三</w:t>
      </w:r>
      <w:r>
        <w:rPr>
          <w:rFonts w:hint="eastAsia" w:ascii="黑体" w:hAnsi="宋体" w:eastAsia="黑体"/>
        </w:rPr>
        <w:t>、包装</w:t>
      </w:r>
    </w:p>
    <w:p>
      <w:pPr>
        <w:adjustRightInd w:val="0"/>
        <w:snapToGrid w:val="0"/>
        <w:spacing w:line="460" w:lineRule="exact"/>
        <w:ind w:firstLine="420" w:firstLineChars="200"/>
        <w:rPr>
          <w:rFonts w:hint="eastAsia" w:ascii="宋体" w:hAnsi="宋体"/>
        </w:rPr>
      </w:pPr>
      <w:r>
        <w:rPr>
          <w:rFonts w:hint="eastAsia" w:ascii="宋体" w:hAnsi="宋体"/>
        </w:rPr>
        <w:t>1、所提供设备的包装，应遵照国家标准和有关包装、包皮的技术条件，或按照最好的商业惯例进行包装。</w:t>
      </w:r>
    </w:p>
    <w:p>
      <w:pPr>
        <w:adjustRightInd w:val="0"/>
        <w:snapToGrid w:val="0"/>
        <w:spacing w:line="460" w:lineRule="exact"/>
        <w:ind w:firstLine="420" w:firstLineChars="200"/>
        <w:rPr>
          <w:rFonts w:hint="eastAsia" w:ascii="宋体" w:hAnsi="宋体"/>
        </w:rPr>
      </w:pPr>
      <w:r>
        <w:rPr>
          <w:rFonts w:hint="eastAsia" w:ascii="宋体" w:hAnsi="宋体"/>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60" w:lineRule="exact"/>
        <w:ind w:firstLine="420" w:firstLineChars="200"/>
        <w:rPr>
          <w:rFonts w:hint="eastAsia" w:ascii="宋体" w:hAnsi="宋体"/>
        </w:rPr>
      </w:pPr>
      <w:r>
        <w:rPr>
          <w:rFonts w:hint="eastAsia" w:ascii="宋体" w:hAnsi="宋体"/>
        </w:rPr>
        <w:t>3、所提供设备的包装，应能防止其一般性被窃或受外力破坏；一般不得采用有大缝隙的板条包装。</w:t>
      </w:r>
    </w:p>
    <w:p>
      <w:pPr>
        <w:adjustRightInd w:val="0"/>
        <w:snapToGrid w:val="0"/>
        <w:spacing w:line="460" w:lineRule="exact"/>
        <w:ind w:firstLine="420" w:firstLineChars="200"/>
        <w:rPr>
          <w:rFonts w:hint="eastAsia" w:ascii="宋体" w:hAnsi="宋体"/>
        </w:rPr>
      </w:pPr>
      <w:r>
        <w:rPr>
          <w:rFonts w:hint="eastAsia" w:ascii="宋体" w:hAnsi="宋体"/>
        </w:rPr>
        <w:t>4、应对包装件做必要的加固和固定，以防止运输可能造成的损坏。</w:t>
      </w:r>
    </w:p>
    <w:p>
      <w:pPr>
        <w:adjustRightInd w:val="0"/>
        <w:snapToGrid w:val="0"/>
        <w:spacing w:line="460" w:lineRule="exact"/>
        <w:ind w:firstLine="420" w:firstLineChars="200"/>
        <w:rPr>
          <w:rFonts w:hint="eastAsia" w:ascii="宋体" w:hAnsi="宋体"/>
        </w:rPr>
      </w:pPr>
      <w:r>
        <w:rPr>
          <w:rFonts w:hint="eastAsia" w:ascii="宋体" w:hAnsi="宋体"/>
        </w:rPr>
        <w:t>5、每个包装件应有装箱单，并至少标明名称、型号规格、数量、净重和毛重、投标方（或供货商）名称和制造日期等相关内容。</w:t>
      </w:r>
    </w:p>
    <w:p>
      <w:pPr>
        <w:adjustRightInd w:val="0"/>
        <w:snapToGrid w:val="0"/>
        <w:spacing w:line="460" w:lineRule="exact"/>
        <w:ind w:firstLine="420" w:firstLineChars="200"/>
        <w:rPr>
          <w:rFonts w:hint="eastAsia" w:ascii="宋体" w:hAnsi="宋体"/>
        </w:rPr>
      </w:pPr>
      <w:r>
        <w:rPr>
          <w:rFonts w:hint="eastAsia" w:ascii="宋体" w:hAnsi="宋体"/>
        </w:rPr>
        <w:t>6、每个包装箱应有明显标志，并具有中文书写的合同号、装运标志、发货和到货地点名称、发货人和收货人名称、设备名称和项目号、箱号和外型尺寸等内容。</w:t>
      </w:r>
    </w:p>
    <w:p>
      <w:pPr>
        <w:adjustRightInd w:val="0"/>
        <w:snapToGrid w:val="0"/>
        <w:spacing w:line="460" w:lineRule="exact"/>
        <w:ind w:firstLine="420" w:firstLineChars="200"/>
        <w:rPr>
          <w:rFonts w:hint="eastAsia" w:ascii="宋体" w:hAnsi="宋体"/>
        </w:rPr>
      </w:pPr>
      <w:r>
        <w:rPr>
          <w:rFonts w:hint="eastAsia" w:ascii="宋体" w:hAnsi="宋体"/>
        </w:rPr>
        <w:t>7、应按照不同的装运要求在包装箱上标明“小心轻放”、“箭头向上”、“防潮”、“防磁”、“不准平放”等标志，以及其它适用的国标通用标志。</w:t>
      </w:r>
    </w:p>
    <w:p>
      <w:pPr>
        <w:adjustRightInd w:val="0"/>
        <w:snapToGrid w:val="0"/>
        <w:spacing w:line="460" w:lineRule="exact"/>
        <w:ind w:firstLine="420" w:firstLineChars="200"/>
        <w:rPr>
          <w:rFonts w:hint="eastAsia" w:ascii="宋体" w:hAnsi="宋体"/>
        </w:rPr>
      </w:pPr>
      <w:r>
        <w:rPr>
          <w:rFonts w:hint="eastAsia" w:ascii="宋体" w:hAnsi="宋体"/>
        </w:rPr>
        <w:t>8、包装箱应连续编号，不应出现重复编号。</w:t>
      </w:r>
    </w:p>
    <w:p>
      <w:pPr>
        <w:adjustRightInd w:val="0"/>
        <w:snapToGrid w:val="0"/>
        <w:spacing w:line="460" w:lineRule="exact"/>
        <w:ind w:firstLine="420" w:firstLineChars="200"/>
        <w:rPr>
          <w:rFonts w:hint="eastAsia" w:ascii="宋体" w:hAnsi="宋体"/>
        </w:rPr>
      </w:pPr>
      <w:r>
        <w:rPr>
          <w:rFonts w:hint="eastAsia" w:ascii="宋体" w:hAnsi="宋体"/>
        </w:rPr>
        <w:t>9、在不受到外界破坏情况下，包装应保证自交货日起一年内货物（或设备）完好无损。</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lang w:val="en-US" w:eastAsia="zh-CN"/>
        </w:rPr>
        <w:t>四</w:t>
      </w:r>
      <w:r>
        <w:rPr>
          <w:rFonts w:hint="eastAsia" w:ascii="黑体" w:hAnsi="宋体" w:eastAsia="黑体"/>
        </w:rPr>
        <w:t>、运输</w:t>
      </w:r>
    </w:p>
    <w:p>
      <w:pPr>
        <w:adjustRightInd w:val="0"/>
        <w:snapToGrid w:val="0"/>
        <w:spacing w:line="460" w:lineRule="exact"/>
        <w:ind w:firstLine="420" w:firstLineChars="200"/>
        <w:rPr>
          <w:rFonts w:hint="eastAsia" w:ascii="宋体" w:hAnsi="宋体"/>
        </w:rPr>
      </w:pPr>
      <w:r>
        <w:rPr>
          <w:rFonts w:hint="eastAsia" w:ascii="宋体" w:hAnsi="宋体"/>
        </w:rPr>
        <w:t>1、应负责将设备运到目的地，并必须做到设备在任何运输过程中不受损坏和遗失。</w:t>
      </w:r>
    </w:p>
    <w:p>
      <w:pPr>
        <w:adjustRightInd w:val="0"/>
        <w:snapToGrid w:val="0"/>
        <w:spacing w:line="460" w:lineRule="exact"/>
        <w:ind w:firstLine="420" w:firstLineChars="200"/>
        <w:rPr>
          <w:rFonts w:hint="eastAsia" w:ascii="宋体" w:hAnsi="宋体"/>
        </w:rPr>
      </w:pPr>
      <w:r>
        <w:rPr>
          <w:rFonts w:hint="eastAsia" w:ascii="宋体" w:hAnsi="宋体"/>
        </w:rPr>
        <w:t>2、同批设备应统一包装、编号运输。</w:t>
      </w:r>
    </w:p>
    <w:p>
      <w:pPr>
        <w:adjustRightInd w:val="0"/>
        <w:snapToGrid w:val="0"/>
        <w:spacing w:line="460" w:lineRule="exact"/>
        <w:ind w:firstLine="420" w:firstLineChars="200"/>
        <w:rPr>
          <w:rFonts w:hint="eastAsia" w:ascii="宋体" w:hAnsi="宋体"/>
        </w:rPr>
      </w:pPr>
      <w:r>
        <w:rPr>
          <w:rFonts w:hint="eastAsia" w:ascii="宋体" w:hAnsi="宋体"/>
        </w:rPr>
        <w:t>3、一般情况下，经由铁路、公路运输的包装件尺寸和重量不应超过国家所规定的尺寸限制。特殊情况应予以说明。</w:t>
      </w:r>
    </w:p>
    <w:p>
      <w:pPr>
        <w:adjustRightInd w:val="0"/>
        <w:snapToGrid w:val="0"/>
        <w:spacing w:line="460" w:lineRule="exact"/>
        <w:ind w:firstLine="420" w:firstLineChars="200"/>
        <w:rPr>
          <w:rFonts w:hint="eastAsia" w:ascii="宋体" w:hAnsi="宋体"/>
        </w:rPr>
      </w:pPr>
      <w:r>
        <w:rPr>
          <w:rFonts w:hint="eastAsia" w:ascii="宋体" w:hAnsi="宋体"/>
        </w:rPr>
        <w:t>4、在每批设备发出后，应立即通知招标方；通知中应指明：合同号、货运单号、件数、重量和设备发出日期等相关内容。</w:t>
      </w:r>
    </w:p>
    <w:p>
      <w:pPr>
        <w:adjustRightInd w:val="0"/>
        <w:snapToGrid w:val="0"/>
        <w:spacing w:line="460" w:lineRule="exact"/>
        <w:ind w:firstLine="420" w:firstLineChars="200"/>
        <w:rPr>
          <w:rFonts w:hint="eastAsia" w:ascii="宋体" w:hAnsi="宋体"/>
        </w:rPr>
      </w:pPr>
      <w:r>
        <w:rPr>
          <w:rFonts w:hint="eastAsia" w:ascii="宋体" w:hAnsi="宋体"/>
        </w:rPr>
        <w:t>5、设备运抵交货地点后，应负责货物（或设备）的卸货、搬运、保管等事宜；或按照合同约定。</w:t>
      </w:r>
    </w:p>
    <w:p>
      <w:pPr>
        <w:pStyle w:val="3"/>
        <w:spacing w:before="120" w:after="120" w:line="480" w:lineRule="exact"/>
        <w:jc w:val="center"/>
        <w:rPr>
          <w:rFonts w:hint="eastAsia" w:ascii="黑体" w:eastAsia="黑体"/>
          <w:b w:val="0"/>
          <w:sz w:val="24"/>
          <w:szCs w:val="24"/>
        </w:rPr>
      </w:pPr>
      <w:r>
        <w:rPr>
          <w:rFonts w:ascii="宋体" w:hAnsi="宋体"/>
        </w:rPr>
        <w:br w:type="page"/>
      </w:r>
      <w:bookmarkStart w:id="69" w:name="_Toc30960"/>
      <w:bookmarkStart w:id="70" w:name="_Toc9796"/>
      <w:bookmarkStart w:id="71" w:name="_Toc2931"/>
      <w:bookmarkStart w:id="72" w:name="_Toc137705872"/>
      <w:bookmarkStart w:id="73" w:name="_Toc28593"/>
      <w:r>
        <w:rPr>
          <w:rFonts w:hint="eastAsia" w:ascii="黑体" w:eastAsia="黑体"/>
          <w:b w:val="0"/>
          <w:bCs w:val="0"/>
          <w:sz w:val="24"/>
          <w:szCs w:val="24"/>
        </w:rPr>
        <w:t xml:space="preserve">第四章  </w:t>
      </w:r>
      <w:r>
        <w:rPr>
          <w:rFonts w:hint="eastAsia" w:ascii="黑体" w:eastAsia="黑体"/>
          <w:b w:val="0"/>
          <w:bCs w:val="0"/>
          <w:sz w:val="24"/>
          <w:szCs w:val="24"/>
          <w:lang w:val="en-US" w:eastAsia="zh-CN"/>
        </w:rPr>
        <w:t>质保期及</w:t>
      </w:r>
      <w:r>
        <w:rPr>
          <w:rFonts w:hint="eastAsia" w:ascii="黑体" w:eastAsia="黑体"/>
          <w:b w:val="0"/>
          <w:bCs w:val="0"/>
          <w:sz w:val="24"/>
          <w:szCs w:val="24"/>
        </w:rPr>
        <w:t>售中售后服务</w:t>
      </w:r>
      <w:bookmarkEnd w:id="69"/>
      <w:bookmarkEnd w:id="70"/>
      <w:bookmarkEnd w:id="71"/>
      <w:bookmarkEnd w:id="72"/>
      <w:bookmarkEnd w:id="73"/>
    </w:p>
    <w:p>
      <w:pPr>
        <w:spacing w:line="480" w:lineRule="exact"/>
        <w:ind w:firstLine="420" w:firstLineChars="200"/>
        <w:jc w:val="left"/>
        <w:rPr>
          <w:rFonts w:hint="eastAsia" w:ascii="黑体" w:hAnsi="宋体" w:eastAsia="黑体"/>
        </w:rPr>
      </w:pPr>
      <w:r>
        <w:rPr>
          <w:rFonts w:hint="eastAsia" w:ascii="黑体" w:hAnsi="宋体" w:eastAsia="黑体"/>
          <w:lang w:val="en-US" w:eastAsia="zh-CN"/>
        </w:rPr>
        <w:t>一</w:t>
      </w:r>
      <w:r>
        <w:rPr>
          <w:rFonts w:hint="eastAsia" w:ascii="黑体" w:hAnsi="宋体" w:eastAsia="黑体"/>
        </w:rPr>
        <w:t>、质保期及质保要求</w:t>
      </w:r>
    </w:p>
    <w:p>
      <w:pPr>
        <w:spacing w:line="480" w:lineRule="exact"/>
        <w:ind w:firstLine="420" w:firstLineChars="200"/>
        <w:jc w:val="left"/>
        <w:rPr>
          <w:rFonts w:hint="eastAsia" w:ascii="宋体" w:hAnsi="宋体"/>
        </w:rPr>
      </w:pPr>
      <w:r>
        <w:rPr>
          <w:rFonts w:hint="eastAsia" w:ascii="宋体" w:hAnsi="宋体"/>
        </w:rPr>
        <w:t>1、全部供货范围内的设备、材料、零配件和工器具等，除合同特别约定外，其质保期均自终验收签字生效之日起</w:t>
      </w:r>
      <w:r>
        <w:rPr>
          <w:rFonts w:hint="eastAsia" w:ascii="宋体" w:hAnsi="宋体"/>
          <w:u w:val="single"/>
          <w:shd w:val="pct10" w:color="auto" w:fill="FFFFFF"/>
        </w:rPr>
        <w:t xml:space="preserve">  12   </w:t>
      </w:r>
      <w:r>
        <w:rPr>
          <w:rFonts w:hint="eastAsia" w:ascii="宋体" w:hAnsi="宋体"/>
        </w:rPr>
        <w:t>个月。</w:t>
      </w:r>
    </w:p>
    <w:p>
      <w:pPr>
        <w:spacing w:line="480" w:lineRule="exact"/>
        <w:ind w:firstLine="420" w:firstLineChars="200"/>
        <w:jc w:val="left"/>
        <w:rPr>
          <w:rFonts w:hint="eastAsia" w:ascii="宋体" w:hAnsi="宋体"/>
        </w:rPr>
      </w:pPr>
      <w:r>
        <w:rPr>
          <w:rFonts w:hint="eastAsia" w:ascii="宋体" w:hAnsi="宋体"/>
        </w:rPr>
        <w:t>投标货物或涉及的关键总成和零件，如果有更长时间质保期，允许更改并说明，此将有利于投标方。</w:t>
      </w:r>
    </w:p>
    <w:p>
      <w:pPr>
        <w:spacing w:line="480" w:lineRule="exact"/>
        <w:ind w:firstLine="420" w:firstLineChars="200"/>
        <w:jc w:val="left"/>
        <w:rPr>
          <w:rFonts w:hint="eastAsia" w:ascii="宋体" w:hAnsi="宋体"/>
        </w:rPr>
      </w:pPr>
      <w:r>
        <w:rPr>
          <w:rFonts w:hint="eastAsia" w:ascii="宋体" w:hAnsi="宋体"/>
        </w:rPr>
        <w:t>设计使用寿命短于质保期的易损件除外，但属于易损件的，应当有明确说明。</w:t>
      </w:r>
    </w:p>
    <w:p>
      <w:pPr>
        <w:spacing w:line="480" w:lineRule="exact"/>
        <w:ind w:firstLine="420" w:firstLineChars="200"/>
        <w:jc w:val="left"/>
        <w:rPr>
          <w:rFonts w:hint="eastAsia" w:ascii="宋体" w:hAnsi="宋体"/>
        </w:rPr>
      </w:pPr>
      <w:r>
        <w:rPr>
          <w:rFonts w:hint="eastAsia" w:ascii="宋体" w:hAnsi="宋体"/>
        </w:rPr>
        <w:t>2、质保期之内，如果设备出现设备、总成、关键零部件或者多处一般零部件的更换或维修行为，则质保期自更换或维修行为结束、设备重新正常运行使用之日起重新计算。</w:t>
      </w:r>
    </w:p>
    <w:p>
      <w:pPr>
        <w:spacing w:line="480" w:lineRule="exact"/>
        <w:ind w:firstLine="420" w:firstLineChars="200"/>
        <w:jc w:val="left"/>
        <w:rPr>
          <w:rFonts w:hint="eastAsia" w:ascii="宋体" w:hAnsi="宋体"/>
        </w:rPr>
      </w:pPr>
      <w:r>
        <w:rPr>
          <w:rFonts w:hint="eastAsia" w:ascii="宋体" w:hAnsi="宋体"/>
        </w:rPr>
        <w:t>3、质保期内免费提供零部件和及时有效的服务。质保期内因货物本身缺陷造成的各种故障，投标方应负责免费维修和服务。</w:t>
      </w:r>
    </w:p>
    <w:p>
      <w:pPr>
        <w:spacing w:line="480" w:lineRule="exact"/>
        <w:ind w:firstLine="420" w:firstLineChars="200"/>
        <w:jc w:val="left"/>
        <w:rPr>
          <w:rFonts w:hint="eastAsia" w:ascii="宋体" w:hAnsi="宋体"/>
        </w:rPr>
      </w:pPr>
      <w:r>
        <w:rPr>
          <w:rFonts w:hint="eastAsia" w:ascii="宋体" w:hAnsi="宋体"/>
        </w:rPr>
        <w:t>4、质保期终止之日起</w:t>
      </w:r>
      <w:r>
        <w:rPr>
          <w:rFonts w:hint="eastAsia" w:ascii="宋体" w:hAnsi="宋体"/>
          <w:lang w:val="en-US" w:eastAsia="zh-CN"/>
        </w:rPr>
        <w:t>一年</w:t>
      </w:r>
      <w:r>
        <w:rPr>
          <w:rFonts w:hint="eastAsia" w:ascii="宋体" w:hAnsi="宋体"/>
        </w:rPr>
        <w:t>内重复出现的质保期之内出现的故障，仍属质保范围而且应当免费。</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lang w:val="en-US" w:eastAsia="zh-CN"/>
        </w:rPr>
        <w:t>二</w:t>
      </w:r>
      <w:r>
        <w:rPr>
          <w:rFonts w:hint="eastAsia" w:ascii="黑体" w:hAnsi="宋体" w:eastAsia="黑体"/>
        </w:rPr>
        <w:t>、技术及培训服务</w:t>
      </w:r>
    </w:p>
    <w:p>
      <w:pPr>
        <w:adjustRightInd w:val="0"/>
        <w:snapToGrid w:val="0"/>
        <w:spacing w:line="460" w:lineRule="exact"/>
        <w:ind w:firstLine="420" w:firstLineChars="200"/>
        <w:rPr>
          <w:rFonts w:hint="eastAsia" w:ascii="宋体" w:hAnsi="宋体"/>
        </w:rPr>
      </w:pPr>
      <w:r>
        <w:rPr>
          <w:rFonts w:hint="eastAsia" w:ascii="宋体" w:hAnsi="宋体"/>
        </w:rPr>
        <w:t>1、应负责对招标方</w:t>
      </w:r>
      <w:r>
        <w:rPr>
          <w:rFonts w:hint="eastAsia" w:ascii="宋体" w:hAnsi="宋体"/>
          <w:u w:val="single"/>
          <w:shd w:val="pct10" w:color="auto" w:fill="FFFFFF"/>
        </w:rPr>
        <w:t xml:space="preserve">  3-5  </w:t>
      </w:r>
      <w:r>
        <w:rPr>
          <w:rFonts w:hint="eastAsia" w:ascii="宋体" w:hAnsi="宋体"/>
        </w:rPr>
        <w:t>名技术、维修和操作人员提供不少于</w:t>
      </w:r>
      <w:r>
        <w:rPr>
          <w:rFonts w:hint="eastAsia" w:ascii="宋体" w:hAnsi="宋体"/>
          <w:u w:val="single"/>
          <w:shd w:val="pct10" w:color="auto" w:fill="FFFFFF"/>
        </w:rPr>
        <w:t xml:space="preserve">   2  </w:t>
      </w:r>
      <w:r>
        <w:rPr>
          <w:rFonts w:hint="eastAsia" w:ascii="宋体" w:hAnsi="宋体"/>
        </w:rPr>
        <w:t>个日历日的免费的、招标方生产制造现场的理论、技术和操作、维修等方面的技术指导和培训,提供免费的2人在机器人工厂的标准培训，培训内容包括</w:t>
      </w:r>
      <w:r>
        <w:rPr>
          <w:rFonts w:hint="eastAsia"/>
          <w:lang w:val="zh-CN"/>
        </w:rPr>
        <w:t>机器人编程及简单维护培训、电气培训。</w:t>
      </w:r>
    </w:p>
    <w:p>
      <w:pPr>
        <w:adjustRightInd w:val="0"/>
        <w:snapToGrid w:val="0"/>
        <w:spacing w:line="460" w:lineRule="exact"/>
        <w:ind w:firstLine="420" w:firstLineChars="200"/>
        <w:rPr>
          <w:rFonts w:hint="eastAsia" w:ascii="宋体" w:hAnsi="宋体"/>
        </w:rPr>
      </w:pPr>
      <w:r>
        <w:rPr>
          <w:rFonts w:hint="eastAsia" w:ascii="宋体" w:hAnsi="宋体"/>
        </w:rPr>
        <w:t>2、应负责在招标方设备使用现场，进行1～2次免费的技术指导和培训，并接受招标方有关人员的技术咨询。</w:t>
      </w:r>
    </w:p>
    <w:p>
      <w:pPr>
        <w:adjustRightInd w:val="0"/>
        <w:snapToGrid w:val="0"/>
        <w:spacing w:line="460" w:lineRule="exact"/>
        <w:ind w:firstLine="420" w:firstLineChars="200"/>
        <w:rPr>
          <w:rFonts w:hint="eastAsia" w:ascii="宋体" w:hAnsi="宋体"/>
        </w:rPr>
      </w:pPr>
      <w:r>
        <w:rPr>
          <w:rFonts w:hint="eastAsia" w:ascii="宋体" w:hAnsi="宋体"/>
        </w:rPr>
        <w:t>3、应免费提供一定数量的培训资料。</w:t>
      </w:r>
    </w:p>
    <w:p>
      <w:pPr>
        <w:adjustRightInd w:val="0"/>
        <w:snapToGrid w:val="0"/>
        <w:spacing w:line="460" w:lineRule="exact"/>
        <w:ind w:firstLine="420" w:firstLineChars="200"/>
        <w:rPr>
          <w:rFonts w:hint="eastAsia" w:ascii="宋体" w:hAnsi="宋体"/>
        </w:rPr>
      </w:pPr>
      <w:r>
        <w:rPr>
          <w:rFonts w:hint="eastAsia" w:ascii="宋体" w:hAnsi="宋体"/>
        </w:rPr>
        <w:t>4、应按要求免费积极协助和提供招标方以及招标方所委托的工程设计单位有关人员所需要的、与设备有关的工程设计资料、技术咨询等。</w:t>
      </w:r>
    </w:p>
    <w:p>
      <w:pPr>
        <w:adjustRightInd w:val="0"/>
        <w:snapToGrid w:val="0"/>
        <w:spacing w:line="460" w:lineRule="exact"/>
        <w:ind w:firstLine="420" w:firstLineChars="200"/>
        <w:rPr>
          <w:rFonts w:hint="eastAsia" w:ascii="宋体" w:hAnsi="宋体"/>
        </w:rPr>
      </w:pPr>
      <w:r>
        <w:rPr>
          <w:rFonts w:hint="eastAsia" w:ascii="宋体" w:hAnsi="宋体"/>
        </w:rPr>
        <w:t>5、若投标方提供的设备涉及到外购外协货物、而且该货物的技术质量等较为关键时，投标方应能保证得到配套厂家的技术支持，并免费为招标方提供技术服务。</w:t>
      </w:r>
    </w:p>
    <w:p>
      <w:pPr>
        <w:adjustRightInd w:val="0"/>
        <w:snapToGrid w:val="0"/>
        <w:spacing w:line="460" w:lineRule="exact"/>
        <w:ind w:firstLine="420" w:firstLineChars="200"/>
        <w:rPr>
          <w:rFonts w:hint="eastAsia" w:ascii="宋体" w:hAnsi="宋体"/>
        </w:rPr>
      </w:pPr>
      <w:r>
        <w:rPr>
          <w:rFonts w:hint="eastAsia" w:ascii="宋体" w:hAnsi="宋体"/>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二、安装调试及验收服务</w:t>
      </w:r>
    </w:p>
    <w:p>
      <w:pPr>
        <w:adjustRightInd w:val="0"/>
        <w:snapToGrid w:val="0"/>
        <w:spacing w:line="460" w:lineRule="exact"/>
        <w:ind w:firstLine="420" w:firstLineChars="200"/>
        <w:rPr>
          <w:rFonts w:hint="eastAsia" w:ascii="宋体" w:hAnsi="宋体"/>
        </w:rPr>
      </w:pPr>
      <w:r>
        <w:rPr>
          <w:rFonts w:hint="eastAsia" w:ascii="宋体" w:hAnsi="宋体"/>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adjustRightInd w:val="0"/>
        <w:snapToGrid w:val="0"/>
        <w:spacing w:line="460" w:lineRule="exact"/>
        <w:ind w:firstLine="420" w:firstLineChars="200"/>
        <w:rPr>
          <w:rFonts w:hint="eastAsia" w:ascii="宋体" w:hAnsi="宋体"/>
        </w:rPr>
      </w:pPr>
      <w:r>
        <w:rPr>
          <w:rFonts w:hint="eastAsia" w:ascii="宋体" w:hAnsi="宋体"/>
        </w:rPr>
        <w:t>2、若投标方提供的设备涉及到外购外协货物、而且该货物的技术质量等较为关键时，应保证能得到供应商的技术支持，并免费为招标方提供安装使用现场的指导与培训。</w:t>
      </w:r>
    </w:p>
    <w:p>
      <w:pPr>
        <w:adjustRightInd w:val="0"/>
        <w:snapToGrid w:val="0"/>
        <w:spacing w:line="460" w:lineRule="exact"/>
        <w:ind w:firstLine="420" w:firstLineChars="200"/>
        <w:rPr>
          <w:rFonts w:hint="eastAsia" w:ascii="宋体" w:hAnsi="宋体"/>
        </w:rPr>
      </w:pPr>
      <w:r>
        <w:rPr>
          <w:rFonts w:hint="eastAsia" w:ascii="宋体" w:hAnsi="宋体"/>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pPr>
        <w:adjustRightInd w:val="0"/>
        <w:snapToGrid w:val="0"/>
        <w:spacing w:line="460" w:lineRule="exact"/>
        <w:ind w:firstLine="420" w:firstLineChars="200"/>
        <w:rPr>
          <w:rFonts w:hint="eastAsia" w:ascii="宋体" w:hAnsi="宋体"/>
        </w:rPr>
      </w:pPr>
      <w:r>
        <w:rPr>
          <w:rFonts w:hint="eastAsia" w:ascii="宋体" w:hAnsi="宋体"/>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460" w:lineRule="exact"/>
        <w:ind w:firstLine="420" w:firstLineChars="200"/>
        <w:rPr>
          <w:rFonts w:hint="eastAsia" w:ascii="宋体" w:hAnsi="宋体"/>
        </w:rPr>
      </w:pPr>
      <w:r>
        <w:rPr>
          <w:rFonts w:hint="eastAsia" w:ascii="宋体" w:hAnsi="宋体"/>
        </w:rPr>
        <w:t>5、投标方应当向招标方提供货物试验、验收的有关标准、规范和方法，同时提供货物涉及并使用的软件合法性证明。</w:t>
      </w:r>
    </w:p>
    <w:p>
      <w:pPr>
        <w:adjustRightInd w:val="0"/>
        <w:snapToGrid w:val="0"/>
        <w:spacing w:line="460" w:lineRule="exact"/>
        <w:ind w:firstLine="420" w:firstLineChars="200"/>
        <w:rPr>
          <w:rFonts w:hint="eastAsia" w:ascii="宋体" w:hAnsi="宋体"/>
        </w:rPr>
      </w:pPr>
      <w:r>
        <w:rPr>
          <w:rFonts w:hint="eastAsia" w:ascii="宋体" w:hAnsi="宋体"/>
        </w:rPr>
        <w:t>6、服务缺陷视同货物缺陷和履约延期。</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三、售后服务</w:t>
      </w:r>
    </w:p>
    <w:p>
      <w:pPr>
        <w:adjustRightInd w:val="0"/>
        <w:snapToGrid w:val="0"/>
        <w:spacing w:line="460" w:lineRule="exact"/>
        <w:ind w:firstLine="420" w:firstLineChars="200"/>
        <w:rPr>
          <w:rFonts w:hint="eastAsia" w:ascii="宋体" w:hAnsi="宋体"/>
        </w:rPr>
      </w:pPr>
      <w:r>
        <w:rPr>
          <w:rFonts w:hint="eastAsia" w:ascii="宋体" w:hAnsi="宋体"/>
        </w:rPr>
        <w:t>1、投标方提供的设备涉及的所有售后服务均由投标方负责。如果发生问题并且收到通知，投标方应当在2小时内予以答复。</w:t>
      </w:r>
    </w:p>
    <w:p>
      <w:pPr>
        <w:adjustRightInd w:val="0"/>
        <w:snapToGrid w:val="0"/>
        <w:spacing w:line="460" w:lineRule="exact"/>
        <w:ind w:firstLine="420" w:firstLineChars="200"/>
        <w:rPr>
          <w:rFonts w:hint="eastAsia" w:ascii="宋体" w:hAnsi="宋体"/>
        </w:rPr>
      </w:pPr>
      <w:r>
        <w:rPr>
          <w:rFonts w:hint="eastAsia" w:ascii="宋体" w:hAnsi="宋体"/>
        </w:rPr>
        <w:t>2、如发现所提供的设备存在问题，需要投标方解决或配合解决时：在质保期之内，应在接到通知后</w:t>
      </w:r>
      <w:r>
        <w:rPr>
          <w:rFonts w:hint="eastAsia" w:ascii="宋体" w:hAnsi="宋体"/>
          <w:u w:val="single"/>
          <w:shd w:val="pct10" w:color="auto" w:fill="FFFFFF"/>
        </w:rPr>
        <w:t xml:space="preserve">  24    </w:t>
      </w:r>
      <w:r>
        <w:rPr>
          <w:rFonts w:hint="eastAsia" w:ascii="宋体" w:hAnsi="宋体"/>
        </w:rPr>
        <w:t>小时内派有关人员到达现场；在质保期之外，应在接到通知后</w:t>
      </w:r>
      <w:r>
        <w:rPr>
          <w:rFonts w:hint="eastAsia" w:ascii="宋体" w:hAnsi="宋体"/>
          <w:u w:val="single"/>
          <w:shd w:val="pct10" w:color="auto" w:fill="FFFFFF"/>
        </w:rPr>
        <w:t xml:space="preserve">  24   </w:t>
      </w:r>
      <w:r>
        <w:rPr>
          <w:rFonts w:hint="eastAsia" w:ascii="宋体" w:hAnsi="宋体"/>
        </w:rPr>
        <w:t>小时内派有关人员到达现场。</w:t>
      </w:r>
    </w:p>
    <w:p>
      <w:pPr>
        <w:adjustRightInd w:val="0"/>
        <w:snapToGrid w:val="0"/>
        <w:spacing w:line="460" w:lineRule="exact"/>
        <w:ind w:firstLine="420" w:firstLineChars="200"/>
        <w:rPr>
          <w:rFonts w:hint="eastAsia" w:ascii="宋体" w:hAnsi="宋体"/>
        </w:rPr>
      </w:pPr>
      <w:r>
        <w:rPr>
          <w:rFonts w:hint="eastAsia" w:ascii="宋体" w:hAnsi="宋体"/>
        </w:rPr>
        <w:t>3、投标方派往招标方使用现场的人员，应具有较高的业务素质；现场解决问题时，不得无故拖延或推迟，应为招标方提供最佳的服务。</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四、其它服务</w:t>
      </w:r>
    </w:p>
    <w:p>
      <w:pPr>
        <w:adjustRightInd w:val="0"/>
        <w:snapToGrid w:val="0"/>
        <w:spacing w:line="460" w:lineRule="exact"/>
        <w:ind w:firstLine="420" w:firstLineChars="200"/>
        <w:rPr>
          <w:rFonts w:hint="eastAsia" w:ascii="宋体" w:hAnsi="宋体"/>
        </w:rPr>
      </w:pPr>
      <w:r>
        <w:rPr>
          <w:rFonts w:hint="eastAsia" w:ascii="宋体" w:hAnsi="宋体"/>
        </w:rPr>
        <w:t>1、若投标方所提供设备有需要进口的，投标方一般应自行、自费办理；必要时，买卖双方共同办理。</w:t>
      </w:r>
    </w:p>
    <w:p>
      <w:pPr>
        <w:adjustRightInd w:val="0"/>
        <w:snapToGrid w:val="0"/>
        <w:spacing w:line="460" w:lineRule="exact"/>
        <w:ind w:firstLine="420" w:firstLineChars="200"/>
        <w:rPr>
          <w:rFonts w:hint="eastAsia" w:ascii="宋体" w:hAnsi="宋体"/>
        </w:rPr>
      </w:pPr>
      <w:r>
        <w:rPr>
          <w:rFonts w:hint="eastAsia" w:ascii="宋体" w:hAnsi="宋体"/>
        </w:rPr>
        <w:t>2、除招标文件、投标文件、答疑文件、技术协议、合同等约定之外，投标方应免费负责必要的或强制性的设备的检验、试验、化验等直接费用。</w:t>
      </w:r>
    </w:p>
    <w:p>
      <w:pPr>
        <w:spacing w:line="520" w:lineRule="exact"/>
        <w:ind w:firstLine="420" w:firstLineChars="200"/>
        <w:rPr>
          <w:rFonts w:hint="eastAsia"/>
        </w:rPr>
      </w:pPr>
      <w:r>
        <w:rPr>
          <w:rFonts w:hint="eastAsia" w:ascii="宋体" w:hAnsi="宋体"/>
        </w:rPr>
        <w:t>3、本章节条款所列“免费”，并非指定不可收费，而是指招标文件、投标文件、</w:t>
      </w:r>
      <w:r>
        <w:rPr>
          <w:rFonts w:hint="eastAsia"/>
        </w:rPr>
        <w:t>答疑文件、技术交流文件、技术协议书和合同等范围之外，投标方不可另行收取的费用。</w:t>
      </w:r>
    </w:p>
    <w:p>
      <w:pPr>
        <w:spacing w:line="480" w:lineRule="exact"/>
        <w:ind w:firstLine="420" w:firstLineChars="200"/>
        <w:rPr>
          <w:rFonts w:hint="eastAsia" w:ascii="宋体" w:hAnsi="宋体"/>
        </w:rPr>
      </w:pPr>
    </w:p>
    <w:p>
      <w:pPr>
        <w:pStyle w:val="3"/>
        <w:spacing w:before="120" w:after="120" w:line="480" w:lineRule="exact"/>
        <w:jc w:val="center"/>
        <w:outlineLvl w:val="0"/>
        <w:rPr>
          <w:rFonts w:hint="eastAsia" w:ascii="黑体" w:eastAsia="黑体"/>
          <w:b w:val="0"/>
          <w:sz w:val="24"/>
          <w:szCs w:val="24"/>
        </w:rPr>
      </w:pPr>
      <w:r>
        <w:rPr>
          <w:rFonts w:ascii="宋体" w:hAnsi="宋体"/>
        </w:rPr>
        <w:br w:type="page"/>
      </w:r>
      <w:bookmarkStart w:id="74" w:name="_Toc21539"/>
      <w:bookmarkStart w:id="75" w:name="_Toc9060"/>
      <w:bookmarkStart w:id="76" w:name="_Toc19419"/>
      <w:bookmarkStart w:id="77" w:name="_Toc137705873"/>
      <w:bookmarkStart w:id="78" w:name="_Toc23200"/>
      <w:r>
        <w:rPr>
          <w:rFonts w:hint="eastAsia" w:ascii="黑体" w:eastAsia="黑体"/>
          <w:b w:val="0"/>
          <w:sz w:val="24"/>
          <w:szCs w:val="24"/>
        </w:rPr>
        <w:t>第五章  预验收和终验收</w:t>
      </w:r>
      <w:bookmarkEnd w:id="74"/>
      <w:bookmarkEnd w:id="75"/>
      <w:bookmarkEnd w:id="76"/>
      <w:bookmarkEnd w:id="77"/>
      <w:bookmarkEnd w:id="78"/>
    </w:p>
    <w:p>
      <w:pPr>
        <w:spacing w:line="480" w:lineRule="exact"/>
        <w:ind w:firstLine="420" w:firstLineChars="200"/>
        <w:rPr>
          <w:rFonts w:hint="eastAsia" w:ascii="黑体" w:hAnsi="宋体" w:eastAsia="黑体"/>
        </w:rPr>
      </w:pPr>
      <w:r>
        <w:rPr>
          <w:rFonts w:hint="eastAsia" w:ascii="黑体" w:hAnsi="宋体" w:eastAsia="黑体"/>
        </w:rPr>
        <w:t>一、验收的一般约定</w:t>
      </w:r>
    </w:p>
    <w:p>
      <w:pPr>
        <w:spacing w:line="480" w:lineRule="exact"/>
        <w:ind w:firstLine="420" w:firstLineChars="200"/>
        <w:rPr>
          <w:rFonts w:hint="eastAsia" w:ascii="宋体" w:hAnsi="宋体"/>
        </w:rPr>
      </w:pPr>
      <w:r>
        <w:rPr>
          <w:rFonts w:hint="eastAsia" w:ascii="宋体" w:hAnsi="宋体"/>
        </w:rPr>
        <w:t>1、验收标准一般以技术协议书和合同规定验收。</w:t>
      </w:r>
    </w:p>
    <w:p>
      <w:pPr>
        <w:adjustRightInd w:val="0"/>
        <w:snapToGrid w:val="0"/>
        <w:spacing w:line="460" w:lineRule="exact"/>
        <w:ind w:firstLine="420" w:firstLineChars="200"/>
        <w:rPr>
          <w:rFonts w:hint="eastAsia" w:ascii="宋体" w:hAnsi="宋体"/>
        </w:rPr>
      </w:pPr>
      <w:r>
        <w:rPr>
          <w:rFonts w:hint="eastAsia" w:ascii="宋体" w:hAnsi="宋体"/>
        </w:rPr>
        <w:t>2、如果验收过程中，发现招标文件、投标文件、答疑文件、技术交流文件等与技术协议书、合同存在差异，原则上以涉及条款中对招标方最有利条款为验收依据。</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二、检验</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如果采购货物涉及必要的或必需的检验，投标方应当在投标档中明确可能涉及的检验费用，并将该费用包含在投标总报价之内；不作针对性澄清或说明的，视同包含在投标总价之内。基本约定如下：</w:t>
      </w:r>
    </w:p>
    <w:p>
      <w:pPr>
        <w:adjustRightInd w:val="0"/>
        <w:snapToGrid w:val="0"/>
        <w:spacing w:line="460" w:lineRule="exact"/>
        <w:ind w:firstLine="420" w:firstLineChars="200"/>
        <w:rPr>
          <w:rFonts w:hint="eastAsia" w:ascii="宋体" w:hAnsi="宋体"/>
        </w:rPr>
      </w:pPr>
      <w:r>
        <w:rPr>
          <w:rFonts w:hint="eastAsia" w:ascii="宋体" w:hAnsi="宋体"/>
        </w:rPr>
        <w:t>1、国产货物的检验由买卖双方按照合同要求或在制造现场进行。</w:t>
      </w:r>
    </w:p>
    <w:p>
      <w:pPr>
        <w:adjustRightInd w:val="0"/>
        <w:snapToGrid w:val="0"/>
        <w:spacing w:line="460" w:lineRule="exact"/>
        <w:ind w:firstLine="420" w:firstLineChars="200"/>
        <w:rPr>
          <w:rFonts w:hint="eastAsia" w:ascii="宋体" w:hAnsi="宋体"/>
        </w:rPr>
      </w:pPr>
      <w:r>
        <w:rPr>
          <w:rFonts w:hint="eastAsia" w:ascii="宋体" w:hAnsi="宋体"/>
        </w:rPr>
        <w:t>2、进口货物的检验，投标方需要按照下述要求进行：</w:t>
      </w:r>
    </w:p>
    <w:p>
      <w:pPr>
        <w:adjustRightInd w:val="0"/>
        <w:snapToGrid w:val="0"/>
        <w:spacing w:line="460" w:lineRule="exact"/>
        <w:ind w:firstLine="420" w:firstLineChars="200"/>
        <w:rPr>
          <w:rFonts w:ascii="宋体" w:hAnsi="宋体"/>
        </w:rPr>
      </w:pPr>
      <w:r>
        <w:rPr>
          <w:rFonts w:hint="eastAsia" w:ascii="宋体" w:hAnsi="宋体"/>
        </w:rPr>
        <w:t>2.1  进口货物发货前，应对货物的质量、型号、规格、性能和数量/重量作精密、全面的检验，并出具证明书，证明所供货物符合合同规定。</w:t>
      </w:r>
    </w:p>
    <w:p>
      <w:pPr>
        <w:adjustRightInd w:val="0"/>
        <w:snapToGrid w:val="0"/>
        <w:spacing w:line="460" w:lineRule="exact"/>
        <w:ind w:firstLine="420" w:firstLineChars="200"/>
        <w:rPr>
          <w:rFonts w:ascii="宋体" w:hAnsi="宋体"/>
        </w:rPr>
      </w:pPr>
      <w:r>
        <w:rPr>
          <w:rFonts w:hint="eastAsia" w:ascii="宋体" w:hAnsi="宋体"/>
        </w:rPr>
        <w:t>2.2  应依据合同规定的要求，提供买卖双方达成一致的货物的验收标准和装箱单，作为招标方检验的依据。</w:t>
      </w:r>
    </w:p>
    <w:p>
      <w:pPr>
        <w:adjustRightInd w:val="0"/>
        <w:snapToGrid w:val="0"/>
        <w:spacing w:line="460" w:lineRule="exact"/>
        <w:ind w:firstLine="420" w:firstLineChars="200"/>
        <w:rPr>
          <w:rFonts w:hint="eastAsia" w:ascii="宋体" w:hAnsi="宋体"/>
        </w:rPr>
      </w:pPr>
      <w:r>
        <w:rPr>
          <w:rFonts w:hint="eastAsia" w:ascii="宋体" w:hAnsi="宋体"/>
        </w:rPr>
        <w:t>2.3  进口货物到达目的地后，招标方有权申请中国商品检验检疫局进行检验，如发现货物的品质及规格与合同或发票不符，除招标方的责任外，招标方有权在货物到达卸货目的地后18</w:t>
      </w:r>
      <w:r>
        <w:rPr>
          <w:rFonts w:ascii="宋体" w:hAnsi="宋体"/>
        </w:rPr>
        <w:t>0</w:t>
      </w:r>
      <w:r>
        <w:rPr>
          <w:rFonts w:hint="eastAsia" w:ascii="宋体" w:hAnsi="宋体"/>
        </w:rPr>
        <w:t>个日历日内，根据中国商品检验检疫局出具的证明书向投标方提出索赔，因索赔所发生的一切费用</w:t>
      </w:r>
      <w:r>
        <w:rPr>
          <w:rFonts w:ascii="宋体" w:hAnsi="宋体"/>
        </w:rPr>
        <w:t>(</w:t>
      </w:r>
      <w:r>
        <w:rPr>
          <w:rFonts w:hint="eastAsia" w:ascii="宋体" w:hAnsi="宋体"/>
        </w:rPr>
        <w:t>包括检验检疫费等</w:t>
      </w:r>
      <w:r>
        <w:rPr>
          <w:rFonts w:ascii="宋体" w:hAnsi="宋体"/>
        </w:rPr>
        <w:t>)</w:t>
      </w:r>
      <w:r>
        <w:rPr>
          <w:rFonts w:hint="eastAsia" w:ascii="宋体" w:hAnsi="宋体"/>
        </w:rPr>
        <w:t>均由投标方承担。</w:t>
      </w:r>
    </w:p>
    <w:p>
      <w:pPr>
        <w:spacing w:line="420" w:lineRule="exact"/>
        <w:ind w:firstLine="480" w:firstLineChars="200"/>
        <w:rPr>
          <w:rFonts w:hint="eastAsia" w:ascii="黑体" w:hAnsi="黑体" w:eastAsia="黑体" w:cs="黑体"/>
          <w:color w:val="000000"/>
          <w:sz w:val="24"/>
          <w:szCs w:val="20"/>
        </w:rPr>
      </w:pPr>
      <w:r>
        <w:rPr>
          <w:rFonts w:hint="eastAsia" w:ascii="黑体" w:hAnsi="黑体" w:eastAsia="黑体" w:cs="黑体"/>
          <w:color w:val="000000"/>
          <w:sz w:val="24"/>
          <w:szCs w:val="20"/>
        </w:rPr>
        <w:t>三、验收基本条件</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买卖双方按照合同约定执行了合同，同时货物完成了试运行并经检验合格，则具备验收条件。</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1、预验收一般条件</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1.1  卖方已经按照“供货范围”要求提供了预验收资料，并且资料齐全、完整和有效。</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 xml:space="preserve">  货物应完整且所有的零部件应该安装牢固，外观无损伤，所有的焊缝饱满、无残渣等缺陷。</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3</w:t>
      </w:r>
      <w:r>
        <w:rPr>
          <w:rFonts w:hint="eastAsia" w:ascii="Times New Roman" w:hAnsi="Times New Roman" w:eastAsia="宋体" w:cs="Times New Roman"/>
          <w:color w:val="000000"/>
          <w:sz w:val="24"/>
          <w:szCs w:val="20"/>
        </w:rPr>
        <w:t xml:space="preserve">  一般情况下，所有的管路和线缆等，接头应完全正确、可靠地联接；应排列有序（正确、牢固、整齐），有必要的防护，无皱褶、收缩和裂缝等不良现象。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  使用的压力容器、电气等应具备合格证（如果有压力容器）。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  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  货物标牌完整、清晰、明确。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  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  设备（或材料）应运行灵活、稳定、可靠、安全，无异常声音和非正常振动，设备不允许出现漏水、漏液、漏气（汽）、漏电。</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2、预验收基本要求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设备构成、备件齐全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设备技术原理符合标书要求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预验收原则上要求一次完成。若一次验收不成功，最多允许两次；如果出现第三次验收失败，重新作价或退货；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3、终验收一般条件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3.1</w:t>
      </w:r>
      <w:r>
        <w:rPr>
          <w:rFonts w:hint="eastAsia" w:ascii="宋体" w:hAnsi="宋体" w:eastAsia="宋体" w:cs="宋体"/>
          <w:sz w:val="24"/>
          <w:szCs w:val="24"/>
        </w:rPr>
        <w:t>依据招标档、投标档、答疑档、技术交流档等形成并达成一致的技术协议书和合同规定的终验收条件验收。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3.2</w:t>
      </w:r>
      <w:r>
        <w:rPr>
          <w:rFonts w:hint="eastAsia" w:ascii="宋体" w:hAnsi="宋体" w:eastAsia="宋体" w:cs="宋体"/>
          <w:sz w:val="24"/>
          <w:szCs w:val="24"/>
        </w:rPr>
        <w:t>出现下列问题之一，视作验收失败：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3.2.1 设备验收时，其参数无法满足招标书中的技术要求。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3.2.2 在整个验收过程中发生关键零部件损坏或重大故障；</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3.2.3 更换的零部件货值超过总货值的1%。</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累计负载运行实际性能（或生产率）达不到合同规定；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 终验收通过后买卖双方共同签署终验收报告，并移交、核对全部供货范围内物品。</w:t>
      </w:r>
    </w:p>
    <w:p>
      <w:pPr>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4、验收标准</w:t>
      </w:r>
    </w:p>
    <w:p>
      <w:pPr>
        <w:adjustRightInd w:val="0"/>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4.1供货范围 从设备到货开始到验收阶段，收集整个设备的到货资料，包含收货单、到货卸货的照片及视频等资料。</w:t>
      </w:r>
    </w:p>
    <w:p>
      <w:pPr>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4.2设备外观与结构  </w:t>
      </w:r>
    </w:p>
    <w:p>
      <w:pPr>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设备及其附件完整无缺，设备安全警示标识清晰，设备铭牌信息完整，按钮、指示灯等标识明确易于识别。</w:t>
      </w:r>
    </w:p>
    <w:p>
      <w:pPr>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4.2设备性能</w:t>
      </w:r>
    </w:p>
    <w:p>
      <w:pPr>
        <w:adjustRightInd w:val="0"/>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4.2.1设备功能 安装调试阶段进行，检查设备的各项功能是否满足技术协议的要求；检查各功能模块是否正常运行，有无异常；测试节拍是否满足技术协议要求。</w:t>
      </w:r>
    </w:p>
    <w:p>
      <w:pPr>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4.2.2设备性能 在调试阶段，检查设备运行的稳定性，振动、噪音、温度、风量等参数是否满足要求；检查能能源消耗及能源指标是否符合指标要求。</w:t>
      </w:r>
    </w:p>
    <w:p>
      <w:pPr>
        <w:adjustRightInd w:val="0"/>
        <w:snapToGrid w:val="0"/>
        <w:spacing w:line="360" w:lineRule="auto"/>
        <w:ind w:firstLine="480" w:firstLineChars="200"/>
        <w:rPr>
          <w:rFonts w:hint="eastAsia" w:ascii="宋体" w:hAnsi="宋体"/>
        </w:rPr>
      </w:pPr>
      <w:r>
        <w:rPr>
          <w:rFonts w:hint="eastAsia" w:ascii="宋体" w:hAnsi="宋体" w:eastAsia="宋体" w:cs="宋体"/>
          <w:sz w:val="24"/>
          <w:szCs w:val="24"/>
          <w:lang w:val="en-US" w:eastAsia="zh-CN"/>
        </w:rPr>
        <w:t>4.2.3安全性验收 在安装调试及验收阶段，检查电气接地、设备防护、急停、安全互锁是否满足技术协议要求。</w:t>
      </w:r>
    </w:p>
    <w:p>
      <w:pPr>
        <w:pStyle w:val="3"/>
        <w:spacing w:before="120" w:after="120" w:line="480" w:lineRule="exact"/>
        <w:jc w:val="center"/>
        <w:rPr>
          <w:rFonts w:hint="eastAsia" w:ascii="黑体" w:hAnsi="Times New Roman" w:eastAsia="黑体" w:cs="Times New Roman"/>
          <w:b w:val="0"/>
          <w:bCs w:val="0"/>
          <w:sz w:val="24"/>
          <w:szCs w:val="24"/>
        </w:rPr>
      </w:pPr>
      <w:r>
        <w:rPr>
          <w:rFonts w:ascii="宋体" w:hAnsi="宋体"/>
        </w:rPr>
        <w:br w:type="page"/>
      </w:r>
      <w:r>
        <w:rPr>
          <w:rFonts w:hint="eastAsia" w:ascii="黑体" w:hAnsi="Times New Roman" w:eastAsia="黑体" w:cs="Times New Roman"/>
          <w:b w:val="0"/>
          <w:bCs w:val="0"/>
          <w:sz w:val="24"/>
          <w:szCs w:val="24"/>
        </w:rPr>
        <w:t>第</w:t>
      </w:r>
      <w:r>
        <w:rPr>
          <w:rFonts w:hint="eastAsia" w:ascii="黑体" w:hAnsi="Times New Roman" w:eastAsia="黑体" w:cs="Times New Roman"/>
          <w:b w:val="0"/>
          <w:bCs w:val="0"/>
          <w:sz w:val="24"/>
          <w:szCs w:val="24"/>
          <w:lang w:val="en-US" w:eastAsia="zh-CN"/>
        </w:rPr>
        <w:t>六</w:t>
      </w:r>
      <w:r>
        <w:rPr>
          <w:rFonts w:hint="eastAsia" w:ascii="黑体" w:hAnsi="Times New Roman" w:eastAsia="黑体" w:cs="Times New Roman"/>
          <w:b w:val="0"/>
          <w:bCs w:val="0"/>
          <w:sz w:val="24"/>
          <w:szCs w:val="24"/>
        </w:rPr>
        <w:t>章  投标技术档一般要求</w:t>
      </w:r>
    </w:p>
    <w:p>
      <w:pPr>
        <w:spacing w:line="480" w:lineRule="exact"/>
        <w:ind w:firstLine="420" w:firstLineChars="200"/>
        <w:rPr>
          <w:rFonts w:hint="eastAsia" w:ascii="黑体" w:hAnsi="宋体" w:eastAsia="黑体" w:cs="Times New Roman"/>
        </w:rPr>
      </w:pPr>
      <w:r>
        <w:rPr>
          <w:rFonts w:hint="eastAsia" w:ascii="黑体" w:hAnsi="宋体" w:eastAsia="黑体" w:cs="Times New Roman"/>
        </w:rPr>
        <w:t>一、技术档一般内容要求</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1、投标方应认真阅读招标档和本技术标书，并按要求编写投标技术档。</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2、投标技术档至少应对投标货物的功能用途、技术性能、质量标准、技术参数等作出详细说明。</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3、投标技术档至少应根据投标货物的关键设备、总成、零部件或系统作出满足或优于招标档要求的详细说明。</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4、投标技术档至少应按照招标档要求（或投标方建议）列明备品备件、易损件和专用耗材明细。</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5、投标方应当而且必须分别说明所列备品备件、易损件和专用耗材的使用寿命（以有效工作小时数说明）。</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6、“开标一览表”和“明细表”仅作为投标方编制投标技术档的一般格式。其中序号编写应当便于招标方了解分类或分项货物之间的所属关系，如1、1.1、1.2。</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7、应当尽可能将货物的配置列全、列细，这将有助于投标方胜出。</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8、单价与总价之间、总价与分类小计价之间、分类小计价与合计价之间数据应当齐全而且准确。</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9、本条款表格中的制造商，应当为全称或公认的简称。</w:t>
      </w:r>
    </w:p>
    <w:p>
      <w:pPr>
        <w:spacing w:line="420" w:lineRule="exact"/>
        <w:ind w:firstLine="480" w:firstLineChars="200"/>
        <w:rPr>
          <w:rFonts w:hint="eastAsia" w:ascii="黑体" w:hAnsi="黑体" w:eastAsia="黑体" w:cs="黑体"/>
          <w:color w:val="000000"/>
          <w:sz w:val="24"/>
          <w:szCs w:val="20"/>
        </w:rPr>
      </w:pPr>
      <w:r>
        <w:rPr>
          <w:rFonts w:hint="eastAsia" w:ascii="黑体" w:hAnsi="黑体" w:eastAsia="黑体" w:cs="黑体"/>
          <w:color w:val="000000"/>
          <w:sz w:val="24"/>
          <w:szCs w:val="20"/>
        </w:rPr>
        <w:t>二、技术档中货物报价格式要求</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2、如果投标总报价与其它价格出现错误或不一致，将有可能导致废标。</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3、投标总报价为自合同签定生效至合同无异议执行完毕涉及的买方需要支付的全部费用。如投标方认为本招标及投标货物涉及特需或专门的设计，应当单独列明设计费。</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4、要求投标总报价、分项报价、明细报价之间应当具有相互间对应关系以及填报分项和明细报价，仅为便于评标而不妨碍投标人以最合适的形式签署合同。</w:t>
      </w:r>
    </w:p>
    <w:p>
      <w:pPr>
        <w:spacing w:line="420" w:lineRule="exact"/>
        <w:ind w:firstLine="480" w:firstLineChars="200"/>
        <w:rPr>
          <w:rFonts w:hint="eastAsia" w:ascii="黑体" w:hAnsi="黑体" w:eastAsia="黑体" w:cs="黑体"/>
          <w:color w:val="000000"/>
          <w:sz w:val="24"/>
          <w:szCs w:val="20"/>
        </w:rPr>
      </w:pPr>
      <w:r>
        <w:rPr>
          <w:rFonts w:hint="eastAsia" w:ascii="黑体" w:hAnsi="黑体" w:eastAsia="黑体" w:cs="黑体"/>
          <w:color w:val="000000"/>
          <w:sz w:val="24"/>
          <w:szCs w:val="20"/>
        </w:rPr>
        <w:t>三、验收标准及内容要求</w:t>
      </w:r>
    </w:p>
    <w:p>
      <w:pPr>
        <w:spacing w:line="520" w:lineRule="exact"/>
        <w:ind w:firstLine="417" w:firstLineChars="199"/>
        <w:rPr>
          <w:rFonts w:hint="eastAsia" w:ascii="宋体" w:hAnsi="宋体" w:eastAsia="宋体" w:cs="Times New Roman"/>
        </w:rPr>
      </w:pPr>
      <w:r>
        <w:rPr>
          <w:rFonts w:hint="eastAsia" w:ascii="宋体" w:hAnsi="宋体" w:eastAsia="宋体" w:cs="Times New Roman"/>
        </w:rPr>
        <w:t>除招标档明确的验收标准或内容之外，投标方应当在投标档中提供预验收（必要时）和终验收的标准以及规程；在合同签定之前，经投标方和招标方双方洽谈确认并签署，以作为验收标准执行。</w:t>
      </w:r>
    </w:p>
    <w:p>
      <w:pPr>
        <w:pStyle w:val="3"/>
        <w:spacing w:before="120" w:after="120" w:line="480" w:lineRule="exact"/>
        <w:jc w:val="center"/>
        <w:rPr>
          <w:rFonts w:hint="eastAsia" w:ascii="黑体" w:eastAsia="黑体"/>
          <w:b w:val="0"/>
          <w:sz w:val="24"/>
          <w:szCs w:val="24"/>
        </w:rPr>
      </w:pPr>
      <w:bookmarkStart w:id="79" w:name="_Toc137705875"/>
      <w:bookmarkStart w:id="80" w:name="_Toc15099"/>
      <w:bookmarkStart w:id="81" w:name="_Toc6037"/>
      <w:bookmarkStart w:id="82" w:name="_Toc31849"/>
      <w:bookmarkStart w:id="83" w:name="_Toc5388"/>
      <w:r>
        <w:rPr>
          <w:rFonts w:hint="eastAsia" w:ascii="黑体" w:eastAsia="黑体"/>
          <w:b w:val="0"/>
          <w:sz w:val="24"/>
          <w:szCs w:val="24"/>
        </w:rPr>
        <w:br w:type="page"/>
      </w:r>
      <w:r>
        <w:rPr>
          <w:rFonts w:hint="eastAsia" w:ascii="黑体" w:eastAsia="黑体"/>
          <w:b w:val="0"/>
          <w:sz w:val="24"/>
          <w:szCs w:val="24"/>
        </w:rPr>
        <w:t>第七章  其它要求及说明</w:t>
      </w:r>
      <w:bookmarkEnd w:id="79"/>
      <w:bookmarkEnd w:id="80"/>
      <w:bookmarkEnd w:id="81"/>
      <w:bookmarkEnd w:id="82"/>
      <w:bookmarkEnd w:id="83"/>
    </w:p>
    <w:p>
      <w:pPr>
        <w:spacing w:line="480" w:lineRule="exact"/>
        <w:ind w:firstLine="420" w:firstLineChars="200"/>
        <w:rPr>
          <w:rFonts w:hint="eastAsia" w:ascii="黑体" w:hAnsi="宋体" w:eastAsia="黑体"/>
        </w:rPr>
      </w:pPr>
      <w:r>
        <w:rPr>
          <w:rFonts w:hint="eastAsia" w:ascii="黑体" w:hAnsi="宋体" w:eastAsia="黑体"/>
        </w:rPr>
        <w:t>一、要求</w:t>
      </w:r>
    </w:p>
    <w:p>
      <w:pPr>
        <w:pStyle w:val="21"/>
        <w:rPr>
          <w:rFonts w:hint="eastAsia"/>
        </w:rPr>
      </w:pPr>
      <w:r>
        <w:rPr>
          <w:rFonts w:hint="eastAsia"/>
        </w:rPr>
        <w:t>为保证本技术标书所列采购设备的质量以及先进性、可靠性、经济性和实用性，要求投标方在投标文件中，至少应具备以下资格证明文件或资料：</w:t>
      </w:r>
    </w:p>
    <w:p>
      <w:pPr>
        <w:spacing w:line="520" w:lineRule="exact"/>
        <w:ind w:firstLine="417" w:firstLineChars="199"/>
        <w:rPr>
          <w:rFonts w:hint="eastAsia" w:ascii="宋体" w:hAnsi="宋体"/>
        </w:rPr>
      </w:pPr>
      <w:r>
        <w:rPr>
          <w:rFonts w:hint="eastAsia" w:ascii="宋体" w:hAnsi="宋体"/>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520" w:lineRule="exact"/>
        <w:ind w:firstLine="417" w:firstLineChars="199"/>
        <w:rPr>
          <w:rFonts w:hint="eastAsia"/>
        </w:rPr>
      </w:pPr>
      <w:r>
        <w:rPr>
          <w:rFonts w:hint="eastAsia" w:ascii="宋体" w:hAnsi="宋体"/>
        </w:rPr>
        <w:t>2、投标方应当是通过有关资格认证的法人。应当在投标文件中提供有效期内的资格认证证</w:t>
      </w:r>
      <w:r>
        <w:rPr>
          <w:rFonts w:hint="eastAsia"/>
        </w:rPr>
        <w:t>书，如：ISO9001、VDA6.1、QS9000等。</w:t>
      </w:r>
    </w:p>
    <w:p>
      <w:pPr>
        <w:spacing w:line="520" w:lineRule="exact"/>
        <w:ind w:firstLine="417" w:firstLineChars="199"/>
        <w:rPr>
          <w:rFonts w:hint="eastAsia" w:ascii="宋体" w:hAnsi="宋体"/>
        </w:rPr>
      </w:pPr>
      <w:r>
        <w:rPr>
          <w:rFonts w:hint="eastAsia" w:ascii="宋体" w:hAnsi="宋体"/>
        </w:rPr>
        <w:t>3、国产设备应附有采购设备涉及的由“中国质量认证中心”颁发的《中国国家强制性产品认证证书》（CCC证书）。</w:t>
      </w:r>
    </w:p>
    <w:p>
      <w:pPr>
        <w:spacing w:line="520" w:lineRule="exact"/>
        <w:ind w:firstLine="417" w:firstLineChars="199"/>
        <w:rPr>
          <w:rFonts w:hint="eastAsia" w:ascii="宋体" w:hAnsi="宋体"/>
        </w:rPr>
      </w:pPr>
      <w:r>
        <w:rPr>
          <w:rFonts w:hint="eastAsia" w:ascii="宋体" w:hAnsi="宋体"/>
        </w:rPr>
        <w:t>4、应附有其它与投标单位、采购货物有关的荣誉证书或资料。</w:t>
      </w:r>
    </w:p>
    <w:p>
      <w:pPr>
        <w:spacing w:line="520" w:lineRule="exact"/>
        <w:ind w:firstLine="417" w:firstLineChars="199"/>
        <w:rPr>
          <w:rFonts w:hint="eastAsia" w:ascii="宋体" w:hAnsi="宋体"/>
        </w:rPr>
      </w:pPr>
      <w:r>
        <w:rPr>
          <w:rFonts w:hint="eastAsia" w:ascii="宋体" w:hAnsi="宋体"/>
        </w:rPr>
        <w:t>5、必须附有投标货物涉及产品要求的、国家或行业管理规定要求的、或者投标方认为能够体现其投标货物合法性及先进性的最高级别的证明材料（投标货物不涉及的除外）：</w:t>
      </w:r>
    </w:p>
    <w:p>
      <w:pPr>
        <w:spacing w:line="520" w:lineRule="exact"/>
        <w:ind w:firstLine="417" w:firstLineChars="199"/>
        <w:rPr>
          <w:rFonts w:hint="eastAsia" w:ascii="宋体" w:hAnsi="宋体"/>
        </w:rPr>
      </w:pPr>
      <w:r>
        <w:rPr>
          <w:rFonts w:hint="eastAsia" w:ascii="宋体" w:hAnsi="宋体"/>
        </w:rPr>
        <w:t>5.1  国家相关机构颁发的有效期之内所必需的《生产许可证》。</w:t>
      </w:r>
    </w:p>
    <w:p>
      <w:pPr>
        <w:spacing w:line="520" w:lineRule="exact"/>
        <w:ind w:firstLine="417" w:firstLineChars="199"/>
        <w:rPr>
          <w:rFonts w:hint="eastAsia" w:ascii="宋体" w:hAnsi="宋体"/>
        </w:rPr>
      </w:pPr>
      <w:r>
        <w:rPr>
          <w:rFonts w:hint="eastAsia" w:ascii="宋体" w:hAnsi="宋体"/>
        </w:rPr>
        <w:t>5.2  产品（或技术）鉴定报告/证书、专利证书或专利许可证书、新技术成果证书等。</w:t>
      </w:r>
    </w:p>
    <w:p>
      <w:pPr>
        <w:spacing w:line="520" w:lineRule="exact"/>
        <w:ind w:firstLine="417" w:firstLineChars="199"/>
        <w:rPr>
          <w:rFonts w:hint="eastAsia" w:ascii="宋体" w:hAnsi="宋体"/>
        </w:rPr>
      </w:pPr>
      <w:r>
        <w:rPr>
          <w:rFonts w:hint="eastAsia" w:ascii="宋体" w:hAnsi="宋体"/>
        </w:rPr>
        <w:t>5.3  产品相关检验、试验报告，如：型式试验检验报告、安全试验检验报告、电弧效应试验报告、噪声检测报告等</w:t>
      </w:r>
    </w:p>
    <w:p>
      <w:pPr>
        <w:spacing w:line="520" w:lineRule="exact"/>
        <w:ind w:firstLine="417" w:firstLineChars="199"/>
        <w:rPr>
          <w:rFonts w:hint="eastAsia" w:ascii="宋体" w:hAnsi="宋体"/>
        </w:rPr>
      </w:pPr>
      <w:r>
        <w:rPr>
          <w:rFonts w:hint="eastAsia" w:ascii="宋体" w:hAnsi="宋体"/>
        </w:rPr>
        <w:t>5.4  其它能够证明所供设备的质量水平、技术水平、安全性水平、节能性水平、环保性水平等相关的其它证明文件或资料、报告等。</w:t>
      </w:r>
    </w:p>
    <w:p>
      <w:pPr>
        <w:spacing w:line="520" w:lineRule="exact"/>
        <w:ind w:firstLine="417" w:firstLineChars="199"/>
        <w:rPr>
          <w:rFonts w:hint="eastAsia" w:ascii="宋体" w:hAnsi="宋体"/>
        </w:rPr>
      </w:pPr>
      <w:r>
        <w:rPr>
          <w:rFonts w:hint="eastAsia" w:ascii="宋体" w:hAnsi="宋体"/>
        </w:rPr>
        <w:t>5.5  该类报告或证明材料对于投标方胜出乃至中标极为重要！</w:t>
      </w:r>
    </w:p>
    <w:p>
      <w:pPr>
        <w:spacing w:line="520" w:lineRule="exact"/>
        <w:ind w:firstLine="417" w:firstLineChars="199"/>
        <w:rPr>
          <w:rFonts w:hint="eastAsia" w:ascii="宋体" w:hAnsi="宋体"/>
        </w:rPr>
      </w:pPr>
      <w:r>
        <w:rPr>
          <w:rFonts w:hint="eastAsia" w:ascii="宋体" w:hAnsi="宋体"/>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pPr>
        <w:spacing w:line="520" w:lineRule="exact"/>
        <w:ind w:firstLine="417" w:firstLineChars="199"/>
        <w:rPr>
          <w:rFonts w:hint="eastAsia" w:ascii="黑体" w:hAnsi="宋体" w:eastAsia="黑体"/>
        </w:rPr>
      </w:pPr>
      <w:r>
        <w:rPr>
          <w:rFonts w:hint="eastAsia" w:ascii="黑体" w:hAnsi="宋体" w:eastAsia="黑体"/>
        </w:rPr>
        <w:t>二、说明</w:t>
      </w:r>
    </w:p>
    <w:p>
      <w:pPr>
        <w:spacing w:line="480" w:lineRule="exact"/>
        <w:ind w:firstLine="420" w:firstLineChars="200"/>
        <w:rPr>
          <w:rFonts w:hint="eastAsia" w:ascii="宋体" w:hAnsi="宋体"/>
        </w:rPr>
      </w:pPr>
      <w:r>
        <w:rPr>
          <w:rFonts w:hint="eastAsia" w:ascii="宋体" w:hAnsi="宋体"/>
        </w:rPr>
        <w:t>1、投标方可以根据自身的技术、经验等优势以及对招标文件和本技术标书的理解，写明对招标方所采购设备的优化方案或建议意见。投标方的这些努力，招标方表示感谢，并将有助于投标方优先胜出。</w:t>
      </w:r>
    </w:p>
    <w:p>
      <w:pPr>
        <w:spacing w:line="480" w:lineRule="exact"/>
        <w:ind w:firstLine="420" w:firstLineChars="200"/>
        <w:rPr>
          <w:rFonts w:hint="eastAsia" w:ascii="宋体" w:hAnsi="宋体"/>
        </w:rPr>
      </w:pPr>
      <w:r>
        <w:rPr>
          <w:rFonts w:hint="eastAsia" w:ascii="宋体" w:hAnsi="宋体"/>
        </w:rPr>
        <w:t>2、即使有建议意见或建议方案，仍应依据招标文件和本技术标书要求，编写符合要求的投标文件。建议方案或建议意见，应以单独篇章或文件，予以说明。</w:t>
      </w:r>
    </w:p>
    <w:p>
      <w:pPr>
        <w:spacing w:line="480" w:lineRule="exact"/>
        <w:ind w:firstLine="420" w:firstLineChars="200"/>
        <w:rPr>
          <w:rFonts w:hint="eastAsia" w:ascii="宋体" w:hAnsi="宋体"/>
        </w:rPr>
      </w:pPr>
      <w:r>
        <w:rPr>
          <w:rFonts w:hint="eastAsia" w:ascii="宋体" w:hAnsi="宋体"/>
        </w:rPr>
        <w:t>3、请投标方仔细阅读“采购货物概况”章节内说明，针对允许分投分中的设备，招标方有权利选择其中优秀设备或服务，作为投标方合同供货范围中的指定选用设备或服务（替代投标方分投而未中标部分）。</w:t>
      </w:r>
    </w:p>
    <w:p>
      <w:pPr>
        <w:spacing w:line="480" w:lineRule="exact"/>
        <w:ind w:firstLine="420" w:firstLineChars="200"/>
        <w:rPr>
          <w:rFonts w:hint="eastAsia" w:ascii="宋体" w:hAnsi="宋体"/>
        </w:rPr>
      </w:pPr>
      <w:r>
        <w:rPr>
          <w:rFonts w:hint="eastAsia" w:ascii="宋体" w:hAnsi="宋体"/>
        </w:rPr>
        <w:t>4、招标文件、投标文件、答疑文件、技术交流文件、技术协议书等，在采购过程全部为有效文件，如有差异，以对招标方最有利的条款为准。</w:t>
      </w:r>
    </w:p>
    <w:p>
      <w:pPr>
        <w:spacing w:line="480" w:lineRule="exact"/>
        <w:ind w:firstLine="420" w:firstLineChars="200"/>
        <w:rPr>
          <w:rFonts w:hint="eastAsia" w:ascii="宋体" w:hAnsi="宋体"/>
        </w:rPr>
      </w:pPr>
      <w:r>
        <w:rPr>
          <w:rFonts w:hint="eastAsia" w:ascii="宋体" w:hAnsi="宋体"/>
        </w:rPr>
        <w:t>5、为避免歧异，本技术标书涉及招投标环节的条款，均将潜在的卖方称为投标方、将买方称为招标方；定标后合同签署环节以及后续的合同执行环节条款，招标方称为买方、投标方中的中标方称为卖方。</w:t>
      </w:r>
    </w:p>
    <w:p>
      <w:pPr>
        <w:spacing w:line="480" w:lineRule="exact"/>
        <w:rPr>
          <w:rFonts w:hint="eastAsia" w:ascii="宋体" w:hAnsi="宋体"/>
        </w:rPr>
      </w:pPr>
    </w:p>
    <w:p>
      <w:pPr>
        <w:spacing w:line="480" w:lineRule="exact"/>
        <w:ind w:firstLine="420" w:firstLineChars="200"/>
        <w:rPr>
          <w:rFonts w:hint="default" w:ascii="宋体" w:hAnsi="宋体" w:eastAsia="宋体"/>
          <w:lang w:val="en-US" w:eastAsia="zh-CN"/>
        </w:rPr>
      </w:pPr>
      <w:r>
        <w:rPr>
          <w:rFonts w:hint="eastAsia" w:ascii="宋体" w:hAnsi="宋体"/>
          <w:b/>
        </w:rPr>
        <w:t xml:space="preserve">技术部分答疑人： </w:t>
      </w:r>
      <w:r>
        <w:rPr>
          <w:rFonts w:hint="eastAsia" w:ascii="宋体" w:hAnsi="宋体"/>
          <w:b/>
          <w:lang w:val="en-US" w:eastAsia="zh-CN"/>
        </w:rPr>
        <w:t>教传英</w:t>
      </w:r>
      <w:r>
        <w:rPr>
          <w:rFonts w:hint="eastAsia" w:ascii="宋体" w:hAnsi="宋体"/>
          <w:b/>
        </w:rPr>
        <w:t xml:space="preserve"> </w:t>
      </w:r>
      <w:r>
        <w:rPr>
          <w:rFonts w:hint="eastAsia" w:ascii="宋体" w:hAnsi="宋体"/>
          <w:b/>
          <w:lang w:val="en-US" w:eastAsia="zh-CN"/>
        </w:rPr>
        <w:t>15253173206</w:t>
      </w:r>
    </w:p>
    <w:p/>
    <w:p/>
    <w:p>
      <w:pPr>
        <w:shd w:val="clear" w:color="auto" w:fill="auto"/>
        <w:spacing w:line="480" w:lineRule="exact"/>
        <w:rPr>
          <w:rFonts w:hint="eastAsia" w:ascii="黑体" w:hAnsi="宋体" w:eastAsia="黑体"/>
          <w:sz w:val="44"/>
          <w:szCs w:val="44"/>
          <w:highlight w:val="none"/>
        </w:rPr>
      </w:pPr>
      <w:bookmarkStart w:id="170" w:name="_GoBack"/>
      <w:bookmarkEnd w:id="170"/>
    </w:p>
    <w:p>
      <w:pPr>
        <w:spacing w:after="0" w:line="360" w:lineRule="auto"/>
        <w:jc w:val="both"/>
        <w:rPr>
          <w:rFonts w:hint="eastAsia" w:ascii="宋体" w:hAnsi="宋体" w:eastAsia="宋体" w:cs="Times New Roman"/>
          <w:b/>
          <w:sz w:val="36"/>
          <w:szCs w:val="36"/>
          <w14:ligatures w14:val="none"/>
        </w:rPr>
        <w:sectPr>
          <w:headerReference r:id="rId12" w:type="default"/>
          <w:footerReference r:id="rId13" w:type="default"/>
          <w:pgSz w:w="11907" w:h="16840"/>
          <w:pgMar w:top="1304" w:right="1418" w:bottom="1304" w:left="1418" w:header="724" w:footer="851" w:gutter="0"/>
          <w:cols w:space="720" w:num="1"/>
          <w:docGrid w:linePitch="290" w:charSpace="-3931"/>
        </w:sectPr>
      </w:pPr>
    </w:p>
    <w:bookmarkEnd w:id="25"/>
    <w:bookmarkEnd w:id="26"/>
    <w:bookmarkEnd w:id="27"/>
    <w:bookmarkEnd w:id="28"/>
    <w:bookmarkEnd w:id="29"/>
    <w:bookmarkEnd w:id="30"/>
    <w:bookmarkEnd w:id="31"/>
    <w:bookmarkEnd w:id="32"/>
    <w:p/>
    <w:p>
      <w:pPr>
        <w:pStyle w:val="18"/>
      </w:pPr>
    </w:p>
    <w:p>
      <w:pPr>
        <w:spacing w:line="360" w:lineRule="auto"/>
        <w:jc w:val="center"/>
        <w:outlineLvl w:val="0"/>
        <w:rPr>
          <w:rFonts w:ascii="宋体" w:hAnsi="Calibri" w:eastAsia="宋体" w:cs="Times New Roman"/>
          <w:b/>
          <w:sz w:val="36"/>
          <w:szCs w:val="36"/>
        </w:rPr>
      </w:pPr>
      <w:bookmarkStart w:id="84"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84"/>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8"/>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bookmarkStart w:id="85"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6" w:name="_Toc16330018"/>
      <w:bookmarkStart w:id="87" w:name="_Toc11930"/>
      <w:bookmarkStart w:id="88" w:name="_Toc11823"/>
      <w:bookmarkStart w:id="89" w:name="_Toc17619"/>
      <w:r>
        <w:rPr>
          <w:rFonts w:hint="eastAsia" w:ascii="黑体" w:hAnsi="黑体" w:eastAsia="黑体" w:cstheme="minorEastAsia"/>
          <w:b w:val="0"/>
          <w:sz w:val="28"/>
          <w:szCs w:val="28"/>
        </w:rPr>
        <w:t>1 合同设备</w:t>
      </w:r>
      <w:bookmarkEnd w:id="86"/>
      <w:bookmarkEnd w:id="87"/>
      <w:bookmarkEnd w:id="88"/>
      <w:bookmarkEnd w:id="8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90" w:name="_Toc22800"/>
      <w:bookmarkStart w:id="91" w:name="_Toc32510"/>
      <w:bookmarkStart w:id="92"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16330019"/>
      <w:r>
        <w:rPr>
          <w:rFonts w:hint="eastAsia" w:ascii="黑体" w:hAnsi="黑体" w:eastAsia="黑体" w:cstheme="minorEastAsia"/>
          <w:b w:val="0"/>
          <w:sz w:val="28"/>
          <w:szCs w:val="28"/>
        </w:rPr>
        <w:t>2 包装</w:t>
      </w:r>
      <w:bookmarkEnd w:id="90"/>
      <w:bookmarkEnd w:id="91"/>
      <w:bookmarkEnd w:id="92"/>
      <w:bookmarkEnd w:id="9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4" w:name="_Toc27144"/>
      <w:bookmarkStart w:id="95" w:name="_Toc2833"/>
      <w:bookmarkStart w:id="96" w:name="_Toc27453"/>
      <w:bookmarkStart w:id="97" w:name="_Toc16330020"/>
      <w:r>
        <w:rPr>
          <w:rFonts w:hint="eastAsia" w:ascii="黑体" w:hAnsi="黑体" w:eastAsia="黑体" w:cstheme="minorEastAsia"/>
          <w:b w:val="0"/>
          <w:sz w:val="28"/>
          <w:szCs w:val="28"/>
        </w:rPr>
        <w:t>3 运输标记</w:t>
      </w:r>
      <w:bookmarkEnd w:id="94"/>
      <w:bookmarkEnd w:id="95"/>
      <w:bookmarkEnd w:id="96"/>
      <w:bookmarkEnd w:id="9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8" w:name="_Toc16133"/>
      <w:bookmarkStart w:id="99" w:name="_Toc16330021"/>
      <w:bookmarkStart w:id="100" w:name="_Toc10630"/>
      <w:bookmarkStart w:id="101" w:name="_Toc7431"/>
      <w:r>
        <w:rPr>
          <w:rFonts w:hint="eastAsia" w:ascii="黑体" w:hAnsi="黑体" w:eastAsia="黑体" w:cstheme="minorEastAsia"/>
          <w:b w:val="0"/>
          <w:sz w:val="28"/>
          <w:szCs w:val="28"/>
        </w:rPr>
        <w:t>4 检验</w:t>
      </w:r>
      <w:bookmarkEnd w:id="98"/>
      <w:bookmarkEnd w:id="99"/>
      <w:bookmarkEnd w:id="100"/>
      <w:bookmarkEnd w:id="10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2" w:name="_Toc19850"/>
      <w:bookmarkStart w:id="103" w:name="_Toc11217"/>
      <w:bookmarkStart w:id="104" w:name="_Toc24467"/>
      <w:bookmarkStart w:id="105" w:name="_Toc16330022"/>
      <w:r>
        <w:rPr>
          <w:rFonts w:hint="eastAsia" w:ascii="黑体" w:hAnsi="黑体" w:eastAsia="黑体" w:cstheme="minorEastAsia"/>
          <w:b w:val="0"/>
          <w:sz w:val="28"/>
          <w:szCs w:val="28"/>
        </w:rPr>
        <w:t>5 权利担保</w:t>
      </w:r>
      <w:bookmarkEnd w:id="102"/>
      <w:bookmarkEnd w:id="103"/>
      <w:bookmarkEnd w:id="104"/>
      <w:bookmarkEnd w:id="10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6" w:name="_Toc16330023"/>
      <w:bookmarkStart w:id="107" w:name="_Toc14809"/>
      <w:bookmarkStart w:id="108" w:name="_Toc27500"/>
      <w:bookmarkStart w:id="109" w:name="_Toc11759"/>
      <w:r>
        <w:rPr>
          <w:rFonts w:hint="eastAsia" w:ascii="黑体" w:hAnsi="黑体" w:eastAsia="黑体" w:cstheme="minorEastAsia"/>
          <w:b w:val="0"/>
          <w:sz w:val="28"/>
          <w:szCs w:val="28"/>
        </w:rPr>
        <w:t>6 交货</w:t>
      </w:r>
      <w:bookmarkEnd w:id="106"/>
      <w:bookmarkEnd w:id="107"/>
      <w:bookmarkEnd w:id="108"/>
      <w:bookmarkEnd w:id="10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0" w:name="_Toc2984"/>
      <w:bookmarkStart w:id="111" w:name="_Toc8024"/>
      <w:bookmarkStart w:id="112" w:name="_Toc16330024"/>
      <w:bookmarkStart w:id="113" w:name="_Toc25510"/>
      <w:r>
        <w:rPr>
          <w:rFonts w:hint="eastAsia" w:ascii="黑体" w:hAnsi="黑体" w:eastAsia="黑体" w:cstheme="minorEastAsia"/>
          <w:b w:val="0"/>
          <w:sz w:val="28"/>
          <w:szCs w:val="28"/>
        </w:rPr>
        <w:t>7 安装、调试</w:t>
      </w:r>
      <w:bookmarkEnd w:id="110"/>
      <w:bookmarkEnd w:id="111"/>
      <w:bookmarkEnd w:id="112"/>
      <w:bookmarkEnd w:id="113"/>
    </w:p>
    <w:p>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4" w:name="_Toc14260"/>
      <w:bookmarkStart w:id="115" w:name="_Toc6350"/>
      <w:bookmarkStart w:id="116" w:name="_Toc14098"/>
      <w:bookmarkStart w:id="117" w:name="_Toc16330025"/>
      <w:r>
        <w:rPr>
          <w:rFonts w:hint="eastAsia" w:ascii="黑体" w:hAnsi="黑体" w:eastAsia="黑体" w:cstheme="minorEastAsia"/>
          <w:b w:val="0"/>
          <w:sz w:val="28"/>
          <w:szCs w:val="28"/>
        </w:rPr>
        <w:t>8 价款与支付</w:t>
      </w:r>
      <w:bookmarkEnd w:id="114"/>
      <w:bookmarkEnd w:id="115"/>
      <w:bookmarkEnd w:id="116"/>
      <w:bookmarkEnd w:id="11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118" w:name="_Toc14531628"/>
      <w:bookmarkStart w:id="119"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18"/>
      <w:bookmarkEnd w:id="119"/>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0" w:name="_Toc6726"/>
      <w:bookmarkStart w:id="121" w:name="_Toc16330026"/>
      <w:bookmarkStart w:id="122" w:name="_Toc25708"/>
      <w:bookmarkStart w:id="123" w:name="_Toc24085"/>
      <w:r>
        <w:rPr>
          <w:rFonts w:hint="eastAsia" w:ascii="黑体" w:hAnsi="黑体" w:eastAsia="黑体" w:cstheme="minorEastAsia"/>
          <w:b w:val="0"/>
          <w:sz w:val="28"/>
          <w:szCs w:val="28"/>
        </w:rPr>
        <w:t>9 质量保证及售后服务</w:t>
      </w:r>
      <w:bookmarkEnd w:id="120"/>
      <w:bookmarkEnd w:id="121"/>
      <w:bookmarkEnd w:id="122"/>
      <w:bookmarkEnd w:id="12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lang w:val="en-US" w:eastAsia="zh-CN"/>
        </w:rPr>
        <w:t>1</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4" w:name="_Toc12927"/>
      <w:bookmarkStart w:id="125" w:name="_Toc16330027"/>
      <w:bookmarkStart w:id="126" w:name="_Toc10359"/>
      <w:bookmarkStart w:id="127" w:name="_Toc15570"/>
      <w:r>
        <w:rPr>
          <w:rFonts w:hint="eastAsia" w:ascii="黑体" w:hAnsi="黑体" w:eastAsia="黑体" w:cstheme="minorEastAsia"/>
          <w:b w:val="0"/>
          <w:sz w:val="28"/>
          <w:szCs w:val="28"/>
        </w:rPr>
        <w:t>10法定责任</w:t>
      </w:r>
      <w:bookmarkEnd w:id="124"/>
      <w:bookmarkEnd w:id="125"/>
      <w:bookmarkEnd w:id="126"/>
      <w:bookmarkEnd w:id="12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8" w:name="_Toc9708"/>
      <w:bookmarkStart w:id="129" w:name="_Toc27314"/>
      <w:bookmarkStart w:id="130" w:name="_Toc16330028"/>
      <w:bookmarkStart w:id="131" w:name="_Toc30381"/>
      <w:r>
        <w:rPr>
          <w:rFonts w:hint="eastAsia" w:ascii="黑体" w:hAnsi="黑体" w:eastAsia="黑体" w:cstheme="minorEastAsia"/>
          <w:b w:val="0"/>
          <w:sz w:val="28"/>
          <w:szCs w:val="28"/>
        </w:rPr>
        <w:t>11 违约责任</w:t>
      </w:r>
      <w:bookmarkEnd w:id="128"/>
      <w:bookmarkEnd w:id="129"/>
      <w:bookmarkEnd w:id="130"/>
      <w:bookmarkEnd w:id="13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2" w:name="_Toc9172"/>
      <w:bookmarkStart w:id="133" w:name="_Toc16330029"/>
      <w:bookmarkStart w:id="134" w:name="_Toc1827"/>
      <w:bookmarkStart w:id="135" w:name="_Toc31554"/>
      <w:r>
        <w:rPr>
          <w:rFonts w:hint="eastAsia" w:ascii="黑体" w:hAnsi="黑体" w:eastAsia="黑体" w:cstheme="minorEastAsia"/>
          <w:b w:val="0"/>
          <w:sz w:val="28"/>
          <w:szCs w:val="28"/>
        </w:rPr>
        <w:t>12 合同的终止与解除</w:t>
      </w:r>
      <w:bookmarkEnd w:id="132"/>
      <w:bookmarkEnd w:id="133"/>
      <w:bookmarkEnd w:id="134"/>
      <w:bookmarkEnd w:id="13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6" w:name="_Toc8620"/>
      <w:bookmarkStart w:id="137" w:name="_Toc13671"/>
      <w:bookmarkStart w:id="138" w:name="_Toc16330030"/>
      <w:bookmarkStart w:id="139" w:name="_Toc31945"/>
      <w:r>
        <w:rPr>
          <w:rFonts w:hint="eastAsia" w:ascii="黑体" w:hAnsi="黑体" w:eastAsia="黑体" w:cstheme="minorEastAsia"/>
          <w:b w:val="0"/>
          <w:sz w:val="28"/>
          <w:szCs w:val="28"/>
        </w:rPr>
        <w:t>13 不可抗力</w:t>
      </w:r>
      <w:bookmarkEnd w:id="136"/>
      <w:bookmarkEnd w:id="137"/>
      <w:bookmarkEnd w:id="138"/>
      <w:bookmarkEnd w:id="13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0" w:name="_Toc637"/>
      <w:bookmarkStart w:id="141" w:name="_Toc16330031"/>
      <w:bookmarkStart w:id="142" w:name="_Toc31243"/>
      <w:bookmarkStart w:id="143" w:name="_Toc30389"/>
      <w:r>
        <w:rPr>
          <w:rFonts w:hint="eastAsia" w:ascii="黑体" w:hAnsi="黑体" w:eastAsia="黑体" w:cstheme="minorEastAsia"/>
          <w:b w:val="0"/>
          <w:sz w:val="28"/>
          <w:szCs w:val="28"/>
        </w:rPr>
        <w:t>14 通讯</w:t>
      </w:r>
      <w:bookmarkEnd w:id="140"/>
      <w:bookmarkEnd w:id="141"/>
      <w:bookmarkEnd w:id="142"/>
      <w:bookmarkEnd w:id="14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144" w:name="_Toc9915"/>
      <w:bookmarkStart w:id="145" w:name="_Toc16330032"/>
      <w:bookmarkStart w:id="146" w:name="_Toc11290"/>
      <w:bookmarkStart w:id="147" w:name="_Toc12984"/>
      <w:r>
        <w:rPr>
          <w:rFonts w:hint="eastAsia" w:ascii="黑体" w:hAnsi="黑体" w:eastAsia="黑体" w:cstheme="minorEastAsia"/>
          <w:b w:val="0"/>
          <w:sz w:val="28"/>
          <w:szCs w:val="28"/>
        </w:rPr>
        <w:t>15 适用法律及争议解决</w:t>
      </w:r>
      <w:bookmarkEnd w:id="144"/>
      <w:bookmarkEnd w:id="145"/>
      <w:bookmarkEnd w:id="146"/>
      <w:bookmarkEnd w:id="14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8" w:name="_Toc16330033"/>
      <w:bookmarkStart w:id="149" w:name="_Toc23765"/>
      <w:bookmarkStart w:id="150" w:name="_Toc23906"/>
      <w:bookmarkStart w:id="151" w:name="_Toc18207"/>
      <w:r>
        <w:rPr>
          <w:rFonts w:hint="eastAsia" w:ascii="黑体" w:hAnsi="黑体" w:eastAsia="黑体" w:cstheme="minorEastAsia"/>
          <w:b w:val="0"/>
          <w:sz w:val="28"/>
          <w:szCs w:val="28"/>
        </w:rPr>
        <w:t>16 附件</w:t>
      </w:r>
      <w:bookmarkEnd w:id="148"/>
      <w:bookmarkEnd w:id="149"/>
      <w:bookmarkEnd w:id="150"/>
      <w:bookmarkEnd w:id="15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2" w:name="_Toc17656"/>
      <w:bookmarkStart w:id="153" w:name="_Toc27202"/>
      <w:bookmarkStart w:id="154" w:name="_Toc16330034"/>
      <w:bookmarkStart w:id="155" w:name="_Toc31331"/>
      <w:r>
        <w:rPr>
          <w:rFonts w:hint="eastAsia" w:ascii="黑体" w:hAnsi="黑体" w:eastAsia="黑体" w:cstheme="minorEastAsia"/>
          <w:b w:val="0"/>
          <w:sz w:val="28"/>
          <w:szCs w:val="28"/>
        </w:rPr>
        <w:t>17 其他规定</w:t>
      </w:r>
      <w:bookmarkEnd w:id="152"/>
      <w:bookmarkEnd w:id="153"/>
      <w:bookmarkEnd w:id="154"/>
      <w:bookmarkEnd w:id="15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56" w:name="_Toc19077"/>
      <w:bookmarkStart w:id="157" w:name="_Toc16330035"/>
      <w:bookmarkStart w:id="158" w:name="_Toc17952"/>
      <w:bookmarkStart w:id="159"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56"/>
      <w:bookmarkEnd w:id="157"/>
      <w:bookmarkEnd w:id="158"/>
      <w:bookmarkEnd w:id="15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hint="eastAsia" w:ascii="黑体" w:hAnsi="黑体" w:eastAsia="黑体" w:cstheme="minorEastAsia"/>
          <w:b w:val="0"/>
          <w:sz w:val="28"/>
          <w:szCs w:val="28"/>
        </w:rPr>
      </w:pPr>
      <w:bookmarkStart w:id="160" w:name="_Toc5379"/>
      <w:bookmarkStart w:id="161" w:name="_Toc24623"/>
      <w:bookmarkStart w:id="162" w:name="_Toc16330037"/>
      <w:bookmarkStart w:id="163" w:name="_Toc25120"/>
      <w:bookmarkStart w:id="164" w:name="_Toc3778"/>
    </w:p>
    <w:p>
      <w:pPr>
        <w:rPr>
          <w:rFonts w:hint="eastAsia" w:ascii="黑体" w:hAnsi="黑体" w:eastAsia="黑体" w:cstheme="minorEastAsia"/>
          <w:b w:val="0"/>
          <w:sz w:val="28"/>
          <w:szCs w:val="28"/>
        </w:rPr>
      </w:pPr>
    </w:p>
    <w:p>
      <w:pPr>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60"/>
      <w:bookmarkEnd w:id="161"/>
      <w:bookmarkEnd w:id="162"/>
      <w:bookmarkEnd w:id="163"/>
      <w:bookmarkEnd w:id="164"/>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65" w:name="_Toc14341849"/>
    </w:p>
    <w:p>
      <w:pPr>
        <w:ind w:right="480"/>
        <w:jc w:val="center"/>
        <w:rPr>
          <w:sz w:val="24"/>
          <w:szCs w:val="24"/>
        </w:rPr>
      </w:pPr>
      <w:r>
        <w:rPr>
          <w:rFonts w:hint="eastAsia" w:ascii="楷体_GB2312" w:hAnsi="宋体" w:eastAsia="楷体_GB2312"/>
          <w:sz w:val="24"/>
        </w:rPr>
        <w:t xml:space="preserve">                                    </w:t>
      </w:r>
    </w:p>
    <w:bookmarkEnd w:id="165"/>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3"/>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3"/>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3"/>
        <w:ind w:left="0" w:firstLine="0"/>
        <w:rPr>
          <w:rFonts w:ascii="楷体" w:hAnsi="楷体" w:eastAsia="楷体" w:cs="楷体"/>
          <w:b/>
          <w:sz w:val="24"/>
          <w:szCs w:val="28"/>
        </w:rPr>
      </w:pPr>
    </w:p>
    <w:p>
      <w:pPr>
        <w:pStyle w:val="13"/>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3"/>
        <w:ind w:left="0" w:firstLine="0"/>
        <w:rPr>
          <w:rFonts w:ascii="楷体" w:hAnsi="楷体" w:eastAsia="楷体" w:cs="楷体"/>
          <w:b/>
          <w:sz w:val="24"/>
          <w:szCs w:val="28"/>
        </w:rPr>
      </w:pPr>
    </w:p>
    <w:p>
      <w:pPr>
        <w:pStyle w:val="13"/>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85"/>
    </w:p>
    <w:p>
      <w:pPr>
        <w:keepNext/>
        <w:keepLines/>
        <w:outlineLvl w:val="9"/>
        <w:rPr>
          <w:rFonts w:hint="eastAsia" w:ascii="Times New Roman" w:hAnsi="Times New Roman" w:eastAsia="宋体" w:cs="Times New Roman"/>
          <w:b/>
          <w:bCs/>
          <w:color w:val="000000"/>
          <w:sz w:val="24"/>
          <w:szCs w:val="24"/>
        </w:rPr>
      </w:pPr>
    </w:p>
    <w:p>
      <w:pPr>
        <w:pStyle w:val="18"/>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8"/>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6" w:name="_Toc25811"/>
      <w:bookmarkStart w:id="167" w:name="_Toc353881012"/>
      <w:bookmarkStart w:id="168" w:name="_Toc639004"/>
      <w:bookmarkStart w:id="169"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6"/>
      <w:bookmarkEnd w:id="167"/>
      <w:bookmarkEnd w:id="168"/>
      <w:bookmarkEnd w:id="169"/>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缸盖气密性检测设备项目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 xml:space="preserve">联行号：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 xml:space="preserve">缸盖气密性检测设备项目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8"/>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缸盖气密性检测设备项目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缸盖气密性检测设备项目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3997"/>
        <w:gridCol w:w="3015"/>
        <w:gridCol w:w="1563"/>
        <w:gridCol w:w="1034"/>
        <w:gridCol w:w="2178"/>
        <w:gridCol w:w="12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863" w:type="dxa"/>
            <w:vAlign w:val="center"/>
          </w:tcPr>
          <w:p>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3997" w:type="dxa"/>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3015" w:type="dxa"/>
            <w:vAlign w:val="center"/>
          </w:tcPr>
          <w:p>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563" w:type="dxa"/>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034" w:type="dxa"/>
            <w:vAlign w:val="center"/>
          </w:tcPr>
          <w:p>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6</w:t>
            </w:r>
          </w:p>
        </w:tc>
        <w:tc>
          <w:tcPr>
            <w:tcW w:w="1267" w:type="dxa"/>
            <w:vAlign w:val="center"/>
          </w:tcPr>
          <w:p>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863" w:type="dxa"/>
            <w:vAlign w:val="center"/>
          </w:tcPr>
          <w:p>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序号</w:t>
            </w:r>
          </w:p>
        </w:tc>
        <w:tc>
          <w:tcPr>
            <w:tcW w:w="3997" w:type="dxa"/>
            <w:vAlign w:val="center"/>
          </w:tcPr>
          <w:p>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货物名称</w:t>
            </w:r>
          </w:p>
        </w:tc>
        <w:tc>
          <w:tcPr>
            <w:tcW w:w="3015"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563"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034"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267" w:type="dxa"/>
            <w:vAlign w:val="center"/>
          </w:tcPr>
          <w:p>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1</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机械系统</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设备主体</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机动辊道</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回转台</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测漏夹具</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39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封堵模板</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现场试漏设备通过性改造</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2</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气动测试系统</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试漏仪</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标准罐、标准漏口</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气动管路及控制元件</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3</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液压系统</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3.1</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液压控制系统</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3.2</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液压管路系统</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4</w:t>
            </w:r>
          </w:p>
        </w:tc>
        <w:tc>
          <w:tcPr>
            <w:tcW w:w="3997"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电控系统</w:t>
            </w:r>
          </w:p>
        </w:tc>
        <w:tc>
          <w:tcPr>
            <w:tcW w:w="301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5</w:t>
            </w:r>
          </w:p>
        </w:tc>
        <w:tc>
          <w:tcPr>
            <w:tcW w:w="399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操纵系统</w:t>
            </w:r>
          </w:p>
        </w:tc>
        <w:tc>
          <w:tcPr>
            <w:tcW w:w="3015"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63"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b w:val="0"/>
                <w:bCs w:val="0"/>
                <w:color w:val="000000"/>
                <w:kern w:val="0"/>
                <w:sz w:val="20"/>
                <w:szCs w:val="20"/>
                <w:lang w:val="en-US" w:eastAsia="zh-CN" w:bidi="ar"/>
              </w:rPr>
              <w:t>5.1</w:t>
            </w:r>
          </w:p>
        </w:tc>
        <w:tc>
          <w:tcPr>
            <w:tcW w:w="399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工控机及操作装置</w:t>
            </w:r>
          </w:p>
        </w:tc>
        <w:tc>
          <w:tcPr>
            <w:tcW w:w="3015"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63" w:type="dxa"/>
            <w:vAlign w:val="center"/>
          </w:tcPr>
          <w:p>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bidi="ar"/>
              </w:rPr>
            </w:pPr>
            <w:r>
              <w:rPr>
                <w:rFonts w:hint="eastAsia" w:ascii="宋体" w:hAnsi="宋体" w:eastAsia="宋体" w:cs="宋体"/>
                <w:b w:val="0"/>
                <w:bCs w:val="0"/>
                <w:color w:val="000000"/>
                <w:kern w:val="0"/>
                <w:sz w:val="20"/>
                <w:szCs w:val="20"/>
                <w:lang w:val="en-US" w:eastAsia="zh-CN" w:bidi="ar"/>
              </w:rPr>
              <w:t>5.2</w:t>
            </w:r>
          </w:p>
        </w:tc>
        <w:tc>
          <w:tcPr>
            <w:tcW w:w="399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链接MES系统</w:t>
            </w:r>
          </w:p>
        </w:tc>
        <w:tc>
          <w:tcPr>
            <w:tcW w:w="3015"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pPr>
              <w:jc w:val="center"/>
              <w:rPr>
                <w:rFonts w:hint="eastAsia" w:ascii="宋体" w:hAnsi="宋体" w:eastAsia="宋体" w:cs="宋体"/>
                <w:sz w:val="20"/>
                <w:szCs w:val="20"/>
                <w:highlight w:val="yellow"/>
              </w:rPr>
            </w:pPr>
          </w:p>
        </w:tc>
      </w:tr>
    </w:tbl>
    <w:p>
      <w:pPr>
        <w:spacing w:before="78" w:line="219" w:lineRule="auto"/>
        <w:ind w:left="431"/>
        <w:rPr>
          <w:rFonts w:ascii="宋体" w:hAnsi="宋体" w:eastAsia="宋体" w:cs="宋体"/>
          <w:spacing w:val="-8"/>
          <w:szCs w:val="21"/>
        </w:rPr>
      </w:pPr>
    </w:p>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8"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缸盖气密性检测设备项目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缸盖气密性检测设备项目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缸盖气密性检测设备项目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缸盖气密性检测设备项目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8"/>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8"/>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7</w:t>
            </w: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spacing w:val="-2"/>
                <w:kern w:val="0"/>
                <w:sz w:val="20"/>
                <w:szCs w:val="20"/>
              </w:rPr>
            </w:pPr>
            <w:r>
              <w:rPr>
                <w:rFonts w:hint="eastAsia" w:ascii="宋体" w:hAnsi="宋体" w:eastAsia="宋体" w:cs="宋体"/>
                <w:b/>
                <w:bCs/>
                <w:i w:val="0"/>
                <w:iCs w:val="0"/>
                <w:color w:val="000000"/>
                <w:kern w:val="0"/>
                <w:sz w:val="20"/>
                <w:szCs w:val="20"/>
                <w:u w:val="none"/>
                <w:lang w:val="en-US" w:eastAsia="zh-CN"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单价（不含税）</w:t>
            </w: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color w:val="000000"/>
                <w:kern w:val="2"/>
                <w:sz w:val="20"/>
                <w:szCs w:val="20"/>
                <w:lang w:val="en-US" w:eastAsia="zh-CN" w:bidi="ar-SA"/>
              </w:rPr>
            </w:pPr>
            <w:r>
              <w:rPr>
                <w:rFonts w:hint="eastAsia" w:ascii="宋体" w:hAnsi="宋体" w:eastAsia="宋体" w:cs="宋体"/>
                <w:b/>
                <w:bCs/>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机械系统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设备主体</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机动辊道</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回转台</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滑台</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测漏夹具</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封堵模板</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现场试漏设备通过性改造</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气动测试系统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试漏仪</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标准罐、标准漏口</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气动管路及控制元件</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液压系统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液压控制系统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液压管路系统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color w:val="000000"/>
                <w:kern w:val="2"/>
                <w:sz w:val="20"/>
                <w:szCs w:val="20"/>
                <w:lang w:val="en-US" w:eastAsia="zh-CN" w:bidi="ar-SA"/>
              </w:rPr>
            </w:pPr>
            <w:r>
              <w:rPr>
                <w:rFonts w:hint="eastAsia" w:ascii="宋体" w:hAnsi="宋体" w:eastAsia="宋体" w:cs="宋体"/>
                <w:b/>
                <w:bCs/>
                <w:i w:val="0"/>
                <w:iCs w:val="0"/>
                <w:color w:val="000000"/>
                <w:kern w:val="0"/>
                <w:sz w:val="20"/>
                <w:szCs w:val="20"/>
                <w:u w:val="none"/>
                <w:lang w:val="en-US" w:eastAsia="zh-CN" w:bidi="ar"/>
              </w:rPr>
              <w:t>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电控系统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5</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操纵系统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bidi="ar"/>
              </w:rPr>
            </w:pPr>
            <w:r>
              <w:rPr>
                <w:rFonts w:hint="eastAsia" w:ascii="宋体" w:hAnsi="宋体" w:eastAsia="宋体" w:cs="宋体"/>
                <w:b w:val="0"/>
                <w:bCs w:val="0"/>
                <w:color w:val="000000"/>
                <w:kern w:val="0"/>
                <w:sz w:val="20"/>
                <w:szCs w:val="20"/>
                <w:lang w:val="en-US" w:eastAsia="zh-CN" w:bidi="ar"/>
              </w:rPr>
              <w:t>5.1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工控机及操作装置</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bidi="ar"/>
              </w:rPr>
            </w:pPr>
            <w:r>
              <w:rPr>
                <w:rFonts w:hint="eastAsia" w:ascii="宋体" w:hAnsi="宋体" w:eastAsia="宋体" w:cs="宋体"/>
                <w:b w:val="0"/>
                <w:bCs w:val="0"/>
                <w:color w:val="000000"/>
                <w:kern w:val="0"/>
                <w:sz w:val="20"/>
                <w:szCs w:val="20"/>
                <w:lang w:val="en-US" w:eastAsia="zh-CN" w:bidi="ar"/>
              </w:rPr>
              <w:t>5.2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连接MES系统</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pPr>
              <w:jc w:val="center"/>
              <w:rPr>
                <w:rFonts w:hint="eastAsia" w:ascii="宋体" w:hAnsi="宋体" w:eastAsia="宋体" w:cs="宋体"/>
                <w:b w:val="0"/>
                <w:bCs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b w:val="0"/>
                <w:bCs w:val="0"/>
                <w:color w:val="000000"/>
                <w:kern w:val="0"/>
                <w:sz w:val="20"/>
                <w:szCs w:val="20"/>
                <w:lang w:val="en-US" w:eastAsia="zh-CN" w:bidi="ar"/>
              </w:rPr>
            </w:pPr>
          </w:p>
        </w:tc>
        <w:tc>
          <w:tcPr>
            <w:tcW w:w="9497"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总</w:t>
            </w:r>
            <w:r>
              <w:rPr>
                <w:rStyle w:val="136"/>
                <w:rFonts w:hint="eastAsia" w:ascii="宋体" w:hAnsi="宋体" w:eastAsia="宋体" w:cs="宋体"/>
                <w:b/>
                <w:bCs/>
                <w:sz w:val="20"/>
                <w:szCs w:val="20"/>
                <w:lang w:val="en-US" w:eastAsia="zh-CN" w:bidi="ar"/>
              </w:rPr>
              <w:t xml:space="preserve">价合计列入价格汇总表 </w:t>
            </w:r>
            <w:r>
              <w:rPr>
                <w:rStyle w:val="137"/>
                <w:rFonts w:hint="eastAsia" w:ascii="宋体" w:hAnsi="宋体" w:eastAsia="宋体" w:cs="宋体"/>
                <w:b/>
                <w:bCs/>
                <w:sz w:val="20"/>
                <w:szCs w:val="20"/>
                <w:lang w:val="en-US" w:eastAsia="zh-CN" w:bidi="ar"/>
              </w:rPr>
              <w:t>9-5</w:t>
            </w:r>
          </w:p>
        </w:tc>
        <w:tc>
          <w:tcPr>
            <w:tcW w:w="4403"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hint="eastAsia" w:ascii="宋体" w:hAnsi="宋体" w:eastAsia="宋体" w:cs="宋体"/>
                <w:b w:val="0"/>
                <w:bCs w:val="0"/>
                <w:sz w:val="20"/>
                <w:szCs w:val="20"/>
              </w:rPr>
            </w:pPr>
            <w:r>
              <w:rPr>
                <w:rFonts w:hint="eastAsia" w:ascii="宋体" w:hAnsi="宋体" w:eastAsia="宋体" w:cs="宋体"/>
                <w:b/>
                <w:bCs/>
                <w:i w:val="0"/>
                <w:iCs w:val="0"/>
                <w:color w:val="000000"/>
                <w:kern w:val="0"/>
                <w:sz w:val="20"/>
                <w:szCs w:val="20"/>
                <w:u w:val="none"/>
                <w:lang w:val="en-US" w:eastAsia="zh-CN" w:bidi="ar"/>
              </w:rPr>
              <w:t>总价合计（不含税）￥    元</w:t>
            </w:r>
          </w:p>
        </w:tc>
      </w:tr>
    </w:tbl>
    <w:p>
      <w:pPr>
        <w:spacing w:before="58" w:line="219" w:lineRule="auto"/>
        <w:ind w:left="8"/>
        <w:rPr>
          <w:rFonts w:ascii="宋体" w:hAnsi="宋体" w:eastAsia="宋体" w:cs="宋体"/>
          <w:spacing w:val="-8"/>
          <w:szCs w:val="21"/>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1"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noWrap w:val="0"/>
            <w:vAlign w:val="top"/>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noWrap w:val="0"/>
            <w:vAlign w:val="top"/>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noWrap w:val="0"/>
            <w:vAlign w:val="top"/>
          </w:tcPr>
          <w:p>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noWrap w:val="0"/>
            <w:vAlign w:val="top"/>
          </w:tcPr>
          <w:p>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596" w:type="dxa"/>
            <w:noWrap w:val="0"/>
            <w:vAlign w:val="top"/>
          </w:tcPr>
          <w:p>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164" w:type="dxa"/>
            <w:noWrap w:val="0"/>
            <w:vAlign w:val="top"/>
          </w:tcPr>
          <w:p>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noWrap w:val="0"/>
            <w:vAlign w:val="top"/>
          </w:tcPr>
          <w:p>
            <w:pPr>
              <w:rPr>
                <w:rFonts w:ascii="Arial"/>
              </w:rPr>
            </w:pPr>
          </w:p>
        </w:tc>
        <w:tc>
          <w:tcPr>
            <w:tcW w:w="3530" w:type="dxa"/>
            <w:vMerge w:val="continue"/>
            <w:tcBorders>
              <w:top w:val="nil"/>
            </w:tcBorders>
            <w:noWrap w:val="0"/>
            <w:vAlign w:val="top"/>
          </w:tcPr>
          <w:p>
            <w:pPr>
              <w:rPr>
                <w:rFonts w:ascii="Arial"/>
              </w:rPr>
            </w:pPr>
          </w:p>
        </w:tc>
        <w:tc>
          <w:tcPr>
            <w:tcW w:w="2159" w:type="dxa"/>
            <w:noWrap w:val="0"/>
            <w:vAlign w:val="top"/>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noWrap w:val="0"/>
            <w:vAlign w:val="top"/>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noWrap w:val="0"/>
            <w:vAlign w:val="top"/>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noWrap w:val="0"/>
            <w:vAlign w:val="top"/>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noWrap w:val="0"/>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noWrap w:val="0"/>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noWrap w:val="0"/>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vMerge w:val="restart"/>
            <w:tcBorders>
              <w:bottom w:val="nil"/>
            </w:tcBorders>
            <w:noWrap w:val="0"/>
            <w:vAlign w:val="top"/>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noWrap w:val="0"/>
            <w:vAlign w:val="top"/>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vMerge w:val="continue"/>
            <w:tcBorders>
              <w:top w:val="nil"/>
            </w:tcBorders>
            <w:noWrap w:val="0"/>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noWrap w:val="0"/>
            <w:vAlign w:val="top"/>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noWrap w:val="0"/>
            <w:vAlign w:val="top"/>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7" w:line="183" w:lineRule="auto"/>
              <w:ind w:left="352" w:leftChars="0"/>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530" w:type="dxa"/>
            <w:noWrap w:val="0"/>
            <w:vAlign w:val="top"/>
          </w:tcPr>
          <w:p>
            <w:pPr>
              <w:spacing w:before="211" w:line="221" w:lineRule="auto"/>
              <w:ind w:left="1557" w:leftChars="0"/>
              <w:rPr>
                <w:rFonts w:ascii="宋体" w:hAnsi="宋体" w:eastAsia="宋体" w:cs="宋体"/>
                <w:spacing w:val="-2"/>
                <w:szCs w:val="21"/>
              </w:rPr>
            </w:pPr>
            <w:r>
              <w:rPr>
                <w:rFonts w:ascii="宋体" w:hAnsi="宋体" w:eastAsia="宋体" w:cs="宋体"/>
                <w:spacing w:val="-2"/>
                <w:szCs w:val="21"/>
              </w:rPr>
              <w:t>其他</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noWrap w:val="0"/>
            <w:vAlign w:val="top"/>
          </w:tcPr>
          <w:p>
            <w:pPr>
              <w:spacing w:before="210" w:line="221" w:lineRule="auto"/>
              <w:ind w:left="456" w:leftChars="0"/>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noWrap w:val="0"/>
            <w:vAlign w:val="top"/>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noWrap w:val="0"/>
            <w:vAlign w:val="top"/>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line="172" w:lineRule="exact"/>
      </w:pPr>
    </w:p>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2"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8"/>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8"/>
      </w:pPr>
    </w:p>
    <w:p>
      <w:pPr>
        <w:pStyle w:val="18"/>
      </w:pPr>
    </w:p>
    <w:p>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1"/>
                <w:szCs w:val="21"/>
                <w:highlight w:val="none"/>
                <w:u w:val="single"/>
                <w:lang w:val="en-US" w:eastAsia="zh-CN"/>
              </w:rPr>
              <w:t>缸盖气密性检测设备项目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缸盖气密性检测设备项目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缸盖气密性检测设备项目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8"/>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缸盖气密性检测设备项目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8"/>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rPr>
          <w:rFonts w:hint="eastAsia" w:ascii="宋体" w:hAnsi="宋体" w:eastAsia="宋体" w:cs="Times New Roman"/>
          <w:b/>
          <w:bCs/>
          <w:sz w:val="24"/>
          <w:szCs w:val="24"/>
          <w:highlight w:val="none"/>
        </w:rPr>
      </w:pP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546"/>
        <w:gridCol w:w="611"/>
        <w:gridCol w:w="467"/>
        <w:gridCol w:w="2382"/>
        <w:gridCol w:w="505"/>
        <w:gridCol w:w="4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评价类型</w:t>
            </w:r>
          </w:p>
        </w:tc>
        <w:tc>
          <w:tcPr>
            <w:tcW w:w="335"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评审内容</w:t>
            </w: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内   容</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标准分</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restar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技术</w:t>
            </w:r>
            <w:r>
              <w:rPr>
                <w:rFonts w:hint="eastAsia" w:ascii="宋体" w:hAnsi="宋体" w:eastAsia="宋体" w:cs="宋体"/>
                <w:sz w:val="21"/>
                <w:szCs w:val="21"/>
                <w:lang w:val="en-US" w:eastAsia="zh-CN"/>
              </w:rPr>
              <w:t>标</w:t>
            </w:r>
            <w:r>
              <w:rPr>
                <w:rFonts w:hint="eastAsia" w:ascii="宋体" w:hAnsi="宋体" w:eastAsia="宋体" w:cs="宋体"/>
                <w:sz w:val="21"/>
                <w:szCs w:val="21"/>
              </w:rPr>
              <w:t>100分</w:t>
            </w:r>
          </w:p>
        </w:tc>
        <w:tc>
          <w:tcPr>
            <w:tcW w:w="335"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业绩</w:t>
            </w: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设备制造商同 类型项目业绩</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 一般得2分(时间以签订日期为准)。投标人在2022年1月1日以来在中国与本标同类规格产品的业绩，以合同复印件加盖公章为准(须有客户联系方式及联系人以供招标人核实确认)。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restar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产品技术</w:t>
            </w: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设备制造商装备制造能力、生产设备、加工工艺、完善程度</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产品方案技术先进、各系统完善、性能可靠，设备主要核心部件，具备自身技术优势</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以下各项由评标委员会成员独立进行客观、公正的评价打分。</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①定制系统方案已到达招标要求，设备主要核心部件，具备自身技术优势，打分0-16分。</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②系统配置齐全，其精度、参数、技术水平、可靠性等优势明显，打分0-16分。</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③操作灵活方便，系统开放程度高，打分0-10分。</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④综合评价，打分0-8分。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答疑</w:t>
            </w: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现场答疑</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投标人代表对方案、技术优势的讲解，</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以及就该项目难点回答评标专家现场提问，打分0-8分。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技术偏离</w:t>
            </w: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技术偏离</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restar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r>
              <w:rPr>
                <w:rFonts w:hint="eastAsia" w:ascii="宋体" w:hAnsi="宋体" w:eastAsia="宋体" w:cs="宋体"/>
                <w:sz w:val="21"/>
                <w:szCs w:val="21"/>
              </w:rPr>
              <w:t>售后服务</w:t>
            </w: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技术培训方案：对招标方人员的技术培训方案安排科学、合理、可行</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安装调试方案：有详尽的安装调试计划及方案，方案科学合理，可实施性强。</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335" w:type="pct"/>
            <w:vMerge w:val="continue"/>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rPr>
            </w:pPr>
          </w:p>
        </w:tc>
        <w:tc>
          <w:tcPr>
            <w:tcW w:w="256"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30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售后服务及时周到，有相应 的服务承诺和具体的保证措施</w:t>
            </w:r>
          </w:p>
        </w:tc>
        <w:tc>
          <w:tcPr>
            <w:tcW w:w="277"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523"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商务标100分</w:t>
            </w:r>
          </w:p>
        </w:tc>
        <w:tc>
          <w:tcPr>
            <w:tcW w:w="4699" w:type="pct"/>
            <w:gridSpan w:val="5"/>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评标基准价：</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1、评标基准价为所有合理有效的最终投标报价的最低价。</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2、有效的评标基准价得</w:t>
            </w:r>
            <w:r>
              <w:rPr>
                <w:rFonts w:hint="eastAsia" w:ascii="宋体" w:hAnsi="宋体" w:eastAsia="宋体" w:cs="宋体"/>
                <w:sz w:val="21"/>
                <w:szCs w:val="21"/>
                <w:lang w:val="en-US" w:eastAsia="zh-CN"/>
              </w:rPr>
              <w:t>100</w:t>
            </w:r>
            <w:r>
              <w:rPr>
                <w:rFonts w:hint="eastAsia" w:ascii="宋体" w:hAnsi="宋体" w:eastAsia="宋体" w:cs="宋体"/>
                <w:sz w:val="21"/>
                <w:szCs w:val="21"/>
              </w:rPr>
              <w:t>分；其他投标人的价格得分按下列公式计算：投标价格得分=</w:t>
            </w:r>
            <w:r>
              <w:rPr>
                <w:rFonts w:hint="eastAsia" w:ascii="宋体" w:hAnsi="宋体" w:eastAsia="宋体" w:cs="宋体"/>
                <w:sz w:val="21"/>
                <w:szCs w:val="21"/>
                <w:lang w:val="en-US" w:eastAsia="zh-CN"/>
              </w:rPr>
              <w:t>100</w:t>
            </w:r>
            <w:r>
              <w:rPr>
                <w:rFonts w:hint="eastAsia" w:ascii="宋体" w:hAnsi="宋体" w:eastAsia="宋体" w:cs="宋体"/>
                <w:sz w:val="21"/>
                <w:szCs w:val="21"/>
              </w:rPr>
              <w:t>×（评标基准价/投标报价）。</w:t>
            </w:r>
          </w:p>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注：得分值取小数点后两位，不足一个百分点的，按照四舍五入法计算。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300" w:type="pct"/>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综合得分</w:t>
            </w:r>
          </w:p>
        </w:tc>
        <w:tc>
          <w:tcPr>
            <w:tcW w:w="4699" w:type="pct"/>
            <w:gridSpan w:val="5"/>
            <w:noWrap w:val="0"/>
            <w:vAlign w:val="center"/>
          </w:tcPr>
          <w:p>
            <w:pPr>
              <w:keepNext w:val="0"/>
              <w:keepLines w:val="0"/>
              <w:pageBreakBefore w:val="0"/>
              <w:widowControl w:val="0"/>
              <w:tabs>
                <w:tab w:val="left" w:pos="13965"/>
              </w:tabs>
              <w:kinsoku/>
              <w:wordWrap/>
              <w:overflowPunct w:val="0"/>
              <w:topLinePunct w:val="0"/>
              <w:autoSpaceDE/>
              <w:autoSpaceDN/>
              <w:bidi w:val="0"/>
              <w:adjustRightInd/>
              <w:snapToGrid w:val="0"/>
              <w:jc w:val="left"/>
              <w:textAlignment w:val="auto"/>
              <w:rPr>
                <w:rFonts w:hint="eastAsia" w:ascii="宋体" w:hAnsi="宋体" w:eastAsia="宋体" w:cs="宋体"/>
                <w:sz w:val="21"/>
                <w:szCs w:val="21"/>
              </w:rPr>
            </w:pPr>
            <w:r>
              <w:rPr>
                <w:rFonts w:hint="eastAsia" w:ascii="宋体" w:hAnsi="宋体" w:eastAsia="宋体" w:cs="宋体"/>
                <w:sz w:val="21"/>
                <w:szCs w:val="21"/>
              </w:rPr>
              <w:t>综合得分=技术标得分×30%＋商务标得分×70%</w:t>
            </w:r>
          </w:p>
        </w:tc>
      </w:tr>
    </w:tbl>
    <w:p>
      <w:pPr>
        <w:pStyle w:val="18"/>
        <w:rPr>
          <w:rFonts w:hint="eastAsia"/>
        </w:rPr>
        <w:sectPr>
          <w:pgSz w:w="11906" w:h="16838"/>
          <w:pgMar w:top="1588" w:right="1418" w:bottom="1134" w:left="1418" w:header="851" w:footer="992" w:gutter="0"/>
          <w:cols w:space="720" w:num="1"/>
          <w:titlePg/>
          <w:docGrid w:type="lines" w:linePitch="312" w:charSpace="0"/>
        </w:sectPr>
      </w:pPr>
    </w:p>
    <w:p>
      <w:pPr>
        <w:pStyle w:val="18"/>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8"/>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3"/>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4"/>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5"/>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6"/>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8"/>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7"/>
                    <a:stretch>
                      <a:fillRect/>
                    </a:stretch>
                  </pic:blipFill>
                  <pic:spPr>
                    <a:xfrm>
                      <a:off x="0" y="0"/>
                      <a:ext cx="5760085" cy="2810122"/>
                    </a:xfrm>
                    <a:prstGeom prst="rect">
                      <a:avLst/>
                    </a:prstGeom>
                  </pic:spPr>
                </pic:pic>
              </a:graphicData>
            </a:graphic>
          </wp:inline>
        </w:drawing>
      </w:r>
    </w:p>
    <w:p>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8"/>
                    <a:stretch>
                      <a:fillRect/>
                    </a:stretch>
                  </pic:blipFill>
                  <pic:spPr>
                    <a:xfrm>
                      <a:off x="0" y="0"/>
                      <a:ext cx="5760085" cy="2820042"/>
                    </a:xfrm>
                    <a:prstGeom prst="rect">
                      <a:avLst/>
                    </a:prstGeom>
                  </pic:spPr>
                </pic:pic>
              </a:graphicData>
            </a:graphic>
          </wp:inline>
        </w:drawing>
      </w:r>
    </w:p>
    <w:p>
      <w:pPr>
        <w:pStyle w:val="18"/>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8"/>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配套能力“供货类别”填“工艺装备”，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pPr>
        <w:pStyle w:val="18"/>
        <w:sectPr>
          <w:pgSz w:w="11906" w:h="16838"/>
          <w:pgMar w:top="1588" w:right="1418" w:bottom="1134" w:left="1418" w:header="851" w:footer="992" w:gutter="0"/>
          <w:cols w:space="720" w:num="1"/>
          <w:titlePg/>
          <w:docGrid w:type="lines" w:linePitch="312" w:charSpace="0"/>
        </w:sectPr>
      </w:pPr>
    </w:p>
    <w:p>
      <w:pPr>
        <w:pStyle w:val="18"/>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8"/>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pPr>
        <w:pStyle w:val="18"/>
        <w:rPr>
          <w:rFonts w:hint="eastAsia" w:hAnsi="宋体" w:eastAsia="宋体" w:cs="Times New Roman"/>
          <w:b/>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pPr>
        <w:pStyle w:val="18"/>
        <w:rPr>
          <w:rFonts w:hint="eastAsia" w:hAnsi="宋体" w:eastAsia="宋体" w:cs="Times New Roman"/>
          <w:b/>
          <w:color w:val="000000"/>
          <w:sz w:val="24"/>
          <w:szCs w:val="24"/>
          <w:lang w:val="en-US" w:eastAsia="zh-CN"/>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p>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righ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right"/>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12" w:space="9"/>
      </w:pBdr>
      <w:jc w:val="both"/>
    </w:pPr>
    <w:r>
      <w:object>
        <v:shape id="_x0000_i1028"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8" DrawAspect="Content" ObjectID="_1468075725" r:id="rId1">
          <o:LockedField>false</o:LockedField>
        </o:OLEObject>
      </w:object>
    </w:r>
    <w:r>
      <w:rPr>
        <w:rFonts w:hint="eastAsia" w:ascii="黑体" w:eastAsia="黑体"/>
        <w:sz w:val="24"/>
      </w:rPr>
      <w:t xml:space="preserve">           </w:t>
    </w:r>
    <w:r>
      <w:rPr>
        <w:rFonts w:hint="eastAsia" w:ascii="黑体" w:eastAsia="黑体"/>
        <w:sz w:val="24"/>
        <w:lang w:val="en-US" w:eastAsia="zh-CN"/>
      </w:rPr>
      <w:t xml:space="preserve">             缸盖气密性检测设备项目</w:t>
    </w:r>
    <w:r>
      <w:rPr>
        <w:rFonts w:hint="eastAsia" w:ascii="黑体" w:eastAsia="黑体"/>
        <w:sz w:val="24"/>
        <w:szCs w:val="24"/>
      </w:rPr>
      <w:t>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12" w:space="9"/>
      </w:pBdr>
      <w:jc w:val="both"/>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6" r:id="rId1">
          <o:LockedField>false</o:LockedField>
        </o:OLEObject>
      </w:object>
    </w:r>
    <w:r>
      <w:rPr>
        <w:rFonts w:hint="eastAsia"/>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p>
    <w:pPr>
      <w:pStyle w:val="2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F0D5C9B"/>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E4A6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357F37"/>
    <w:rsid w:val="027408EE"/>
    <w:rsid w:val="02963F39"/>
    <w:rsid w:val="02B3095A"/>
    <w:rsid w:val="02BA7274"/>
    <w:rsid w:val="02EE59E6"/>
    <w:rsid w:val="03251978"/>
    <w:rsid w:val="0325718A"/>
    <w:rsid w:val="042921B6"/>
    <w:rsid w:val="043342B8"/>
    <w:rsid w:val="043B72BB"/>
    <w:rsid w:val="04461EC1"/>
    <w:rsid w:val="04504B3F"/>
    <w:rsid w:val="04605389"/>
    <w:rsid w:val="04AD02B8"/>
    <w:rsid w:val="04BA6AFF"/>
    <w:rsid w:val="04DE51C8"/>
    <w:rsid w:val="04DF17D4"/>
    <w:rsid w:val="04EE7F1F"/>
    <w:rsid w:val="050414F1"/>
    <w:rsid w:val="05412745"/>
    <w:rsid w:val="05491761"/>
    <w:rsid w:val="05793C8D"/>
    <w:rsid w:val="05A351AD"/>
    <w:rsid w:val="05F9748A"/>
    <w:rsid w:val="06266F78"/>
    <w:rsid w:val="06344057"/>
    <w:rsid w:val="063E7B7A"/>
    <w:rsid w:val="06582413"/>
    <w:rsid w:val="06682E69"/>
    <w:rsid w:val="067E33B8"/>
    <w:rsid w:val="06B96433"/>
    <w:rsid w:val="06E82FCB"/>
    <w:rsid w:val="06F34B95"/>
    <w:rsid w:val="07571DAC"/>
    <w:rsid w:val="07867620"/>
    <w:rsid w:val="08916B94"/>
    <w:rsid w:val="08DD171B"/>
    <w:rsid w:val="08E64121"/>
    <w:rsid w:val="09390B2F"/>
    <w:rsid w:val="0942017F"/>
    <w:rsid w:val="09BA1FBB"/>
    <w:rsid w:val="09CB139F"/>
    <w:rsid w:val="0A0106F5"/>
    <w:rsid w:val="0A112AB7"/>
    <w:rsid w:val="0A4E5482"/>
    <w:rsid w:val="0AA70866"/>
    <w:rsid w:val="0AAA504A"/>
    <w:rsid w:val="0AD71BC7"/>
    <w:rsid w:val="0AF420EB"/>
    <w:rsid w:val="0B2B2BF5"/>
    <w:rsid w:val="0B2F3908"/>
    <w:rsid w:val="0B3F6206"/>
    <w:rsid w:val="0BAB6B6A"/>
    <w:rsid w:val="0BDE715C"/>
    <w:rsid w:val="0BE12DB6"/>
    <w:rsid w:val="0BFC6504"/>
    <w:rsid w:val="0C345AD1"/>
    <w:rsid w:val="0C360B29"/>
    <w:rsid w:val="0C626CE4"/>
    <w:rsid w:val="0C7B29E0"/>
    <w:rsid w:val="0D030966"/>
    <w:rsid w:val="0D0C2B7B"/>
    <w:rsid w:val="0D865199"/>
    <w:rsid w:val="0D9308F8"/>
    <w:rsid w:val="0DB4234A"/>
    <w:rsid w:val="0DE76C3D"/>
    <w:rsid w:val="0E1A1D85"/>
    <w:rsid w:val="0E750568"/>
    <w:rsid w:val="0E8042DE"/>
    <w:rsid w:val="0E9C3C97"/>
    <w:rsid w:val="0EA61E94"/>
    <w:rsid w:val="0F2D7A80"/>
    <w:rsid w:val="0F4277E5"/>
    <w:rsid w:val="0FA75561"/>
    <w:rsid w:val="0FB83603"/>
    <w:rsid w:val="0FCA77F1"/>
    <w:rsid w:val="0FCD5DCC"/>
    <w:rsid w:val="10043197"/>
    <w:rsid w:val="10270545"/>
    <w:rsid w:val="103409DF"/>
    <w:rsid w:val="10667503"/>
    <w:rsid w:val="108A1D4B"/>
    <w:rsid w:val="10A10111"/>
    <w:rsid w:val="10BE093E"/>
    <w:rsid w:val="10E20BD8"/>
    <w:rsid w:val="10E31DED"/>
    <w:rsid w:val="10FD15ED"/>
    <w:rsid w:val="11146F5F"/>
    <w:rsid w:val="111B0FE9"/>
    <w:rsid w:val="112C77F4"/>
    <w:rsid w:val="114535BD"/>
    <w:rsid w:val="114755AB"/>
    <w:rsid w:val="115F67A8"/>
    <w:rsid w:val="117619C8"/>
    <w:rsid w:val="117F4F8B"/>
    <w:rsid w:val="119A7465"/>
    <w:rsid w:val="11A833CB"/>
    <w:rsid w:val="11C07DA5"/>
    <w:rsid w:val="11C2491E"/>
    <w:rsid w:val="11F36B75"/>
    <w:rsid w:val="12445B3A"/>
    <w:rsid w:val="12491386"/>
    <w:rsid w:val="12695089"/>
    <w:rsid w:val="12E60579"/>
    <w:rsid w:val="12EB0F02"/>
    <w:rsid w:val="13280AA0"/>
    <w:rsid w:val="13695B36"/>
    <w:rsid w:val="1372609F"/>
    <w:rsid w:val="13D73572"/>
    <w:rsid w:val="143C0B97"/>
    <w:rsid w:val="14504752"/>
    <w:rsid w:val="145A6A37"/>
    <w:rsid w:val="1467440F"/>
    <w:rsid w:val="15400323"/>
    <w:rsid w:val="15433A9B"/>
    <w:rsid w:val="15FC2F04"/>
    <w:rsid w:val="16181FAC"/>
    <w:rsid w:val="167553FD"/>
    <w:rsid w:val="168756A0"/>
    <w:rsid w:val="16F94849"/>
    <w:rsid w:val="17045E51"/>
    <w:rsid w:val="172011D4"/>
    <w:rsid w:val="17252C3B"/>
    <w:rsid w:val="173C25C7"/>
    <w:rsid w:val="173F0A2E"/>
    <w:rsid w:val="17770BC2"/>
    <w:rsid w:val="17860E2F"/>
    <w:rsid w:val="17A119AA"/>
    <w:rsid w:val="18586F2B"/>
    <w:rsid w:val="186E164B"/>
    <w:rsid w:val="19A766B9"/>
    <w:rsid w:val="19CE76BA"/>
    <w:rsid w:val="19F26070"/>
    <w:rsid w:val="19F97C8B"/>
    <w:rsid w:val="1A1523CE"/>
    <w:rsid w:val="1AA730BD"/>
    <w:rsid w:val="1ADF38C8"/>
    <w:rsid w:val="1B333D5D"/>
    <w:rsid w:val="1B587618"/>
    <w:rsid w:val="1B5F19C7"/>
    <w:rsid w:val="1C1C709B"/>
    <w:rsid w:val="1C4C0C3B"/>
    <w:rsid w:val="1C4F6795"/>
    <w:rsid w:val="1C9F6814"/>
    <w:rsid w:val="1CBF2475"/>
    <w:rsid w:val="1CFC59F9"/>
    <w:rsid w:val="1D5C514E"/>
    <w:rsid w:val="1D6B43AB"/>
    <w:rsid w:val="1D70551D"/>
    <w:rsid w:val="1D865D14"/>
    <w:rsid w:val="1D8705EC"/>
    <w:rsid w:val="1DEC0E7D"/>
    <w:rsid w:val="1E43150B"/>
    <w:rsid w:val="1EA93E80"/>
    <w:rsid w:val="1ED33FB6"/>
    <w:rsid w:val="1EE81332"/>
    <w:rsid w:val="1F1C3BAF"/>
    <w:rsid w:val="1F32415A"/>
    <w:rsid w:val="1F542F9A"/>
    <w:rsid w:val="1F702632"/>
    <w:rsid w:val="1F7E2174"/>
    <w:rsid w:val="1FA66A00"/>
    <w:rsid w:val="1FAA11BB"/>
    <w:rsid w:val="1FB64E98"/>
    <w:rsid w:val="20107567"/>
    <w:rsid w:val="205567CA"/>
    <w:rsid w:val="20AB56C6"/>
    <w:rsid w:val="21547789"/>
    <w:rsid w:val="2176507C"/>
    <w:rsid w:val="21815F4B"/>
    <w:rsid w:val="21BE35AF"/>
    <w:rsid w:val="21C11174"/>
    <w:rsid w:val="22244B28"/>
    <w:rsid w:val="22467FD4"/>
    <w:rsid w:val="229451FD"/>
    <w:rsid w:val="22A12DB6"/>
    <w:rsid w:val="236356D1"/>
    <w:rsid w:val="23A91C83"/>
    <w:rsid w:val="23C962E8"/>
    <w:rsid w:val="23F91212"/>
    <w:rsid w:val="247D6439"/>
    <w:rsid w:val="247E4FED"/>
    <w:rsid w:val="24AD78E0"/>
    <w:rsid w:val="24B30BE8"/>
    <w:rsid w:val="24E34060"/>
    <w:rsid w:val="252C4420"/>
    <w:rsid w:val="253A0491"/>
    <w:rsid w:val="254E0478"/>
    <w:rsid w:val="25695674"/>
    <w:rsid w:val="25E036B2"/>
    <w:rsid w:val="25E9082A"/>
    <w:rsid w:val="25F42473"/>
    <w:rsid w:val="268D0343"/>
    <w:rsid w:val="269C17B8"/>
    <w:rsid w:val="269C3827"/>
    <w:rsid w:val="26AF2D79"/>
    <w:rsid w:val="26B34B91"/>
    <w:rsid w:val="270D66E8"/>
    <w:rsid w:val="27514612"/>
    <w:rsid w:val="278B0DAB"/>
    <w:rsid w:val="278D3850"/>
    <w:rsid w:val="279C6B0E"/>
    <w:rsid w:val="27A64735"/>
    <w:rsid w:val="27B54BA0"/>
    <w:rsid w:val="27CC4DF2"/>
    <w:rsid w:val="280D64D7"/>
    <w:rsid w:val="281864F2"/>
    <w:rsid w:val="286903EF"/>
    <w:rsid w:val="287F5DD3"/>
    <w:rsid w:val="288047CB"/>
    <w:rsid w:val="289E62FA"/>
    <w:rsid w:val="28FD6E90"/>
    <w:rsid w:val="291E2CA6"/>
    <w:rsid w:val="29331862"/>
    <w:rsid w:val="299741EC"/>
    <w:rsid w:val="299E147F"/>
    <w:rsid w:val="29A2195A"/>
    <w:rsid w:val="29BD6726"/>
    <w:rsid w:val="29C32A87"/>
    <w:rsid w:val="29CF26DC"/>
    <w:rsid w:val="2A1C5DA0"/>
    <w:rsid w:val="2A200D39"/>
    <w:rsid w:val="2A507EFF"/>
    <w:rsid w:val="2AB92B7C"/>
    <w:rsid w:val="2ADC05A4"/>
    <w:rsid w:val="2AEF2177"/>
    <w:rsid w:val="2B161149"/>
    <w:rsid w:val="2B6F0D7F"/>
    <w:rsid w:val="2B8716BD"/>
    <w:rsid w:val="2B8A1EA0"/>
    <w:rsid w:val="2B8B76FF"/>
    <w:rsid w:val="2BD5034F"/>
    <w:rsid w:val="2C763F89"/>
    <w:rsid w:val="2CE101E6"/>
    <w:rsid w:val="2D025012"/>
    <w:rsid w:val="2D4178F0"/>
    <w:rsid w:val="2DAE631A"/>
    <w:rsid w:val="2DD877E0"/>
    <w:rsid w:val="2DE616C9"/>
    <w:rsid w:val="2DEE4968"/>
    <w:rsid w:val="2DFC2451"/>
    <w:rsid w:val="2E3422F8"/>
    <w:rsid w:val="2E5D3BD9"/>
    <w:rsid w:val="2E6E566D"/>
    <w:rsid w:val="2E7F188E"/>
    <w:rsid w:val="2EBC0905"/>
    <w:rsid w:val="2EC73739"/>
    <w:rsid w:val="2EFB1B0E"/>
    <w:rsid w:val="2F0D5C9B"/>
    <w:rsid w:val="2F5C684F"/>
    <w:rsid w:val="2F63756E"/>
    <w:rsid w:val="30444D13"/>
    <w:rsid w:val="307610EA"/>
    <w:rsid w:val="307776D1"/>
    <w:rsid w:val="30862574"/>
    <w:rsid w:val="30B631E1"/>
    <w:rsid w:val="30ED7159"/>
    <w:rsid w:val="311933AA"/>
    <w:rsid w:val="317D15BB"/>
    <w:rsid w:val="31C825FC"/>
    <w:rsid w:val="31D07E6C"/>
    <w:rsid w:val="31D71BB7"/>
    <w:rsid w:val="31F6203D"/>
    <w:rsid w:val="323F65DA"/>
    <w:rsid w:val="32412074"/>
    <w:rsid w:val="327C2FDC"/>
    <w:rsid w:val="32A43435"/>
    <w:rsid w:val="32DE0199"/>
    <w:rsid w:val="33124E6A"/>
    <w:rsid w:val="33153593"/>
    <w:rsid w:val="333C2963"/>
    <w:rsid w:val="335B2774"/>
    <w:rsid w:val="33A4642E"/>
    <w:rsid w:val="33D4039C"/>
    <w:rsid w:val="33D47E05"/>
    <w:rsid w:val="3413677D"/>
    <w:rsid w:val="342B544B"/>
    <w:rsid w:val="345E036E"/>
    <w:rsid w:val="348731B2"/>
    <w:rsid w:val="34C47852"/>
    <w:rsid w:val="34DE1E4F"/>
    <w:rsid w:val="34F07DB1"/>
    <w:rsid w:val="35092435"/>
    <w:rsid w:val="353D22BD"/>
    <w:rsid w:val="355F614C"/>
    <w:rsid w:val="359009FB"/>
    <w:rsid w:val="35D354B8"/>
    <w:rsid w:val="35D4025C"/>
    <w:rsid w:val="362666BC"/>
    <w:rsid w:val="367774C5"/>
    <w:rsid w:val="368A6B11"/>
    <w:rsid w:val="37085B1F"/>
    <w:rsid w:val="372E04CB"/>
    <w:rsid w:val="38353194"/>
    <w:rsid w:val="38891F93"/>
    <w:rsid w:val="38E070F2"/>
    <w:rsid w:val="390D33AB"/>
    <w:rsid w:val="39194863"/>
    <w:rsid w:val="391E6D06"/>
    <w:rsid w:val="3986639D"/>
    <w:rsid w:val="3A074847"/>
    <w:rsid w:val="3A830B2E"/>
    <w:rsid w:val="3A9F5AE0"/>
    <w:rsid w:val="3AA90FE6"/>
    <w:rsid w:val="3AA9318F"/>
    <w:rsid w:val="3AB62DA0"/>
    <w:rsid w:val="3ACF7DBC"/>
    <w:rsid w:val="3B121CC0"/>
    <w:rsid w:val="3B4C2CCE"/>
    <w:rsid w:val="3B4F0A10"/>
    <w:rsid w:val="3B69577B"/>
    <w:rsid w:val="3B702D85"/>
    <w:rsid w:val="3B7D3FD5"/>
    <w:rsid w:val="3B823DDF"/>
    <w:rsid w:val="3BBD3BCC"/>
    <w:rsid w:val="3BD827B4"/>
    <w:rsid w:val="3C237ED3"/>
    <w:rsid w:val="3C460D90"/>
    <w:rsid w:val="3C4D2D59"/>
    <w:rsid w:val="3C6504EB"/>
    <w:rsid w:val="3CAA596A"/>
    <w:rsid w:val="3CAF1D22"/>
    <w:rsid w:val="3CB13731"/>
    <w:rsid w:val="3CB1587B"/>
    <w:rsid w:val="3CB735F2"/>
    <w:rsid w:val="3CDC19C8"/>
    <w:rsid w:val="3D186684"/>
    <w:rsid w:val="3D363C36"/>
    <w:rsid w:val="3D8B2178"/>
    <w:rsid w:val="3D9D11C2"/>
    <w:rsid w:val="3DB34909"/>
    <w:rsid w:val="3DCC459A"/>
    <w:rsid w:val="3DD115F5"/>
    <w:rsid w:val="3DE435F0"/>
    <w:rsid w:val="3DE5122C"/>
    <w:rsid w:val="3DF37E53"/>
    <w:rsid w:val="3ED26DE9"/>
    <w:rsid w:val="3EED17D0"/>
    <w:rsid w:val="3F0C0304"/>
    <w:rsid w:val="3F430395"/>
    <w:rsid w:val="3F774839"/>
    <w:rsid w:val="3FEC147E"/>
    <w:rsid w:val="40376375"/>
    <w:rsid w:val="40632A1B"/>
    <w:rsid w:val="412732B7"/>
    <w:rsid w:val="4127791F"/>
    <w:rsid w:val="41281794"/>
    <w:rsid w:val="413C1FDF"/>
    <w:rsid w:val="415723CD"/>
    <w:rsid w:val="41806A69"/>
    <w:rsid w:val="41B0259C"/>
    <w:rsid w:val="41BC6F1C"/>
    <w:rsid w:val="41EF2363"/>
    <w:rsid w:val="41F77860"/>
    <w:rsid w:val="420E6F2F"/>
    <w:rsid w:val="424A4B98"/>
    <w:rsid w:val="42581D3A"/>
    <w:rsid w:val="425828A0"/>
    <w:rsid w:val="42AB29D0"/>
    <w:rsid w:val="42ED2EA4"/>
    <w:rsid w:val="42F6649D"/>
    <w:rsid w:val="42FE0080"/>
    <w:rsid w:val="43315D2E"/>
    <w:rsid w:val="434C17EB"/>
    <w:rsid w:val="43670C99"/>
    <w:rsid w:val="43824A1C"/>
    <w:rsid w:val="43D110E1"/>
    <w:rsid w:val="43DF072A"/>
    <w:rsid w:val="43E873C9"/>
    <w:rsid w:val="441A0C25"/>
    <w:rsid w:val="444C1F91"/>
    <w:rsid w:val="44905B1F"/>
    <w:rsid w:val="45141C49"/>
    <w:rsid w:val="45316885"/>
    <w:rsid w:val="45334280"/>
    <w:rsid w:val="45A95EE9"/>
    <w:rsid w:val="45FB0F21"/>
    <w:rsid w:val="46167166"/>
    <w:rsid w:val="4636719A"/>
    <w:rsid w:val="47200EE3"/>
    <w:rsid w:val="47435AC2"/>
    <w:rsid w:val="47544B78"/>
    <w:rsid w:val="47587AF7"/>
    <w:rsid w:val="476F0470"/>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B01057"/>
    <w:rsid w:val="4BE70627"/>
    <w:rsid w:val="4BEE392E"/>
    <w:rsid w:val="4C0A5AE1"/>
    <w:rsid w:val="4C130AB8"/>
    <w:rsid w:val="4C15535E"/>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E546612"/>
    <w:rsid w:val="4F08773C"/>
    <w:rsid w:val="4F2A2ECF"/>
    <w:rsid w:val="4F31409F"/>
    <w:rsid w:val="4F5E670E"/>
    <w:rsid w:val="4F846A83"/>
    <w:rsid w:val="50070E2C"/>
    <w:rsid w:val="501112F3"/>
    <w:rsid w:val="504B57F2"/>
    <w:rsid w:val="50850D04"/>
    <w:rsid w:val="50853693"/>
    <w:rsid w:val="50C5433A"/>
    <w:rsid w:val="50C62BC7"/>
    <w:rsid w:val="50F72A66"/>
    <w:rsid w:val="5123368C"/>
    <w:rsid w:val="5130747C"/>
    <w:rsid w:val="513D1D5B"/>
    <w:rsid w:val="515C765A"/>
    <w:rsid w:val="518B0A10"/>
    <w:rsid w:val="51905BB3"/>
    <w:rsid w:val="51946FCB"/>
    <w:rsid w:val="51DD796B"/>
    <w:rsid w:val="51DF373B"/>
    <w:rsid w:val="52EF4CB5"/>
    <w:rsid w:val="52F959F0"/>
    <w:rsid w:val="5302488E"/>
    <w:rsid w:val="53136173"/>
    <w:rsid w:val="531445D8"/>
    <w:rsid w:val="533B1C60"/>
    <w:rsid w:val="534B12B7"/>
    <w:rsid w:val="539A4AC7"/>
    <w:rsid w:val="541A51E1"/>
    <w:rsid w:val="542631B6"/>
    <w:rsid w:val="543D6020"/>
    <w:rsid w:val="5447483C"/>
    <w:rsid w:val="54862A07"/>
    <w:rsid w:val="54942CAE"/>
    <w:rsid w:val="5495528E"/>
    <w:rsid w:val="54A61722"/>
    <w:rsid w:val="54B31FAF"/>
    <w:rsid w:val="54FB10D7"/>
    <w:rsid w:val="55326D63"/>
    <w:rsid w:val="555D1A10"/>
    <w:rsid w:val="55C300FC"/>
    <w:rsid w:val="55DF2C65"/>
    <w:rsid w:val="56AC4A78"/>
    <w:rsid w:val="56B22127"/>
    <w:rsid w:val="56DB16B9"/>
    <w:rsid w:val="570109B9"/>
    <w:rsid w:val="577A3463"/>
    <w:rsid w:val="57F967AD"/>
    <w:rsid w:val="58052975"/>
    <w:rsid w:val="58063909"/>
    <w:rsid w:val="5814743C"/>
    <w:rsid w:val="581A7519"/>
    <w:rsid w:val="584D1A65"/>
    <w:rsid w:val="584F5C44"/>
    <w:rsid w:val="589D2963"/>
    <w:rsid w:val="58E525CA"/>
    <w:rsid w:val="58EE7372"/>
    <w:rsid w:val="590D7AE9"/>
    <w:rsid w:val="593D045A"/>
    <w:rsid w:val="5960739E"/>
    <w:rsid w:val="59896D0A"/>
    <w:rsid w:val="59B72684"/>
    <w:rsid w:val="5A9579AE"/>
    <w:rsid w:val="5AC468CD"/>
    <w:rsid w:val="5B342B9A"/>
    <w:rsid w:val="5B5953B0"/>
    <w:rsid w:val="5B630802"/>
    <w:rsid w:val="5B807F68"/>
    <w:rsid w:val="5B8749F3"/>
    <w:rsid w:val="5BA72CE5"/>
    <w:rsid w:val="5BDF6C13"/>
    <w:rsid w:val="5C034D53"/>
    <w:rsid w:val="5C0A43A9"/>
    <w:rsid w:val="5CA22C3E"/>
    <w:rsid w:val="5CD728E8"/>
    <w:rsid w:val="5CDF79EE"/>
    <w:rsid w:val="5CF70B75"/>
    <w:rsid w:val="5D2B6790"/>
    <w:rsid w:val="5D722852"/>
    <w:rsid w:val="5DA13E95"/>
    <w:rsid w:val="5DF60588"/>
    <w:rsid w:val="5E025830"/>
    <w:rsid w:val="5E1D6F56"/>
    <w:rsid w:val="5E52187F"/>
    <w:rsid w:val="5E6567AD"/>
    <w:rsid w:val="5E6A13CD"/>
    <w:rsid w:val="5E705D15"/>
    <w:rsid w:val="5E93326C"/>
    <w:rsid w:val="5E9F1A7A"/>
    <w:rsid w:val="5EAF3818"/>
    <w:rsid w:val="5ED8390F"/>
    <w:rsid w:val="5EFB4BA4"/>
    <w:rsid w:val="5F025452"/>
    <w:rsid w:val="5F294F51"/>
    <w:rsid w:val="5F5F46B5"/>
    <w:rsid w:val="5FB25360"/>
    <w:rsid w:val="5FBA3CC0"/>
    <w:rsid w:val="5FBE258A"/>
    <w:rsid w:val="5FD90D61"/>
    <w:rsid w:val="5FE54FEA"/>
    <w:rsid w:val="60114363"/>
    <w:rsid w:val="60177697"/>
    <w:rsid w:val="60194FC5"/>
    <w:rsid w:val="602329DB"/>
    <w:rsid w:val="607777D6"/>
    <w:rsid w:val="60BC76A1"/>
    <w:rsid w:val="610B7637"/>
    <w:rsid w:val="610E07BF"/>
    <w:rsid w:val="612279BA"/>
    <w:rsid w:val="615F5624"/>
    <w:rsid w:val="61D215CF"/>
    <w:rsid w:val="61D73926"/>
    <w:rsid w:val="62013F63"/>
    <w:rsid w:val="624B65FC"/>
    <w:rsid w:val="625C563D"/>
    <w:rsid w:val="626A1704"/>
    <w:rsid w:val="627921C2"/>
    <w:rsid w:val="62B362C8"/>
    <w:rsid w:val="62C1330E"/>
    <w:rsid w:val="62D653F0"/>
    <w:rsid w:val="6342085E"/>
    <w:rsid w:val="636F415C"/>
    <w:rsid w:val="638E1826"/>
    <w:rsid w:val="63B75221"/>
    <w:rsid w:val="6477050C"/>
    <w:rsid w:val="64835103"/>
    <w:rsid w:val="648B3FB8"/>
    <w:rsid w:val="64917820"/>
    <w:rsid w:val="64AA1CC5"/>
    <w:rsid w:val="64D771FD"/>
    <w:rsid w:val="6528341F"/>
    <w:rsid w:val="656B2909"/>
    <w:rsid w:val="65970AF2"/>
    <w:rsid w:val="65A3045D"/>
    <w:rsid w:val="65D97752"/>
    <w:rsid w:val="65E25E59"/>
    <w:rsid w:val="66307F76"/>
    <w:rsid w:val="66580EAF"/>
    <w:rsid w:val="66694D0D"/>
    <w:rsid w:val="667B4472"/>
    <w:rsid w:val="66A5036A"/>
    <w:rsid w:val="66F041A8"/>
    <w:rsid w:val="6721178A"/>
    <w:rsid w:val="6739399A"/>
    <w:rsid w:val="673F39DE"/>
    <w:rsid w:val="674C5D22"/>
    <w:rsid w:val="67663AF8"/>
    <w:rsid w:val="67762CFD"/>
    <w:rsid w:val="677A678D"/>
    <w:rsid w:val="67B77327"/>
    <w:rsid w:val="67BF46A4"/>
    <w:rsid w:val="67D30B32"/>
    <w:rsid w:val="68011379"/>
    <w:rsid w:val="68252C37"/>
    <w:rsid w:val="683338F6"/>
    <w:rsid w:val="685E3EBD"/>
    <w:rsid w:val="68646FFA"/>
    <w:rsid w:val="68817BAC"/>
    <w:rsid w:val="689A5E59"/>
    <w:rsid w:val="68A94E70"/>
    <w:rsid w:val="68EE72DF"/>
    <w:rsid w:val="68FE744E"/>
    <w:rsid w:val="690B4C92"/>
    <w:rsid w:val="69485FEA"/>
    <w:rsid w:val="69677DC0"/>
    <w:rsid w:val="69937EC7"/>
    <w:rsid w:val="699833FF"/>
    <w:rsid w:val="69D64558"/>
    <w:rsid w:val="6A042548"/>
    <w:rsid w:val="6A471EFD"/>
    <w:rsid w:val="6AB57116"/>
    <w:rsid w:val="6B144D07"/>
    <w:rsid w:val="6B17424A"/>
    <w:rsid w:val="6B2218FA"/>
    <w:rsid w:val="6B686C59"/>
    <w:rsid w:val="6B691672"/>
    <w:rsid w:val="6BE97F42"/>
    <w:rsid w:val="6C4433CA"/>
    <w:rsid w:val="6C5172C5"/>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28162D"/>
    <w:rsid w:val="6F375468"/>
    <w:rsid w:val="6F4F4560"/>
    <w:rsid w:val="6F651FD5"/>
    <w:rsid w:val="6F7F7CB0"/>
    <w:rsid w:val="6FE0165C"/>
    <w:rsid w:val="6FE10C44"/>
    <w:rsid w:val="6FE32EFA"/>
    <w:rsid w:val="70222744"/>
    <w:rsid w:val="706D25DF"/>
    <w:rsid w:val="706D2B21"/>
    <w:rsid w:val="707B1384"/>
    <w:rsid w:val="70857A34"/>
    <w:rsid w:val="70985D3C"/>
    <w:rsid w:val="70D80585"/>
    <w:rsid w:val="70ED2282"/>
    <w:rsid w:val="70F81685"/>
    <w:rsid w:val="71047C73"/>
    <w:rsid w:val="7109004F"/>
    <w:rsid w:val="71103167"/>
    <w:rsid w:val="712E56F7"/>
    <w:rsid w:val="71542301"/>
    <w:rsid w:val="71691ABB"/>
    <w:rsid w:val="71AE1AEA"/>
    <w:rsid w:val="71CF3B6C"/>
    <w:rsid w:val="71F80F33"/>
    <w:rsid w:val="722922C6"/>
    <w:rsid w:val="727176A7"/>
    <w:rsid w:val="72785B7B"/>
    <w:rsid w:val="72AC2584"/>
    <w:rsid w:val="72CB03A1"/>
    <w:rsid w:val="72F336D6"/>
    <w:rsid w:val="732B7092"/>
    <w:rsid w:val="732D4B5D"/>
    <w:rsid w:val="73393C88"/>
    <w:rsid w:val="7362513F"/>
    <w:rsid w:val="73771D49"/>
    <w:rsid w:val="73A1354E"/>
    <w:rsid w:val="73FE47A6"/>
    <w:rsid w:val="74006876"/>
    <w:rsid w:val="7434641A"/>
    <w:rsid w:val="74A11E7D"/>
    <w:rsid w:val="74A215D5"/>
    <w:rsid w:val="75590B0A"/>
    <w:rsid w:val="7582279F"/>
    <w:rsid w:val="75843EB5"/>
    <w:rsid w:val="75BB71AF"/>
    <w:rsid w:val="75F01962"/>
    <w:rsid w:val="760E19DF"/>
    <w:rsid w:val="764E52E0"/>
    <w:rsid w:val="764F3097"/>
    <w:rsid w:val="76557F3E"/>
    <w:rsid w:val="76676A53"/>
    <w:rsid w:val="768C42EB"/>
    <w:rsid w:val="76A3294D"/>
    <w:rsid w:val="76B620A1"/>
    <w:rsid w:val="76B63116"/>
    <w:rsid w:val="76F125B0"/>
    <w:rsid w:val="76F20814"/>
    <w:rsid w:val="77462524"/>
    <w:rsid w:val="779A6594"/>
    <w:rsid w:val="77A21064"/>
    <w:rsid w:val="77E34EB2"/>
    <w:rsid w:val="78071E5D"/>
    <w:rsid w:val="781564B8"/>
    <w:rsid w:val="781B2E5F"/>
    <w:rsid w:val="78224ACF"/>
    <w:rsid w:val="78CD6DCC"/>
    <w:rsid w:val="78D07CAF"/>
    <w:rsid w:val="78DE12D7"/>
    <w:rsid w:val="78FD0B56"/>
    <w:rsid w:val="79210683"/>
    <w:rsid w:val="799C3465"/>
    <w:rsid w:val="79A27982"/>
    <w:rsid w:val="79B14EC4"/>
    <w:rsid w:val="7A2A6B4A"/>
    <w:rsid w:val="7A37456E"/>
    <w:rsid w:val="7A681070"/>
    <w:rsid w:val="7A860C7C"/>
    <w:rsid w:val="7A895529"/>
    <w:rsid w:val="7AB879FE"/>
    <w:rsid w:val="7B072683"/>
    <w:rsid w:val="7B252618"/>
    <w:rsid w:val="7B272834"/>
    <w:rsid w:val="7B3264DD"/>
    <w:rsid w:val="7B767318"/>
    <w:rsid w:val="7B81188A"/>
    <w:rsid w:val="7B8C6B3B"/>
    <w:rsid w:val="7B9E2902"/>
    <w:rsid w:val="7BC854E2"/>
    <w:rsid w:val="7C0562EC"/>
    <w:rsid w:val="7C067A45"/>
    <w:rsid w:val="7C27683F"/>
    <w:rsid w:val="7C52757E"/>
    <w:rsid w:val="7C562FD2"/>
    <w:rsid w:val="7CB14B4D"/>
    <w:rsid w:val="7CF26969"/>
    <w:rsid w:val="7D25523C"/>
    <w:rsid w:val="7D5176F5"/>
    <w:rsid w:val="7DB23041"/>
    <w:rsid w:val="7E253FEC"/>
    <w:rsid w:val="7E5C45A3"/>
    <w:rsid w:val="7E5F7809"/>
    <w:rsid w:val="7EA67F14"/>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w:basedOn w:val="1"/>
    <w:next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8"/>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3"/>
    <w:basedOn w:val="1"/>
    <w:next w:val="1"/>
    <w:qFormat/>
    <w:uiPriority w:val="39"/>
    <w:pPr>
      <w:ind w:left="480"/>
      <w:jc w:val="left"/>
    </w:pPr>
    <w:rPr>
      <w:rFonts w:ascii="Calibri" w:hAnsi="Calibri" w:eastAsia="宋体" w:cs="Times New Roman"/>
      <w:i/>
      <w:iCs/>
      <w:sz w:val="20"/>
      <w:szCs w:val="20"/>
    </w:rPr>
  </w:style>
  <w:style w:type="paragraph" w:styleId="18">
    <w:name w:val="Plain Text"/>
    <w:basedOn w:val="1"/>
    <w:link w:val="71"/>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2"/>
    <w:qFormat/>
    <w:uiPriority w:val="0"/>
    <w:pPr>
      <w:ind w:left="100" w:leftChars="2500"/>
    </w:pPr>
    <w:rPr>
      <w:sz w:val="24"/>
    </w:rPr>
  </w:style>
  <w:style w:type="paragraph" w:styleId="21">
    <w:name w:val="Body Text Indent 2"/>
    <w:basedOn w:val="1"/>
    <w:link w:val="50"/>
    <w:qFormat/>
    <w:uiPriority w:val="0"/>
    <w:pPr>
      <w:spacing w:after="120" w:line="480" w:lineRule="auto"/>
      <w:ind w:left="420" w:leftChars="200"/>
    </w:pPr>
  </w:style>
  <w:style w:type="paragraph" w:styleId="22">
    <w:name w:val="Balloon Text"/>
    <w:basedOn w:val="1"/>
    <w:link w:val="66"/>
    <w:qFormat/>
    <w:uiPriority w:val="0"/>
    <w:rPr>
      <w:sz w:val="18"/>
    </w:rPr>
  </w:style>
  <w:style w:type="paragraph" w:styleId="23">
    <w:name w:val="footer"/>
    <w:basedOn w:val="1"/>
    <w:link w:val="72"/>
    <w:qFormat/>
    <w:uiPriority w:val="99"/>
    <w:pPr>
      <w:tabs>
        <w:tab w:val="center" w:pos="4153"/>
        <w:tab w:val="right" w:pos="8306"/>
      </w:tabs>
      <w:snapToGrid w:val="0"/>
      <w:jc w:val="left"/>
    </w:pPr>
    <w:rPr>
      <w:sz w:val="18"/>
    </w:rPr>
  </w:style>
  <w:style w:type="paragraph" w:styleId="24">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3"/>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1"/>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4"/>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20"/>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2"/>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8"/>
    <w:qFormat/>
    <w:locked/>
    <w:uiPriority w:val="0"/>
    <w:rPr>
      <w:rFonts w:ascii="宋体" w:hAnsi="Courier New"/>
    </w:rPr>
  </w:style>
  <w:style w:type="character" w:customStyle="1" w:styleId="72">
    <w:name w:val="页脚 字符"/>
    <w:link w:val="23"/>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4"/>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3"/>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8"/>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character" w:customStyle="1" w:styleId="136">
    <w:name w:val="font61"/>
    <w:basedOn w:val="38"/>
    <w:qFormat/>
    <w:uiPriority w:val="0"/>
    <w:rPr>
      <w:rFonts w:hint="default" w:ascii="Times New Roman" w:hAnsi="Times New Roman" w:cs="Times New Roman"/>
      <w:color w:val="000000"/>
      <w:sz w:val="20"/>
      <w:szCs w:val="20"/>
      <w:u w:val="none"/>
    </w:rPr>
  </w:style>
  <w:style w:type="character" w:customStyle="1" w:styleId="137">
    <w:name w:val="font51"/>
    <w:basedOn w:val="38"/>
    <w:qFormat/>
    <w:uiPriority w:val="0"/>
    <w:rPr>
      <w:rFonts w:hint="eastAsia" w:ascii="宋体" w:hAnsi="宋体" w:eastAsia="宋体" w:cs="宋体"/>
      <w:color w:val="000000"/>
      <w:sz w:val="20"/>
      <w:szCs w:val="20"/>
      <w:u w:val="none"/>
    </w:rPr>
  </w:style>
  <w:style w:type="paragraph" w:customStyle="1" w:styleId="138">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theme" Target="theme/theme1.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header" Target="header9.xml"/><Relationship Id="rId37" Type="http://schemas.openxmlformats.org/officeDocument/2006/relationships/header" Target="header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61</Pages>
  <Words>10520</Words>
  <Characters>11083</Characters>
  <Lines>305</Lines>
  <Paragraphs>86</Paragraphs>
  <TotalTime>0</TotalTime>
  <ScaleCrop>false</ScaleCrop>
  <LinksUpToDate>false</LinksUpToDate>
  <CharactersWithSpaces>11638</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2025-03-07T07:40:00Z</dcterms:created>
  <dc:creator>刘剑</dc:creator>
  <cp:lastModifiedBy>赵力</cp:lastModifiedBy>
  <dcterms:modified xsi:type="dcterms:W3CDTF">2025-11-24T08:09:28Z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09BDEC1243614C78AFDF3F798DF4106D_11</vt:lpwstr>
  </property>
  <property fmtid="{D5CDD505-2E9C-101B-9397-08002B2CF9AE}" pid="4" name="KSOTemplateDocerSaveRecord">
    <vt:lpwstr>eyJoZGlkIjoiMzhlYmU0MzMzZWIzM2IwMjVhMTBmZjNmYThlMGUyZGUiLCJ1c2VySWQiOiI2NzU0NjI1OTEifQ==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