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80" w:lineRule="exact"/>
        <w:jc w:val="center"/>
        <w:rPr>
          <w:b/>
          <w:bCs/>
          <w:color w:val="000000"/>
          <w:spacing w:val="-8"/>
          <w:sz w:val="48"/>
          <w:szCs w:val="44"/>
        </w:rPr>
      </w:pPr>
      <w:r>
        <w:rPr>
          <w:rFonts w:hint="eastAsia" w:hAnsi="Segoe UI Emoji"/>
          <w:b/>
          <w:bCs/>
          <w:color w:val="000000"/>
          <w:spacing w:val="-8"/>
          <w:sz w:val="48"/>
          <w:szCs w:val="44"/>
        </w:rPr>
        <w:t>中国重汽集团济南动力有限公司</w:t>
      </w:r>
    </w:p>
    <w:p>
      <w:pPr>
        <w:jc w:val="center"/>
        <w:rPr>
          <w:b/>
          <w:bCs/>
          <w:color w:val="000000"/>
          <w:spacing w:val="-8"/>
          <w:sz w:val="48"/>
          <w:szCs w:val="44"/>
        </w:rPr>
      </w:pPr>
      <w:r>
        <w:rPr>
          <w:rFonts w:hint="eastAsia" w:hAnsi="Segoe UI Emoji" w:eastAsia="宋体"/>
          <w:b/>
          <w:bCs/>
          <w:color w:val="000000"/>
          <w:spacing w:val="-8"/>
          <w:sz w:val="48"/>
          <w:szCs w:val="44"/>
        </w:rPr>
        <w:t>科技大厦卫生间改造一期项目</w:t>
      </w:r>
      <w:r>
        <w:rPr>
          <w:rFonts w:hint="eastAsia"/>
          <w:b/>
          <w:bCs/>
          <w:color w:val="000000"/>
          <w:spacing w:val="-8"/>
          <w:sz w:val="48"/>
          <w:szCs w:val="44"/>
        </w:rPr>
        <w:t xml:space="preserve"> </w:t>
      </w:r>
    </w:p>
    <w:p>
      <w:pPr>
        <w:jc w:val="right"/>
        <w:rPr>
          <w:color w:val="000000"/>
          <w:sz w:val="28"/>
          <w:szCs w:val="28"/>
        </w:rPr>
      </w:pPr>
      <w:r>
        <w:rPr>
          <w:rFonts w:hint="eastAsia"/>
          <w:color w:val="000000"/>
          <w:sz w:val="28"/>
          <w:szCs w:val="28"/>
        </w:rPr>
        <w:t>附：技术协议</w:t>
      </w:r>
    </w:p>
    <w:p>
      <w:pPr>
        <w:jc w:val="center"/>
        <w:rPr>
          <w:rFonts w:ascii="Courier New" w:hAnsi="Segoe UI Emoji" w:eastAsia="Courier New"/>
          <w:color w:val="000000"/>
          <w:sz w:val="84"/>
          <w:szCs w:val="84"/>
        </w:rPr>
      </w:pPr>
      <w:r>
        <w:rPr>
          <w:rFonts w:hint="eastAsia" w:ascii="Courier New" w:hAnsi="Segoe UI Emoji" w:eastAsia="Courier New"/>
          <w:color w:val="000000"/>
          <w:sz w:val="84"/>
          <w:szCs w:val="84"/>
        </w:rPr>
        <w:t>招</w:t>
      </w:r>
    </w:p>
    <w:p>
      <w:pPr>
        <w:jc w:val="center"/>
        <w:rPr>
          <w:rFonts w:ascii="Courier New" w:hAnsi="Segoe UI Emoji" w:eastAsia="Courier New"/>
          <w:color w:val="000000"/>
          <w:sz w:val="84"/>
          <w:szCs w:val="84"/>
        </w:rPr>
      </w:pPr>
    </w:p>
    <w:p>
      <w:pPr>
        <w:jc w:val="center"/>
        <w:rPr>
          <w:rFonts w:ascii="Courier New" w:hAnsi="Segoe UI Emoji" w:eastAsia="Courier New"/>
          <w:color w:val="000000"/>
          <w:sz w:val="84"/>
          <w:szCs w:val="84"/>
        </w:rPr>
      </w:pPr>
      <w:r>
        <w:rPr>
          <w:rFonts w:hint="eastAsia" w:ascii="Courier New" w:hAnsi="Segoe UI Emoji" w:eastAsia="Courier New"/>
          <w:color w:val="000000"/>
          <w:sz w:val="84"/>
          <w:szCs w:val="84"/>
        </w:rPr>
        <w:t>标</w:t>
      </w:r>
    </w:p>
    <w:p>
      <w:pPr>
        <w:jc w:val="center"/>
        <w:rPr>
          <w:rFonts w:ascii="Courier New" w:hAnsi="Segoe UI Emoji" w:eastAsia="Courier New"/>
          <w:color w:val="000000"/>
          <w:sz w:val="84"/>
          <w:szCs w:val="84"/>
        </w:rPr>
      </w:pPr>
    </w:p>
    <w:p>
      <w:pPr>
        <w:jc w:val="center"/>
        <w:rPr>
          <w:rFonts w:ascii="Segoe UI Emoji" w:hAnsi="Segoe UI Emoji"/>
          <w:color w:val="000000"/>
          <w:sz w:val="72"/>
          <w:szCs w:val="72"/>
        </w:rPr>
      </w:pPr>
      <w:r>
        <w:rPr>
          <w:rFonts w:hint="eastAsia" w:ascii="Courier New" w:hAnsi="Segoe UI Emoji" w:eastAsia="Courier New"/>
          <w:color w:val="000000"/>
          <w:sz w:val="84"/>
          <w:szCs w:val="84"/>
        </w:rPr>
        <w:t>书</w:t>
      </w:r>
    </w:p>
    <w:p>
      <w:pPr>
        <w:jc w:val="center"/>
        <w:rPr>
          <w:rFonts w:ascii="Segoe UI Emoji" w:hAnsi="Segoe UI Emoji"/>
          <w:color w:val="000000"/>
          <w:sz w:val="28"/>
          <w:szCs w:val="28"/>
        </w:rPr>
      </w:pPr>
    </w:p>
    <w:p>
      <w:pPr>
        <w:ind w:firstLine="1260" w:firstLineChars="450"/>
        <w:jc w:val="left"/>
        <w:rPr>
          <w:rFonts w:ascii="Segoe UI Emoji" w:hAnsi="Segoe UI Emoji"/>
          <w:color w:val="000000"/>
          <w:sz w:val="28"/>
          <w:szCs w:val="28"/>
        </w:rPr>
      </w:pPr>
    </w:p>
    <w:p>
      <w:pPr>
        <w:ind w:firstLine="1260" w:firstLineChars="450"/>
        <w:jc w:val="left"/>
        <w:rPr>
          <w:rFonts w:ascii="Segoe UI Emoji" w:hAnsi="Segoe UI Emoji"/>
          <w:color w:val="000000"/>
          <w:sz w:val="28"/>
          <w:szCs w:val="28"/>
        </w:rPr>
      </w:pPr>
    </w:p>
    <w:p>
      <w:pPr>
        <w:jc w:val="center"/>
        <w:rPr>
          <w:rFonts w:ascii="宋体" w:hAnsi="宋体" w:eastAsia="宋体" w:cs="宋体"/>
          <w:sz w:val="28"/>
          <w:szCs w:val="28"/>
        </w:rPr>
      </w:pPr>
      <w:r>
        <w:rPr>
          <w:rFonts w:hint="eastAsia" w:ascii="Segoe UI Emoji" w:hAnsi="Segoe UI Emoji"/>
          <w:color w:val="000000"/>
          <w:sz w:val="28"/>
          <w:szCs w:val="28"/>
        </w:rPr>
        <w:t>招 标 人：</w:t>
      </w:r>
      <w:r>
        <w:rPr>
          <w:rFonts w:ascii="宋体" w:hAnsi="宋体" w:eastAsia="宋体" w:cs="宋体"/>
          <w:sz w:val="28"/>
          <w:szCs w:val="28"/>
        </w:rPr>
        <w:t xml:space="preserve">中国重汽集团济南动力有限公司 </w:t>
      </w:r>
    </w:p>
    <w:p>
      <w:pPr>
        <w:jc w:val="center"/>
        <w:rPr>
          <w:color w:val="000000"/>
          <w:sz w:val="28"/>
          <w:szCs w:val="28"/>
        </w:rPr>
      </w:pPr>
      <w:r>
        <w:rPr>
          <w:color w:val="000000"/>
          <w:sz w:val="28"/>
          <w:szCs w:val="28"/>
        </w:rPr>
        <w:t>2025</w:t>
      </w:r>
      <w:r>
        <w:rPr>
          <w:rFonts w:hint="eastAsia" w:ascii="Segoe UI Emoji" w:hAnsi="Segoe UI Emoji"/>
          <w:color w:val="000000"/>
          <w:sz w:val="28"/>
          <w:szCs w:val="28"/>
        </w:rPr>
        <w:t>年</w:t>
      </w:r>
      <w:r>
        <w:rPr>
          <w:rFonts w:hint="eastAsia" w:ascii="Segoe UI Emoji" w:hAnsi="Segoe UI Emoji" w:eastAsia="宋体"/>
          <w:color w:val="000000"/>
          <w:sz w:val="28"/>
          <w:szCs w:val="28"/>
          <w:lang w:val="en-US" w:eastAsia="zh-CN"/>
        </w:rPr>
        <w:t>11</w:t>
      </w:r>
      <w:r>
        <w:rPr>
          <w:color w:val="000000"/>
          <w:sz w:val="28"/>
          <w:szCs w:val="28"/>
        </w:rPr>
        <w:t>月</w:t>
      </w:r>
    </w:p>
    <w:p>
      <w:pPr>
        <w:pStyle w:val="7"/>
        <w:rPr>
          <w:color w:val="000000"/>
          <w:sz w:val="28"/>
          <w:szCs w:val="28"/>
        </w:rPr>
      </w:pPr>
    </w:p>
    <w:p>
      <w:pPr>
        <w:pStyle w:val="7"/>
        <w:rPr>
          <w:color w:val="000000"/>
          <w:sz w:val="28"/>
          <w:szCs w:val="28"/>
        </w:rPr>
      </w:pPr>
    </w:p>
    <w:p>
      <w:pPr>
        <w:pStyle w:val="7"/>
        <w:rPr>
          <w:color w:val="000000"/>
          <w:sz w:val="28"/>
          <w:szCs w:val="28"/>
        </w:rPr>
      </w:pPr>
    </w:p>
    <w:p>
      <w:pPr>
        <w:pStyle w:val="7"/>
        <w:rPr>
          <w:color w:val="000000"/>
          <w:sz w:val="28"/>
          <w:szCs w:val="28"/>
        </w:rPr>
      </w:pPr>
    </w:p>
    <w:p>
      <w:pPr>
        <w:pStyle w:val="7"/>
        <w:rPr>
          <w:color w:val="000000"/>
          <w:sz w:val="28"/>
          <w:szCs w:val="28"/>
        </w:rPr>
      </w:pPr>
    </w:p>
    <w:p>
      <w:pPr>
        <w:pStyle w:val="7"/>
        <w:jc w:val="center"/>
        <w:outlineLvl w:val="0"/>
        <w:rPr>
          <w:rFonts w:hint="default" w:eastAsia="宋体"/>
          <w:color w:val="000000"/>
          <w:sz w:val="44"/>
          <w:szCs w:val="44"/>
          <w:lang w:val="en-US" w:eastAsia="zh-CN"/>
        </w:rPr>
      </w:pPr>
      <w:r>
        <w:rPr>
          <w:rFonts w:hint="eastAsia" w:eastAsia="宋体"/>
          <w:color w:val="000000"/>
          <w:sz w:val="44"/>
          <w:szCs w:val="44"/>
          <w:lang w:val="en-US" w:eastAsia="zh-CN"/>
        </w:rPr>
        <w:t>第一章 招标公告</w:t>
      </w:r>
    </w:p>
    <w:p>
      <w:pPr>
        <w:pStyle w:val="16"/>
        <w:rPr>
          <w:color w:val="000000"/>
        </w:rPr>
      </w:pPr>
      <w:r>
        <w:rPr>
          <w:rFonts w:hint="eastAsia"/>
          <w:color w:val="000000"/>
        </w:rPr>
        <w:t>一、项目名称</w:t>
      </w:r>
    </w:p>
    <w:p>
      <w:pPr>
        <w:spacing w:line="360" w:lineRule="auto"/>
        <w:ind w:left="1679" w:leftChars="228" w:hanging="1200" w:hangingChars="500"/>
        <w:rPr>
          <w:rFonts w:hint="eastAsia" w:eastAsia="宋体"/>
          <w:color w:val="000000"/>
          <w:sz w:val="24"/>
          <w:szCs w:val="24"/>
          <w:u w:val="single"/>
        </w:rPr>
      </w:pPr>
      <w:r>
        <w:rPr>
          <w:rFonts w:hint="eastAsia"/>
          <w:color w:val="000000"/>
          <w:sz w:val="24"/>
          <w:szCs w:val="24"/>
        </w:rPr>
        <w:t>项目名称：</w:t>
      </w:r>
      <w:bookmarkStart w:id="0" w:name="OLE_LINK1"/>
      <w:r>
        <w:rPr>
          <w:rFonts w:hint="eastAsia" w:eastAsia="宋体"/>
          <w:color w:val="000000"/>
          <w:sz w:val="24"/>
          <w:szCs w:val="24"/>
          <w:u w:val="single"/>
        </w:rPr>
        <w:t>科技大厦卫生间改造一期项目</w:t>
      </w:r>
    </w:p>
    <w:p>
      <w:pPr>
        <w:spacing w:line="360" w:lineRule="auto"/>
        <w:ind w:left="1679" w:leftChars="228" w:hanging="1200" w:hangingChars="500"/>
        <w:rPr>
          <w:rFonts w:hint="eastAsia" w:ascii="Arial" w:hAnsi="Arial" w:cs="Arial"/>
          <w:color w:val="000000"/>
          <w:sz w:val="24"/>
          <w:szCs w:val="24"/>
          <w:lang w:val="en-US" w:eastAsia="zh-CN"/>
        </w:rPr>
      </w:pPr>
      <w:r>
        <w:rPr>
          <w:rFonts w:hint="eastAsia" w:ascii="Arial" w:hAnsi="Arial" w:cs="Arial"/>
          <w:color w:val="000000"/>
          <w:sz w:val="24"/>
          <w:szCs w:val="24"/>
          <w:lang w:val="en-US" w:eastAsia="zh-CN"/>
        </w:rPr>
        <w:t>项目编号：FSCZB2025110361</w:t>
      </w:r>
    </w:p>
    <w:p>
      <w:pPr>
        <w:pStyle w:val="16"/>
        <w:rPr>
          <w:color w:val="000000"/>
        </w:rPr>
      </w:pPr>
      <w:r>
        <w:rPr>
          <w:rFonts w:hint="eastAsia"/>
          <w:color w:val="000000"/>
        </w:rPr>
        <w:t>二、招标内容及形式</w:t>
      </w:r>
    </w:p>
    <w:p>
      <w:pPr>
        <w:pStyle w:val="7"/>
        <w:spacing w:line="360" w:lineRule="auto"/>
        <w:ind w:firstLine="480" w:firstLineChars="200"/>
        <w:rPr>
          <w:rFonts w:hint="eastAsia" w:eastAsia="宋体"/>
          <w:color w:val="000000"/>
          <w:sz w:val="24"/>
          <w:szCs w:val="24"/>
        </w:rPr>
      </w:pPr>
      <w:r>
        <w:rPr>
          <w:rFonts w:hint="eastAsia" w:ascii="Arial" w:hAnsi="Arial"/>
          <w:color w:val="000000"/>
          <w:sz w:val="24"/>
          <w:szCs w:val="24"/>
        </w:rPr>
        <w:t>1</w:t>
      </w:r>
      <w:r>
        <w:rPr>
          <w:rFonts w:hint="eastAsia"/>
          <w:color w:val="000000"/>
          <w:sz w:val="24"/>
          <w:szCs w:val="24"/>
        </w:rPr>
        <w:t>、招标内容：</w:t>
      </w:r>
      <w:r>
        <w:rPr>
          <w:rFonts w:hint="eastAsia" w:eastAsia="宋体"/>
          <w:color w:val="000000"/>
          <w:sz w:val="24"/>
          <w:szCs w:val="24"/>
        </w:rPr>
        <w:t>中国商用车评价体系测评随着科技大厦使用年限增长，大厦内卫生间普遍存在顽固性异味、渗水等问题，针对上述问题产生的原因，以通风、给排水、建筑内部装修为整改方向，计划进行科技大厦9个卫生间进行异味整治系统性改进提升。</w:t>
      </w:r>
    </w:p>
    <w:p>
      <w:pPr>
        <w:pStyle w:val="7"/>
        <w:spacing w:line="360" w:lineRule="auto"/>
        <w:ind w:firstLine="480" w:firstLineChars="200"/>
        <w:rPr>
          <w:rFonts w:hint="eastAsia"/>
          <w:color w:val="000000"/>
          <w:sz w:val="24"/>
          <w:szCs w:val="24"/>
        </w:rPr>
      </w:pPr>
      <w:r>
        <w:rPr>
          <w:rFonts w:hint="eastAsia" w:ascii="Arial" w:hAnsi="Arial"/>
          <w:color w:val="000000"/>
          <w:sz w:val="24"/>
          <w:szCs w:val="24"/>
        </w:rPr>
        <w:t>2</w:t>
      </w:r>
      <w:r>
        <w:rPr>
          <w:rFonts w:hint="eastAsia"/>
          <w:color w:val="000000"/>
          <w:sz w:val="24"/>
          <w:szCs w:val="24"/>
        </w:rPr>
        <w:t>、招标形式：公开招标</w:t>
      </w:r>
    </w:p>
    <w:p>
      <w:pPr>
        <w:pStyle w:val="7"/>
        <w:spacing w:line="360" w:lineRule="auto"/>
        <w:outlineLvl w:val="1"/>
        <w:rPr>
          <w:rFonts w:hint="eastAsia" w:eastAsia="宋体"/>
          <w:color w:val="000000"/>
          <w:sz w:val="24"/>
          <w:szCs w:val="24"/>
          <w:lang w:val="en-US" w:eastAsia="zh-CN"/>
        </w:rPr>
      </w:pPr>
      <w:r>
        <w:rPr>
          <w:rFonts w:hint="eastAsia" w:eastAsia="宋体"/>
          <w:color w:val="000000"/>
          <w:sz w:val="24"/>
          <w:szCs w:val="24"/>
          <w:lang w:val="en-US" w:eastAsia="zh-CN"/>
        </w:rPr>
        <w:t>三、报名方式</w:t>
      </w:r>
    </w:p>
    <w:p>
      <w:pPr>
        <w:pStyle w:val="7"/>
        <w:spacing w:line="360" w:lineRule="auto"/>
        <w:ind w:firstLine="480" w:firstLineChars="200"/>
        <w:rPr>
          <w:rStyle w:val="17"/>
          <w:rFonts w:hint="eastAsia" w:eastAsia="宋体" w:cs="Times New Roman"/>
          <w:highlight w:val="yellow"/>
          <w:lang w:val="en-US" w:eastAsia="zh-CN"/>
        </w:rPr>
      </w:pPr>
      <w:r>
        <w:rPr>
          <w:rStyle w:val="17"/>
          <w:rFonts w:hint="eastAsia" w:eastAsia="宋体" w:cs="Times New Roma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w:t>
      </w:r>
      <w:r>
        <w:rPr>
          <w:rStyle w:val="17"/>
          <w:rFonts w:hint="eastAsia" w:eastAsia="宋体" w:cs="Times New Roman"/>
          <w:lang w:eastAsia="zh-CN"/>
        </w:rPr>
        <w:t>。</w:t>
      </w:r>
      <w:r>
        <w:rPr>
          <w:rStyle w:val="17"/>
          <w:rFonts w:hint="eastAsia" w:eastAsia="宋体" w:cs="Times New Roman"/>
          <w:highlight w:val="yellow"/>
          <w:lang w:val="en-US" w:eastAsia="zh-CN"/>
        </w:rPr>
        <w:t>操作方式参考附件11和12。</w:t>
      </w:r>
    </w:p>
    <w:p>
      <w:pPr>
        <w:pStyle w:val="7"/>
        <w:numPr>
          <w:ilvl w:val="0"/>
          <w:numId w:val="1"/>
        </w:numPr>
        <w:spacing w:line="360" w:lineRule="auto"/>
        <w:outlineLvl w:val="1"/>
        <w:rPr>
          <w:rStyle w:val="17"/>
          <w:rFonts w:hint="eastAsia" w:eastAsia="宋体" w:cs="Times New Roman"/>
          <w:highlight w:val="none"/>
          <w:lang w:val="en-US" w:eastAsia="zh-CN"/>
        </w:rPr>
      </w:pPr>
      <w:r>
        <w:rPr>
          <w:rStyle w:val="17"/>
          <w:rFonts w:hint="eastAsia" w:eastAsia="宋体" w:cs="Times New Roman"/>
          <w:highlight w:val="none"/>
          <w:lang w:val="en-US" w:eastAsia="zh-CN"/>
        </w:rPr>
        <w:t>时间节点</w:t>
      </w:r>
    </w:p>
    <w:p>
      <w:pPr>
        <w:pStyle w:val="7"/>
        <w:numPr>
          <w:numId w:val="0"/>
        </w:numPr>
        <w:spacing w:line="360" w:lineRule="auto"/>
        <w:rPr>
          <w:rStyle w:val="17"/>
          <w:rFonts w:hint="eastAsia" w:eastAsia="宋体" w:cs="Times New Roman"/>
          <w:b/>
          <w:bCs/>
          <w:highlight w:val="none"/>
          <w:lang w:val="en-US" w:eastAsia="zh-CN"/>
        </w:rPr>
      </w:pPr>
      <w:r>
        <w:rPr>
          <w:rStyle w:val="17"/>
          <w:rFonts w:hint="eastAsia" w:eastAsia="宋体" w:cs="Times New Roman"/>
          <w:b/>
          <w:bCs/>
          <w:highlight w:val="none"/>
          <w:lang w:val="en-US" w:eastAsia="zh-CN"/>
        </w:rPr>
        <w:t>应标截止时间:</w:t>
      </w:r>
      <w:r>
        <w:rPr>
          <w:rStyle w:val="17"/>
          <w:rFonts w:hint="eastAsia" w:eastAsia="宋体" w:cs="Times New Roman"/>
          <w:b/>
          <w:bCs/>
          <w:highlight w:val="none"/>
          <w:lang w:val="en-US" w:eastAsia="zh-CN"/>
        </w:rPr>
        <w:tab/>
        <w:t>2025.11.29 17:00</w:t>
      </w:r>
    </w:p>
    <w:p>
      <w:pPr>
        <w:pStyle w:val="7"/>
        <w:numPr>
          <w:numId w:val="0"/>
        </w:numPr>
        <w:spacing w:line="360" w:lineRule="auto"/>
        <w:rPr>
          <w:rStyle w:val="17"/>
          <w:rFonts w:hint="eastAsia" w:eastAsia="宋体" w:cs="Times New Roman"/>
          <w:b/>
          <w:bCs/>
          <w:highlight w:val="none"/>
          <w:lang w:val="en-US" w:eastAsia="zh-CN"/>
        </w:rPr>
      </w:pPr>
      <w:r>
        <w:rPr>
          <w:rStyle w:val="17"/>
          <w:rFonts w:hint="eastAsia" w:eastAsia="宋体" w:cs="Times New Roman"/>
          <w:b/>
          <w:bCs/>
          <w:highlight w:val="none"/>
          <w:lang w:val="en-US" w:eastAsia="zh-CN"/>
        </w:rPr>
        <w:t>投标截止时间：2025.12.4 17:00</w:t>
      </w:r>
    </w:p>
    <w:p>
      <w:pPr>
        <w:pStyle w:val="7"/>
        <w:numPr>
          <w:numId w:val="0"/>
        </w:numPr>
        <w:spacing w:line="360" w:lineRule="auto"/>
        <w:rPr>
          <w:rStyle w:val="17"/>
          <w:rFonts w:hint="eastAsia" w:eastAsia="宋体" w:cs="Times New Roman"/>
          <w:b/>
          <w:bCs/>
          <w:highlight w:val="yellow"/>
          <w:lang w:val="en-US" w:eastAsia="zh-CN"/>
        </w:rPr>
      </w:pPr>
      <w:r>
        <w:rPr>
          <w:rStyle w:val="17"/>
          <w:rFonts w:hint="eastAsia" w:eastAsia="宋体" w:cs="Times New Roman"/>
          <w:b/>
          <w:bCs/>
          <w:highlight w:val="none"/>
          <w:lang w:val="en-US" w:eastAsia="zh-CN"/>
        </w:rPr>
        <w:t>开标时间:2025.12.5 17:00(</w:t>
      </w:r>
      <w:r>
        <w:rPr>
          <w:rStyle w:val="17"/>
          <w:rFonts w:hint="eastAsia" w:eastAsia="宋体" w:cs="Times New Roman"/>
          <w:b/>
          <w:bCs/>
          <w:highlight w:val="yellow"/>
          <w:lang w:val="en-US" w:eastAsia="zh-CN"/>
        </w:rPr>
        <w:t>暂定，时间节点另行通知)</w:t>
      </w:r>
    </w:p>
    <w:p>
      <w:pPr>
        <w:pStyle w:val="7"/>
        <w:numPr>
          <w:ilvl w:val="0"/>
          <w:numId w:val="1"/>
        </w:numPr>
        <w:spacing w:line="360" w:lineRule="auto"/>
        <w:ind w:left="0" w:leftChars="0" w:firstLine="0" w:firstLineChars="0"/>
        <w:outlineLvl w:val="1"/>
        <w:rPr>
          <w:rStyle w:val="17"/>
          <w:rFonts w:hint="eastAsia" w:eastAsia="宋体" w:cs="Times New Roman"/>
          <w:highlight w:val="none"/>
          <w:lang w:val="en-US" w:eastAsia="zh-CN"/>
        </w:rPr>
      </w:pPr>
      <w:r>
        <w:rPr>
          <w:rStyle w:val="17"/>
          <w:rFonts w:hint="eastAsia" w:eastAsia="宋体" w:cs="Times New Roman"/>
          <w:highlight w:val="none"/>
          <w:lang w:val="en-US" w:eastAsia="zh-CN"/>
        </w:rPr>
        <w:t>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1.</w:t>
      </w:r>
      <w:r>
        <w:rPr>
          <w:rFonts w:hint="eastAsia" w:ascii="宋体" w:hAnsi="宋体" w:cs="宋体"/>
          <w:kern w:val="0"/>
          <w:sz w:val="24"/>
          <w:lang w:bidi="en-US"/>
        </w:rPr>
        <w:t xml:space="preserve">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必须是在中华人民共和国境内注册的独立法人机构，具有独立承担民事责任能力，注册资金不少于500万人民币；公司成立三年以上（以营业执照成立日期到开标当日满三年为准）；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（2）投标人资质要求：须同时</w:t>
      </w:r>
      <w:r>
        <w:rPr>
          <w:rFonts w:hint="eastAsia" w:ascii="宋体" w:hAnsi="宋体" w:cs="宋体"/>
          <w:kern w:val="0"/>
          <w:sz w:val="24"/>
        </w:rPr>
        <w:t>具有</w:t>
      </w:r>
      <w:r>
        <w:rPr>
          <w:rFonts w:hint="eastAsia" w:ascii="宋体" w:hAnsi="宋体" w:cs="宋体"/>
          <w:kern w:val="0"/>
          <w:sz w:val="24"/>
          <w:u w:val="single"/>
        </w:rPr>
        <w:t>建筑装修装饰工程专业承包二级及以上资质</w:t>
      </w:r>
      <w:r>
        <w:rPr>
          <w:rFonts w:hint="eastAsia" w:ascii="宋体" w:hAnsi="宋体"/>
          <w:kern w:val="0"/>
          <w:sz w:val="24"/>
          <w:szCs w:val="21"/>
          <w:lang w:bidi="en-US"/>
        </w:rPr>
        <w:t>，并具有有效的安全生产许可证；</w:t>
      </w:r>
    </w:p>
    <w:p>
      <w:pPr>
        <w:widowControl/>
        <w:spacing w:line="360" w:lineRule="auto"/>
        <w:ind w:firstLine="480" w:firstLineChars="200"/>
        <w:rPr>
          <w:rFonts w:ascii="宋体" w:hAnsi="宋体"/>
          <w:kern w:val="0"/>
          <w:sz w:val="24"/>
          <w:szCs w:val="21"/>
          <w:lang w:bidi="en-US"/>
        </w:rPr>
      </w:pPr>
      <w:r>
        <w:rPr>
          <w:rFonts w:hint="eastAsia" w:ascii="宋体" w:hAnsi="宋体"/>
          <w:kern w:val="0"/>
          <w:sz w:val="24"/>
          <w:szCs w:val="21"/>
          <w:lang w:bidi="en-US"/>
        </w:rPr>
        <w:t>（</w:t>
      </w:r>
      <w:r>
        <w:rPr>
          <w:rFonts w:ascii="宋体" w:hAnsi="宋体"/>
          <w:kern w:val="0"/>
          <w:sz w:val="24"/>
          <w:szCs w:val="21"/>
          <w:lang w:bidi="en-US"/>
        </w:rPr>
        <w:t>3</w:t>
      </w:r>
      <w:r>
        <w:rPr>
          <w:rFonts w:hint="eastAsia" w:ascii="宋体" w:hAnsi="宋体"/>
          <w:kern w:val="0"/>
          <w:sz w:val="24"/>
          <w:szCs w:val="21"/>
          <w:lang w:bidi="en-US"/>
        </w:rPr>
        <w:t>）财务要求：近三年财务状况良好（近三年指2022、2023、2024年），要求包含企业最近半年完税证明、信用证明材料（中国人民银行企业信用征信报告，查询网址</w:t>
      </w:r>
      <w:r>
        <w:rPr>
          <w:rFonts w:ascii="宋体" w:hAnsi="宋体"/>
          <w:kern w:val="0"/>
          <w:sz w:val="24"/>
          <w:szCs w:val="21"/>
          <w:lang w:bidi="en-US"/>
        </w:rPr>
        <w:t>http://www.pbccrc.org.cn/zxzx/qyzx/list.shtml</w:t>
      </w:r>
      <w:r>
        <w:rPr>
          <w:rFonts w:hint="eastAsia" w:ascii="宋体" w:hAnsi="宋体"/>
          <w:kern w:val="0"/>
          <w:sz w:val="24"/>
          <w:szCs w:val="21"/>
          <w:lang w:bidi="en-US"/>
        </w:rPr>
        <w:t>）、年度纳税信用评价信息、企业对外担保说明；</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w:t>
      </w:r>
      <w:r>
        <w:rPr>
          <w:rFonts w:ascii="宋体" w:hAnsi="宋体"/>
          <w:kern w:val="0"/>
          <w:sz w:val="24"/>
          <w:szCs w:val="21"/>
          <w:lang w:bidi="en-US"/>
        </w:rPr>
        <w:t>4</w:t>
      </w:r>
      <w:r>
        <w:rPr>
          <w:rFonts w:hint="eastAsia" w:ascii="宋体" w:hAnsi="宋体"/>
          <w:kern w:val="0"/>
          <w:sz w:val="24"/>
          <w:szCs w:val="21"/>
          <w:lang w:bidi="en-US"/>
        </w:rPr>
        <w:t>）信誉要求：近三年（2022年1月1日至今）企业信誉良好，</w:t>
      </w:r>
      <w:r>
        <w:rPr>
          <w:rFonts w:hint="eastAsia" w:ascii="宋体" w:cs="宋体"/>
          <w:sz w:val="24"/>
          <w:lang w:bidi="ar"/>
        </w:rPr>
        <w:t>无行政处罚及失信记录等信息，无与本项目有关的违法违规等不良行为，无招标违规、谎报年度报告信息、提供虚假资质资料等行为或其他行政处罚记录；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5</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6</w:t>
      </w:r>
      <w:r>
        <w:rPr>
          <w:rFonts w:hint="eastAsia" w:ascii="宋体" w:cs="宋体"/>
          <w:sz w:val="24"/>
          <w:lang w:bidi="ar"/>
        </w:rPr>
        <w:t>）投标人没有被我</w:t>
      </w:r>
      <w:r>
        <w:rPr>
          <w:rFonts w:hint="eastAsia" w:ascii="宋体" w:hAnsi="宋体"/>
          <w:kern w:val="0"/>
          <w:sz w:val="24"/>
          <w:szCs w:val="21"/>
          <w:lang w:bidi="en-US"/>
        </w:rPr>
        <w:t>公司</w:t>
      </w:r>
      <w:r>
        <w:rPr>
          <w:rFonts w:hint="eastAsia" w:ascii="宋体" w:cs="宋体"/>
          <w:sz w:val="24"/>
          <w:lang w:bidi="ar"/>
        </w:rPr>
        <w:t>列入黑名单；</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）投标人的直接或</w:t>
      </w:r>
      <w:r>
        <w:rPr>
          <w:rFonts w:hint="eastAsia" w:ascii="宋体" w:hAnsi="宋体"/>
          <w:kern w:val="0"/>
          <w:sz w:val="24"/>
          <w:szCs w:val="21"/>
          <w:lang w:bidi="en-US"/>
        </w:rPr>
        <w:t>间接</w:t>
      </w:r>
      <w:r>
        <w:rPr>
          <w:rFonts w:hint="eastAsia" w:ascii="宋体" w:cs="宋体"/>
          <w:sz w:val="24"/>
          <w:lang w:bidi="ar"/>
        </w:rPr>
        <w:t>股东、法定代表人、董事、监事、高管非重汽员工及其亲属。</w:t>
      </w:r>
    </w:p>
    <w:p>
      <w:pPr>
        <w:widowControl/>
        <w:spacing w:line="360" w:lineRule="auto"/>
        <w:ind w:left="2"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8</w:t>
      </w:r>
      <w:r>
        <w:rPr>
          <w:rFonts w:hint="eastAsia" w:ascii="宋体" w:cs="宋体"/>
          <w:kern w:val="0"/>
          <w:sz w:val="24"/>
          <w:lang w:bidi="en-US"/>
        </w:rPr>
        <w:t>）法律法规对</w:t>
      </w:r>
      <w:r>
        <w:rPr>
          <w:rFonts w:hint="eastAsia" w:ascii="宋体" w:cs="宋体"/>
          <w:sz w:val="24"/>
          <w:lang w:bidi="ar"/>
        </w:rPr>
        <w:t>合格</w:t>
      </w:r>
      <w:r>
        <w:rPr>
          <w:rFonts w:hint="eastAsia" w:ascii="宋体" w:hAnsi="宋体"/>
          <w:kern w:val="0"/>
          <w:sz w:val="24"/>
          <w:szCs w:val="21"/>
          <w:lang w:bidi="en-US"/>
        </w:rPr>
        <w:t>投标人</w:t>
      </w:r>
      <w:r>
        <w:rPr>
          <w:rFonts w:hint="eastAsia" w:ascii="宋体" w:cs="宋体"/>
          <w:kern w:val="0"/>
          <w:sz w:val="24"/>
          <w:lang w:bidi="en-US"/>
        </w:rPr>
        <w:t>的其他要求、规定。</w:t>
      </w:r>
    </w:p>
    <w:p>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val="en-US" w:eastAsia="zh-CN" w:bidi="en-US"/>
        </w:rPr>
        <w:t>2.</w:t>
      </w:r>
      <w:r>
        <w:rPr>
          <w:rFonts w:hint="eastAsia" w:ascii="宋体" w:hAnsi="宋体" w:cs="宋体"/>
          <w:kern w:val="0"/>
          <w:sz w:val="24"/>
          <w:lang w:bidi="en-US"/>
        </w:rPr>
        <w:t>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360" w:lineRule="auto"/>
        <w:ind w:left="2" w:firstLine="480" w:firstLineChars="200"/>
        <w:jc w:val="left"/>
        <w:rPr>
          <w:rFonts w:hint="default" w:ascii="宋体" w:hAnsi="Times New Roman" w:eastAsia="宋体" w:cs="宋体"/>
          <w:sz w:val="24"/>
          <w:lang w:val="en-US" w:eastAsia="zh-CN" w:bidi="ar"/>
        </w:rPr>
      </w:pPr>
      <w:r>
        <w:rPr>
          <w:rFonts w:hint="eastAsia" w:ascii="宋体" w:hAnsi="Times New Roman" w:eastAsia="宋体" w:cs="宋体"/>
          <w:sz w:val="24"/>
          <w:lang w:val="en-US" w:eastAsia="zh-CN" w:bidi="ar"/>
        </w:rPr>
        <w:t>3.需要对现场进行踏勘，未对现场进行勘察的单位，不允许参与投标，投标视为无效。</w:t>
      </w:r>
    </w:p>
    <w:p>
      <w:pPr>
        <w:pStyle w:val="7"/>
        <w:numPr>
          <w:numId w:val="0"/>
        </w:numPr>
        <w:spacing w:line="360" w:lineRule="auto"/>
        <w:ind w:leftChars="0"/>
        <w:rPr>
          <w:rFonts w:hAnsi="宋体" w:cs="宋体"/>
          <w:bCs/>
          <w:kern w:val="0"/>
          <w:sz w:val="24"/>
        </w:rPr>
      </w:pPr>
      <w:r>
        <w:rPr>
          <w:rStyle w:val="17"/>
          <w:rFonts w:hint="eastAsia" w:eastAsia="宋体" w:cs="Times New Roman"/>
          <w:highlight w:val="none"/>
          <w:lang w:val="en-US" w:eastAsia="zh-CN"/>
        </w:rPr>
        <w:t>六、投标保证金</w:t>
      </w:r>
    </w:p>
    <w:p>
      <w:pPr>
        <w:tabs>
          <w:tab w:val="left" w:pos="932"/>
        </w:tabs>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0000.00元</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中国建设银行济南市天桥区支行</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pPr>
        <w:ind w:firstLine="482" w:firstLineChars="200"/>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7"/>
        <w:spacing w:line="360" w:lineRule="auto"/>
        <w:ind w:firstLine="480" w:firstLineChars="200"/>
        <w:rPr>
          <w:rFonts w:hint="eastAsia" w:eastAsia="宋体" w:cs="Times New Roman"/>
          <w:sz w:val="24"/>
          <w:szCs w:val="28"/>
          <w:highlight w:val="none"/>
        </w:rPr>
      </w:pPr>
      <w:r>
        <w:rPr>
          <w:rFonts w:hint="eastAsia" w:eastAsia="宋体" w:cs="Times New Roman"/>
          <w:sz w:val="24"/>
          <w:szCs w:val="28"/>
          <w:highlight w:val="none"/>
        </w:rPr>
        <w:t>转账附言：</w:t>
      </w:r>
      <w:r>
        <w:rPr>
          <w:rFonts w:hint="eastAsia" w:eastAsia="宋体" w:cs="Times New Roman"/>
          <w:sz w:val="24"/>
          <w:szCs w:val="28"/>
          <w:highlight w:val="yellow"/>
        </w:rPr>
        <w:t>公司名称+项目名称+投标保证金</w:t>
      </w:r>
      <w:r>
        <w:rPr>
          <w:rFonts w:hint="eastAsia" w:eastAsia="宋体" w:cs="Times New Roman"/>
          <w:sz w:val="24"/>
          <w:szCs w:val="28"/>
          <w:highlight w:val="yellow"/>
          <w:lang w:eastAsia="zh-CN"/>
        </w:rPr>
        <w:t>（</w:t>
      </w:r>
      <w:r>
        <w:rPr>
          <w:rFonts w:hint="eastAsia" w:eastAsia="宋体" w:cs="Times New Roman"/>
          <w:sz w:val="24"/>
          <w:szCs w:val="28"/>
          <w:highlight w:val="yellow"/>
          <w:lang w:val="en-US" w:eastAsia="zh-CN"/>
        </w:rPr>
        <w:t>不按照此要求备注，不保证保证金退还时间</w:t>
      </w:r>
      <w:r>
        <w:rPr>
          <w:rFonts w:hint="eastAsia" w:eastAsia="宋体" w:cs="Times New Roman"/>
          <w:sz w:val="24"/>
          <w:szCs w:val="28"/>
          <w:highlight w:val="yellow"/>
          <w:lang w:eastAsia="zh-CN"/>
        </w:rPr>
        <w:t>）</w:t>
      </w:r>
      <w:r>
        <w:rPr>
          <w:rFonts w:hint="eastAsia" w:eastAsia="宋体" w:cs="Times New Roman"/>
          <w:sz w:val="24"/>
          <w:szCs w:val="28"/>
          <w:highlight w:val="none"/>
        </w:rPr>
        <w:t>。</w:t>
      </w:r>
    </w:p>
    <w:p>
      <w:pPr>
        <w:pStyle w:val="7"/>
        <w:spacing w:line="360" w:lineRule="auto"/>
        <w:ind w:firstLine="480" w:firstLineChars="200"/>
        <w:rPr>
          <w:rFonts w:hAnsi="宋体" w:cs="宋体"/>
          <w:bCs/>
          <w:kern w:val="0"/>
          <w:sz w:val="24"/>
        </w:rPr>
      </w:pPr>
      <w:r>
        <w:rPr>
          <w:rFonts w:hint="eastAsia" w:hAnsi="宋体" w:cs="宋体"/>
          <w:bCs/>
          <w:kern w:val="0"/>
          <w:sz w:val="24"/>
        </w:rPr>
        <w:t>说明：</w:t>
      </w:r>
    </w:p>
    <w:p>
      <w:pPr>
        <w:pStyle w:val="7"/>
        <w:spacing w:line="360" w:lineRule="auto"/>
        <w:ind w:firstLine="480" w:firstLineChars="200"/>
        <w:rPr>
          <w:rFonts w:hAnsi="宋体" w:cs="宋体"/>
          <w:bCs/>
          <w:kern w:val="0"/>
          <w:sz w:val="24"/>
        </w:rPr>
      </w:pPr>
      <w:r>
        <w:rPr>
          <w:rFonts w:hint="eastAsia" w:hAnsi="宋体" w:cs="宋体"/>
          <w:bCs/>
          <w:kern w:val="0"/>
          <w:sz w:val="24"/>
        </w:rPr>
        <w:t>(a) 在确定中标人后，招标人按照财务制度退款，按投标人（除中标人外）所提供的账户信息退还投标保证金（本金，不计息）。</w:t>
      </w:r>
    </w:p>
    <w:p>
      <w:pPr>
        <w:pStyle w:val="7"/>
        <w:spacing w:line="360" w:lineRule="auto"/>
        <w:ind w:firstLine="480" w:firstLineChars="200"/>
        <w:rPr>
          <w:rFonts w:hAnsi="宋体" w:cs="宋体"/>
          <w:bCs/>
          <w:kern w:val="0"/>
          <w:sz w:val="24"/>
        </w:rPr>
      </w:pPr>
      <w:r>
        <w:rPr>
          <w:rFonts w:hint="eastAsia" w:hAnsi="宋体" w:cs="宋体"/>
          <w:bCs/>
          <w:kern w:val="0"/>
          <w:sz w:val="24"/>
        </w:rPr>
        <w:t>(b)投标人在向招标人出示《投标保证金缴纳凭证》后方可进行投标。</w:t>
      </w:r>
    </w:p>
    <w:p>
      <w:pPr>
        <w:pStyle w:val="7"/>
        <w:spacing w:line="360" w:lineRule="auto"/>
        <w:ind w:firstLine="480" w:firstLineChars="200"/>
        <w:rPr>
          <w:rFonts w:hAnsi="宋体" w:cs="宋体"/>
          <w:bCs/>
          <w:kern w:val="0"/>
          <w:sz w:val="24"/>
        </w:rPr>
      </w:pPr>
      <w:r>
        <w:rPr>
          <w:rFonts w:hint="eastAsia" w:hAnsi="宋体" w:cs="宋体"/>
          <w:bCs/>
          <w:kern w:val="0"/>
          <w:sz w:val="24"/>
        </w:rPr>
        <w:t>(c)发生以下情况时，招标人有权没收保证金：</w:t>
      </w:r>
    </w:p>
    <w:p>
      <w:pPr>
        <w:pStyle w:val="7"/>
        <w:spacing w:line="360" w:lineRule="auto"/>
        <w:ind w:firstLine="480" w:firstLineChars="200"/>
        <w:rPr>
          <w:rFonts w:hAnsi="宋体" w:cs="宋体"/>
          <w:bCs/>
          <w:kern w:val="0"/>
          <w:sz w:val="24"/>
        </w:rPr>
      </w:pPr>
      <w:r>
        <w:rPr>
          <w:rFonts w:hint="eastAsia" w:hAnsi="宋体" w:cs="宋体"/>
          <w:bCs/>
          <w:kern w:val="0"/>
          <w:sz w:val="24"/>
        </w:rPr>
        <w:t>a）截至开标前3天，投标人无正当理由且未以书面形式递交说明而在投标截止日不来投标的；</w:t>
      </w:r>
    </w:p>
    <w:p>
      <w:pPr>
        <w:pStyle w:val="7"/>
        <w:spacing w:line="360" w:lineRule="auto"/>
        <w:ind w:firstLine="480" w:firstLineChars="200"/>
        <w:rPr>
          <w:rFonts w:hAnsi="宋体" w:cs="宋体"/>
          <w:bCs/>
          <w:kern w:val="0"/>
          <w:sz w:val="24"/>
        </w:rPr>
      </w:pPr>
      <w:r>
        <w:rPr>
          <w:rFonts w:hint="eastAsia" w:hAnsi="宋体" w:cs="宋体"/>
          <w:bCs/>
          <w:kern w:val="0"/>
          <w:sz w:val="24"/>
        </w:rPr>
        <w:t>b）投标人递送投标文件后，无正当理由放弃投标的；</w:t>
      </w:r>
    </w:p>
    <w:p>
      <w:pPr>
        <w:pStyle w:val="7"/>
        <w:spacing w:line="360" w:lineRule="auto"/>
        <w:ind w:firstLine="480" w:firstLineChars="200"/>
        <w:rPr>
          <w:rFonts w:hAnsi="宋体" w:cs="宋体"/>
          <w:bCs/>
          <w:kern w:val="0"/>
          <w:sz w:val="24"/>
        </w:rPr>
      </w:pPr>
      <w:r>
        <w:rPr>
          <w:rFonts w:hint="eastAsia" w:hAnsi="宋体" w:cs="宋体"/>
          <w:bCs/>
          <w:kern w:val="0"/>
          <w:sz w:val="24"/>
        </w:rPr>
        <w:t>c）自中标通知书发出之日起30日内，中标人无正当理由不签订合同的；</w:t>
      </w:r>
    </w:p>
    <w:p>
      <w:pPr>
        <w:pStyle w:val="7"/>
        <w:spacing w:line="360" w:lineRule="auto"/>
        <w:ind w:firstLine="480" w:firstLineChars="200"/>
        <w:rPr>
          <w:rFonts w:hAnsi="宋体" w:cs="宋体"/>
          <w:bCs/>
          <w:kern w:val="0"/>
          <w:sz w:val="24"/>
        </w:rPr>
      </w:pPr>
      <w:r>
        <w:rPr>
          <w:rFonts w:hint="eastAsia" w:hAnsi="宋体" w:cs="宋体"/>
          <w:bCs/>
          <w:kern w:val="0"/>
          <w:sz w:val="24"/>
        </w:rPr>
        <w:t>d）投标人在投标过程中被查实有串标、围标、陪标等违规违纪行为的；</w:t>
      </w:r>
    </w:p>
    <w:p>
      <w:pPr>
        <w:pStyle w:val="7"/>
        <w:spacing w:line="360" w:lineRule="auto"/>
        <w:ind w:firstLine="480" w:firstLineChars="200"/>
        <w:rPr>
          <w:rFonts w:hAnsi="宋体" w:cs="宋体"/>
          <w:bCs/>
          <w:kern w:val="0"/>
          <w:sz w:val="24"/>
        </w:rPr>
      </w:pPr>
      <w:r>
        <w:rPr>
          <w:rFonts w:hint="eastAsia" w:hAnsi="宋体" w:cs="宋体"/>
          <w:bCs/>
          <w:kern w:val="0"/>
          <w:sz w:val="24"/>
        </w:rPr>
        <w:t>e）投标人有违约违规行为或被投诉、举报的，在调查处理期间，保证金暂不退还，待调查处理结束后按有关规定处理。</w:t>
      </w:r>
    </w:p>
    <w:p>
      <w:pPr>
        <w:pStyle w:val="7"/>
        <w:numPr>
          <w:numId w:val="0"/>
        </w:numPr>
        <w:spacing w:line="360" w:lineRule="auto"/>
        <w:ind w:leftChars="0"/>
        <w:rPr>
          <w:rFonts w:hint="eastAsia" w:ascii="Segoe UI Emoji" w:hAnsi="宋体" w:eastAsia="Segoe UI Emoji" w:cs="宋体"/>
          <w:bCs/>
          <w:kern w:val="0"/>
          <w:sz w:val="24"/>
          <w:lang w:val="en-US" w:eastAsia="zh-CN" w:bidi="ar-SA"/>
        </w:rPr>
      </w:pPr>
      <w:r>
        <w:rPr>
          <w:rStyle w:val="17"/>
          <w:rFonts w:hint="eastAsia" w:eastAsia="宋体" w:cs="Times New Roman"/>
          <w:highlight w:val="none"/>
          <w:lang w:val="en-US" w:eastAsia="zh-CN"/>
        </w:rPr>
        <w:t>七、联系人</w:t>
      </w:r>
    </w:p>
    <w:p>
      <w:pPr>
        <w:pStyle w:val="2"/>
        <w:ind w:firstLine="420" w:firstLineChars="0"/>
        <w:rPr>
          <w:rFonts w:hint="default" w:ascii="Segoe UI Emoji" w:hAnsi="宋体" w:eastAsia="Segoe UI Emoji" w:cs="宋体"/>
          <w:b w:val="0"/>
          <w:bCs/>
          <w:kern w:val="0"/>
          <w:sz w:val="24"/>
          <w:szCs w:val="20"/>
          <w:highlight w:val="yellow"/>
          <w:lang w:val="en-US" w:eastAsia="zh-CN" w:bidi="ar-SA"/>
        </w:rPr>
      </w:pPr>
      <w:r>
        <w:rPr>
          <w:rFonts w:hint="eastAsia" w:ascii="Segoe UI Emoji" w:hAnsi="宋体" w:eastAsia="Segoe UI Emoji" w:cs="宋体"/>
          <w:b w:val="0"/>
          <w:bCs/>
          <w:kern w:val="0"/>
          <w:sz w:val="24"/>
          <w:szCs w:val="20"/>
          <w:highlight w:val="yellow"/>
          <w:lang w:val="en-US" w:eastAsia="zh-CN" w:bidi="ar-SA"/>
        </w:rPr>
        <w:t>技术联系人：</w:t>
      </w:r>
      <w:r>
        <w:rPr>
          <w:rFonts w:hint="eastAsia" w:ascii="Segoe UI Emoji" w:hAnsi="宋体" w:eastAsia="Segoe UI Emoji" w:cs="宋体"/>
          <w:b w:val="0"/>
          <w:bCs/>
          <w:kern w:val="0"/>
          <w:sz w:val="24"/>
          <w:szCs w:val="20"/>
          <w:highlight w:val="yellow"/>
          <w:lang w:val="en-US" w:eastAsia="zh-CN" w:bidi="ar-SA"/>
        </w:rPr>
        <w:fldChar w:fldCharType="begin"/>
      </w:r>
      <w:r>
        <w:rPr>
          <w:rFonts w:hint="eastAsia" w:ascii="Segoe UI Emoji" w:hAnsi="宋体" w:eastAsia="Segoe UI Emoji" w:cs="宋体"/>
          <w:b w:val="0"/>
          <w:bCs/>
          <w:kern w:val="0"/>
          <w:sz w:val="24"/>
          <w:szCs w:val="20"/>
          <w:highlight w:val="yellow"/>
          <w:lang w:val="en-US" w:eastAsia="zh-CN" w:bidi="ar-SA"/>
        </w:rPr>
        <w:instrText xml:space="preserve"> HYPERLINK "mailto:刘琦/13668800214/liuqi@sinotruk.com" </w:instrText>
      </w:r>
      <w:r>
        <w:rPr>
          <w:rFonts w:hint="eastAsia" w:ascii="Segoe UI Emoji" w:hAnsi="宋体" w:eastAsia="Segoe UI Emoji" w:cs="宋体"/>
          <w:b w:val="0"/>
          <w:bCs/>
          <w:kern w:val="0"/>
          <w:sz w:val="24"/>
          <w:szCs w:val="20"/>
          <w:highlight w:val="yellow"/>
          <w:lang w:val="en-US" w:eastAsia="zh-CN" w:bidi="ar-SA"/>
        </w:rPr>
        <w:fldChar w:fldCharType="separate"/>
      </w:r>
      <w:r>
        <w:rPr>
          <w:rFonts w:hint="eastAsia" w:ascii="Segoe UI Emoji" w:hAnsi="宋体" w:eastAsia="Segoe UI Emoji" w:cs="宋体"/>
          <w:b w:val="0"/>
          <w:bCs/>
          <w:kern w:val="0"/>
          <w:sz w:val="24"/>
          <w:szCs w:val="20"/>
          <w:highlight w:val="yellow"/>
          <w:lang w:val="en-US" w:eastAsia="zh-CN" w:bidi="ar-SA"/>
        </w:rPr>
        <w:t>刘琦/13668800214/liuqi@sinotruk.com</w:t>
      </w:r>
      <w:r>
        <w:rPr>
          <w:rFonts w:hint="eastAsia" w:ascii="Segoe UI Emoji" w:hAnsi="宋体" w:eastAsia="Segoe UI Emoji" w:cs="宋体"/>
          <w:b w:val="0"/>
          <w:bCs/>
          <w:kern w:val="0"/>
          <w:sz w:val="24"/>
          <w:szCs w:val="20"/>
          <w:highlight w:val="yellow"/>
          <w:lang w:val="en-US" w:eastAsia="zh-CN" w:bidi="ar-SA"/>
        </w:rPr>
        <w:fldChar w:fldCharType="end"/>
      </w:r>
      <w:r>
        <w:rPr>
          <w:rFonts w:hint="eastAsia" w:ascii="Segoe UI Emoji" w:hAnsi="宋体" w:cs="宋体"/>
          <w:b w:val="0"/>
          <w:bCs/>
          <w:kern w:val="0"/>
          <w:sz w:val="24"/>
          <w:szCs w:val="20"/>
          <w:highlight w:val="yellow"/>
          <w:lang w:val="en-US" w:eastAsia="zh-CN" w:bidi="ar-SA"/>
        </w:rPr>
        <w:t>（技术文件获取方式）</w:t>
      </w:r>
      <w:bookmarkStart w:id="75" w:name="_GoBack"/>
      <w:bookmarkEnd w:id="75"/>
    </w:p>
    <w:p>
      <w:pPr>
        <w:pStyle w:val="2"/>
        <w:ind w:firstLine="420" w:firstLineChars="0"/>
        <w:rPr>
          <w:rFonts w:hint="default" w:ascii="Segoe UI Emoji" w:hAnsi="宋体" w:eastAsia="Segoe UI Emoji" w:cs="宋体"/>
          <w:b w:val="0"/>
          <w:bCs/>
          <w:kern w:val="0"/>
          <w:sz w:val="24"/>
          <w:szCs w:val="20"/>
          <w:highlight w:val="yellow"/>
          <w:lang w:val="en-US" w:eastAsia="zh-CN" w:bidi="ar-SA"/>
        </w:rPr>
      </w:pPr>
      <w:r>
        <w:rPr>
          <w:rFonts w:hint="eastAsia" w:ascii="Segoe UI Emoji" w:hAnsi="宋体" w:eastAsia="Segoe UI Emoji" w:cs="宋体"/>
          <w:b w:val="0"/>
          <w:bCs/>
          <w:kern w:val="0"/>
          <w:sz w:val="24"/>
          <w:szCs w:val="20"/>
          <w:highlight w:val="yellow"/>
          <w:lang w:val="en-US" w:eastAsia="zh-CN" w:bidi="ar-SA"/>
        </w:rPr>
        <w:t>商务联系人：赵力/17860606595/</w:t>
      </w:r>
      <w:r>
        <w:rPr>
          <w:rFonts w:hint="eastAsia" w:ascii="Segoe UI Emoji" w:hAnsi="宋体" w:eastAsia="Segoe UI Emoji" w:cs="宋体"/>
          <w:b w:val="0"/>
          <w:bCs/>
          <w:kern w:val="0"/>
          <w:sz w:val="24"/>
          <w:szCs w:val="20"/>
          <w:highlight w:val="yellow"/>
          <w:lang w:val="en-US" w:eastAsia="zh-CN" w:bidi="ar-SA"/>
        </w:rPr>
        <w:fldChar w:fldCharType="begin"/>
      </w:r>
      <w:r>
        <w:rPr>
          <w:rFonts w:hint="eastAsia" w:ascii="Segoe UI Emoji" w:hAnsi="宋体" w:eastAsia="Segoe UI Emoji" w:cs="宋体"/>
          <w:b w:val="0"/>
          <w:bCs/>
          <w:kern w:val="0"/>
          <w:sz w:val="24"/>
          <w:szCs w:val="20"/>
          <w:highlight w:val="yellow"/>
          <w:lang w:val="en-US" w:eastAsia="zh-CN" w:bidi="ar-SA"/>
        </w:rPr>
        <w:instrText xml:space="preserve"> HYPERLINK "mailto:zhaoli@sinotruk.com" </w:instrText>
      </w:r>
      <w:r>
        <w:rPr>
          <w:rFonts w:hint="eastAsia" w:ascii="Segoe UI Emoji" w:hAnsi="宋体" w:eastAsia="Segoe UI Emoji" w:cs="宋体"/>
          <w:b w:val="0"/>
          <w:bCs/>
          <w:kern w:val="0"/>
          <w:sz w:val="24"/>
          <w:szCs w:val="20"/>
          <w:highlight w:val="yellow"/>
          <w:lang w:val="en-US" w:eastAsia="zh-CN" w:bidi="ar-SA"/>
        </w:rPr>
        <w:fldChar w:fldCharType="separate"/>
      </w:r>
      <w:r>
        <w:rPr>
          <w:rFonts w:hint="eastAsia" w:ascii="Segoe UI Emoji" w:hAnsi="宋体" w:eastAsia="Segoe UI Emoji" w:cs="宋体"/>
          <w:b w:val="0"/>
          <w:bCs/>
          <w:kern w:val="0"/>
          <w:sz w:val="24"/>
          <w:szCs w:val="20"/>
          <w:highlight w:val="yellow"/>
          <w:lang w:val="en-US" w:eastAsia="zh-CN" w:bidi="ar-SA"/>
        </w:rPr>
        <w:t>zhaoli@sinotruk.com</w:t>
      </w:r>
      <w:r>
        <w:rPr>
          <w:rFonts w:hint="eastAsia" w:ascii="Segoe UI Emoji" w:hAnsi="宋体" w:eastAsia="Segoe UI Emoji" w:cs="宋体"/>
          <w:b w:val="0"/>
          <w:bCs/>
          <w:kern w:val="0"/>
          <w:sz w:val="24"/>
          <w:szCs w:val="20"/>
          <w:highlight w:val="yellow"/>
          <w:lang w:val="en-US" w:eastAsia="zh-CN" w:bidi="ar-SA"/>
        </w:rPr>
        <w:fldChar w:fldCharType="end"/>
      </w:r>
    </w:p>
    <w:p>
      <w:pPr>
        <w:pStyle w:val="7"/>
        <w:numPr>
          <w:ilvl w:val="0"/>
          <w:numId w:val="2"/>
        </w:numPr>
        <w:spacing w:line="360" w:lineRule="auto"/>
        <w:ind w:leftChars="0"/>
        <w:jc w:val="center"/>
        <w:outlineLvl w:val="0"/>
        <w:rPr>
          <w:rStyle w:val="17"/>
          <w:rFonts w:hint="eastAsia" w:eastAsia="宋体" w:cs="Times New Roman"/>
          <w:sz w:val="48"/>
          <w:szCs w:val="48"/>
          <w:highlight w:val="none"/>
          <w:lang w:val="en-US" w:eastAsia="zh-CN"/>
        </w:rPr>
      </w:pPr>
      <w:r>
        <w:rPr>
          <w:rStyle w:val="17"/>
          <w:rFonts w:hint="eastAsia" w:eastAsia="宋体" w:cs="Times New Roman"/>
          <w:sz w:val="48"/>
          <w:szCs w:val="48"/>
          <w:highlight w:val="none"/>
          <w:lang w:val="en-US" w:eastAsia="zh-CN"/>
        </w:rPr>
        <w:t xml:space="preserve"> 商务要求</w:t>
      </w:r>
    </w:p>
    <w:p>
      <w:pPr>
        <w:pStyle w:val="3"/>
        <w:rPr>
          <w:rFonts w:hint="eastAsia" w:ascii="宋体" w:hAnsi="宋体" w:cs="TimesNewRomanPSMT"/>
          <w:bCs w:val="0"/>
          <w:sz w:val="24"/>
          <w:szCs w:val="24"/>
        </w:rPr>
      </w:pPr>
      <w:bookmarkStart w:id="1" w:name="_Toc29049"/>
      <w:bookmarkStart w:id="2" w:name="_Toc12962"/>
      <w:bookmarkStart w:id="3" w:name="_Toc15712"/>
      <w:bookmarkStart w:id="4" w:name="_Toc13861"/>
      <w:bookmarkStart w:id="5" w:name="_Toc10292"/>
      <w:bookmarkStart w:id="6" w:name="_Toc31115"/>
      <w:bookmarkStart w:id="7" w:name="_Toc13478"/>
      <w:bookmarkStart w:id="8" w:name="_Toc32090"/>
      <w:bookmarkStart w:id="9" w:name="_Toc205452054"/>
      <w:bookmarkStart w:id="10" w:name="_Toc30645"/>
      <w:bookmarkStart w:id="11" w:name="_Toc13043"/>
      <w:bookmarkStart w:id="12" w:name="_Toc246997085"/>
      <w:bookmarkStart w:id="13" w:name="_Toc246996342"/>
      <w:bookmarkStart w:id="14" w:name="_Toc446768885"/>
      <w:bookmarkStart w:id="15" w:name="_Toc247085857"/>
      <w:bookmarkStart w:id="16" w:name="_Toc460268094"/>
      <w:bookmarkStart w:id="17" w:name="_Toc179632791"/>
      <w:bookmarkStart w:id="18" w:name="_Toc152045774"/>
      <w:bookmarkStart w:id="19" w:name="_Toc485293292"/>
      <w:bookmarkStart w:id="20" w:name="_Toc294124225"/>
      <w:bookmarkStart w:id="21" w:name="_Toc144974836"/>
      <w:bookmarkStart w:id="22" w:name="_Toc152042556"/>
      <w:bookmarkStart w:id="23" w:name="_Toc483482271"/>
      <w:r>
        <w:rPr>
          <w:rFonts w:hint="eastAsia" w:ascii="宋体" w:hAnsi="宋体" w:cs="TimesNewRomanPSMT"/>
          <w:bCs w:val="0"/>
          <w:sz w:val="24"/>
          <w:szCs w:val="24"/>
        </w:rPr>
        <w:t>1 工程量清单部分</w:t>
      </w:r>
      <w:bookmarkEnd w:id="1"/>
      <w:bookmarkEnd w:id="2"/>
      <w:bookmarkEnd w:id="3"/>
      <w:bookmarkEnd w:id="4"/>
      <w:bookmarkEnd w:id="5"/>
      <w:bookmarkEnd w:id="6"/>
      <w:bookmarkEnd w:id="7"/>
      <w:bookmarkEnd w:id="8"/>
      <w:bookmarkEnd w:id="9"/>
      <w:bookmarkEnd w:id="10"/>
      <w:bookmarkEnd w:id="11"/>
    </w:p>
    <w:p>
      <w:pPr>
        <w:snapToGrid w:val="0"/>
        <w:spacing w:line="440" w:lineRule="exact"/>
        <w:ind w:firstLine="525" w:firstLineChars="250"/>
        <w:rPr>
          <w:rFonts w:ascii="宋体" w:hAnsi="宋体"/>
          <w:szCs w:val="21"/>
        </w:rPr>
      </w:pPr>
      <w:r>
        <w:rPr>
          <w:rFonts w:hint="eastAsia" w:ascii="宋体" w:hAnsi="宋体"/>
          <w:b/>
          <w:bCs/>
          <w:szCs w:val="21"/>
          <w:lang w:val="en-US" w:eastAsia="zh-CN"/>
        </w:rPr>
        <w:t>1</w:t>
      </w:r>
      <w:r>
        <w:rPr>
          <w:rFonts w:hint="eastAsia" w:ascii="宋体" w:hAnsi="宋体"/>
          <w:b/>
          <w:bCs/>
          <w:szCs w:val="21"/>
        </w:rPr>
        <w:t>.1投标报价应根据招标文件自主报价。</w:t>
      </w:r>
    </w:p>
    <w:p>
      <w:pPr>
        <w:snapToGrid w:val="0"/>
        <w:spacing w:line="440" w:lineRule="exact"/>
        <w:ind w:firstLine="525" w:firstLineChars="250"/>
        <w:rPr>
          <w:rFonts w:ascii="宋体" w:hAnsi="宋体"/>
          <w:b/>
          <w:bCs/>
          <w:szCs w:val="21"/>
        </w:rPr>
      </w:pPr>
      <w:bookmarkStart w:id="24" w:name="_Toc483482273"/>
      <w:bookmarkStart w:id="25" w:name="_Toc32311"/>
      <w:bookmarkStart w:id="26" w:name="_Toc2530"/>
      <w:r>
        <w:rPr>
          <w:rFonts w:hint="eastAsia" w:ascii="宋体" w:hAnsi="宋体"/>
          <w:b/>
          <w:bCs/>
          <w:szCs w:val="21"/>
        </w:rPr>
        <w:t>1.</w:t>
      </w:r>
      <w:r>
        <w:rPr>
          <w:rFonts w:hint="eastAsia" w:ascii="宋体" w:hAnsi="宋体"/>
          <w:b/>
          <w:bCs/>
          <w:szCs w:val="21"/>
          <w:lang w:val="en-US" w:eastAsia="zh-CN"/>
        </w:rPr>
        <w:t>2</w:t>
      </w:r>
      <w:r>
        <w:rPr>
          <w:rFonts w:hint="eastAsia" w:ascii="宋体" w:hAnsi="宋体"/>
          <w:b/>
          <w:bCs/>
          <w:szCs w:val="21"/>
        </w:rPr>
        <w:t>投标人报价须知</w:t>
      </w:r>
      <w:bookmarkEnd w:id="24"/>
    </w:p>
    <w:p>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pPr>
        <w:snapToGrid w:val="0"/>
        <w:spacing w:line="440" w:lineRule="exact"/>
        <w:ind w:firstLine="525" w:firstLineChars="250"/>
        <w:rPr>
          <w:rFonts w:ascii="宋体" w:hAnsi="宋体"/>
          <w:szCs w:val="21"/>
        </w:rPr>
      </w:pPr>
      <w:r>
        <w:rPr>
          <w:rFonts w:hint="eastAsia" w:ascii="宋体" w:hAnsi="宋体"/>
          <w:szCs w:val="21"/>
        </w:rPr>
        <w:t>（5）工程质量：合格标准。</w:t>
      </w:r>
    </w:p>
    <w:p>
      <w:pPr>
        <w:snapToGrid w:val="0"/>
        <w:spacing w:line="440" w:lineRule="exact"/>
        <w:ind w:firstLine="525" w:firstLineChars="250"/>
        <w:rPr>
          <w:rFonts w:ascii="宋体" w:hAnsi="宋体"/>
          <w:b/>
          <w:szCs w:val="21"/>
        </w:rPr>
      </w:pPr>
      <w:r>
        <w:rPr>
          <w:rFonts w:hint="eastAsia" w:ascii="宋体" w:hAnsi="宋体"/>
          <w:b w:val="0"/>
          <w:bCs/>
          <w:szCs w:val="21"/>
        </w:rPr>
        <w:t>（</w:t>
      </w:r>
      <w:r>
        <w:rPr>
          <w:rFonts w:hint="eastAsia" w:ascii="宋体" w:hAnsi="宋体"/>
          <w:b w:val="0"/>
          <w:bCs/>
          <w:szCs w:val="21"/>
          <w:lang w:val="en-US" w:eastAsia="zh-CN"/>
        </w:rPr>
        <w:t>6</w:t>
      </w:r>
      <w:r>
        <w:rPr>
          <w:rFonts w:hint="eastAsia" w:ascii="宋体" w:hAnsi="宋体"/>
          <w:b w:val="0"/>
          <w:bCs/>
          <w:szCs w:val="21"/>
        </w:rPr>
        <w:t>）</w:t>
      </w:r>
      <w:r>
        <w:rPr>
          <w:rFonts w:hint="eastAsia" w:ascii="宋体" w:hAnsi="宋体"/>
          <w:b/>
          <w:szCs w:val="21"/>
        </w:rPr>
        <w:t>投标人的报价不得改变工程量清单中的“序号、项目编码、项目名称、项目特征描述、计量单位、工程量”等内容，且不得有缺漏报价表的情况，否则按评分细则相关约定处理。</w:t>
      </w:r>
    </w:p>
    <w:p>
      <w:pPr>
        <w:snapToGrid w:val="0"/>
        <w:spacing w:line="440" w:lineRule="exact"/>
        <w:ind w:firstLine="525" w:firstLineChars="250"/>
        <w:rPr>
          <w:rFonts w:ascii="宋体" w:hAnsi="宋体"/>
          <w:b/>
          <w:bCs/>
          <w:szCs w:val="21"/>
        </w:rPr>
      </w:pPr>
      <w:bookmarkStart w:id="27" w:name="_Toc483482274"/>
      <w:r>
        <w:rPr>
          <w:rFonts w:hint="eastAsia" w:ascii="宋体" w:hAnsi="宋体"/>
          <w:b/>
          <w:bCs/>
          <w:szCs w:val="21"/>
        </w:rPr>
        <w:t>1.</w:t>
      </w:r>
      <w:r>
        <w:rPr>
          <w:rFonts w:hint="eastAsia" w:ascii="宋体" w:hAnsi="宋体"/>
          <w:b/>
          <w:bCs/>
          <w:szCs w:val="21"/>
          <w:lang w:val="en-US" w:eastAsia="zh-CN"/>
        </w:rPr>
        <w:t>3</w:t>
      </w:r>
      <w:r>
        <w:rPr>
          <w:rFonts w:hint="eastAsia" w:ascii="宋体" w:hAnsi="宋体"/>
          <w:b/>
          <w:bCs/>
          <w:szCs w:val="21"/>
        </w:rPr>
        <w:t>投标报价的一般规定（报价要求包括但不限于）：</w:t>
      </w:r>
      <w:bookmarkEnd w:id="27"/>
    </w:p>
    <w:p>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、安全文明施工费</w:t>
      </w:r>
      <w:r>
        <w:rPr>
          <w:rFonts w:hint="eastAsia"/>
          <w:lang w:eastAsia="zh-CN"/>
        </w:rPr>
        <w:t>、</w:t>
      </w:r>
      <w:r>
        <w:rPr>
          <w:rFonts w:hint="eastAsia"/>
          <w:lang w:val="en-US" w:eastAsia="zh-CN"/>
        </w:rPr>
        <w:t>规费、</w:t>
      </w:r>
      <w:r>
        <w:t>施工机具使用费和企业管理费</w:t>
      </w:r>
      <w:r>
        <w:rPr>
          <w:rFonts w:hint="eastAsia"/>
        </w:rPr>
        <w:t>、</w:t>
      </w:r>
      <w:r>
        <w:t>利润以及一定范围的风险费用</w:t>
      </w:r>
      <w:r>
        <w:rPr>
          <w:rFonts w:hint="eastAsia"/>
          <w:lang w:eastAsia="zh-CN"/>
        </w:rPr>
        <w:t>、</w:t>
      </w:r>
      <w:r>
        <w:rPr>
          <w:rFonts w:hint="eastAsia"/>
          <w:lang w:val="en-US" w:eastAsia="zh-CN"/>
        </w:rPr>
        <w:t>税金</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pPr>
        <w:snapToGrid w:val="0"/>
        <w:spacing w:line="440" w:lineRule="exact"/>
        <w:ind w:firstLine="525" w:firstLineChars="250"/>
        <w:rPr>
          <w:rFonts w:ascii="宋体" w:hAnsi="宋体"/>
          <w:i/>
          <w:iCs/>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（8）其他注意事项：</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1）投标人一旦参加投标，就意味着已承认招标文件中所有条款及要求，并受其约束。</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2）在工程建设过程中发生一切安全及质量责任事故均由中标单位承担，并支付所发生的一切费用。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（9）投标人在投标报价时应综合考虑以下费用：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1）因招标文件及合同特殊要求而发生的费用；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2）工程量清单没有体现而施工中又必然发生的费用；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3）投标人投标报价时应充分考虑招标文件</w:t>
      </w:r>
      <w:r>
        <w:rPr>
          <w:rFonts w:ascii="宋体" w:hAnsi="宋体"/>
          <w:color w:val="auto"/>
          <w:szCs w:val="21"/>
          <w:highlight w:val="none"/>
        </w:rPr>
        <w:t>/</w:t>
      </w:r>
      <w:r>
        <w:rPr>
          <w:rFonts w:hint="eastAsia" w:ascii="宋体" w:hAnsi="宋体"/>
          <w:color w:val="auto"/>
          <w:szCs w:val="21"/>
          <w:highlight w:val="none"/>
        </w:rPr>
        <w:t>第四章 合同主要条款中相关约定；</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5）考虑合同明示和暗示的所有责任、义务及不可抗力以外的一切风险因素等所发生的所有费用；</w:t>
      </w:r>
    </w:p>
    <w:p>
      <w:pPr>
        <w:snapToGrid w:val="0"/>
        <w:spacing w:line="440" w:lineRule="exact"/>
        <w:ind w:firstLine="525" w:firstLineChars="250"/>
        <w:rPr>
          <w:rFonts w:ascii="宋体" w:hAnsi="宋体"/>
          <w:color w:val="auto"/>
          <w:szCs w:val="21"/>
          <w:highlight w:val="none"/>
        </w:rPr>
      </w:pPr>
      <w:r>
        <w:rPr>
          <w:rFonts w:hint="eastAsia" w:ascii="宋体" w:hAnsi="宋体"/>
          <w:color w:val="auto"/>
          <w:szCs w:val="21"/>
          <w:highlight w:val="none"/>
        </w:rPr>
        <w:t>6）投标单位应自行考虑临时停水、停电的应急预案，并在投标报价中综合考虑；</w:t>
      </w:r>
    </w:p>
    <w:p>
      <w:pPr>
        <w:snapToGrid w:val="0"/>
        <w:spacing w:line="440" w:lineRule="exact"/>
        <w:ind w:firstLine="525" w:firstLineChars="250"/>
        <w:rPr>
          <w:rFonts w:ascii="宋体" w:hAnsi="宋体"/>
          <w:b/>
          <w:bCs/>
          <w:color w:val="auto"/>
          <w:szCs w:val="21"/>
          <w:highlight w:val="none"/>
        </w:rPr>
      </w:pPr>
      <w:r>
        <w:rPr>
          <w:rFonts w:hint="eastAsia" w:ascii="宋体" w:hAnsi="宋体"/>
          <w:b w:val="0"/>
          <w:bCs w:val="0"/>
          <w:color w:val="auto"/>
          <w:szCs w:val="21"/>
          <w:highlight w:val="none"/>
        </w:rPr>
        <w:t>7）</w:t>
      </w:r>
      <w:r>
        <w:rPr>
          <w:rFonts w:hint="eastAsia" w:ascii="宋体" w:hAnsi="宋体"/>
          <w:b/>
          <w:bCs/>
          <w:color w:val="auto"/>
          <w:szCs w:val="21"/>
          <w:highlight w:val="none"/>
        </w:rPr>
        <w:t>不允许投标单位采用不平衡报价，如发现非客观因素不平衡报价，招标人有权对其高报价部分予以调低价格</w:t>
      </w:r>
      <w:r>
        <w:rPr>
          <w:rFonts w:hint="eastAsia"/>
          <w:b/>
          <w:bCs/>
          <w:color w:val="auto"/>
          <w:highlight w:val="none"/>
        </w:rPr>
        <w:t>，结算时按不利于投标人的方式结算</w:t>
      </w:r>
      <w:r>
        <w:rPr>
          <w:rFonts w:hint="eastAsia" w:ascii="宋体" w:hAnsi="宋体"/>
          <w:b/>
          <w:bCs/>
          <w:color w:val="auto"/>
          <w:szCs w:val="21"/>
          <w:highlight w:val="none"/>
        </w:rPr>
        <w:t>。</w:t>
      </w:r>
    </w:p>
    <w:p>
      <w:pPr>
        <w:snapToGrid w:val="0"/>
        <w:spacing w:line="440" w:lineRule="exact"/>
        <w:ind w:firstLine="420" w:firstLineChars="200"/>
        <w:rPr>
          <w:rFonts w:ascii="宋体" w:hAnsi="宋体"/>
          <w:b/>
          <w:szCs w:val="21"/>
        </w:rPr>
      </w:pPr>
      <w:r>
        <w:rPr>
          <w:rFonts w:hint="eastAsia" w:ascii="宋体" w:hAnsi="宋体"/>
          <w:bCs/>
          <w:szCs w:val="21"/>
          <w:lang w:val="en-US" w:eastAsia="zh-CN"/>
        </w:rPr>
        <w:t>8</w:t>
      </w:r>
      <w:r>
        <w:rPr>
          <w:rFonts w:hint="eastAsia" w:ascii="宋体" w:hAnsi="宋体"/>
          <w:bCs/>
          <w:szCs w:val="21"/>
        </w:rPr>
        <w:t>）税金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pPr>
        <w:pStyle w:val="3"/>
        <w:rPr>
          <w:rFonts w:ascii="宋体" w:hAnsi="宋体" w:cs="TimesNewRomanPSMT"/>
          <w:bCs w:val="0"/>
          <w:i/>
          <w:iCs/>
          <w:sz w:val="24"/>
          <w:szCs w:val="24"/>
        </w:rPr>
      </w:pPr>
      <w:bookmarkStart w:id="28" w:name="_Toc357"/>
      <w:bookmarkStart w:id="29" w:name="_Toc11150"/>
      <w:bookmarkStart w:id="30" w:name="_Toc11051"/>
      <w:bookmarkStart w:id="31" w:name="_Toc15878"/>
      <w:bookmarkStart w:id="32" w:name="_Toc21712"/>
      <w:bookmarkStart w:id="33" w:name="_Toc16763"/>
      <w:bookmarkStart w:id="34" w:name="_Toc205452055"/>
      <w:bookmarkStart w:id="35" w:name="_Toc7120"/>
      <w:bookmarkStart w:id="36" w:name="_Toc15995"/>
      <w:bookmarkStart w:id="37" w:name="_Toc28390"/>
      <w:bookmarkStart w:id="38" w:name="_Toc5747"/>
      <w:bookmarkStart w:id="39" w:name="_Toc483482277"/>
      <w:r>
        <w:rPr>
          <w:rFonts w:hint="eastAsia" w:ascii="宋体" w:hAnsi="宋体" w:cs="TimesNewRomanPSMT"/>
          <w:bCs w:val="0"/>
          <w:sz w:val="24"/>
          <w:szCs w:val="24"/>
        </w:rPr>
        <w:t>2 清单以外项目</w:t>
      </w:r>
      <w:bookmarkEnd w:id="28"/>
      <w:bookmarkEnd w:id="29"/>
      <w:bookmarkEnd w:id="30"/>
      <w:bookmarkEnd w:id="31"/>
      <w:bookmarkEnd w:id="32"/>
      <w:bookmarkEnd w:id="33"/>
      <w:bookmarkEnd w:id="34"/>
      <w:bookmarkEnd w:id="35"/>
      <w:bookmarkEnd w:id="36"/>
      <w:bookmarkEnd w:id="37"/>
      <w:bookmarkEnd w:id="38"/>
    </w:p>
    <w:p>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清单以外项目是指结算时不适用合同专用条款进行结算的项目。</w:t>
      </w:r>
    </w:p>
    <w:p>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pPr>
        <w:snapToGrid w:val="0"/>
        <w:spacing w:line="440" w:lineRule="exact"/>
        <w:ind w:firstLine="525" w:firstLineChars="250"/>
        <w:rPr>
          <w:rFonts w:ascii="宋体" w:hAnsi="宋体" w:cs="TimesNewRomanPSMT"/>
          <w:b/>
        </w:rPr>
      </w:pPr>
      <w:r>
        <w:rPr>
          <w:rFonts w:hint="eastAsia" w:ascii="宋体" w:hAnsi="宋体" w:cs="TimesNewRomanPSMT"/>
          <w:bCs/>
        </w:rPr>
        <w:fldChar w:fldCharType="begin"/>
      </w:r>
      <w:r>
        <w:rPr>
          <w:rFonts w:hint="eastAsia" w:ascii="宋体" w:hAnsi="宋体" w:cs="TimesNewRomanPSMT"/>
          <w:bCs/>
        </w:rPr>
        <w:instrText xml:space="preserve"> = 4 \* GB3 \* MERGEFORMAT </w:instrText>
      </w:r>
      <w:r>
        <w:rPr>
          <w:rFonts w:hint="eastAsia" w:ascii="宋体" w:hAnsi="宋体" w:cs="TimesNewRomanPSMT"/>
          <w:bCs/>
        </w:rPr>
        <w:fldChar w:fldCharType="separate"/>
      </w:r>
      <w:r>
        <w:rPr>
          <w:rFonts w:hint="eastAsia" w:ascii="宋体" w:hAnsi="宋体" w:cs="TimesNewRomanPSMT"/>
          <w:bCs/>
        </w:rPr>
        <w:t>④</w:t>
      </w:r>
      <w:r>
        <w:rPr>
          <w:rFonts w:hint="eastAsia" w:ascii="宋体" w:hAnsi="宋体" w:cs="TimesNewRomanPSMT"/>
          <w:bCs/>
        </w:rPr>
        <w:fldChar w:fldCharType="end"/>
      </w:r>
      <w:r>
        <w:rPr>
          <w:rFonts w:hint="eastAsia" w:ascii="宋体" w:hAnsi="宋体" w:cs="TimesNewRomanPSMT"/>
          <w:bCs/>
        </w:rPr>
        <w:t>承包人按上述原则就清单外工作内容按总造价统一让利</w:t>
      </w:r>
      <w:r>
        <w:rPr>
          <w:rFonts w:hint="eastAsia" w:ascii="宋体" w:hAnsi="宋体" w:cs="TimesNewRomanPSMT"/>
          <w:bCs/>
          <w:u w:val="single"/>
        </w:rPr>
        <w:t xml:space="preserve"> </w:t>
      </w:r>
      <w:r>
        <w:rPr>
          <w:rFonts w:ascii="宋体" w:hAnsi="宋体" w:cs="TimesNewRomanPSMT"/>
          <w:bCs/>
          <w:u w:val="single"/>
        </w:rPr>
        <w:t xml:space="preserve">5 </w:t>
      </w:r>
      <w:r>
        <w:rPr>
          <w:rFonts w:hint="eastAsia" w:ascii="宋体" w:hAnsi="宋体" w:cs="TimesNewRomanPSMT"/>
          <w:bCs/>
        </w:rPr>
        <w:t>%。</w:t>
      </w:r>
    </w:p>
    <w:p>
      <w:pPr>
        <w:snapToGrid w:val="0"/>
        <w:spacing w:line="440" w:lineRule="exact"/>
        <w:ind w:firstLine="420" w:firstLineChars="200"/>
        <w:rPr>
          <w:bCs/>
        </w:rPr>
      </w:pPr>
      <w:r>
        <w:rPr>
          <w:rFonts w:hint="eastAsia" w:ascii="宋体" w:hAnsi="宋体" w:cs="TimesNewRomanPSMT"/>
          <w:bCs/>
        </w:rPr>
        <w:t>（但经招标人审核签认的计入设备费的设备价格不参与让利。）</w:t>
      </w:r>
    </w:p>
    <w:p>
      <w:pPr>
        <w:snapToGrid w:val="0"/>
        <w:spacing w:line="440" w:lineRule="exact"/>
        <w:ind w:firstLine="525" w:firstLineChars="250"/>
        <w:rPr>
          <w:rFonts w:ascii="宋体" w:hAnsi="宋体"/>
        </w:rPr>
      </w:pPr>
      <w:r>
        <w:rPr>
          <w:rFonts w:hint="eastAsia" w:ascii="宋体" w:hAnsi="宋体"/>
        </w:rPr>
        <w:t>2.2补充说明</w:t>
      </w:r>
    </w:p>
    <w:p>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pPr>
        <w:snapToGrid w:val="0"/>
        <w:spacing w:line="440" w:lineRule="exact"/>
        <w:ind w:firstLine="525" w:firstLineChars="250"/>
        <w:rPr>
          <w:rFonts w:ascii="宋体" w:hAnsi="宋体" w:cs="TimesNewRomanPSMT"/>
          <w:b/>
          <w:i/>
          <w:iCs/>
          <w:color w:val="FF0000"/>
          <w:u w:val="single"/>
        </w:rPr>
      </w:pPr>
      <w:r>
        <w:rPr>
          <w:rFonts w:hint="eastAsia" w:ascii="宋体" w:hAnsi="宋体"/>
        </w:rPr>
        <w:t>2.2.3计日工</w:t>
      </w:r>
      <w:r>
        <w:rPr>
          <w:rFonts w:hint="eastAsia" w:ascii="宋体" w:hAnsi="宋体"/>
          <w:u w:val="single"/>
        </w:rPr>
        <w:t xml:space="preserve"> </w:t>
      </w:r>
      <w:r>
        <w:rPr>
          <w:rFonts w:ascii="宋体" w:hAnsi="宋体"/>
          <w:u w:val="single"/>
        </w:rPr>
        <w:t>220</w:t>
      </w:r>
      <w:r>
        <w:rPr>
          <w:rFonts w:hint="eastAsia" w:ascii="宋体" w:hAnsi="宋体"/>
          <w:u w:val="single"/>
        </w:rPr>
        <w:t xml:space="preserve"> </w:t>
      </w:r>
      <w:r>
        <w:rPr>
          <w:rFonts w:hint="eastAsia" w:ascii="宋体" w:hAnsi="宋体"/>
        </w:rPr>
        <w:t>元/工日。</w:t>
      </w:r>
      <w:r>
        <w:rPr>
          <w:rFonts w:hint="eastAsia" w:ascii="宋体" w:hAnsi="宋体" w:cs="TimesNewRomanPSMT"/>
          <w:bCs/>
        </w:rPr>
        <w:t>（全费用）</w:t>
      </w:r>
    </w:p>
    <w:bookmarkEnd w:id="39"/>
    <w:p>
      <w:pPr>
        <w:pStyle w:val="3"/>
        <w:rPr>
          <w:rFonts w:ascii="宋体" w:hAnsi="宋体" w:cs="TimesNewRomanPSMT"/>
          <w:bCs w:val="0"/>
          <w:i/>
          <w:iCs/>
          <w:sz w:val="24"/>
          <w:szCs w:val="24"/>
        </w:rPr>
      </w:pPr>
      <w:bookmarkStart w:id="40" w:name="_Toc205452056"/>
      <w:r>
        <w:rPr>
          <w:rFonts w:hint="eastAsia" w:ascii="宋体" w:hAnsi="宋体" w:cs="TimesNewRomanPSMT"/>
          <w:bCs w:val="0"/>
          <w:sz w:val="24"/>
          <w:szCs w:val="24"/>
        </w:rPr>
        <w:t>3 其他说明</w:t>
      </w:r>
      <w:bookmarkEnd w:id="25"/>
      <w:bookmarkEnd w:id="26"/>
      <w:bookmarkEnd w:id="40"/>
    </w:p>
    <w:p>
      <w:pPr>
        <w:snapToGrid w:val="0"/>
        <w:spacing w:line="440" w:lineRule="exact"/>
        <w:ind w:firstLine="525" w:firstLineChars="250"/>
        <w:rPr>
          <w:rFonts w:ascii="宋体" w:hAnsi="宋体"/>
          <w:szCs w:val="21"/>
        </w:rPr>
      </w:pPr>
      <w:r>
        <w:rPr>
          <w:rFonts w:hint="eastAsia" w:ascii="宋体" w:hAnsi="宋体"/>
          <w:szCs w:val="21"/>
        </w:rPr>
        <w:t>3.1完成招标范围中所需的各项费用应综合考虑在投标总报价及分部分项清单综合单价中，不再单独列项填报、结算。</w:t>
      </w:r>
    </w:p>
    <w:p>
      <w:pPr>
        <w:snapToGrid w:val="0"/>
        <w:spacing w:line="440" w:lineRule="exact"/>
        <w:ind w:firstLine="525" w:firstLineChars="250"/>
        <w:rPr>
          <w:rFonts w:ascii="宋体" w:hAnsi="宋体"/>
          <w:b/>
          <w:bCs/>
          <w:szCs w:val="21"/>
        </w:rPr>
      </w:pPr>
      <w:r>
        <w:rPr>
          <w:rFonts w:hint="eastAsia" w:ascii="宋体" w:hAnsi="宋体"/>
          <w:b/>
          <w:bCs/>
          <w:szCs w:val="21"/>
        </w:rPr>
        <w:t>3.</w:t>
      </w:r>
      <w:r>
        <w:rPr>
          <w:rFonts w:hint="eastAsia" w:ascii="宋体" w:hAnsi="宋体"/>
          <w:b/>
          <w:bCs/>
          <w:szCs w:val="21"/>
          <w:lang w:val="en-US" w:eastAsia="zh-CN"/>
        </w:rPr>
        <w:t>2</w:t>
      </w:r>
      <w:r>
        <w:rPr>
          <w:rFonts w:hint="eastAsia" w:ascii="宋体" w:hAnsi="宋体"/>
          <w:b/>
          <w:bCs/>
          <w:szCs w:val="21"/>
        </w:rPr>
        <w:t>项目描述及工作内容相同的清单子项综合单价必须相同，若有不同报价，结算时招标人有权按照较低报价确定该子项的综合单价。</w:t>
      </w:r>
    </w:p>
    <w:p>
      <w:pPr>
        <w:snapToGrid w:val="0"/>
        <w:spacing w:line="440" w:lineRule="exact"/>
        <w:ind w:firstLine="525" w:firstLineChars="250"/>
        <w:rPr>
          <w:rFonts w:ascii="宋体" w:hAnsi="宋体"/>
          <w:bCs/>
          <w:szCs w:val="21"/>
        </w:rPr>
      </w:pPr>
      <w:r>
        <w:rPr>
          <w:rFonts w:ascii="宋体" w:hAnsi="宋体"/>
          <w:b w:val="0"/>
          <w:bCs w:val="0"/>
          <w:szCs w:val="21"/>
        </w:rPr>
        <w:t>3.</w:t>
      </w:r>
      <w:r>
        <w:rPr>
          <w:rFonts w:hint="eastAsia" w:ascii="宋体" w:hAnsi="宋体"/>
          <w:b w:val="0"/>
          <w:bCs w:val="0"/>
          <w:szCs w:val="21"/>
          <w:lang w:val="en-US" w:eastAsia="zh-CN"/>
        </w:rPr>
        <w:t>3</w:t>
      </w:r>
      <w:r>
        <w:rPr>
          <w:rFonts w:hint="eastAsia" w:ascii="宋体" w:hAnsi="宋体"/>
          <w:bCs/>
          <w:szCs w:val="21"/>
        </w:rPr>
        <w:t>工程量清单另册提供。投标人报价时按给定的工程量清单格式报价。</w:t>
      </w:r>
      <w:bookmarkEnd w:id="12"/>
      <w:bookmarkEnd w:id="13"/>
      <w:bookmarkEnd w:id="14"/>
      <w:bookmarkEnd w:id="15"/>
      <w:bookmarkEnd w:id="16"/>
      <w:bookmarkEnd w:id="17"/>
      <w:bookmarkEnd w:id="18"/>
      <w:bookmarkEnd w:id="19"/>
      <w:bookmarkEnd w:id="20"/>
      <w:bookmarkEnd w:id="21"/>
      <w:bookmarkEnd w:id="22"/>
      <w:bookmarkEnd w:id="23"/>
    </w:p>
    <w:p>
      <w:pPr>
        <w:snapToGrid w:val="0"/>
        <w:spacing w:line="440" w:lineRule="exact"/>
        <w:ind w:firstLine="525" w:firstLineChars="250"/>
        <w:rPr>
          <w:rFonts w:ascii="宋体" w:hAnsi="宋体"/>
          <w:bCs/>
          <w:szCs w:val="21"/>
        </w:rPr>
      </w:pPr>
      <w:r>
        <w:rPr>
          <w:rFonts w:hint="eastAsia" w:ascii="宋体" w:hAnsi="宋体"/>
          <w:szCs w:val="21"/>
        </w:rPr>
        <w:t>3.</w:t>
      </w:r>
      <w:r>
        <w:rPr>
          <w:rFonts w:hint="eastAsia" w:ascii="宋体" w:hAnsi="宋体"/>
          <w:szCs w:val="21"/>
          <w:lang w:val="en-US" w:eastAsia="zh-CN"/>
        </w:rPr>
        <w:t>4</w:t>
      </w:r>
      <w:r>
        <w:rPr>
          <w:rFonts w:hint="eastAsia" w:ascii="宋体" w:hAnsi="宋体"/>
          <w:bCs/>
          <w:szCs w:val="21"/>
        </w:rPr>
        <w:t>施工中因承包人私自</w:t>
      </w:r>
      <w:r>
        <w:rPr>
          <w:rFonts w:hint="eastAsia" w:ascii="宋体" w:hAnsi="宋体"/>
          <w:szCs w:val="21"/>
        </w:rPr>
        <w:t>变更</w:t>
      </w:r>
      <w:r>
        <w:rPr>
          <w:rFonts w:hint="eastAsia" w:ascii="宋体" w:hAnsi="宋体"/>
          <w:bCs/>
          <w:szCs w:val="21"/>
        </w:rPr>
        <w:t>施工组织设计引起的造价变动一律不计入结算，造成所有损失均有承包人自行负责。</w:t>
      </w:r>
    </w:p>
    <w:p>
      <w:pPr>
        <w:snapToGrid w:val="0"/>
        <w:spacing w:line="440" w:lineRule="exact"/>
        <w:ind w:firstLine="525" w:firstLineChars="250"/>
        <w:rPr>
          <w:rFonts w:ascii="宋体" w:hAnsi="宋体"/>
          <w:bCs/>
          <w:szCs w:val="21"/>
        </w:rPr>
      </w:pPr>
      <w:r>
        <w:rPr>
          <w:rFonts w:hint="eastAsia" w:ascii="宋体" w:hAnsi="宋体"/>
          <w:szCs w:val="21"/>
        </w:rPr>
        <w:t>3.</w:t>
      </w:r>
      <w:r>
        <w:rPr>
          <w:rFonts w:hint="eastAsia" w:ascii="宋体" w:hAnsi="宋体"/>
          <w:szCs w:val="21"/>
          <w:lang w:val="en-US" w:eastAsia="zh-CN"/>
        </w:rPr>
        <w:t>5</w:t>
      </w:r>
      <w:r>
        <w:rPr>
          <w:rFonts w:hint="eastAsia" w:ascii="宋体" w:hAnsi="宋体"/>
          <w:bCs/>
          <w:szCs w:val="21"/>
        </w:rPr>
        <w:t>发包人应遵守我国现行的关于保护劳动者的法规，其中包括不得雇佣强迫劳动力和童工；确保工作场所健康、安全，进一步提高和改善工作环境；确保劳动者获得有法律效力并受法律保障的相应报酬。如</w:t>
      </w:r>
      <w:r>
        <w:rPr>
          <w:rFonts w:hint="eastAsia" w:ascii="宋体" w:hAnsi="宋体"/>
          <w:szCs w:val="21"/>
        </w:rPr>
        <w:t>承包人</w:t>
      </w:r>
      <w:r>
        <w:rPr>
          <w:rFonts w:hint="eastAsia" w:ascii="宋体" w:hAnsi="宋体"/>
          <w:bCs/>
          <w:szCs w:val="21"/>
        </w:rPr>
        <w:t>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pPr>
        <w:snapToGrid w:val="0"/>
        <w:spacing w:line="440" w:lineRule="exact"/>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pPr>
        <w:snapToGrid w:val="0"/>
        <w:spacing w:line="440" w:lineRule="exact"/>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w:t>
      </w:r>
      <w:r>
        <w:rPr>
          <w:rFonts w:hint="eastAsia" w:ascii="宋体" w:hAnsi="宋体"/>
          <w:szCs w:val="21"/>
        </w:rPr>
        <w:t>问题解决</w:t>
      </w:r>
      <w:r>
        <w:rPr>
          <w:rFonts w:hint="eastAsia" w:ascii="宋体" w:hAnsi="宋体"/>
          <w:bCs/>
          <w:szCs w:val="21"/>
        </w:rPr>
        <w:t>之前，承包人有义务先行支付其所属工人工资。</w:t>
      </w:r>
    </w:p>
    <w:p>
      <w:pPr>
        <w:snapToGrid w:val="0"/>
        <w:spacing w:line="440" w:lineRule="exact"/>
        <w:ind w:firstLine="525" w:firstLineChars="250"/>
        <w:rPr>
          <w:rFonts w:ascii="宋体" w:hAnsi="宋体"/>
          <w:bCs/>
          <w:szCs w:val="21"/>
        </w:rPr>
      </w:pPr>
      <w:r>
        <w:rPr>
          <w:rFonts w:hint="eastAsia" w:ascii="宋体" w:hAnsi="宋体"/>
          <w:szCs w:val="21"/>
        </w:rPr>
        <w:t>3.</w:t>
      </w:r>
      <w:r>
        <w:rPr>
          <w:rFonts w:hint="eastAsia" w:ascii="宋体" w:hAnsi="宋体"/>
          <w:szCs w:val="21"/>
          <w:lang w:val="en-US" w:eastAsia="zh-CN"/>
        </w:rPr>
        <w:t>6</w:t>
      </w:r>
      <w:r>
        <w:rPr>
          <w:rFonts w:hint="eastAsia" w:ascii="宋体" w:hAnsi="宋体"/>
          <w:bCs/>
          <w:szCs w:val="21"/>
        </w:rPr>
        <w:t>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pPr>
        <w:snapToGrid w:val="0"/>
        <w:spacing w:line="440" w:lineRule="exact"/>
        <w:ind w:firstLine="525" w:firstLineChars="250"/>
        <w:rPr>
          <w:rFonts w:ascii="宋体" w:hAnsi="宋体"/>
          <w:b/>
          <w:bCs/>
          <w:color w:val="FF0000"/>
          <w:szCs w:val="21"/>
        </w:rPr>
      </w:pPr>
      <w:r>
        <w:rPr>
          <w:rFonts w:hint="eastAsia" w:ascii="宋体" w:hAnsi="宋体"/>
          <w:b/>
          <w:bCs/>
          <w:szCs w:val="21"/>
        </w:rPr>
        <w:t>3.</w:t>
      </w:r>
      <w:bookmarkStart w:id="41" w:name="_Hlk171519969"/>
      <w:r>
        <w:rPr>
          <w:rFonts w:hint="eastAsia" w:ascii="宋体" w:hAnsi="宋体"/>
          <w:b/>
          <w:bCs/>
          <w:szCs w:val="21"/>
          <w:lang w:val="en-US" w:eastAsia="zh-CN"/>
        </w:rPr>
        <w:t>7</w:t>
      </w:r>
      <w:r>
        <w:rPr>
          <w:rFonts w:hint="eastAsia" w:ascii="宋体" w:hAnsi="宋体"/>
          <w:b/>
          <w:bCs/>
          <w:szCs w:val="21"/>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由发包人在工程款中代扣代缴或者由承包人直接支付</w:t>
      </w:r>
      <w:r>
        <w:rPr>
          <w:rFonts w:hint="eastAsia" w:ascii="宋体" w:hAnsi="宋体"/>
          <w:b/>
          <w:bCs/>
          <w:i/>
          <w:iCs/>
          <w:szCs w:val="21"/>
        </w:rPr>
        <w:t>。</w:t>
      </w:r>
      <w:bookmarkEnd w:id="41"/>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8</w:t>
      </w:r>
      <w:r>
        <w:rPr>
          <w:rFonts w:hint="eastAsia" w:ascii="宋体" w:hAnsi="宋体"/>
          <w:b w:val="0"/>
          <w:bCs w:val="0"/>
          <w:szCs w:val="21"/>
        </w:rPr>
        <w:t>中标人需严格按照发包人的设计变更、一单一结、月清月结等制度执行。</w:t>
      </w:r>
    </w:p>
    <w:p>
      <w:pPr>
        <w:snapToGrid w:val="0"/>
        <w:spacing w:line="440" w:lineRule="exact"/>
        <w:ind w:firstLine="525" w:firstLineChars="250"/>
        <w:rPr>
          <w:rStyle w:val="19"/>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9</w:t>
      </w:r>
      <w:r>
        <w:rPr>
          <w:rStyle w:val="19"/>
          <w:rFonts w:hint="eastAsia" w:ascii="宋体" w:hAnsi="宋体"/>
          <w:b w:val="0"/>
          <w:bCs w:val="0"/>
          <w:szCs w:val="21"/>
        </w:rPr>
        <w:t>本项目不单独计取总承包服务费及甲供材料（设备）采保费。</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10</w:t>
      </w:r>
      <w:r>
        <w:rPr>
          <w:rFonts w:hint="eastAsia" w:ascii="宋体" w:hAnsi="宋体"/>
          <w:b w:val="0"/>
          <w:bCs w:val="0"/>
          <w:szCs w:val="21"/>
        </w:rPr>
        <w:t>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11</w:t>
      </w:r>
      <w:r>
        <w:rPr>
          <w:rFonts w:hint="eastAsia" w:ascii="宋体" w:hAnsi="宋体"/>
          <w:b w:val="0"/>
          <w:bCs w:val="0"/>
          <w:szCs w:val="21"/>
        </w:rPr>
        <w:t>本项目中建设单位有特别要求的建筑材料、设备设施或构配件，需在订货前征得建设单位同意后方可采购。</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12</w:t>
      </w:r>
      <w:r>
        <w:rPr>
          <w:rFonts w:hint="eastAsia" w:ascii="宋体" w:hAnsi="宋体"/>
          <w:b w:val="0"/>
          <w:bCs w:val="0"/>
          <w:szCs w:val="21"/>
        </w:rPr>
        <w:t>本项目中所有使用的主要关键材料等均须经过建设单位和监理单位对样品进行书面审批同意后方可采购进场。</w:t>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13</w:t>
      </w:r>
      <w:r>
        <w:rPr>
          <w:rFonts w:hint="eastAsia" w:ascii="宋体" w:hAnsi="宋体"/>
          <w:b w:val="0"/>
          <w:bCs w:val="0"/>
          <w:szCs w:val="21"/>
        </w:rPr>
        <w:t>农民工工资保证金由中标方按相关项目属地政府规定按期自行办理。</w:t>
      </w:r>
      <w:r>
        <w:rPr>
          <w:rFonts w:hint="eastAsia" w:ascii="宋体" w:hAnsi="宋体"/>
          <w:b w:val="0"/>
          <w:bCs w:val="0"/>
          <w:szCs w:val="21"/>
        </w:rPr>
        <w:tab/>
      </w:r>
    </w:p>
    <w:p>
      <w:pPr>
        <w:snapToGrid w:val="0"/>
        <w:spacing w:line="440" w:lineRule="exact"/>
        <w:ind w:firstLine="525" w:firstLineChars="250"/>
        <w:rPr>
          <w:rFonts w:ascii="宋体" w:hAnsi="宋体"/>
          <w:b w:val="0"/>
          <w:bCs w:val="0"/>
          <w:szCs w:val="21"/>
        </w:rPr>
      </w:pPr>
      <w:r>
        <w:rPr>
          <w:rFonts w:hint="eastAsia" w:ascii="宋体" w:hAnsi="宋体"/>
          <w:b w:val="0"/>
          <w:bCs w:val="0"/>
          <w:szCs w:val="21"/>
        </w:rPr>
        <w:t>3.</w:t>
      </w:r>
      <w:r>
        <w:rPr>
          <w:rFonts w:hint="eastAsia" w:ascii="宋体" w:hAnsi="宋体"/>
          <w:b w:val="0"/>
          <w:bCs w:val="0"/>
          <w:szCs w:val="21"/>
          <w:lang w:val="en-US" w:eastAsia="zh-CN"/>
        </w:rPr>
        <w:t>14</w:t>
      </w:r>
      <w:r>
        <w:rPr>
          <w:rFonts w:hint="eastAsia" w:ascii="宋体" w:hAnsi="宋体"/>
          <w:b w:val="0"/>
          <w:bCs w:val="0"/>
          <w:szCs w:val="21"/>
        </w:rPr>
        <w:t>工伤保险由中标方按相关政府标准规定缴纳。</w:t>
      </w:r>
    </w:p>
    <w:p>
      <w:pPr>
        <w:snapToGrid w:val="0"/>
        <w:spacing w:line="440" w:lineRule="exact"/>
        <w:ind w:firstLine="525" w:firstLineChars="250"/>
        <w:rPr>
          <w:rFonts w:hint="eastAsia"/>
          <w:b/>
          <w:bCs/>
          <w:highlight w:val="none"/>
        </w:rPr>
      </w:pPr>
      <w:r>
        <w:rPr>
          <w:rFonts w:hint="eastAsia" w:ascii="宋体" w:hAnsi="宋体"/>
          <w:b/>
          <w:bCs/>
          <w:szCs w:val="21"/>
          <w:highlight w:val="none"/>
        </w:rPr>
        <w:t>3.</w:t>
      </w:r>
      <w:r>
        <w:rPr>
          <w:rFonts w:hint="eastAsia" w:ascii="宋体" w:hAnsi="宋体"/>
          <w:b/>
          <w:bCs/>
          <w:szCs w:val="21"/>
          <w:highlight w:val="none"/>
          <w:lang w:val="en-US" w:eastAsia="zh-CN"/>
        </w:rPr>
        <w:t>15</w:t>
      </w:r>
      <w:r>
        <w:rPr>
          <w:rFonts w:hint="eastAsia"/>
          <w:b/>
          <w:bCs/>
          <w:highlight w:val="none"/>
        </w:rPr>
        <w:t>投标人在投标前应进行现场踏勘，充分了解现场情况，拆除改造内容标注自行处置的应充分考虑材料回收费用后报价，</w:t>
      </w:r>
      <w:r>
        <w:rPr>
          <w:rFonts w:hint="eastAsia" w:ascii="宋体" w:hAnsi="宋体"/>
          <w:b/>
          <w:bCs/>
          <w:szCs w:val="21"/>
          <w:highlight w:val="none"/>
        </w:rPr>
        <w:t>投标</w:t>
      </w:r>
      <w:r>
        <w:rPr>
          <w:rFonts w:hint="eastAsia"/>
          <w:b/>
          <w:bCs/>
          <w:highlight w:val="none"/>
        </w:rPr>
        <w:t>报价一经报出，即认为是包含了为完成本项施工内容进行的所有工作，相关的施工费用不再单独计取。</w:t>
      </w:r>
    </w:p>
    <w:p>
      <w:pPr>
        <w:snapToGrid w:val="0"/>
        <w:spacing w:line="440" w:lineRule="exact"/>
        <w:ind w:firstLine="525" w:firstLineChars="250"/>
        <w:rPr>
          <w:rFonts w:hint="eastAsia"/>
          <w:b/>
          <w:bCs/>
          <w:highlight w:val="none"/>
        </w:rPr>
      </w:pPr>
      <w:r>
        <w:rPr>
          <w:rFonts w:hint="eastAsia"/>
          <w:b/>
          <w:bCs/>
          <w:highlight w:val="none"/>
          <w:lang w:val="en-US" w:eastAsia="zh-CN"/>
        </w:rPr>
        <w:t>4.</w:t>
      </w:r>
      <w:r>
        <w:rPr>
          <w:rFonts w:hint="eastAsia"/>
          <w:b/>
          <w:bCs/>
          <w:highlight w:val="none"/>
        </w:rPr>
        <w:t>付款条件</w:t>
      </w:r>
    </w:p>
    <w:p>
      <w:pPr>
        <w:snapToGrid w:val="0"/>
        <w:spacing w:line="440" w:lineRule="exact"/>
        <w:ind w:firstLine="525" w:firstLineChars="250"/>
        <w:rPr>
          <w:rFonts w:hint="eastAsia" w:ascii="宋体" w:hAnsi="宋体"/>
          <w:b w:val="0"/>
          <w:bCs w:val="0"/>
          <w:szCs w:val="21"/>
        </w:rPr>
      </w:pPr>
      <w:r>
        <w:rPr>
          <w:rFonts w:hint="eastAsia" w:ascii="宋体" w:hAnsi="宋体"/>
          <w:b w:val="0"/>
          <w:bCs w:val="0"/>
          <w:szCs w:val="21"/>
          <w:lang w:val="en-US" w:eastAsia="zh-CN"/>
        </w:rPr>
        <w:t>4.1</w:t>
      </w:r>
      <w:r>
        <w:rPr>
          <w:rFonts w:hint="eastAsia" w:ascii="宋体" w:hAnsi="宋体"/>
          <w:b w:val="0"/>
          <w:bCs w:val="0"/>
          <w:szCs w:val="21"/>
        </w:rPr>
        <w:t>付款方式：半年期商业汇票（包含银行承兑汇票和商业承兑汇票）。</w:t>
      </w:r>
    </w:p>
    <w:p>
      <w:pPr>
        <w:snapToGrid w:val="0"/>
        <w:spacing w:line="440" w:lineRule="exact"/>
        <w:ind w:firstLine="525" w:firstLineChars="250"/>
        <w:rPr>
          <w:rFonts w:hint="eastAsia"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4.2本合同预付款：无预付款；</w:t>
      </w:r>
    </w:p>
    <w:p>
      <w:pPr>
        <w:snapToGrid w:val="0"/>
        <w:spacing w:line="440" w:lineRule="exact"/>
        <w:ind w:firstLine="525" w:firstLineChars="250"/>
        <w:rPr>
          <w:rFonts w:hint="eastAsia"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4.3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于次月付款至合同价款的 70%；</w:t>
      </w:r>
    </w:p>
    <w:p>
      <w:pPr>
        <w:snapToGrid w:val="0"/>
        <w:spacing w:line="440" w:lineRule="exact"/>
        <w:ind w:firstLine="525" w:firstLineChars="250"/>
        <w:rPr>
          <w:rFonts w:hint="eastAsia"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4.4竣工后送甲方指定的第三方审计公司审计（审计费由施工方支付），按照审定额进行结算，乙方提供剩余付款金额一致的符合国家要求的增值税专用发票，经甲方审核无误后于次月付款至工程审定额的95%。</w:t>
      </w:r>
    </w:p>
    <w:p>
      <w:pPr>
        <w:snapToGrid w:val="0"/>
        <w:spacing w:line="440" w:lineRule="exact"/>
        <w:ind w:firstLine="525" w:firstLineChars="250"/>
        <w:rPr>
          <w:rFonts w:hint="eastAsia"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4.5剩余5%作为质保金，2年质保期后无质量问题进行支付。</w:t>
      </w:r>
    </w:p>
    <w:p>
      <w:pPr>
        <w:snapToGrid w:val="0"/>
        <w:spacing w:line="440" w:lineRule="exact"/>
        <w:ind w:firstLine="525" w:firstLineChars="250"/>
        <w:rPr>
          <w:rFonts w:hint="default"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4.6</w:t>
      </w:r>
      <w:r>
        <w:rPr>
          <w:rFonts w:hint="default" w:ascii="宋体" w:hAnsi="宋体" w:eastAsia="宋体" w:cs="Times New Roman"/>
          <w:b w:val="0"/>
          <w:bCs w:val="0"/>
          <w:szCs w:val="21"/>
          <w:lang w:val="en-US" w:eastAsia="zh-CN"/>
        </w:rPr>
        <w:t>本合同的最终结算金额以工程结算审核报告中的审定</w:t>
      </w:r>
      <w:r>
        <w:rPr>
          <w:rFonts w:hint="eastAsia" w:ascii="宋体" w:hAnsi="宋体" w:eastAsia="宋体" w:cs="Times New Roman"/>
          <w:b w:val="0"/>
          <w:bCs w:val="0"/>
          <w:szCs w:val="21"/>
          <w:lang w:val="en-US" w:eastAsia="zh-CN"/>
        </w:rPr>
        <w:t>额</w:t>
      </w:r>
      <w:r>
        <w:rPr>
          <w:rFonts w:hint="default" w:ascii="宋体" w:hAnsi="宋体" w:eastAsia="宋体" w:cs="Times New Roman"/>
          <w:b w:val="0"/>
          <w:bCs w:val="0"/>
          <w:szCs w:val="21"/>
          <w:lang w:val="en-US" w:eastAsia="zh-CN"/>
        </w:rPr>
        <w:t>为准</w:t>
      </w:r>
      <w:r>
        <w:rPr>
          <w:rFonts w:hint="eastAsia" w:ascii="宋体" w:hAnsi="宋体" w:eastAsia="宋体" w:cs="Times New Roman"/>
          <w:b w:val="0"/>
          <w:bCs w:val="0"/>
          <w:szCs w:val="21"/>
          <w:lang w:val="en-US" w:eastAsia="zh-CN"/>
        </w:rPr>
        <w:t>。</w:t>
      </w:r>
    </w:p>
    <w:p>
      <w:pPr>
        <w:snapToGrid w:val="0"/>
        <w:spacing w:line="440" w:lineRule="exact"/>
        <w:ind w:firstLine="525" w:firstLineChars="250"/>
        <w:rPr>
          <w:rFonts w:hint="eastAsia" w:ascii="宋体" w:hAnsi="宋体"/>
          <w:b w:val="0"/>
          <w:bCs w:val="0"/>
          <w:szCs w:val="21"/>
        </w:rPr>
      </w:pPr>
    </w:p>
    <w:p>
      <w:pPr>
        <w:pStyle w:val="7"/>
        <w:numPr>
          <w:ilvl w:val="0"/>
          <w:numId w:val="2"/>
        </w:numPr>
        <w:spacing w:line="360" w:lineRule="auto"/>
        <w:ind w:left="0" w:leftChars="0" w:firstLine="0" w:firstLineChars="0"/>
        <w:jc w:val="both"/>
        <w:outlineLvl w:val="0"/>
        <w:rPr>
          <w:rStyle w:val="17"/>
          <w:rFonts w:hint="eastAsia" w:eastAsia="宋体" w:cs="Times New Roman"/>
          <w:sz w:val="48"/>
          <w:szCs w:val="48"/>
          <w:highlight w:val="none"/>
          <w:lang w:val="en-US" w:eastAsia="zh-CN"/>
        </w:rPr>
      </w:pPr>
      <w:r>
        <w:rPr>
          <w:rStyle w:val="17"/>
          <w:rFonts w:hint="eastAsia" w:eastAsia="宋体" w:cs="Times New Roman"/>
          <w:sz w:val="48"/>
          <w:szCs w:val="48"/>
          <w:highlight w:val="none"/>
          <w:lang w:val="en-US" w:eastAsia="zh-CN"/>
        </w:rPr>
        <w:t>技术要求</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eastAsia="宋体" w:cs="宋体"/>
          <w:sz w:val="21"/>
          <w:szCs w:val="21"/>
        </w:rPr>
        <w:t>1、依据设计施工图纸和技术文件要求，本工程项目的材料、设备、施工必须达到现行中华人民共和国及省、市、行业的一切有关法规、规范的要求，如各标准及规范要求有出入则以较严格者为准。</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eastAsia="宋体" w:cs="宋体"/>
          <w:sz w:val="21"/>
          <w:szCs w:val="21"/>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19"/>
          <w:rFonts w:hint="eastAsia" w:ascii="宋体" w:hAnsi="宋体" w:eastAsia="宋体" w:cs="宋体"/>
          <w:sz w:val="21"/>
          <w:szCs w:val="21"/>
        </w:rPr>
        <w:tab/>
      </w:r>
    </w:p>
    <w:p>
      <w:pPr>
        <w:snapToGrid w:val="0"/>
        <w:spacing w:line="440" w:lineRule="exact"/>
        <w:ind w:firstLine="525" w:firstLineChars="250"/>
        <w:rPr>
          <w:rStyle w:val="19"/>
          <w:rFonts w:hint="eastAsia" w:ascii="宋体" w:hAnsi="宋体" w:eastAsia="宋体" w:cs="宋体"/>
          <w:sz w:val="21"/>
          <w:szCs w:val="21"/>
          <w:lang w:eastAsia="zh-CN"/>
        </w:rPr>
      </w:pPr>
      <w:r>
        <w:rPr>
          <w:rStyle w:val="19"/>
          <w:rFonts w:hint="eastAsia" w:ascii="宋体" w:hAnsi="宋体" w:eastAsia="宋体" w:cs="宋体"/>
          <w:sz w:val="21"/>
          <w:szCs w:val="21"/>
          <w:lang w:val="en-US" w:eastAsia="zh-CN"/>
        </w:rPr>
        <w:t>3、</w:t>
      </w:r>
      <w:r>
        <w:rPr>
          <w:rStyle w:val="19"/>
          <w:rFonts w:hint="eastAsia" w:ascii="宋体" w:hAnsi="宋体" w:eastAsia="宋体" w:cs="宋体"/>
          <w:sz w:val="21"/>
          <w:szCs w:val="21"/>
        </w:rPr>
        <w:t>因科技大厦卫生间维修改造一期工程为改造项目，应综合考虑现场需要保留利旧设备等自行保护存留，若发生损坏由施工单位自行承担</w:t>
      </w:r>
      <w:r>
        <w:rPr>
          <w:rStyle w:val="19"/>
          <w:rFonts w:hint="eastAsia" w:ascii="宋体" w:hAnsi="宋体" w:eastAsia="宋体" w:cs="宋体"/>
          <w:sz w:val="21"/>
          <w:szCs w:val="21"/>
          <w:lang w:eastAsia="zh-CN"/>
        </w:rPr>
        <w:t>。</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eastAsia="宋体" w:cs="宋体"/>
          <w:sz w:val="21"/>
          <w:szCs w:val="21"/>
          <w:lang w:val="en-US" w:eastAsia="zh-CN"/>
        </w:rPr>
        <w:t>4</w:t>
      </w:r>
      <w:r>
        <w:rPr>
          <w:rStyle w:val="19"/>
          <w:rFonts w:hint="eastAsia" w:ascii="宋体" w:hAnsi="宋体" w:eastAsia="宋体" w:cs="宋体"/>
          <w:sz w:val="21"/>
          <w:szCs w:val="21"/>
        </w:rPr>
        <w:t>、甲限乙购材料品牌表</w:t>
      </w:r>
    </w:p>
    <w:tbl>
      <w:tblPr>
        <w:tblStyle w:val="13"/>
        <w:tblW w:w="5000" w:type="pct"/>
        <w:tblInd w:w="0" w:type="dxa"/>
        <w:tblLayout w:type="autofit"/>
        <w:tblCellMar>
          <w:top w:w="0" w:type="dxa"/>
          <w:left w:w="0" w:type="dxa"/>
          <w:bottom w:w="0" w:type="dxa"/>
          <w:right w:w="0" w:type="dxa"/>
        </w:tblCellMar>
      </w:tblPr>
      <w:tblGrid>
        <w:gridCol w:w="840"/>
        <w:gridCol w:w="2951"/>
        <w:gridCol w:w="5310"/>
      </w:tblGrid>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序号</w:t>
            </w:r>
          </w:p>
        </w:tc>
        <w:tc>
          <w:tcPr>
            <w:tcW w:w="16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主材及设备名称</w:t>
            </w:r>
          </w:p>
        </w:tc>
        <w:tc>
          <w:tcPr>
            <w:tcW w:w="291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甲限品牌范围</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1</w:t>
            </w:r>
          </w:p>
        </w:tc>
        <w:tc>
          <w:tcPr>
            <w:tcW w:w="16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卫生洁具：马桶、水龙头、洗手盆、小便斗（含五金等配件）、</w:t>
            </w:r>
          </w:p>
        </w:tc>
        <w:tc>
          <w:tcPr>
            <w:tcW w:w="2917"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TOTO东陶、ARROW佛山箭牌、FAENZA佛山法恩莎</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2</w:t>
            </w:r>
          </w:p>
        </w:tc>
        <w:tc>
          <w:tcPr>
            <w:tcW w:w="16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瓷砖</w:t>
            </w:r>
          </w:p>
        </w:tc>
        <w:tc>
          <w:tcPr>
            <w:tcW w:w="2917"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广东东鹏、东莞马可波罗、杭州诺贝尔、佛山蒙娜丽莎</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3</w:t>
            </w:r>
          </w:p>
        </w:tc>
        <w:tc>
          <w:tcPr>
            <w:tcW w:w="1621"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木门</w:t>
            </w:r>
          </w:p>
        </w:tc>
        <w:tc>
          <w:tcPr>
            <w:tcW w:w="2917" w:type="pc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TATA闼闼、MEIXIN重庆美心、梦天（梦天家居）、春天SPRING（春天集团有限公司）、WONLY浙江王力</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4</w:t>
            </w:r>
          </w:p>
        </w:tc>
        <w:tc>
          <w:tcPr>
            <w:tcW w:w="1621"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灯具</w:t>
            </w:r>
          </w:p>
        </w:tc>
        <w:tc>
          <w:tcPr>
            <w:tcW w:w="2917" w:type="pc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OPPLE欧普、FSL佛山照明、TCL、上海亚明、雷士NVC、深圳海洋王照明</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5</w:t>
            </w:r>
          </w:p>
        </w:tc>
        <w:tc>
          <w:tcPr>
            <w:tcW w:w="1621"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防水涂料</w:t>
            </w:r>
          </w:p>
        </w:tc>
        <w:tc>
          <w:tcPr>
            <w:tcW w:w="2917" w:type="pct"/>
            <w:tcBorders>
              <w:top w:val="nil"/>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东方雨虹、北新禹王、CKS佛山科顺、潍坊宏源、北京中建友</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必须为环保材料，无异味</w:t>
            </w:r>
            <w:r>
              <w:rPr>
                <w:rFonts w:hint="eastAsia" w:ascii="宋体" w:hAnsi="宋体" w:cs="宋体"/>
                <w:color w:val="000000" w:themeColor="text1"/>
                <w:sz w:val="21"/>
                <w:szCs w:val="21"/>
                <w:lang w:eastAsia="zh-CN"/>
                <w14:textFill>
                  <w14:solidFill>
                    <w14:schemeClr w14:val="tx1"/>
                  </w14:solidFill>
                </w14:textFill>
              </w:rPr>
              <w:t>）</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bidi="ar"/>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6</w:t>
            </w:r>
          </w:p>
        </w:tc>
        <w:tc>
          <w:tcPr>
            <w:tcW w:w="16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石膏板</w:t>
            </w:r>
          </w:p>
        </w:tc>
        <w:tc>
          <w:tcPr>
            <w:tcW w:w="291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泰山防水石膏板</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val="en-US" w:eastAsia="zh-CN" w:bidi="ar"/>
                <w14:textFill>
                  <w14:solidFill>
                    <w14:schemeClr w14:val="tx1"/>
                  </w14:solidFill>
                </w14:textFill>
              </w:rPr>
            </w:pPr>
            <w:r>
              <w:rPr>
                <w:rFonts w:hint="eastAsia" w:ascii="宋体" w:hAnsi="宋体" w:eastAsia="宋体" w:cs="宋体"/>
                <w:b/>
                <w:color w:val="000000" w:themeColor="text1"/>
                <w:sz w:val="21"/>
                <w:szCs w:val="21"/>
                <w:lang w:val="en-US" w:eastAsia="zh-CN" w:bidi="ar"/>
                <w14:textFill>
                  <w14:solidFill>
                    <w14:schemeClr w14:val="tx1"/>
                  </w14:solidFill>
                </w14:textFill>
              </w:rPr>
              <w:t>7</w:t>
            </w:r>
          </w:p>
        </w:tc>
        <w:tc>
          <w:tcPr>
            <w:tcW w:w="16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乳胶漆</w:t>
            </w:r>
          </w:p>
        </w:tc>
        <w:tc>
          <w:tcPr>
            <w:tcW w:w="291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立邦</w:t>
            </w:r>
          </w:p>
        </w:tc>
      </w:tr>
      <w:tr>
        <w:tblPrEx>
          <w:tblCellMar>
            <w:top w:w="0" w:type="dxa"/>
            <w:left w:w="0" w:type="dxa"/>
            <w:bottom w:w="0" w:type="dxa"/>
            <w:right w:w="0" w:type="dxa"/>
          </w:tblCellMar>
        </w:tblPrEx>
        <w:trPr>
          <w:trHeight w:val="600" w:hRule="atLeast"/>
        </w:trPr>
        <w:tc>
          <w:tcPr>
            <w:tcW w:w="46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textAlignment w:val="center"/>
              <w:rPr>
                <w:rFonts w:hint="eastAsia" w:ascii="宋体" w:hAnsi="宋体" w:eastAsia="宋体" w:cs="宋体"/>
                <w:b/>
                <w:color w:val="000000" w:themeColor="text1"/>
                <w:sz w:val="21"/>
                <w:szCs w:val="21"/>
                <w:lang w:eastAsia="zh-CN" w:bidi="ar"/>
                <w14:textFill>
                  <w14:solidFill>
                    <w14:schemeClr w14:val="tx1"/>
                  </w14:solidFill>
                </w14:textFill>
              </w:rPr>
            </w:pPr>
            <w:r>
              <w:rPr>
                <w:rFonts w:hint="eastAsia" w:ascii="宋体" w:hAnsi="宋体" w:eastAsia="宋体" w:cs="宋体"/>
                <w:b/>
                <w:color w:val="000000" w:themeColor="text1"/>
                <w:sz w:val="21"/>
                <w:szCs w:val="21"/>
                <w:lang w:val="en-US" w:eastAsia="zh-CN" w:bidi="ar"/>
                <w14:textFill>
                  <w14:solidFill>
                    <w14:schemeClr w14:val="tx1"/>
                  </w14:solidFill>
                </w14:textFill>
              </w:rPr>
              <w:t>8</w:t>
            </w:r>
          </w:p>
        </w:tc>
        <w:tc>
          <w:tcPr>
            <w:tcW w:w="16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空调盘管</w:t>
            </w:r>
          </w:p>
        </w:tc>
        <w:tc>
          <w:tcPr>
            <w:tcW w:w="291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GREE格力、Midea美的、Haier海尔、Hisense海信、TICA天加、DunAn盾安</w:t>
            </w:r>
          </w:p>
        </w:tc>
      </w:tr>
    </w:tbl>
    <w:p>
      <w:pPr>
        <w:spacing w:line="360" w:lineRule="auto"/>
        <w:ind w:firstLine="420" w:firstLineChars="200"/>
        <w:rPr>
          <w:rFonts w:hint="eastAsia" w:ascii="宋体" w:hAnsi="宋体" w:eastAsia="宋体" w:cs="宋体"/>
          <w:sz w:val="21"/>
          <w:szCs w:val="21"/>
        </w:rPr>
      </w:pPr>
    </w:p>
    <w:p>
      <w:pPr>
        <w:snapToGrid w:val="0"/>
        <w:spacing w:line="440" w:lineRule="exact"/>
        <w:ind w:firstLine="527" w:firstLineChars="250"/>
        <w:rPr>
          <w:rStyle w:val="19"/>
          <w:rFonts w:hint="eastAsia" w:ascii="宋体" w:hAnsi="宋体" w:eastAsia="宋体" w:cs="宋体"/>
          <w:sz w:val="21"/>
          <w:szCs w:val="21"/>
        </w:rPr>
      </w:pPr>
      <w:r>
        <w:rPr>
          <w:rStyle w:val="19"/>
          <w:rFonts w:hint="eastAsia" w:ascii="宋体" w:hAnsi="宋体" w:eastAsia="宋体" w:cs="宋体"/>
          <w:b/>
          <w:bCs/>
          <w:sz w:val="21"/>
          <w:szCs w:val="21"/>
        </w:rPr>
        <w:t>瓷砖：</w:t>
      </w:r>
      <w:r>
        <w:rPr>
          <w:rStyle w:val="19"/>
          <w:rFonts w:hint="eastAsia" w:ascii="宋体" w:hAnsi="宋体" w:eastAsia="宋体" w:cs="宋体"/>
          <w:sz w:val="21"/>
          <w:szCs w:val="21"/>
        </w:rPr>
        <w:t>产品生产及检验符合国家标准GB/T 4100-2015及GB/T 3810-2016，耐磨性不低于4级，耐污性不低于5级，吸水率不高于0.1%，按相关规定进行见证取样复试。</w:t>
      </w:r>
    </w:p>
    <w:p>
      <w:pPr>
        <w:snapToGrid w:val="0"/>
        <w:spacing w:line="440" w:lineRule="exact"/>
        <w:ind w:firstLine="527" w:firstLineChars="250"/>
        <w:rPr>
          <w:rStyle w:val="19"/>
          <w:rFonts w:hint="eastAsia" w:ascii="宋体" w:hAnsi="宋体" w:eastAsia="宋体" w:cs="宋体"/>
          <w:sz w:val="21"/>
          <w:szCs w:val="21"/>
        </w:rPr>
      </w:pPr>
      <w:r>
        <w:rPr>
          <w:rStyle w:val="19"/>
          <w:rFonts w:hint="eastAsia" w:ascii="宋体" w:hAnsi="宋体" w:eastAsia="宋体" w:cs="宋体"/>
          <w:b/>
          <w:bCs/>
          <w:sz w:val="21"/>
          <w:szCs w:val="21"/>
        </w:rPr>
        <w:t>木门：</w:t>
      </w:r>
      <w:r>
        <w:rPr>
          <w:rStyle w:val="19"/>
          <w:rFonts w:hint="eastAsia" w:ascii="宋体" w:hAnsi="宋体" w:eastAsia="宋体" w:cs="宋体"/>
          <w:sz w:val="21"/>
          <w:szCs w:val="21"/>
        </w:rPr>
        <w:t>门扇厚度不低于40mm。</w:t>
      </w:r>
    </w:p>
    <w:p>
      <w:pPr>
        <w:snapToGrid w:val="0"/>
        <w:spacing w:line="440" w:lineRule="exact"/>
        <w:ind w:firstLine="525" w:firstLineChars="250"/>
        <w:rPr>
          <w:rStyle w:val="19"/>
          <w:rFonts w:hint="eastAsia" w:ascii="宋体" w:hAnsi="宋体" w:eastAsia="宋体" w:cs="宋体"/>
          <w:sz w:val="21"/>
          <w:szCs w:val="21"/>
          <w:lang w:eastAsia="zh-CN"/>
        </w:rPr>
      </w:pPr>
      <w:r>
        <w:rPr>
          <w:rStyle w:val="19"/>
          <w:rFonts w:hint="eastAsia" w:ascii="宋体" w:hAnsi="宋体" w:eastAsia="宋体" w:cs="宋体"/>
          <w:sz w:val="21"/>
          <w:szCs w:val="21"/>
        </w:rPr>
        <w:t>5、投标文件中必须附带卫生间改造效果图，效果图对材料品牌做详细说明</w:t>
      </w:r>
      <w:r>
        <w:rPr>
          <w:rStyle w:val="19"/>
          <w:rFonts w:hint="eastAsia" w:ascii="宋体" w:hAnsi="宋体" w:eastAsia="宋体" w:cs="宋体"/>
          <w:sz w:val="21"/>
          <w:szCs w:val="21"/>
          <w:lang w:eastAsia="zh-CN"/>
        </w:rPr>
        <w:t>。</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eastAsia="宋体" w:cs="宋体"/>
          <w:sz w:val="21"/>
          <w:szCs w:val="21"/>
          <w:lang w:val="en-US" w:eastAsia="zh-CN"/>
        </w:rPr>
        <w:t>6.</w:t>
      </w:r>
      <w:r>
        <w:rPr>
          <w:rStyle w:val="19"/>
          <w:rFonts w:hint="eastAsia" w:ascii="宋体" w:hAnsi="宋体" w:eastAsia="宋体" w:cs="宋体"/>
          <w:sz w:val="21"/>
          <w:szCs w:val="21"/>
        </w:rPr>
        <w:t>瓷砖、门、洁具、洗漱台、隔断、灯具、五金等选型必须经发包人实物审核确认后，方可采购。</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7.</w:t>
      </w:r>
      <w:r>
        <w:rPr>
          <w:rStyle w:val="19"/>
          <w:rFonts w:hint="eastAsia" w:ascii="宋体" w:hAnsi="宋体" w:eastAsia="宋体" w:cs="宋体"/>
          <w:sz w:val="21"/>
          <w:szCs w:val="21"/>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w:t>
      </w:r>
      <w:r>
        <w:rPr>
          <w:rStyle w:val="19"/>
          <w:rFonts w:hint="eastAsia" w:ascii="宋体" w:hAnsi="宋体" w:eastAsia="宋体" w:cs="宋体"/>
          <w:sz w:val="21"/>
          <w:szCs w:val="21"/>
        </w:rPr>
        <w:t>现场施工要求</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8.1</w:t>
      </w:r>
      <w:r>
        <w:rPr>
          <w:rStyle w:val="19"/>
          <w:rFonts w:hint="eastAsia" w:ascii="宋体" w:hAnsi="宋体" w:eastAsia="宋体" w:cs="宋体"/>
          <w:sz w:val="21"/>
          <w:szCs w:val="21"/>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8.2</w:t>
      </w:r>
      <w:r>
        <w:rPr>
          <w:rStyle w:val="19"/>
          <w:rFonts w:hint="eastAsia" w:ascii="宋体" w:hAnsi="宋体" w:eastAsia="宋体" w:cs="宋体"/>
          <w:sz w:val="21"/>
          <w:szCs w:val="21"/>
        </w:rPr>
        <w:t>现场不提供办公区、生活区，施工方自行考虑。</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8.3</w:t>
      </w:r>
      <w:r>
        <w:rPr>
          <w:rStyle w:val="19"/>
          <w:rFonts w:hint="eastAsia" w:ascii="宋体" w:hAnsi="宋体" w:eastAsia="宋体" w:cs="宋体"/>
          <w:sz w:val="21"/>
          <w:szCs w:val="21"/>
        </w:rPr>
        <w:t>发包人在施工范围周边指定水电接驳点，由中标人自行敷设至施工区，并自行考虑临时停水、停电的应急预案（费用已在投标报价中综合考虑，不再另计）；施工水电费用由中标人承担，在结算时按照直接费的0.1%扣除水电费用。</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8.4</w:t>
      </w:r>
      <w:r>
        <w:rPr>
          <w:rStyle w:val="19"/>
          <w:rFonts w:hint="eastAsia" w:ascii="宋体" w:hAnsi="宋体" w:eastAsia="宋体" w:cs="宋体"/>
          <w:sz w:val="21"/>
          <w:szCs w:val="21"/>
        </w:rPr>
        <w:t>施工期间应服从厂区安全文明管理规定，车辆人员进出管理规定（物流运输、施工车辆，优先选用重汽品牌）以及一切厂区管理制度，如人员登记、防疫管理、禁止吸烟、特种作业、动火审批用电审批、登高审批及相关安全环保检查等。</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8.5</w:t>
      </w:r>
      <w:r>
        <w:rPr>
          <w:rStyle w:val="19"/>
          <w:rFonts w:hint="eastAsia" w:ascii="宋体" w:hAnsi="宋体" w:eastAsia="宋体" w:cs="宋体"/>
          <w:sz w:val="21"/>
          <w:szCs w:val="21"/>
        </w:rPr>
        <w:t>中标人自行负责进场设备材料物资的看护责任，若现场发生的丢失损坏，不得以此向招标人索赔工期和费用。</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8.6</w:t>
      </w:r>
      <w:r>
        <w:rPr>
          <w:rStyle w:val="19"/>
          <w:rFonts w:hint="eastAsia" w:ascii="宋体" w:hAnsi="宋体" w:eastAsia="宋体" w:cs="宋体"/>
          <w:sz w:val="21"/>
          <w:szCs w:val="21"/>
        </w:rPr>
        <w:t>中标人自进场施工开始至交接验收前负责施工范围内的成品保护工作，包括自身自己的成品及其它施工单位的成品、半成品等，如发生损坏、更改变化，由中标人负责免费进行恢复原状。</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8.7</w:t>
      </w:r>
      <w:r>
        <w:rPr>
          <w:rStyle w:val="19"/>
          <w:rFonts w:hint="eastAsia" w:ascii="宋体" w:hAnsi="宋体" w:eastAsia="宋体" w:cs="宋体"/>
          <w:sz w:val="21"/>
          <w:szCs w:val="21"/>
        </w:rPr>
        <w:t>施工期间必须采取抑尘降尘降噪措施，施工区域采用封闭围挡进行封闭施工，与生产交叉时应采取保生产措施，服从厂区生产需要，充分考虑施工机械多次进场及施工降效、措施施工，积极采取夜间施工、加班加人等赶工措施。不得以此申请延长工期和增加费用。</w:t>
      </w:r>
    </w:p>
    <w:p>
      <w:pPr>
        <w:snapToGrid w:val="0"/>
        <w:spacing w:line="440" w:lineRule="exact"/>
        <w:ind w:firstLine="525" w:firstLineChars="250"/>
        <w:rPr>
          <w:rStyle w:val="19"/>
          <w:rFonts w:hint="default" w:ascii="宋体" w:hAnsi="宋体" w:eastAsia="宋体" w:cs="宋体"/>
          <w:sz w:val="21"/>
          <w:szCs w:val="21"/>
          <w:lang w:val="en-US" w:eastAsia="zh-CN"/>
        </w:rPr>
      </w:pPr>
      <w:r>
        <w:rPr>
          <w:rStyle w:val="19"/>
          <w:rFonts w:hint="eastAsia" w:ascii="宋体" w:hAnsi="宋体" w:cs="宋体"/>
          <w:sz w:val="21"/>
          <w:szCs w:val="21"/>
          <w:lang w:val="en-US" w:eastAsia="zh-CN"/>
        </w:rPr>
        <w:t>8.8</w:t>
      </w:r>
      <w:r>
        <w:rPr>
          <w:rStyle w:val="19"/>
          <w:rFonts w:hint="eastAsia" w:ascii="宋体" w:hAnsi="宋体" w:eastAsia="宋体" w:cs="宋体"/>
          <w:sz w:val="21"/>
          <w:szCs w:val="21"/>
        </w:rPr>
        <w:t>投标人须认可招标人的工作指令，包括节、假日能正常开展工作的要求。</w:t>
      </w:r>
      <w:r>
        <w:rPr>
          <w:rStyle w:val="19"/>
          <w:rFonts w:hint="eastAsia" w:ascii="宋体" w:hAnsi="宋体" w:cs="宋体"/>
          <w:sz w:val="21"/>
          <w:szCs w:val="21"/>
          <w:lang w:val="en-US" w:eastAsia="zh-CN"/>
        </w:rPr>
        <w:t>噪音施工时间要求：工作日在夜间20:00-7:00、星期天全天。</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8.9</w:t>
      </w:r>
      <w:r>
        <w:rPr>
          <w:rStyle w:val="19"/>
          <w:rFonts w:hint="eastAsia" w:ascii="宋体" w:hAnsi="宋体" w:eastAsia="宋体" w:cs="宋体"/>
          <w:sz w:val="21"/>
          <w:szCs w:val="21"/>
        </w:rPr>
        <w:t>施工期间应严格落实项目所在地的政府安全文明标准、建筑垃圾、渣土处置标准、扬尘环保、重污染天气应急响应等标准，垃圾装袋，当天清理。施工期间，中标人负责施工场地及运输路线上道路的每日及时清理、冲洗，确保文明卫生。相关费用均包含在安全文明措施费中。承包人负责建筑垃圾、渣土处置的一切手续办理，投标时综合考虑，相关费用亦包含在投标总报价中。</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8.10</w:t>
      </w:r>
      <w:r>
        <w:rPr>
          <w:rStyle w:val="19"/>
          <w:rFonts w:hint="eastAsia" w:ascii="宋体" w:hAnsi="宋体" w:eastAsia="宋体" w:cs="宋体"/>
          <w:sz w:val="21"/>
          <w:szCs w:val="21"/>
        </w:rPr>
        <w:t>现场分区域分段施工、交叉施工、错时施工是必然的，必须服从厂区生产安排、建设方统一指挥，施工降效等费用综合考虑到措施费用中。</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8.11</w:t>
      </w:r>
      <w:r>
        <w:rPr>
          <w:rStyle w:val="19"/>
          <w:rFonts w:hint="eastAsia" w:ascii="宋体" w:hAnsi="宋体" w:eastAsia="宋体" w:cs="宋体"/>
          <w:sz w:val="21"/>
          <w:szCs w:val="21"/>
        </w:rPr>
        <w:t>现场施工人员登高、电工、焊工等作业必须持证上岗，并保证证书在有效期内且在专业允许范围内。</w:t>
      </w:r>
    </w:p>
    <w:p>
      <w:pPr>
        <w:snapToGrid w:val="0"/>
        <w:spacing w:line="440" w:lineRule="exact"/>
        <w:ind w:firstLine="525" w:firstLineChars="250"/>
        <w:rPr>
          <w:rStyle w:val="19"/>
          <w:rFonts w:hint="eastAsia" w:ascii="宋体" w:hAnsi="宋体" w:eastAsia="宋体" w:cs="宋体"/>
          <w:sz w:val="21"/>
          <w:szCs w:val="21"/>
        </w:rPr>
      </w:pPr>
      <w:r>
        <w:rPr>
          <w:rStyle w:val="19"/>
          <w:rFonts w:hint="eastAsia" w:ascii="宋体" w:hAnsi="宋体" w:cs="宋体"/>
          <w:sz w:val="21"/>
          <w:szCs w:val="21"/>
          <w:lang w:val="en-US" w:eastAsia="zh-CN"/>
        </w:rPr>
        <w:t>8.12</w:t>
      </w:r>
      <w:r>
        <w:rPr>
          <w:rStyle w:val="19"/>
          <w:rFonts w:hint="eastAsia" w:ascii="宋体" w:hAnsi="宋体" w:eastAsia="宋体" w:cs="宋体"/>
          <w:sz w:val="21"/>
          <w:szCs w:val="21"/>
        </w:rPr>
        <w:t>对于施工区域内的台盆（含五金）、照明灯具、排风扇、广播、小厨宝、烘手器、抽纸盒、原水浸报警系统进行保护性拆除，对于墙砖、吊顶龙骨进行最大程度的保护性拆除，拆除后运至发包人园区内指定位置，相关费用综合考虑在投标总报价中。</w:t>
      </w:r>
    </w:p>
    <w:p>
      <w:pPr>
        <w:snapToGrid w:val="0"/>
        <w:spacing w:line="440" w:lineRule="exact"/>
        <w:ind w:firstLine="525" w:firstLineChars="250"/>
        <w:rPr>
          <w:rStyle w:val="19"/>
          <w:rFonts w:hint="eastAsia" w:ascii="宋体" w:hAnsi="宋体" w:eastAsia="宋体" w:cs="宋体"/>
          <w:sz w:val="21"/>
          <w:szCs w:val="21"/>
        </w:rPr>
      </w:pPr>
    </w:p>
    <w:p>
      <w:pPr>
        <w:numPr>
          <w:ilvl w:val="0"/>
          <w:numId w:val="2"/>
        </w:numPr>
        <w:snapToGrid w:val="0"/>
        <w:spacing w:line="440" w:lineRule="exact"/>
        <w:ind w:left="0" w:leftChars="0" w:firstLine="0" w:firstLineChars="0"/>
        <w:outlineLvl w:val="0"/>
        <w:rPr>
          <w:rStyle w:val="19"/>
          <w:rFonts w:hint="eastAsia" w:ascii="宋体" w:hAnsi="宋体" w:eastAsia="宋体" w:cs="宋体"/>
          <w:sz w:val="44"/>
          <w:szCs w:val="44"/>
          <w:lang w:val="en-US" w:eastAsia="zh-CN"/>
        </w:rPr>
      </w:pPr>
      <w:r>
        <w:rPr>
          <w:rStyle w:val="19"/>
          <w:rFonts w:hint="eastAsia" w:ascii="宋体" w:hAnsi="宋体" w:eastAsia="宋体" w:cs="宋体"/>
          <w:sz w:val="44"/>
          <w:szCs w:val="44"/>
          <w:lang w:val="en-US" w:eastAsia="zh-CN"/>
        </w:rPr>
        <w:t>评分细则</w:t>
      </w:r>
    </w:p>
    <w:p>
      <w:pPr>
        <w:pStyle w:val="3"/>
        <w:spacing w:before="0" w:after="0"/>
        <w:jc w:val="center"/>
        <w:rPr>
          <w:sz w:val="30"/>
          <w:szCs w:val="30"/>
        </w:rPr>
      </w:pPr>
      <w:bookmarkStart w:id="42" w:name="_Toc151132049"/>
      <w:bookmarkStart w:id="43" w:name="_Toc205452050"/>
      <w:bookmarkStart w:id="44" w:name="_Hlk161833660"/>
      <w:r>
        <w:rPr>
          <w:rFonts w:hint="eastAsia"/>
          <w:sz w:val="30"/>
          <w:szCs w:val="30"/>
        </w:rPr>
        <w:t>一、评分细则</w:t>
      </w:r>
      <w:bookmarkEnd w:id="42"/>
      <w:bookmarkEnd w:id="43"/>
    </w:p>
    <w:bookmarkEnd w:id="44"/>
    <w:p>
      <w:pPr>
        <w:spacing w:line="360" w:lineRule="auto"/>
        <w:ind w:firstLine="567" w:firstLineChars="236"/>
        <w:rPr>
          <w:rFonts w:ascii="宋体" w:cs="宋体"/>
          <w:b/>
          <w:bCs/>
          <w:kern w:val="0"/>
          <w:sz w:val="24"/>
        </w:rPr>
      </w:pPr>
      <w:r>
        <w:rPr>
          <w:rFonts w:hint="eastAsia" w:ascii="宋体" w:hAnsi="宋体" w:cs="宋体"/>
          <w:b/>
          <w:bCs/>
          <w:sz w:val="24"/>
        </w:rPr>
        <w:t>本次评标采用技术标和商务标同时开标、分阶段评标的模式。首先进行技术标评审，由评标专家组对所有投标方的技术标部分综合评定和打分，确定进入商务标评比资格的投标方（技术标评分不带入商务标）。然后进行商务标的评标，</w:t>
      </w:r>
      <w:r>
        <w:rPr>
          <w:rFonts w:hint="eastAsia" w:ascii="宋体" w:cs="宋体"/>
          <w:b/>
          <w:bCs/>
          <w:sz w:val="24"/>
          <w:lang w:bidi="ar"/>
        </w:rPr>
        <w:t>招标人有权根据项目情况，商务标采取多轮（至少3轮）评标模式，最终根据商务标的报价确定各投标人排序，原则上按照评标合理最低价确定推荐中标人（不保证最低价格中标），对未中标单位不做任何解释。</w:t>
      </w:r>
      <w:r>
        <w:rPr>
          <w:rFonts w:hint="eastAsia" w:ascii="宋体" w:hAnsi="宋体" w:cs="宋体"/>
          <w:b/>
          <w:bCs/>
          <w:sz w:val="24"/>
        </w:rPr>
        <w:t>评分细则如下：</w:t>
      </w:r>
    </w:p>
    <w:p>
      <w:pPr>
        <w:pStyle w:val="20"/>
        <w:spacing w:before="0" w:after="0"/>
        <w:jc w:val="center"/>
        <w:rPr>
          <w:rStyle w:val="19"/>
          <w:rFonts w:hAnsi="宋体"/>
        </w:rPr>
      </w:pPr>
      <w:r>
        <w:rPr>
          <w:rStyle w:val="19"/>
          <w:rFonts w:hint="eastAsia" w:ascii="宋体" w:hAnsi="宋体"/>
          <w:sz w:val="24"/>
        </w:rPr>
        <w:t>技术标评分细则（满分100分）</w:t>
      </w:r>
    </w:p>
    <w:p>
      <w:pPr>
        <w:pStyle w:val="20"/>
        <w:spacing w:before="0" w:after="0"/>
        <w:jc w:val="center"/>
        <w:rPr>
          <w:rStyle w:val="19"/>
          <w:rFonts w:ascii="宋体" w:hAnsi="宋体"/>
          <w:sz w:val="24"/>
        </w:rPr>
      </w:pPr>
    </w:p>
    <w:tbl>
      <w:tblPr>
        <w:tblStyle w:val="13"/>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83"/>
        <w:gridCol w:w="886"/>
        <w:gridCol w:w="7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cs="宋体"/>
                <w:spacing w:val="-20"/>
              </w:rPr>
            </w:pPr>
            <w:r>
              <w:rPr>
                <w:rFonts w:hint="eastAsia" w:ascii="宋体" w:cs="宋体"/>
                <w:spacing w:val="-20"/>
                <w:kern w:val="0"/>
                <w:szCs w:val="21"/>
              </w:rPr>
              <w:t>序号</w:t>
            </w:r>
          </w:p>
        </w:tc>
        <w:tc>
          <w:tcPr>
            <w:tcW w:w="1084"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类别</w:t>
            </w: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满分</w:t>
            </w:r>
          </w:p>
        </w:tc>
        <w:tc>
          <w:tcPr>
            <w:tcW w:w="74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得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3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kern w:val="0"/>
                <w:szCs w:val="21"/>
              </w:rPr>
            </w:pPr>
            <w:r>
              <w:rPr>
                <w:rFonts w:hint="eastAsia" w:ascii="宋体" w:cs="宋体"/>
                <w:kern w:val="0"/>
                <w:szCs w:val="21"/>
              </w:rPr>
              <w:t>1</w:t>
            </w:r>
          </w:p>
        </w:tc>
        <w:tc>
          <w:tcPr>
            <w:tcW w:w="1084"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cs="宋体"/>
                <w:kern w:val="0"/>
                <w:szCs w:val="21"/>
              </w:rPr>
            </w:pPr>
            <w:r>
              <w:rPr>
                <w:rFonts w:hint="eastAsia" w:ascii="宋体" w:cs="宋体"/>
                <w:kern w:val="0"/>
                <w:szCs w:val="21"/>
              </w:rPr>
              <w:t>设计方案</w:t>
            </w: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left="2520" w:hanging="2520"/>
              <w:jc w:val="center"/>
              <w:rPr>
                <w:rFonts w:ascii="宋体" w:cs="宋体"/>
                <w:kern w:val="0"/>
                <w:szCs w:val="21"/>
              </w:rPr>
            </w:pPr>
            <w:r>
              <w:rPr>
                <w:rFonts w:hint="eastAsia" w:ascii="宋体" w:cs="宋体"/>
                <w:kern w:val="0"/>
                <w:szCs w:val="21"/>
              </w:rPr>
              <w:t>20分</w:t>
            </w:r>
          </w:p>
        </w:tc>
        <w:tc>
          <w:tcPr>
            <w:tcW w:w="7458" w:type="dxa"/>
            <w:tcBorders>
              <w:top w:val="single" w:color="auto" w:sz="4" w:space="0"/>
              <w:left w:val="single" w:color="auto" w:sz="4" w:space="0"/>
              <w:bottom w:val="single" w:color="auto" w:sz="4" w:space="0"/>
              <w:right w:val="single" w:color="auto" w:sz="4" w:space="0"/>
            </w:tcBorders>
            <w:noWrap/>
          </w:tcPr>
          <w:p>
            <w:pPr>
              <w:pStyle w:val="4"/>
              <w:widowControl/>
              <w:spacing w:line="360" w:lineRule="auto"/>
              <w:rPr>
                <w:rFonts w:ascii="宋体" w:hAnsi="Calibri" w:cs="宋体"/>
              </w:rPr>
            </w:pPr>
            <w:r>
              <w:rPr>
                <w:rFonts w:hint="eastAsia" w:ascii="宋体" w:hAnsi="Calibri" w:cs="宋体"/>
              </w:rPr>
              <w:t>提供</w:t>
            </w:r>
            <w:r>
              <w:rPr>
                <w:rFonts w:hint="eastAsia" w:ascii="宋体" w:hAnsi="Calibri" w:cs="宋体"/>
                <w:b/>
                <w:bCs/>
              </w:rPr>
              <w:t>效果图、吊顶布置图、墙地砖排版图，以及瓷砖、门、洁具、洗漱台、隔断、灯具、五金的选样</w:t>
            </w:r>
            <w:r>
              <w:rPr>
                <w:rFonts w:hint="eastAsia" w:ascii="宋体" w:hAnsi="Calibri" w:cs="宋体"/>
              </w:rPr>
              <w:t>，对整体效果等进行评价，一般、良、优，</w:t>
            </w:r>
            <w:r>
              <w:rPr>
                <w:rFonts w:hint="eastAsia" w:ascii="宋体" w:hAnsi="Times New Roman" w:cs="宋体"/>
                <w:kern w:val="0"/>
                <w:szCs w:val="21"/>
              </w:rPr>
              <w:t>分别酌情得0-10分,10-15分,15-20</w:t>
            </w:r>
            <w:r>
              <w:rPr>
                <w:rFonts w:hint="eastAsia" w:asci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2</w:t>
            </w:r>
          </w:p>
        </w:tc>
        <w:tc>
          <w:tcPr>
            <w:tcW w:w="1084"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cs="宋体"/>
              </w:rPr>
            </w:pPr>
            <w:r>
              <w:rPr>
                <w:rFonts w:hint="eastAsia" w:ascii="宋体" w:cs="宋体"/>
                <w:kern w:val="0"/>
                <w:szCs w:val="21"/>
              </w:rPr>
              <w:t>施工</w:t>
            </w:r>
          </w:p>
          <w:p>
            <w:pPr>
              <w:widowControl/>
              <w:spacing w:line="360" w:lineRule="auto"/>
              <w:rPr>
                <w:rFonts w:ascii="宋体" w:cs="宋体"/>
              </w:rPr>
            </w:pPr>
            <w:r>
              <w:rPr>
                <w:rFonts w:hint="eastAsia" w:ascii="宋体" w:cs="宋体"/>
                <w:kern w:val="0"/>
                <w:szCs w:val="21"/>
              </w:rPr>
              <w:t>组织设计（80分）</w:t>
            </w: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15分</w:t>
            </w:r>
          </w:p>
        </w:tc>
        <w:tc>
          <w:tcPr>
            <w:tcW w:w="7458" w:type="dxa"/>
            <w:tcBorders>
              <w:top w:val="single" w:color="auto" w:sz="4" w:space="0"/>
              <w:left w:val="single" w:color="auto" w:sz="4" w:space="0"/>
              <w:bottom w:val="single" w:color="auto" w:sz="4" w:space="0"/>
              <w:right w:val="single" w:color="auto" w:sz="4" w:space="0"/>
            </w:tcBorders>
            <w:noWrap/>
          </w:tcPr>
          <w:p>
            <w:pPr>
              <w:pStyle w:val="4"/>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对项目特点认知、项目管理机构组建、施工准备、施工总平面布置、施工组织等）等进行阐述，</w:t>
            </w:r>
            <w:r>
              <w:rPr>
                <w:rFonts w:hint="eastAsia" w:ascii="宋体" w:hAnsi="Calibri" w:cs="宋体"/>
              </w:rPr>
              <w:t>力求简洁。评委根据</w:t>
            </w:r>
            <w:r>
              <w:rPr>
                <w:rFonts w:hint="eastAsia" w:ascii="宋体" w:hAnsi="Calibri" w:cs="宋体"/>
                <w:b/>
                <w:bCs/>
              </w:rPr>
              <w:t>投标文件情况及项目经理现场答辩情况</w:t>
            </w:r>
            <w:r>
              <w:rPr>
                <w:rFonts w:hint="eastAsia" w:ascii="宋体" w:hAnsi="Calibri" w:cs="宋体"/>
              </w:rPr>
              <w:t>分为一般、良、优，</w:t>
            </w:r>
            <w:r>
              <w:rPr>
                <w:rFonts w:hint="eastAsia" w:ascii="宋体" w:hAnsi="Times New Roman" w:cs="宋体"/>
                <w:kern w:val="0"/>
                <w:szCs w:val="21"/>
              </w:rPr>
              <w:t>分别酌情得0-5分,5-10分,10-15</w:t>
            </w:r>
            <w:r>
              <w:rPr>
                <w:rFonts w:hint="eastAsia" w:ascii="宋体" w:cs="宋体"/>
              </w:rPr>
              <w:t>分，</w:t>
            </w:r>
            <w:r>
              <w:rPr>
                <w:rFonts w:hint="eastAsia" w:ascii="宋体" w:hAnsi="Calibri" w:cs="宋体"/>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9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15分</w:t>
            </w:r>
          </w:p>
        </w:tc>
        <w:tc>
          <w:tcPr>
            <w:tcW w:w="7458" w:type="dxa"/>
            <w:tcBorders>
              <w:top w:val="single" w:color="auto" w:sz="4" w:space="0"/>
              <w:left w:val="single" w:color="auto" w:sz="4" w:space="0"/>
              <w:bottom w:val="single" w:color="auto" w:sz="4" w:space="0"/>
              <w:right w:val="single" w:color="auto" w:sz="4" w:space="0"/>
            </w:tcBorders>
            <w:noWrap/>
          </w:tcPr>
          <w:p>
            <w:pPr>
              <w:widowControl/>
              <w:spacing w:line="360" w:lineRule="auto"/>
              <w:rPr>
                <w:rFonts w:ascii="宋体" w:cs="宋体"/>
              </w:rPr>
            </w:pPr>
            <w:r>
              <w:rPr>
                <w:rFonts w:hint="eastAsia" w:ascii="宋体" w:cs="宋体"/>
                <w:kern w:val="0"/>
                <w:szCs w:val="21"/>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-5分,5-10分,10-15</w:t>
            </w:r>
            <w:r>
              <w:rPr>
                <w:rFonts w:hint="eastAsia" w:ascii="宋体" w:cs="宋体"/>
              </w:rPr>
              <w:t>分</w:t>
            </w:r>
            <w:r>
              <w:rPr>
                <w:rFonts w:hint="eastAsia" w:ascii="宋体" w:cs="宋体"/>
                <w:kern w:val="0"/>
                <w:szCs w:val="21"/>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9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20分</w:t>
            </w:r>
          </w:p>
        </w:tc>
        <w:tc>
          <w:tcPr>
            <w:tcW w:w="7458" w:type="dxa"/>
            <w:tcBorders>
              <w:top w:val="single" w:color="auto" w:sz="4" w:space="0"/>
              <w:left w:val="single" w:color="auto" w:sz="4" w:space="0"/>
              <w:bottom w:val="single" w:color="auto" w:sz="4" w:space="0"/>
              <w:right w:val="single" w:color="auto" w:sz="4" w:space="0"/>
            </w:tcBorders>
            <w:noWrap/>
          </w:tcPr>
          <w:p>
            <w:pPr>
              <w:widowControl/>
              <w:spacing w:line="360" w:lineRule="auto"/>
              <w:rPr>
                <w:rFonts w:ascii="宋体" w:cs="宋体"/>
              </w:rPr>
            </w:pPr>
            <w:r>
              <w:rPr>
                <w:rFonts w:hint="eastAsia" w:ascii="宋体" w:cs="宋体"/>
                <w:kern w:val="0"/>
                <w:szCs w:val="21"/>
              </w:rPr>
              <w:t>关键施工技术、工艺及工程实施的重点、难点分析。要求提炼出招标项目的关键施工工艺、施工重难点、危险性较大的专项工程等。评委根据投标文件情况分为一般、良、优，别酌情得分别酌情得0-10分,10-15分,15-20</w:t>
            </w:r>
            <w:r>
              <w:rPr>
                <w:rFonts w:hint="eastAsia" w:ascii="宋体" w:cs="宋体"/>
              </w:rPr>
              <w:t>分</w:t>
            </w:r>
            <w:r>
              <w:rPr>
                <w:rFonts w:hint="eastAsia" w:ascii="宋体" w:cs="宋体"/>
                <w:kern w:val="0"/>
                <w:szCs w:val="21"/>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9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15分</w:t>
            </w:r>
          </w:p>
        </w:tc>
        <w:tc>
          <w:tcPr>
            <w:tcW w:w="7458" w:type="dxa"/>
            <w:tcBorders>
              <w:top w:val="single" w:color="auto" w:sz="4" w:space="0"/>
              <w:left w:val="single" w:color="auto" w:sz="4" w:space="0"/>
              <w:bottom w:val="single" w:color="auto" w:sz="4" w:space="0"/>
              <w:right w:val="single" w:color="auto" w:sz="4" w:space="0"/>
            </w:tcBorders>
            <w:noWrap/>
          </w:tcPr>
          <w:p>
            <w:pPr>
              <w:widowControl/>
              <w:spacing w:line="360" w:lineRule="auto"/>
              <w:rPr>
                <w:rFonts w:ascii="宋体" w:cs="宋体"/>
              </w:rPr>
            </w:pPr>
            <w:r>
              <w:rPr>
                <w:rFonts w:hint="eastAsia" w:ascii="宋体" w:cs="宋体"/>
                <w:kern w:val="0"/>
                <w:szCs w:val="21"/>
              </w:rPr>
              <w:t>质量保证措施。（要求针对性分析本工程容易出现的质量通病、质量控制重点和保证措施）评委根据投标文件情况分为一般、良、优，</w:t>
            </w:r>
            <w:r>
              <w:rPr>
                <w:rFonts w:hint="eastAsia" w:ascii="宋体" w:hAnsi="Calibri" w:cs="宋体"/>
              </w:rPr>
              <w:t>分别酌情得</w:t>
            </w:r>
            <w:r>
              <w:rPr>
                <w:rFonts w:hint="eastAsia" w:ascii="宋体" w:cs="宋体"/>
                <w:kern w:val="0"/>
                <w:szCs w:val="21"/>
              </w:rPr>
              <w:t>分别酌情得0-5分,5-10分,10-15</w:t>
            </w:r>
            <w:r>
              <w:rPr>
                <w:rFonts w:hint="eastAsia" w:ascii="宋体" w:cs="宋体"/>
              </w:rPr>
              <w:t>分</w:t>
            </w:r>
            <w:r>
              <w:rPr>
                <w:rFonts w:hint="eastAsia" w:ascii="宋体" w:cs="宋体"/>
                <w:kern w:val="0"/>
                <w:szCs w:val="21"/>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rPr>
            </w:pPr>
          </w:p>
        </w:tc>
        <w:tc>
          <w:tcPr>
            <w:tcW w:w="88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cs="宋体"/>
              </w:rPr>
            </w:pPr>
            <w:r>
              <w:rPr>
                <w:rFonts w:hint="eastAsia" w:ascii="宋体" w:cs="宋体"/>
                <w:kern w:val="0"/>
                <w:szCs w:val="21"/>
              </w:rPr>
              <w:t>15分</w:t>
            </w:r>
          </w:p>
        </w:tc>
        <w:tc>
          <w:tcPr>
            <w:tcW w:w="7458" w:type="dxa"/>
            <w:tcBorders>
              <w:top w:val="single" w:color="auto" w:sz="4" w:space="0"/>
              <w:left w:val="single" w:color="auto" w:sz="4" w:space="0"/>
              <w:bottom w:val="single" w:color="auto" w:sz="4" w:space="0"/>
              <w:right w:val="single" w:color="auto" w:sz="4" w:space="0"/>
            </w:tcBorders>
            <w:noWrap/>
          </w:tcPr>
          <w:p>
            <w:pPr>
              <w:widowControl/>
              <w:spacing w:line="360" w:lineRule="auto"/>
              <w:rPr>
                <w:rFonts w:ascii="宋体" w:cs="宋体"/>
              </w:rPr>
            </w:pPr>
            <w:r>
              <w:rPr>
                <w:rFonts w:hint="eastAsia" w:ascii="宋体" w:cs="宋体"/>
                <w:kern w:val="0"/>
                <w:szCs w:val="21"/>
              </w:rPr>
              <w:t>安全文明施工措施。（要求对安全生产、文明施工、环境保护及防尘施工措施，制定保证措施和承诺）。评委根据投标文件情况分为一般、良、优，</w:t>
            </w:r>
            <w:r>
              <w:rPr>
                <w:rFonts w:hint="eastAsia" w:ascii="宋体" w:hAnsi="Calibri" w:cs="宋体"/>
              </w:rPr>
              <w:t>分别酌情</w:t>
            </w:r>
            <w:r>
              <w:rPr>
                <w:rFonts w:hint="eastAsia" w:ascii="宋体" w:cs="宋体"/>
                <w:kern w:val="0"/>
                <w:szCs w:val="21"/>
              </w:rPr>
              <w:t>得0-5分,5-10分,10-15</w:t>
            </w:r>
            <w:r>
              <w:rPr>
                <w:rFonts w:hint="eastAsia" w:ascii="宋体" w:cs="宋体"/>
              </w:rPr>
              <w:t>分</w:t>
            </w:r>
            <w:r>
              <w:rPr>
                <w:rFonts w:hint="eastAsia" w:ascii="宋体" w:cs="宋体"/>
                <w:kern w:val="0"/>
                <w:szCs w:val="21"/>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noWrap/>
            <w:tcMar>
              <w:top w:w="0" w:type="dxa"/>
              <w:left w:w="91" w:type="dxa"/>
              <w:bottom w:w="0" w:type="dxa"/>
              <w:right w:w="108" w:type="dxa"/>
            </w:tcMar>
            <w:vAlign w:val="center"/>
          </w:tcPr>
          <w:p>
            <w:pPr>
              <w:widowControl/>
              <w:spacing w:line="360" w:lineRule="auto"/>
              <w:jc w:val="center"/>
              <w:rPr>
                <w:rFonts w:ascii="宋体" w:cs="宋体"/>
              </w:rPr>
            </w:pPr>
            <w:r>
              <w:rPr>
                <w:rFonts w:hint="eastAsia" w:ascii="宋体" w:cs="宋体"/>
                <w:kern w:val="0"/>
                <w:szCs w:val="21"/>
              </w:rPr>
              <w:t>3</w:t>
            </w:r>
          </w:p>
        </w:tc>
        <w:tc>
          <w:tcPr>
            <w:tcW w:w="1084" w:type="dxa"/>
            <w:tcBorders>
              <w:top w:val="single" w:color="auto" w:sz="2" w:space="0"/>
              <w:left w:val="single" w:color="auto" w:sz="2" w:space="0"/>
              <w:bottom w:val="single" w:color="auto" w:sz="2" w:space="0"/>
              <w:right w:val="single" w:color="auto" w:sz="2" w:space="0"/>
            </w:tcBorders>
            <w:noWrap/>
            <w:tcMar>
              <w:top w:w="0" w:type="dxa"/>
              <w:left w:w="91" w:type="dxa"/>
              <w:bottom w:w="0" w:type="dxa"/>
              <w:right w:w="108" w:type="dxa"/>
            </w:tcMar>
            <w:vAlign w:val="center"/>
          </w:tcPr>
          <w:p>
            <w:pPr>
              <w:widowControl/>
              <w:spacing w:line="360" w:lineRule="auto"/>
              <w:jc w:val="center"/>
              <w:rPr>
                <w:rFonts w:ascii="宋体" w:cs="宋体"/>
              </w:rPr>
            </w:pPr>
            <w:r>
              <w:rPr>
                <w:rFonts w:hint="eastAsia" w:ascii="宋体" w:cs="宋体"/>
                <w:kern w:val="0"/>
                <w:szCs w:val="21"/>
              </w:rPr>
              <w:t>合计</w:t>
            </w:r>
          </w:p>
        </w:tc>
        <w:tc>
          <w:tcPr>
            <w:tcW w:w="887" w:type="dxa"/>
            <w:tcBorders>
              <w:top w:val="single" w:color="auto" w:sz="2" w:space="0"/>
              <w:left w:val="single" w:color="auto" w:sz="2" w:space="0"/>
              <w:bottom w:val="single" w:color="auto" w:sz="2" w:space="0"/>
              <w:right w:val="single" w:color="auto" w:sz="2" w:space="0"/>
            </w:tcBorders>
            <w:noWrap/>
            <w:tcMar>
              <w:top w:w="0" w:type="dxa"/>
              <w:left w:w="91" w:type="dxa"/>
              <w:bottom w:w="0" w:type="dxa"/>
              <w:right w:w="108" w:type="dxa"/>
            </w:tcMar>
            <w:vAlign w:val="center"/>
          </w:tcPr>
          <w:p>
            <w:pPr>
              <w:widowControl/>
              <w:spacing w:line="360" w:lineRule="auto"/>
              <w:jc w:val="center"/>
              <w:rPr>
                <w:rFonts w:ascii="宋体" w:cs="宋体"/>
              </w:rPr>
            </w:pPr>
            <w:r>
              <w:rPr>
                <w:rFonts w:hint="eastAsia" w:ascii="宋体" w:cs="宋体"/>
                <w:kern w:val="0"/>
                <w:szCs w:val="21"/>
              </w:rPr>
              <w:t>100分</w:t>
            </w:r>
          </w:p>
        </w:tc>
        <w:tc>
          <w:tcPr>
            <w:tcW w:w="7458" w:type="dxa"/>
            <w:tcBorders>
              <w:top w:val="single" w:color="auto" w:sz="2" w:space="0"/>
              <w:left w:val="single" w:color="auto" w:sz="2" w:space="0"/>
              <w:bottom w:val="single" w:color="auto" w:sz="2" w:space="0"/>
              <w:right w:val="single" w:color="auto" w:sz="2" w:space="0"/>
            </w:tcBorders>
            <w:noWrap/>
            <w:tcMar>
              <w:top w:w="0" w:type="dxa"/>
              <w:left w:w="91" w:type="dxa"/>
              <w:bottom w:w="0" w:type="dxa"/>
              <w:right w:w="108" w:type="dxa"/>
            </w:tcMar>
            <w:vAlign w:val="center"/>
          </w:tcPr>
          <w:p>
            <w:pPr>
              <w:widowControl/>
              <w:spacing w:line="360" w:lineRule="auto"/>
              <w:rPr>
                <w:rFonts w:ascii="宋体" w:cs="宋体"/>
              </w:rPr>
            </w:pPr>
            <w:r>
              <w:rPr>
                <w:rFonts w:hint="eastAsia" w:ascii="宋体" w:cs="宋体"/>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noWrap/>
            <w:tcMar>
              <w:top w:w="0" w:type="dxa"/>
              <w:left w:w="91" w:type="dxa"/>
              <w:bottom w:w="0" w:type="dxa"/>
              <w:right w:w="108" w:type="dxa"/>
            </w:tcMar>
            <w:vAlign w:val="center"/>
          </w:tcPr>
          <w:p>
            <w:pPr>
              <w:widowControl/>
              <w:spacing w:line="360" w:lineRule="auto"/>
              <w:rPr>
                <w:rFonts w:ascii="宋体" w:cs="宋体"/>
                <w:b/>
                <w:kern w:val="0"/>
                <w:szCs w:val="21"/>
              </w:rPr>
            </w:pPr>
            <w:r>
              <w:rPr>
                <w:rFonts w:hint="eastAsia" w:ascii="宋体" w:cs="宋体"/>
                <w:b/>
                <w:kern w:val="0"/>
                <w:szCs w:val="21"/>
              </w:rPr>
              <w:t>1、投标人技术标的最终得分为所有评委打分汇总后的算术平均值。</w:t>
            </w:r>
          </w:p>
          <w:p>
            <w:pPr>
              <w:widowControl/>
              <w:spacing w:line="360" w:lineRule="auto"/>
            </w:pPr>
            <w:r>
              <w:rPr>
                <w:rFonts w:hint="eastAsia" w:ascii="宋体" w:cs="宋体"/>
                <w:b/>
                <w:kern w:val="0"/>
                <w:szCs w:val="21"/>
              </w:rPr>
              <w:t>2、技术标根据评分办法进行打分，技术标评标小组推荐至少3家技术得分70分以上的投标人进入商务标。技术入围投标人不足三家时，本次按废标处理，招标人有权根据招标采购管理流程重新组织招标。</w:t>
            </w:r>
          </w:p>
        </w:tc>
      </w:tr>
    </w:tbl>
    <w:p>
      <w:pPr>
        <w:pStyle w:val="20"/>
        <w:spacing w:before="0" w:after="0"/>
        <w:rPr>
          <w:rStyle w:val="19"/>
        </w:rPr>
      </w:pPr>
    </w:p>
    <w:p>
      <w:pPr>
        <w:spacing w:line="360" w:lineRule="auto"/>
        <w:ind w:firstLine="567" w:firstLineChars="236"/>
        <w:rPr>
          <w:rFonts w:ascii="宋体" w:cs="宋体"/>
          <w:b/>
          <w:bCs/>
          <w:sz w:val="24"/>
          <w:lang w:bidi="ar"/>
        </w:rPr>
      </w:pPr>
    </w:p>
    <w:p>
      <w:pPr>
        <w:pStyle w:val="20"/>
        <w:spacing w:before="0" w:after="0"/>
        <w:jc w:val="center"/>
        <w:rPr>
          <w:rStyle w:val="19"/>
          <w:rFonts w:ascii="宋体" w:hAnsi="宋体"/>
          <w:sz w:val="24"/>
        </w:rPr>
      </w:pPr>
      <w:bookmarkStart w:id="45" w:name="_Toc3914"/>
      <w:bookmarkStart w:id="46" w:name="_Toc17817335"/>
      <w:r>
        <w:rPr>
          <w:rStyle w:val="19"/>
          <w:rFonts w:ascii="宋体" w:hAnsi="宋体"/>
          <w:sz w:val="24"/>
        </w:rPr>
        <w:t>商务标评分细则</w:t>
      </w:r>
    </w:p>
    <w:tbl>
      <w:tblPr>
        <w:tblStyle w:val="13"/>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sz w:val="20"/>
                <w:szCs w:val="22"/>
              </w:rPr>
            </w:pPr>
            <w:r>
              <w:rPr>
                <w:rFonts w:hint="eastAsia" w:ascii="宋体" w:hAnsi="宋体" w:cs="宋体"/>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19"/>
                <w:rFonts w:ascii="宋体" w:hAnsi="宋体"/>
                <w:bCs/>
              </w:rPr>
            </w:pPr>
            <w:r>
              <w:rPr>
                <w:rStyle w:val="19"/>
                <w:rFonts w:hint="eastAsia" w:ascii="宋体" w:hAnsi="宋体"/>
                <w:bCs/>
              </w:rPr>
              <w:t>/</w:t>
            </w:r>
          </w:p>
        </w:tc>
        <w:tc>
          <w:tcPr>
            <w:tcW w:w="676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在开标价的基础上进行至少3轮商务谈判并实行淘汰制，</w:t>
            </w:r>
            <w:r>
              <w:rPr>
                <w:rFonts w:hint="eastAsia" w:ascii="宋体" w:cs="宋体"/>
                <w:bCs/>
                <w:kern w:val="0"/>
                <w:szCs w:val="21"/>
                <w:lang w:bidi="ar"/>
              </w:rPr>
              <w:t>根据最终有效报价的由低到高进行排序，报价最低者排名第一，报价次低者排名第二，以此类推，报价最高者排名最后。</w:t>
            </w:r>
            <w:r>
              <w:rPr>
                <w:rFonts w:hint="eastAsia" w:ascii="宋体" w:hAnsi="宋体" w:cs="宋体"/>
                <w:bCs/>
                <w:szCs w:val="21"/>
                <w:lang w:bidi="ar"/>
              </w:rPr>
              <w:t>最终排名第一的推荐为拟中标人，但是报价明显低于成本的除外。</w:t>
            </w:r>
          </w:p>
          <w:p>
            <w:pPr>
              <w:spacing w:line="360" w:lineRule="auto"/>
              <w:ind w:firstLine="420" w:firstLineChars="200"/>
              <w:jc w:val="left"/>
              <w:rPr>
                <w:rFonts w:ascii="宋体" w:hAnsi="宋体" w:cs="宋体"/>
                <w:b/>
                <w:szCs w:val="21"/>
                <w:highlight w:val="none"/>
              </w:rPr>
            </w:pPr>
            <w:r>
              <w:rPr>
                <w:rFonts w:hint="eastAsia" w:ascii="宋体" w:hAnsi="宋体" w:cs="宋体"/>
                <w:b/>
                <w:szCs w:val="21"/>
                <w:highlight w:val="none"/>
              </w:rPr>
              <w:t>不允许采用不平衡报价。</w:t>
            </w:r>
          </w:p>
          <w:p>
            <w:pPr>
              <w:spacing w:line="360" w:lineRule="auto"/>
              <w:ind w:firstLine="420" w:firstLineChars="200"/>
              <w:jc w:val="left"/>
              <w:rPr>
                <w:rFonts w:ascii="宋体" w:cs="宋体"/>
                <w:b/>
                <w:kern w:val="0"/>
                <w:szCs w:val="21"/>
                <w:highlight w:val="none"/>
                <w:lang w:bidi="ar"/>
              </w:rPr>
            </w:pPr>
            <w:r>
              <w:rPr>
                <w:rFonts w:hint="eastAsia" w:ascii="宋体" w:cs="宋体"/>
                <w:b/>
                <w:kern w:val="0"/>
                <w:szCs w:val="21"/>
                <w:highlight w:val="none"/>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pPr>
              <w:spacing w:line="360" w:lineRule="auto"/>
              <w:ind w:firstLine="420" w:firstLineChars="200"/>
              <w:jc w:val="left"/>
            </w:pPr>
            <w:r>
              <w:rPr>
                <w:rFonts w:hint="eastAsia" w:ascii="宋体" w:cs="宋体"/>
                <w:b/>
                <w:kern w:val="0"/>
                <w:szCs w:val="21"/>
                <w:highlight w:val="none"/>
                <w:lang w:bidi="ar"/>
              </w:rPr>
              <w:t>招标人对下浮后的工程量清单价格进一步价格审核，如发现不平衡报价，招标人有权对其高报价部分予以调低，同时降低拟中标总价。</w:t>
            </w:r>
          </w:p>
        </w:tc>
      </w:tr>
    </w:tbl>
    <w:p>
      <w:pPr>
        <w:pStyle w:val="5"/>
        <w:rPr>
          <w:lang w:bidi="en-US"/>
        </w:rPr>
      </w:pPr>
    </w:p>
    <w:p>
      <w:pPr>
        <w:pStyle w:val="3"/>
        <w:spacing w:before="0" w:after="0"/>
        <w:jc w:val="center"/>
        <w:rPr>
          <w:sz w:val="30"/>
          <w:szCs w:val="30"/>
        </w:rPr>
      </w:pPr>
      <w:bookmarkStart w:id="47" w:name="_Toc205452051"/>
      <w:bookmarkStart w:id="48" w:name="_Toc29153"/>
      <w:bookmarkStart w:id="49" w:name="_Toc32749"/>
      <w:r>
        <w:rPr>
          <w:sz w:val="30"/>
          <w:szCs w:val="30"/>
        </w:rPr>
        <w:t>二、评标办法</w:t>
      </w:r>
      <w:bookmarkEnd w:id="45"/>
      <w:bookmarkEnd w:id="46"/>
      <w:bookmarkEnd w:id="47"/>
      <w:bookmarkEnd w:id="48"/>
      <w:bookmarkEnd w:id="49"/>
    </w:p>
    <w:p>
      <w:pPr>
        <w:pStyle w:val="20"/>
        <w:spacing w:before="0" w:after="0"/>
        <w:rPr>
          <w:rStyle w:val="19"/>
          <w:rFonts w:ascii="宋体" w:hAnsi="宋体"/>
          <w:sz w:val="24"/>
          <w:highlight w:val="none"/>
        </w:rPr>
      </w:pPr>
      <w:r>
        <w:rPr>
          <w:rStyle w:val="19"/>
          <w:rFonts w:ascii="宋体" w:hAnsi="宋体"/>
          <w:sz w:val="24"/>
          <w:highlight w:val="none"/>
        </w:rPr>
        <w:t>1. 评标方法</w:t>
      </w:r>
    </w:p>
    <w:p>
      <w:pPr>
        <w:spacing w:line="360" w:lineRule="auto"/>
        <w:rPr>
          <w:rStyle w:val="19"/>
          <w:rFonts w:ascii="宋体" w:hAnsi="宋体"/>
          <w:b/>
          <w:highlight w:val="none"/>
        </w:rPr>
      </w:pPr>
      <w:r>
        <w:rPr>
          <w:rStyle w:val="19"/>
          <w:rFonts w:ascii="宋体" w:hAnsi="宋体"/>
          <w:b/>
          <w:highlight w:val="none"/>
        </w:rPr>
        <w:t>1.1评标方法</w:t>
      </w:r>
    </w:p>
    <w:p>
      <w:pPr>
        <w:spacing w:line="360" w:lineRule="auto"/>
        <w:rPr>
          <w:rStyle w:val="19"/>
          <w:rFonts w:ascii="宋体" w:hAnsi="宋体"/>
          <w:b/>
          <w:highlight w:val="none"/>
        </w:rPr>
      </w:pPr>
      <w:r>
        <w:rPr>
          <w:rStyle w:val="19"/>
          <w:rFonts w:ascii="宋体" w:hAnsi="宋体"/>
          <w:b/>
          <w:highlight w:val="none"/>
        </w:rPr>
        <w:t>1.2评分及排序</w:t>
      </w:r>
    </w:p>
    <w:p>
      <w:pPr>
        <w:spacing w:line="360" w:lineRule="auto"/>
        <w:ind w:firstLine="420" w:firstLineChars="200"/>
        <w:rPr>
          <w:rStyle w:val="19"/>
          <w:rFonts w:ascii="宋体" w:hAnsi="宋体"/>
          <w:b/>
          <w:bCs/>
        </w:rPr>
      </w:pPr>
      <w:r>
        <w:rPr>
          <w:rStyle w:val="19"/>
          <w:rFonts w:hint="eastAsia" w:ascii="宋体" w:hAnsi="宋体"/>
          <w:b/>
          <w:bCs/>
        </w:rPr>
        <w:t>技术标和商务标同时开标、分阶段评标的模式。</w:t>
      </w:r>
    </w:p>
    <w:p>
      <w:pPr>
        <w:spacing w:line="360" w:lineRule="auto"/>
        <w:ind w:firstLine="420" w:firstLineChars="200"/>
        <w:rPr>
          <w:rStyle w:val="19"/>
          <w:b/>
          <w:bCs/>
        </w:rPr>
      </w:pPr>
      <w:r>
        <w:rPr>
          <w:rStyle w:val="19"/>
          <w:rFonts w:hint="eastAsia"/>
          <w:b/>
          <w:bCs/>
        </w:rPr>
        <w:t>首先进行技术标评审，由评标专家组对所有投标方的技术标部分综合评定和打分，确定进入商务标评比资格的投标方（技术标评分不带入商务标）。</w:t>
      </w:r>
    </w:p>
    <w:p>
      <w:pPr>
        <w:spacing w:line="360" w:lineRule="auto"/>
        <w:ind w:firstLine="420" w:firstLineChars="200"/>
        <w:rPr>
          <w:rStyle w:val="19"/>
          <w:rFonts w:hAnsi="宋体"/>
          <w:b/>
          <w:bCs/>
        </w:rPr>
      </w:pPr>
      <w:r>
        <w:rPr>
          <w:rStyle w:val="19"/>
          <w:rFonts w:hint="eastAsia"/>
          <w:b/>
          <w:bCs/>
        </w:rPr>
        <w:t>然后进行商务标的评标，</w:t>
      </w:r>
      <w:r>
        <w:rPr>
          <w:rStyle w:val="19"/>
          <w:rFonts w:hint="eastAsia" w:hAnsi="宋体"/>
          <w:b/>
          <w:bCs/>
        </w:rPr>
        <w:t>招标人有权根据项目情况，商务标采取多轮（至少</w:t>
      </w:r>
      <w:r>
        <w:rPr>
          <w:rStyle w:val="19"/>
          <w:rFonts w:hAnsi="宋体"/>
          <w:b/>
          <w:bCs/>
        </w:rPr>
        <w:t>3</w:t>
      </w:r>
      <w:r>
        <w:rPr>
          <w:rStyle w:val="19"/>
          <w:rFonts w:hint="eastAsia" w:hAnsi="宋体"/>
          <w:b/>
          <w:bCs/>
        </w:rPr>
        <w:t>轮）评标模式，最终根据商务标的得分确定各投标人排序，原则上按照评标合理最低价确定推荐中标人（不保证最低价格中标），对未中标单位不做任何解释。</w:t>
      </w:r>
    </w:p>
    <w:p>
      <w:pPr>
        <w:spacing w:line="360" w:lineRule="auto"/>
        <w:rPr>
          <w:b/>
          <w:bCs/>
        </w:rPr>
      </w:pPr>
      <w:r>
        <w:rPr>
          <w:rStyle w:val="19"/>
          <w:rFonts w:hint="eastAsia" w:ascii="宋体" w:hAnsi="宋体"/>
          <w:b/>
          <w:bCs/>
          <w:szCs w:val="22"/>
        </w:rPr>
        <w:t>1.3招标人有权根据项目情况，采取多轮报价模式。</w:t>
      </w:r>
      <w:r>
        <w:rPr>
          <w:rStyle w:val="19"/>
          <w:rFonts w:hint="eastAsia" w:hAnsi="宋体"/>
          <w:b/>
          <w:bCs/>
          <w:szCs w:val="22"/>
          <w:highlight w:val="none"/>
        </w:rPr>
        <w:t>除开标唱标为公开报价方式外，后续多轮澄清报价均为非公开的方式，投标人在重汽</w:t>
      </w:r>
      <w:r>
        <w:rPr>
          <w:rStyle w:val="19"/>
          <w:rFonts w:hAnsi="宋体"/>
          <w:b/>
          <w:bCs/>
          <w:szCs w:val="22"/>
          <w:highlight w:val="none"/>
        </w:rPr>
        <w:t>e</w:t>
      </w:r>
      <w:r>
        <w:rPr>
          <w:rStyle w:val="19"/>
          <w:rFonts w:hint="eastAsia" w:hAnsi="宋体"/>
          <w:b/>
          <w:bCs/>
          <w:szCs w:val="22"/>
          <w:highlight w:val="none"/>
        </w:rPr>
        <w:t>采通进行提报报价。</w:t>
      </w:r>
    </w:p>
    <w:p>
      <w:pPr>
        <w:pStyle w:val="20"/>
        <w:spacing w:before="0" w:after="0"/>
        <w:rPr>
          <w:rStyle w:val="19"/>
          <w:rFonts w:ascii="宋体" w:hAnsi="宋体"/>
          <w:sz w:val="24"/>
        </w:rPr>
      </w:pPr>
      <w:r>
        <w:rPr>
          <w:rStyle w:val="19"/>
          <w:rFonts w:ascii="宋体" w:hAnsi="宋体"/>
          <w:sz w:val="24"/>
        </w:rPr>
        <w:t>2. 评标程序</w:t>
      </w:r>
    </w:p>
    <w:p>
      <w:pPr>
        <w:spacing w:line="360" w:lineRule="auto"/>
        <w:rPr>
          <w:rStyle w:val="19"/>
          <w:rFonts w:ascii="宋体" w:hAnsi="宋体"/>
          <w:b/>
        </w:rPr>
      </w:pPr>
      <w:r>
        <w:rPr>
          <w:rStyle w:val="19"/>
          <w:rFonts w:ascii="宋体" w:hAnsi="宋体"/>
          <w:b/>
        </w:rPr>
        <w:t>2.1 初步评审</w:t>
      </w:r>
    </w:p>
    <w:p>
      <w:pPr>
        <w:spacing w:line="360" w:lineRule="auto"/>
        <w:rPr>
          <w:rStyle w:val="19"/>
          <w:rFonts w:ascii="宋体" w:hAnsi="宋体"/>
        </w:rPr>
      </w:pPr>
      <w:r>
        <w:rPr>
          <w:rStyle w:val="19"/>
          <w:rFonts w:ascii="宋体" w:hAnsi="宋体"/>
        </w:rPr>
        <w:t>2.1.1 评标委员会可以要求投标人提交资格审查文件规定的有关证明和证件的原件，以便核验。评标委员会对投标文件进行初步评审。有一项不符合</w:t>
      </w:r>
      <w:r>
        <w:rPr>
          <w:rStyle w:val="19"/>
          <w:rFonts w:hint="eastAsia" w:ascii="宋体" w:hAnsi="宋体"/>
        </w:rPr>
        <w:t>资格要求</w:t>
      </w:r>
      <w:r>
        <w:rPr>
          <w:rStyle w:val="19"/>
          <w:rFonts w:ascii="宋体" w:hAnsi="宋体"/>
        </w:rPr>
        <w:t>的，作</w:t>
      </w:r>
      <w:r>
        <w:rPr>
          <w:rStyle w:val="19"/>
          <w:rFonts w:hint="eastAsia" w:ascii="宋体" w:hAnsi="宋体"/>
        </w:rPr>
        <w:t>无效标</w:t>
      </w:r>
      <w:r>
        <w:rPr>
          <w:rStyle w:val="19"/>
          <w:rFonts w:ascii="宋体" w:hAnsi="宋体"/>
        </w:rPr>
        <w:t>处理。</w:t>
      </w:r>
    </w:p>
    <w:p>
      <w:pPr>
        <w:spacing w:line="360" w:lineRule="auto"/>
        <w:rPr>
          <w:rStyle w:val="19"/>
          <w:rFonts w:ascii="宋体" w:hAnsi="宋体"/>
          <w:b/>
        </w:rPr>
      </w:pPr>
      <w:r>
        <w:rPr>
          <w:rStyle w:val="19"/>
          <w:rFonts w:ascii="宋体" w:hAnsi="宋体"/>
        </w:rPr>
        <w:t>2.1.2 投标人有以下情形之一的，其投标作废标处理：</w:t>
      </w:r>
      <w:r>
        <w:rPr>
          <w:rStyle w:val="19"/>
          <w:rFonts w:ascii="宋体" w:hAnsi="宋体" w:eastAsiaTheme="minorEastAsia" w:cstheme="minorBidi"/>
          <w:b/>
        </w:rPr>
        <w:t>详</w:t>
      </w:r>
      <w:r>
        <w:rPr>
          <w:rStyle w:val="19"/>
          <w:rFonts w:hint="eastAsia" w:ascii="宋体" w:hAnsi="宋体" w:eastAsiaTheme="minorEastAsia" w:cstheme="minorBidi"/>
          <w:b/>
          <w:lang w:val="en-US" w:eastAsia="zh-CN"/>
        </w:rPr>
        <w:t>见</w:t>
      </w:r>
      <w:r>
        <w:rPr>
          <w:rStyle w:val="19"/>
          <w:rFonts w:ascii="宋体" w:hAnsi="宋体" w:eastAsiaTheme="minorEastAsia" w:cstheme="minorBidi"/>
          <w:b/>
        </w:rPr>
        <w:t>：</w:t>
      </w:r>
      <w:r>
        <w:rPr>
          <w:rStyle w:val="19"/>
          <w:rFonts w:ascii="宋体" w:hAnsi="宋体"/>
          <w:b/>
        </w:rPr>
        <w:t>废标条件</w:t>
      </w:r>
    </w:p>
    <w:p>
      <w:pPr>
        <w:spacing w:line="360" w:lineRule="auto"/>
        <w:rPr>
          <w:rStyle w:val="19"/>
          <w:rFonts w:ascii="宋体" w:hAnsi="宋体"/>
        </w:rPr>
      </w:pPr>
      <w:r>
        <w:rPr>
          <w:rStyle w:val="19"/>
          <w:rFonts w:ascii="宋体" w:hAnsi="宋体"/>
        </w:rPr>
        <w:t>2.1.3投标报价有算术错误的，评标委员会按以下原则对投标报价进行修正，修正的价格经投标人书面确认后具有约束力。投标人不接受修正价格的，其投标作</w:t>
      </w:r>
      <w:r>
        <w:rPr>
          <w:rStyle w:val="19"/>
          <w:rFonts w:hint="eastAsia" w:ascii="宋体" w:hAnsi="宋体"/>
        </w:rPr>
        <w:t>无效</w:t>
      </w:r>
      <w:r>
        <w:rPr>
          <w:rStyle w:val="19"/>
          <w:rFonts w:ascii="宋体" w:hAnsi="宋体"/>
        </w:rPr>
        <w:t>标处理。</w:t>
      </w:r>
    </w:p>
    <w:p>
      <w:pPr>
        <w:spacing w:line="360" w:lineRule="auto"/>
        <w:rPr>
          <w:rStyle w:val="19"/>
          <w:rFonts w:ascii="宋体" w:hAnsi="宋体"/>
        </w:rPr>
      </w:pPr>
      <w:r>
        <w:rPr>
          <w:rStyle w:val="19"/>
          <w:rFonts w:ascii="宋体" w:hAnsi="宋体"/>
        </w:rPr>
        <w:t>（1）投标文件中的大写金额与小写金额不一致的，以大写金额为准；</w:t>
      </w:r>
    </w:p>
    <w:p>
      <w:pPr>
        <w:spacing w:line="360" w:lineRule="auto"/>
        <w:rPr>
          <w:rStyle w:val="19"/>
          <w:rFonts w:ascii="宋体" w:hAnsi="宋体"/>
        </w:rPr>
      </w:pPr>
      <w:r>
        <w:rPr>
          <w:rStyle w:val="19"/>
          <w:rFonts w:ascii="宋体" w:hAnsi="宋体"/>
        </w:rPr>
        <w:t>（2）总价金额与依据单价计算出的结果不一致的，以</w:t>
      </w:r>
      <w:r>
        <w:rPr>
          <w:rStyle w:val="19"/>
          <w:rFonts w:hint="eastAsia" w:ascii="宋体" w:hAnsi="宋体"/>
        </w:rPr>
        <w:t>总</w:t>
      </w:r>
      <w:r>
        <w:rPr>
          <w:rStyle w:val="19"/>
          <w:rFonts w:ascii="宋体" w:hAnsi="宋体"/>
        </w:rPr>
        <w:t>价金额为准修正</w:t>
      </w:r>
      <w:r>
        <w:rPr>
          <w:rStyle w:val="19"/>
          <w:rFonts w:hint="eastAsia" w:ascii="宋体" w:hAnsi="宋体"/>
        </w:rPr>
        <w:t>单</w:t>
      </w:r>
      <w:r>
        <w:rPr>
          <w:rStyle w:val="19"/>
          <w:rFonts w:ascii="宋体" w:hAnsi="宋体"/>
        </w:rPr>
        <w:t>价。</w:t>
      </w:r>
    </w:p>
    <w:p>
      <w:pPr>
        <w:spacing w:line="360" w:lineRule="auto"/>
        <w:rPr>
          <w:rStyle w:val="19"/>
          <w:rFonts w:ascii="宋体" w:hAnsi="宋体"/>
        </w:rPr>
      </w:pPr>
      <w:r>
        <w:rPr>
          <w:rStyle w:val="19"/>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pPr>
        <w:spacing w:line="480" w:lineRule="exact"/>
        <w:rPr>
          <w:rStyle w:val="19"/>
          <w:rFonts w:ascii="宋体" w:hAnsi="宋体"/>
          <w:b/>
        </w:rPr>
      </w:pPr>
      <w:r>
        <w:rPr>
          <w:rStyle w:val="19"/>
          <w:rFonts w:ascii="宋体" w:hAnsi="宋体"/>
          <w:b/>
        </w:rPr>
        <w:t>2.1.4投标人有下列情形之一的视为无效投标：</w:t>
      </w:r>
    </w:p>
    <w:p>
      <w:pPr>
        <w:spacing w:line="480" w:lineRule="exact"/>
        <w:rPr>
          <w:rStyle w:val="19"/>
          <w:rFonts w:ascii="宋体" w:hAnsi="宋体"/>
        </w:rPr>
      </w:pPr>
      <w:r>
        <w:rPr>
          <w:rStyle w:val="19"/>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pPr>
        <w:spacing w:line="480" w:lineRule="exact"/>
        <w:rPr>
          <w:rStyle w:val="19"/>
          <w:rFonts w:ascii="宋体" w:hAnsi="宋体"/>
        </w:rPr>
      </w:pPr>
      <w:r>
        <w:rPr>
          <w:rStyle w:val="19"/>
          <w:rFonts w:ascii="宋体" w:hAnsi="宋体"/>
        </w:rPr>
        <w:t>（2）无单位盖章并无法定代表人或法定代表人授权的代理人签字或盖章的；</w:t>
      </w:r>
    </w:p>
    <w:p>
      <w:pPr>
        <w:spacing w:line="480" w:lineRule="exact"/>
        <w:rPr>
          <w:rStyle w:val="19"/>
          <w:rFonts w:ascii="宋体" w:hAnsi="宋体"/>
        </w:rPr>
      </w:pPr>
      <w:r>
        <w:rPr>
          <w:rStyle w:val="19"/>
          <w:rFonts w:ascii="宋体" w:hAnsi="宋体"/>
        </w:rPr>
        <w:t>（3）未按规定格式填写，内容不全或关键字迹模糊、无法辨认的；</w:t>
      </w:r>
    </w:p>
    <w:p>
      <w:pPr>
        <w:spacing w:line="480" w:lineRule="exact"/>
        <w:rPr>
          <w:rStyle w:val="19"/>
          <w:rFonts w:ascii="宋体" w:hAnsi="宋体"/>
        </w:rPr>
      </w:pPr>
      <w:r>
        <w:rPr>
          <w:rStyle w:val="19"/>
          <w:rFonts w:ascii="宋体" w:hAnsi="宋体"/>
        </w:rPr>
        <w:t>（4）投标人递交两份或多份内容不同的投标文件，或在一份投标文件中对同一招标项目抱有两个或多个报价，且未声明哪一个有效，按招标文件规定提交备选投标方案的除外；</w:t>
      </w:r>
    </w:p>
    <w:p>
      <w:pPr>
        <w:spacing w:line="480" w:lineRule="exact"/>
        <w:rPr>
          <w:rStyle w:val="19"/>
          <w:rFonts w:ascii="宋体" w:hAnsi="宋体"/>
        </w:rPr>
      </w:pPr>
      <w:r>
        <w:rPr>
          <w:rStyle w:val="19"/>
          <w:rFonts w:ascii="宋体" w:hAnsi="宋体"/>
        </w:rPr>
        <w:t>（5）投标人名称或组织结构与资格预审时不一致（资格预审的）；</w:t>
      </w:r>
    </w:p>
    <w:p>
      <w:pPr>
        <w:spacing w:line="480" w:lineRule="exact"/>
        <w:rPr>
          <w:rStyle w:val="19"/>
          <w:rFonts w:ascii="宋体" w:hAnsi="宋体"/>
        </w:rPr>
      </w:pPr>
      <w:r>
        <w:rPr>
          <w:rStyle w:val="19"/>
          <w:rFonts w:ascii="宋体" w:hAnsi="宋体"/>
        </w:rPr>
        <w:t>（6）投标人未按投标文件的要求提交投标保证金的；</w:t>
      </w:r>
    </w:p>
    <w:p>
      <w:pPr>
        <w:spacing w:line="480" w:lineRule="exact"/>
        <w:rPr>
          <w:rStyle w:val="19"/>
          <w:rFonts w:ascii="宋体" w:hAnsi="宋体"/>
        </w:rPr>
      </w:pPr>
      <w:r>
        <w:rPr>
          <w:rStyle w:val="19"/>
          <w:rFonts w:ascii="宋体" w:hAnsi="宋体"/>
        </w:rPr>
        <w:t>（7）联合体投标未附联合体各方共同投标协议的（允许联合体投标的）；</w:t>
      </w:r>
    </w:p>
    <w:p>
      <w:pPr>
        <w:spacing w:line="480" w:lineRule="exact"/>
        <w:rPr>
          <w:rStyle w:val="19"/>
          <w:rFonts w:ascii="宋体" w:hAnsi="宋体"/>
        </w:rPr>
      </w:pPr>
      <w:bookmarkStart w:id="50" w:name="_Toc16063905"/>
      <w:r>
        <w:rPr>
          <w:rStyle w:val="19"/>
          <w:rFonts w:ascii="宋体" w:hAnsi="宋体"/>
        </w:rPr>
        <w:t>（8）投标文件未按照招标文件的要求予以密封的；</w:t>
      </w:r>
      <w:bookmarkEnd w:id="50"/>
    </w:p>
    <w:p>
      <w:pPr>
        <w:spacing w:line="480" w:lineRule="exact"/>
        <w:rPr>
          <w:rStyle w:val="19"/>
          <w:rFonts w:ascii="宋体" w:hAnsi="宋体"/>
        </w:rPr>
      </w:pPr>
      <w:r>
        <w:rPr>
          <w:rStyle w:val="19"/>
          <w:rFonts w:ascii="宋体" w:hAnsi="宋体"/>
        </w:rPr>
        <w:t>（9）投标文件中的投标函未加盖投标人的企业及企业法定代表人印章的，或者企业法定代表人委托代理人没有合法、有效的委托书（原件）及委托代理人印章的；</w:t>
      </w:r>
    </w:p>
    <w:p>
      <w:pPr>
        <w:spacing w:line="480" w:lineRule="exact"/>
        <w:rPr>
          <w:rStyle w:val="19"/>
          <w:rFonts w:ascii="宋体" w:hAnsi="宋体"/>
        </w:rPr>
      </w:pPr>
      <w:r>
        <w:rPr>
          <w:rStyle w:val="19"/>
          <w:rFonts w:ascii="宋体" w:hAnsi="宋体"/>
        </w:rPr>
        <w:t>（10）资格审查未通过的</w:t>
      </w:r>
      <w:r>
        <w:rPr>
          <w:rStyle w:val="19"/>
          <w:rFonts w:hint="eastAsia" w:ascii="宋体" w:hAnsi="宋体"/>
        </w:rPr>
        <w:t>；</w:t>
      </w:r>
    </w:p>
    <w:p>
      <w:pPr>
        <w:spacing w:line="480" w:lineRule="exact"/>
        <w:rPr>
          <w:rStyle w:val="19"/>
          <w:rFonts w:ascii="宋体" w:hAnsi="宋体"/>
        </w:rPr>
      </w:pPr>
      <w:r>
        <w:rPr>
          <w:rStyle w:val="19"/>
          <w:rFonts w:hint="eastAsia" w:ascii="宋体" w:hAnsi="宋体"/>
        </w:rPr>
        <w:t>（11）未实质性响应招标文件内容的；</w:t>
      </w:r>
    </w:p>
    <w:p>
      <w:pPr>
        <w:spacing w:line="480" w:lineRule="exact"/>
        <w:rPr>
          <w:rStyle w:val="19"/>
          <w:rFonts w:ascii="宋体" w:hAnsi="宋体"/>
        </w:rPr>
      </w:pPr>
      <w:r>
        <w:rPr>
          <w:rStyle w:val="19"/>
          <w:rFonts w:hint="eastAsia" w:ascii="宋体" w:hAnsi="宋体"/>
        </w:rPr>
        <w:t>（12）投标单位负责人为同一人或存在管理关系的。</w:t>
      </w:r>
    </w:p>
    <w:p>
      <w:pPr>
        <w:spacing w:line="480" w:lineRule="exact"/>
        <w:rPr>
          <w:rStyle w:val="19"/>
          <w:rFonts w:ascii="宋体" w:hAnsi="宋体"/>
        </w:rPr>
      </w:pPr>
      <w:r>
        <w:rPr>
          <w:rStyle w:val="19"/>
          <w:rFonts w:hint="eastAsia" w:ascii="宋体" w:hAnsi="宋体"/>
        </w:rPr>
        <w:t>（13）投标人被举报、检举，并经招标方查实无误的。</w:t>
      </w:r>
    </w:p>
    <w:p>
      <w:pPr>
        <w:spacing w:line="360" w:lineRule="auto"/>
        <w:rPr>
          <w:rStyle w:val="19"/>
          <w:rFonts w:ascii="宋体" w:hAnsi="宋体"/>
          <w:b/>
        </w:rPr>
      </w:pPr>
      <w:r>
        <w:rPr>
          <w:rStyle w:val="19"/>
          <w:rFonts w:ascii="宋体" w:hAnsi="宋体"/>
          <w:b/>
        </w:rPr>
        <w:t>2.2 详细评审</w:t>
      </w:r>
    </w:p>
    <w:p>
      <w:pPr>
        <w:spacing w:line="360" w:lineRule="auto"/>
        <w:rPr>
          <w:rStyle w:val="19"/>
          <w:rFonts w:ascii="宋体" w:hAnsi="宋体"/>
          <w:color w:val="FF0000"/>
        </w:rPr>
      </w:pPr>
      <w:r>
        <w:rPr>
          <w:rStyle w:val="19"/>
          <w:rFonts w:ascii="宋体" w:hAnsi="宋体"/>
        </w:rPr>
        <w:t xml:space="preserve">2.2.1 </w:t>
      </w:r>
      <w:r>
        <w:rPr>
          <w:rStyle w:val="19"/>
          <w:rFonts w:hint="eastAsia" w:ascii="宋体" w:hAnsi="宋体"/>
        </w:rPr>
        <w:t>技术标：评标委员会按本章评分细则进行打分，并计算出平均得分；商务标：按照重汽e采通平台有效报价的由低到高进行排序，报价最低者排名第一，报价次低者排名第二，以此类推</w:t>
      </w:r>
      <w:r>
        <w:rPr>
          <w:rStyle w:val="19"/>
          <w:rFonts w:ascii="宋体" w:hAnsi="宋体"/>
        </w:rPr>
        <w:t>。</w:t>
      </w:r>
    </w:p>
    <w:p>
      <w:pPr>
        <w:spacing w:line="360" w:lineRule="auto"/>
        <w:rPr>
          <w:rStyle w:val="19"/>
          <w:rFonts w:ascii="宋体" w:hAnsi="宋体"/>
        </w:rPr>
      </w:pPr>
      <w:r>
        <w:rPr>
          <w:rStyle w:val="19"/>
          <w:rFonts w:ascii="宋体" w:hAnsi="宋体"/>
        </w:rPr>
        <w:t>2.2.2 评分分值计算保留小数点后两位，小数点后第三位“四舍五入”。</w:t>
      </w:r>
    </w:p>
    <w:p>
      <w:pPr>
        <w:spacing w:line="360" w:lineRule="auto"/>
        <w:rPr>
          <w:rStyle w:val="19"/>
          <w:rFonts w:ascii="宋体" w:hAnsi="宋体"/>
        </w:rPr>
      </w:pPr>
      <w:r>
        <w:rPr>
          <w:rStyle w:val="19"/>
          <w:rFonts w:ascii="宋体" w:hAnsi="宋体"/>
        </w:rPr>
        <w:t>2.2.3 投标人得分=评标委员会按照本章评分细则评审的得分。</w:t>
      </w:r>
    </w:p>
    <w:p>
      <w:pPr>
        <w:spacing w:line="360" w:lineRule="auto"/>
        <w:rPr>
          <w:rStyle w:val="19"/>
          <w:rFonts w:ascii="宋体" w:hAnsi="宋体"/>
        </w:rPr>
      </w:pPr>
      <w:r>
        <w:rPr>
          <w:rStyle w:val="19"/>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360" w:lineRule="auto"/>
        <w:rPr>
          <w:rStyle w:val="19"/>
          <w:rFonts w:ascii="宋体" w:hAnsi="宋体"/>
          <w:b/>
        </w:rPr>
      </w:pPr>
      <w:r>
        <w:rPr>
          <w:rStyle w:val="19"/>
          <w:rFonts w:ascii="宋体" w:hAnsi="宋体"/>
          <w:b/>
        </w:rPr>
        <w:t>2.3 投标文件的澄清和补正</w:t>
      </w:r>
    </w:p>
    <w:p>
      <w:pPr>
        <w:spacing w:line="360" w:lineRule="auto"/>
        <w:rPr>
          <w:rStyle w:val="19"/>
          <w:rFonts w:ascii="宋体" w:hAnsi="宋体"/>
        </w:rPr>
      </w:pPr>
      <w:r>
        <w:rPr>
          <w:rStyle w:val="19"/>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rPr>
          <w:rStyle w:val="19"/>
          <w:rFonts w:ascii="宋体" w:hAnsi="宋体"/>
        </w:rPr>
      </w:pPr>
      <w:r>
        <w:rPr>
          <w:rStyle w:val="19"/>
          <w:rFonts w:ascii="宋体" w:hAnsi="宋体"/>
        </w:rPr>
        <w:t>2.3.2 投标人的书面澄清、说明和补正属于投标文件的组成部分。</w:t>
      </w:r>
    </w:p>
    <w:p>
      <w:pPr>
        <w:spacing w:line="360" w:lineRule="auto"/>
        <w:rPr>
          <w:rStyle w:val="19"/>
          <w:rFonts w:ascii="宋体" w:hAnsi="宋体"/>
        </w:rPr>
      </w:pPr>
      <w:r>
        <w:rPr>
          <w:rStyle w:val="19"/>
          <w:rFonts w:ascii="宋体" w:hAnsi="宋体"/>
        </w:rPr>
        <w:t>2.3.3 评标委员会对投标人提交的澄清、说明或补正有疑问的，可以要求投标人进一步澄清、说明或补正，直至满足评标委员会的要求。</w:t>
      </w:r>
    </w:p>
    <w:p>
      <w:pPr>
        <w:spacing w:line="360" w:lineRule="auto"/>
        <w:rPr>
          <w:rStyle w:val="19"/>
          <w:rFonts w:ascii="宋体" w:hAnsi="宋体"/>
          <w:b/>
        </w:rPr>
      </w:pPr>
      <w:r>
        <w:rPr>
          <w:rStyle w:val="19"/>
          <w:rFonts w:ascii="宋体" w:hAnsi="宋体"/>
          <w:b/>
        </w:rPr>
        <w:t>2.4 评标结果</w:t>
      </w:r>
    </w:p>
    <w:p>
      <w:pPr>
        <w:spacing w:line="360" w:lineRule="auto"/>
        <w:rPr>
          <w:rFonts w:ascii="宋体" w:hAnsi="宋体"/>
        </w:rPr>
      </w:pPr>
      <w:r>
        <w:rPr>
          <w:rStyle w:val="19"/>
          <w:rFonts w:hint="eastAsia" w:ascii="宋体" w:hAnsi="宋体"/>
        </w:rPr>
        <w:t>2</w:t>
      </w:r>
      <w:r>
        <w:rPr>
          <w:rStyle w:val="19"/>
          <w:rFonts w:ascii="宋体" w:hAnsi="宋体"/>
        </w:rPr>
        <w:t>.4.1</w:t>
      </w:r>
      <w:r>
        <w:rPr>
          <w:rStyle w:val="19"/>
          <w:rFonts w:hint="eastAsia"/>
        </w:rPr>
        <w:t>评标委员会按照最终得分</w:t>
      </w:r>
      <w:r>
        <w:rPr>
          <w:rFonts w:hint="eastAsia" w:ascii="宋体" w:hAnsi="宋体"/>
          <w:szCs w:val="21"/>
        </w:rPr>
        <w:t>由高到低的次序排列</w:t>
      </w:r>
      <w:r>
        <w:rPr>
          <w:rFonts w:hint="eastAsia" w:ascii="宋体" w:hAnsi="宋体"/>
        </w:rPr>
        <w:t>。</w:t>
      </w:r>
    </w:p>
    <w:p>
      <w:pPr>
        <w:spacing w:line="360" w:lineRule="auto"/>
        <w:rPr>
          <w:rStyle w:val="19"/>
          <w:rFonts w:ascii="宋体" w:hAnsi="宋体"/>
        </w:rPr>
      </w:pPr>
      <w:r>
        <w:rPr>
          <w:rStyle w:val="19"/>
          <w:rFonts w:ascii="宋体" w:hAnsi="宋体"/>
        </w:rPr>
        <w:t>2.4.2 评标委员会完成评标后，应当向招标人提交书面评标报告。</w:t>
      </w:r>
    </w:p>
    <w:p>
      <w:pPr>
        <w:pStyle w:val="20"/>
        <w:spacing w:before="0" w:after="0"/>
        <w:rPr>
          <w:rStyle w:val="19"/>
          <w:rFonts w:ascii="宋体" w:hAnsi="宋体"/>
          <w:sz w:val="24"/>
        </w:rPr>
      </w:pPr>
    </w:p>
    <w:p>
      <w:pPr>
        <w:pStyle w:val="20"/>
        <w:spacing w:before="0" w:after="0"/>
        <w:rPr>
          <w:rStyle w:val="19"/>
          <w:rFonts w:ascii="宋体" w:hAnsi="宋体"/>
          <w:sz w:val="24"/>
        </w:rPr>
      </w:pPr>
      <w:r>
        <w:rPr>
          <w:rStyle w:val="19"/>
          <w:rFonts w:ascii="宋体" w:hAnsi="宋体"/>
          <w:sz w:val="24"/>
        </w:rPr>
        <w:t>附件：废标条件</w:t>
      </w:r>
    </w:p>
    <w:p>
      <w:pPr>
        <w:pStyle w:val="20"/>
        <w:spacing w:before="0" w:after="0"/>
        <w:rPr>
          <w:rStyle w:val="19"/>
          <w:rFonts w:ascii="宋体" w:hAnsi="宋体"/>
          <w:sz w:val="24"/>
        </w:rPr>
      </w:pPr>
      <w:bookmarkStart w:id="51" w:name="_Toc16063939"/>
      <w:r>
        <w:rPr>
          <w:rStyle w:val="19"/>
          <w:rFonts w:ascii="宋体" w:hAnsi="宋体"/>
          <w:sz w:val="24"/>
        </w:rPr>
        <w:t>0、总则</w:t>
      </w:r>
      <w:bookmarkEnd w:id="51"/>
    </w:p>
    <w:p>
      <w:pPr>
        <w:spacing w:line="360" w:lineRule="auto"/>
        <w:ind w:firstLine="420" w:firstLineChars="200"/>
        <w:rPr>
          <w:rStyle w:val="19"/>
          <w:rFonts w:ascii="宋体" w:hAnsi="宋体"/>
        </w:rPr>
      </w:pPr>
      <w:r>
        <w:rPr>
          <w:rStyle w:val="19"/>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pPr>
        <w:pStyle w:val="20"/>
        <w:spacing w:before="0" w:after="0"/>
        <w:rPr>
          <w:rStyle w:val="19"/>
          <w:rFonts w:ascii="宋体" w:hAnsi="宋体"/>
          <w:sz w:val="24"/>
        </w:rPr>
      </w:pPr>
      <w:bookmarkStart w:id="52" w:name="_Toc16063940"/>
      <w:r>
        <w:rPr>
          <w:rStyle w:val="19"/>
          <w:rFonts w:hint="eastAsia" w:ascii="宋体" w:hAnsi="宋体"/>
          <w:sz w:val="24"/>
          <w:lang w:val="en-US" w:eastAsia="zh-CN"/>
        </w:rPr>
        <w:t>1、</w:t>
      </w:r>
      <w:r>
        <w:rPr>
          <w:rStyle w:val="19"/>
          <w:rFonts w:ascii="宋体" w:hAnsi="宋体"/>
          <w:sz w:val="24"/>
        </w:rPr>
        <w:t xml:space="preserve"> 废标条件</w:t>
      </w:r>
      <w:bookmarkEnd w:id="52"/>
    </w:p>
    <w:p>
      <w:pPr>
        <w:spacing w:line="360" w:lineRule="auto"/>
        <w:rPr>
          <w:rStyle w:val="19"/>
          <w:rFonts w:ascii="宋体" w:hAnsi="宋体"/>
        </w:rPr>
      </w:pPr>
      <w:r>
        <w:rPr>
          <w:rStyle w:val="19"/>
          <w:rFonts w:ascii="宋体" w:hAnsi="宋体"/>
        </w:rPr>
        <w:t xml:space="preserve">    投标人或其投标文件有下列情形之一的，其投标作废标处理：</w:t>
      </w:r>
    </w:p>
    <w:p>
      <w:pPr>
        <w:spacing w:line="360" w:lineRule="auto"/>
        <w:ind w:firstLine="420" w:firstLineChars="200"/>
        <w:rPr>
          <w:rStyle w:val="19"/>
          <w:rFonts w:ascii="宋体" w:hAnsi="宋体"/>
        </w:rPr>
      </w:pPr>
      <w:r>
        <w:rPr>
          <w:rStyle w:val="19"/>
          <w:rFonts w:ascii="宋体" w:hAnsi="宋体"/>
        </w:rPr>
        <w:t>1.1有第二章“投标人须知”</w:t>
      </w:r>
      <w:r>
        <w:rPr>
          <w:rStyle w:val="15"/>
          <w:rFonts w:ascii="宋体" w:hAnsi="宋体"/>
          <w:color w:val="auto"/>
        </w:rPr>
        <w:t>第1.4.3</w:t>
      </w:r>
      <w:r>
        <w:rPr>
          <w:rStyle w:val="19"/>
          <w:rFonts w:ascii="宋体" w:hAnsi="宋体"/>
        </w:rPr>
        <w:t>项规定的任何一种情形的。</w:t>
      </w:r>
    </w:p>
    <w:p>
      <w:pPr>
        <w:spacing w:line="360" w:lineRule="auto"/>
        <w:ind w:firstLine="420" w:firstLineChars="200"/>
        <w:rPr>
          <w:rStyle w:val="19"/>
          <w:rFonts w:ascii="宋体" w:hAnsi="宋体"/>
          <w:shd w:val="clear" w:color="auto" w:fill="D9D9D9"/>
        </w:rPr>
      </w:pPr>
      <w:r>
        <w:rPr>
          <w:rStyle w:val="19"/>
          <w:rFonts w:ascii="宋体" w:hAnsi="宋体"/>
          <w:shd w:val="clear" w:color="auto" w:fill="D9D9D9"/>
        </w:rPr>
        <w:t>1.2 有串通投标或弄虚作假或其他违法行为的，详下：</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1.2.1投标人之间协商投标报价等投标文件的实质性内容；</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1.2.2投标人之间约定中标人；</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1.2.3投标人之间约定部分投标人放弃投标或者中标；</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1.2.4属于同一集团、协会、商会等组织成员的投标人按照该组织要求协同投标；</w:t>
      </w:r>
    </w:p>
    <w:p>
      <w:pPr>
        <w:spacing w:line="360" w:lineRule="auto"/>
        <w:ind w:left="216" w:leftChars="103" w:firstLine="621" w:firstLineChars="296"/>
        <w:rPr>
          <w:rStyle w:val="19"/>
          <w:rFonts w:ascii="宋体" w:hAnsi="宋体"/>
          <w:shd w:val="clear" w:color="auto" w:fill="D9D9D9"/>
        </w:rPr>
      </w:pPr>
      <w:bookmarkStart w:id="53" w:name="_Toc16063941"/>
      <w:r>
        <w:rPr>
          <w:rStyle w:val="19"/>
          <w:rFonts w:ascii="宋体" w:hAnsi="宋体"/>
          <w:shd w:val="clear" w:color="auto" w:fill="D9D9D9"/>
        </w:rPr>
        <w:t>1.2.5投标人之间为谋取中标或者排斥特定投标人而采取的其他联合行动；</w:t>
      </w:r>
      <w:bookmarkEnd w:id="53"/>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1.2.6不同投标人的投标文件由同一单位或者个人编制；</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1.2.7不同投标人委托同一单位或者个人办理投标事宜；</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1.2.8不同投标人的投标文件载明的项目管理成员为同一人；</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1.2.9 不同投标人聘请同一个人为其投标提供技术或者经济咨询服务的，但招标工程本身要求采用专有技术的除外；</w:t>
      </w:r>
    </w:p>
    <w:p>
      <w:pPr>
        <w:spacing w:line="360" w:lineRule="auto"/>
        <w:ind w:left="216" w:leftChars="103" w:firstLine="621" w:firstLineChars="296"/>
        <w:rPr>
          <w:rStyle w:val="19"/>
          <w:rFonts w:ascii="宋体" w:hAnsi="宋体"/>
          <w:shd w:val="clear" w:color="auto" w:fill="D9D9D9"/>
        </w:rPr>
      </w:pPr>
      <w:bookmarkStart w:id="54" w:name="_Toc16063942"/>
      <w:r>
        <w:rPr>
          <w:rStyle w:val="19"/>
          <w:rFonts w:ascii="宋体" w:hAnsi="宋体"/>
          <w:shd w:val="clear" w:color="auto" w:fill="D9D9D9"/>
        </w:rPr>
        <w:t>1.2.10不同投标人的投标文件异常一致或者投标报价呈规律性差异；</w:t>
      </w:r>
      <w:bookmarkEnd w:id="54"/>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1.2.11不同投标人的投标文件错漏之处一致的；</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1.2.12不同投标人的投标文件相互混装；</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1.2.13不同投标人的投标文件由同一台电脑编制或者同一台附属设备打印；</w:t>
      </w:r>
    </w:p>
    <w:p>
      <w:pPr>
        <w:spacing w:line="360" w:lineRule="auto"/>
        <w:ind w:left="216" w:leftChars="103" w:firstLine="621" w:firstLineChars="296"/>
        <w:rPr>
          <w:rStyle w:val="19"/>
          <w:rFonts w:ascii="宋体" w:hAnsi="宋体"/>
          <w:shd w:val="clear" w:color="auto" w:fill="D9D9D9"/>
        </w:rPr>
      </w:pPr>
      <w:bookmarkStart w:id="55" w:name="_Toc16063943"/>
      <w:r>
        <w:rPr>
          <w:rStyle w:val="19"/>
          <w:rFonts w:ascii="宋体" w:hAnsi="宋体"/>
          <w:shd w:val="clear" w:color="auto" w:fill="D9D9D9"/>
        </w:rPr>
        <w:t>1.2.14不同投标人的投标保证金从同一单位或者个人的账户转出；</w:t>
      </w:r>
      <w:bookmarkEnd w:id="55"/>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1.2.15不同投标人使用同一个人或者企业资金交纳投标保证金或者投标保函的反担保的；</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1.2.16使用伪造、变造的许可证件；</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1.2.17提供虚假的财务状况或者业绩；</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1.2.18提供虚假的项目负责人或者主要技术人员简历、劳动关系证明；</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1.2.19提供虚假的信用状况；</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1.2.20其他弄虚作假的行为；</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1.2.21招标人在开标前开启投标文件并将有关信息泄露给其他投标人;</w:t>
      </w:r>
    </w:p>
    <w:p>
      <w:pPr>
        <w:spacing w:line="360" w:lineRule="auto"/>
        <w:ind w:left="216" w:leftChars="103" w:firstLine="621" w:firstLineChars="296"/>
        <w:rPr>
          <w:rStyle w:val="19"/>
          <w:rFonts w:ascii="宋体" w:hAnsi="宋体"/>
          <w:shd w:val="clear" w:color="auto" w:fill="D9D9D9"/>
        </w:rPr>
      </w:pPr>
      <w:bookmarkStart w:id="56" w:name="_Toc16063944"/>
      <w:r>
        <w:rPr>
          <w:rStyle w:val="19"/>
          <w:rFonts w:ascii="宋体" w:hAnsi="宋体"/>
          <w:shd w:val="clear" w:color="auto" w:fill="D9D9D9"/>
        </w:rPr>
        <w:t>1.2.22招标人直接或者间接向投标人泄露标底、评标委员会成员等信息；</w:t>
      </w:r>
      <w:bookmarkEnd w:id="56"/>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1.2.23招标人明示或者暗示投标人压低或者抬高投标报价；</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1.2.24招标人授意投标人撤换、修改投标文件；</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1.2.25招标人明示或者暗示投标人为特定投标人中标提供方便；</w:t>
      </w:r>
    </w:p>
    <w:p>
      <w:pPr>
        <w:spacing w:line="360" w:lineRule="auto"/>
        <w:ind w:left="216" w:leftChars="103" w:firstLine="621" w:firstLineChars="296"/>
        <w:rPr>
          <w:rStyle w:val="19"/>
          <w:rFonts w:ascii="宋体" w:hAnsi="宋体"/>
          <w:shd w:val="clear" w:color="auto" w:fill="D9D9D9"/>
        </w:rPr>
      </w:pPr>
      <w:r>
        <w:rPr>
          <w:rStyle w:val="19"/>
          <w:rFonts w:ascii="宋体" w:hAnsi="宋体"/>
          <w:shd w:val="clear" w:color="auto" w:fill="D9D9D9"/>
        </w:rPr>
        <w:t>1.2.26招标人与投标人为谋求特定投标人中标而采取的其他串通行为；</w:t>
      </w:r>
    </w:p>
    <w:p>
      <w:pPr>
        <w:spacing w:line="360" w:lineRule="auto"/>
        <w:ind w:left="216" w:leftChars="103" w:firstLine="621" w:firstLineChars="296"/>
        <w:rPr>
          <w:rStyle w:val="19"/>
          <w:rFonts w:ascii="宋体" w:hAnsi="宋体"/>
          <w:shd w:val="clear" w:color="auto" w:fill="D9D9D9"/>
        </w:rPr>
      </w:pPr>
      <w:bookmarkStart w:id="57" w:name="_Toc16063945"/>
      <w:r>
        <w:rPr>
          <w:rStyle w:val="19"/>
          <w:rFonts w:ascii="宋体" w:hAnsi="宋体"/>
          <w:shd w:val="clear" w:color="auto" w:fill="D9D9D9"/>
        </w:rPr>
        <w:t>1.2.27评标委员会认定的其他串通投标情形；</w:t>
      </w:r>
      <w:bookmarkEnd w:id="57"/>
    </w:p>
    <w:p>
      <w:pPr>
        <w:spacing w:line="360" w:lineRule="auto"/>
        <w:ind w:firstLine="420" w:firstLineChars="200"/>
        <w:rPr>
          <w:rStyle w:val="19"/>
          <w:rFonts w:ascii="宋体" w:hAnsi="宋体"/>
        </w:rPr>
      </w:pPr>
      <w:r>
        <w:rPr>
          <w:rStyle w:val="19"/>
          <w:rFonts w:ascii="宋体" w:hAnsi="宋体"/>
        </w:rPr>
        <w:t>1.3不按评标委员会要求澄清、说明或补正的。</w:t>
      </w:r>
    </w:p>
    <w:p>
      <w:pPr>
        <w:spacing w:line="360" w:lineRule="auto"/>
        <w:ind w:firstLine="420" w:firstLineChars="200"/>
        <w:rPr>
          <w:rStyle w:val="19"/>
          <w:rFonts w:ascii="宋体" w:hAnsi="宋体"/>
          <w:b w:val="0"/>
          <w:bCs/>
        </w:rPr>
      </w:pPr>
      <w:r>
        <w:rPr>
          <w:rStyle w:val="19"/>
          <w:rFonts w:ascii="宋体" w:hAnsi="宋体"/>
          <w:b w:val="0"/>
          <w:bCs/>
        </w:rPr>
        <w:t>1.</w:t>
      </w:r>
      <w:r>
        <w:rPr>
          <w:rStyle w:val="19"/>
          <w:rFonts w:hint="eastAsia" w:ascii="宋体" w:hAnsi="宋体"/>
          <w:b w:val="0"/>
          <w:bCs/>
        </w:rPr>
        <w:t>4</w:t>
      </w:r>
      <w:r>
        <w:rPr>
          <w:rStyle w:val="19"/>
          <w:rFonts w:ascii="宋体" w:hAnsi="宋体"/>
          <w:b w:val="0"/>
          <w:bCs/>
        </w:rPr>
        <w:t>投标报价文件（投标函除外）未经有资格的工程造价专业人员签字并加盖执业专用章的。</w:t>
      </w:r>
    </w:p>
    <w:p>
      <w:pPr>
        <w:spacing w:line="360" w:lineRule="auto"/>
        <w:ind w:firstLine="420" w:firstLineChars="200"/>
        <w:rPr>
          <w:rStyle w:val="19"/>
          <w:rFonts w:ascii="宋体" w:hAnsi="宋体"/>
        </w:rPr>
      </w:pPr>
      <w:r>
        <w:rPr>
          <w:rStyle w:val="19"/>
          <w:rFonts w:ascii="宋体" w:hAnsi="宋体"/>
        </w:rPr>
        <w:t>1.</w:t>
      </w:r>
      <w:r>
        <w:rPr>
          <w:rStyle w:val="19"/>
          <w:rFonts w:hint="eastAsia" w:ascii="宋体" w:hAnsi="宋体"/>
        </w:rPr>
        <w:t>5</w:t>
      </w:r>
      <w:r>
        <w:rPr>
          <w:rStyle w:val="19"/>
          <w:rFonts w:ascii="宋体" w:hAnsi="宋体"/>
        </w:rPr>
        <w:t>在施工组织设计和项目管理机构评审中，评标委员会认定投标人的投标未能通过此项评审的。</w:t>
      </w:r>
    </w:p>
    <w:p>
      <w:pPr>
        <w:spacing w:line="360" w:lineRule="auto"/>
        <w:ind w:firstLine="420" w:firstLineChars="200"/>
        <w:rPr>
          <w:rStyle w:val="19"/>
          <w:rFonts w:ascii="宋体" w:hAnsi="宋体"/>
        </w:rPr>
      </w:pPr>
      <w:r>
        <w:rPr>
          <w:rStyle w:val="19"/>
          <w:rFonts w:ascii="宋体" w:hAnsi="宋体"/>
        </w:rPr>
        <w:t>1.</w:t>
      </w:r>
      <w:r>
        <w:rPr>
          <w:rStyle w:val="19"/>
          <w:rFonts w:hint="eastAsia" w:ascii="宋体" w:hAnsi="宋体"/>
        </w:rPr>
        <w:t>6</w:t>
      </w:r>
      <w:r>
        <w:rPr>
          <w:rStyle w:val="19"/>
          <w:rFonts w:ascii="宋体" w:hAnsi="宋体"/>
        </w:rPr>
        <w:t>评标委员会认定投标人以低于成本报价竞标的。</w:t>
      </w:r>
    </w:p>
    <w:p>
      <w:pPr>
        <w:spacing w:line="360" w:lineRule="auto"/>
        <w:ind w:firstLine="420" w:firstLineChars="200"/>
        <w:rPr>
          <w:rStyle w:val="19"/>
          <w:rFonts w:ascii="宋体" w:hAnsi="宋体"/>
        </w:rPr>
      </w:pPr>
      <w:r>
        <w:rPr>
          <w:rStyle w:val="19"/>
          <w:rFonts w:ascii="宋体" w:hAnsi="宋体"/>
        </w:rPr>
        <w:t>1.</w:t>
      </w:r>
      <w:r>
        <w:rPr>
          <w:rStyle w:val="19"/>
          <w:rFonts w:hint="eastAsia" w:ascii="宋体" w:hAnsi="宋体"/>
        </w:rPr>
        <w:t>7</w:t>
      </w:r>
      <w:r>
        <w:rPr>
          <w:rStyle w:val="19"/>
          <w:rFonts w:ascii="宋体" w:hAnsi="宋体"/>
        </w:rPr>
        <w:t xml:space="preserve">投标人未按第二章 </w:t>
      </w:r>
      <w:r>
        <w:rPr>
          <w:rStyle w:val="15"/>
          <w:rFonts w:ascii="宋体" w:hAnsi="宋体"/>
          <w:color w:val="auto"/>
        </w:rPr>
        <w:t>投标人须知前附表第11.5款</w:t>
      </w:r>
      <w:r>
        <w:rPr>
          <w:rStyle w:val="19"/>
          <w:rFonts w:ascii="宋体" w:hAnsi="宋体"/>
        </w:rPr>
        <w:t>规定出席开标会的。</w:t>
      </w:r>
    </w:p>
    <w:p>
      <w:pPr>
        <w:spacing w:line="360" w:lineRule="auto"/>
        <w:ind w:left="420" w:leftChars="200"/>
        <w:rPr>
          <w:rStyle w:val="19"/>
          <w:rFonts w:ascii="宋体" w:hAnsi="宋体"/>
          <w:szCs w:val="22"/>
        </w:rPr>
      </w:pPr>
      <w:r>
        <w:rPr>
          <w:rStyle w:val="19"/>
          <w:rFonts w:hint="eastAsia" w:ascii="宋体" w:hAnsi="宋体"/>
          <w:szCs w:val="22"/>
        </w:rPr>
        <w:t>1.8</w:t>
      </w:r>
      <w:r>
        <w:rPr>
          <w:rStyle w:val="19"/>
          <w:rFonts w:ascii="宋体" w:hAnsi="宋体"/>
          <w:szCs w:val="22"/>
        </w:rPr>
        <w:t>符合条件、或对招标文件做实质响应的供应商不足3家的</w:t>
      </w:r>
      <w:r>
        <w:rPr>
          <w:rStyle w:val="19"/>
          <w:rFonts w:hint="eastAsia" w:ascii="宋体" w:hAnsi="宋体"/>
          <w:szCs w:val="22"/>
        </w:rPr>
        <w:t>。</w:t>
      </w:r>
    </w:p>
    <w:p>
      <w:pPr>
        <w:spacing w:line="360" w:lineRule="auto"/>
        <w:ind w:left="420" w:leftChars="200"/>
        <w:rPr>
          <w:rStyle w:val="19"/>
          <w:rFonts w:ascii="宋体" w:hAnsi="宋体"/>
          <w:szCs w:val="22"/>
        </w:rPr>
      </w:pPr>
      <w:r>
        <w:rPr>
          <w:rStyle w:val="19"/>
          <w:rFonts w:hint="eastAsia" w:ascii="宋体" w:hAnsi="宋体"/>
          <w:szCs w:val="22"/>
        </w:rPr>
        <w:t>1.9</w:t>
      </w:r>
      <w:r>
        <w:rPr>
          <w:rStyle w:val="19"/>
          <w:rFonts w:ascii="宋体" w:hAnsi="宋体"/>
          <w:szCs w:val="22"/>
        </w:rPr>
        <w:t>出现影响采购公正的违法违规行为的、投标人报价均超过采购预算的、因重大变故、</w:t>
      </w:r>
    </w:p>
    <w:p>
      <w:pPr>
        <w:spacing w:line="360" w:lineRule="auto"/>
        <w:rPr>
          <w:rStyle w:val="19"/>
          <w:rFonts w:ascii="宋体" w:hAnsi="宋体"/>
        </w:rPr>
      </w:pPr>
      <w:r>
        <w:rPr>
          <w:rStyle w:val="19"/>
          <w:rFonts w:ascii="宋体" w:hAnsi="宋体"/>
          <w:szCs w:val="22"/>
        </w:rPr>
        <w:t>采购任务取消的等</w:t>
      </w:r>
      <w:r>
        <w:rPr>
          <w:rStyle w:val="19"/>
          <w:rFonts w:hint="eastAsia" w:ascii="宋体" w:hAnsi="宋体"/>
          <w:szCs w:val="22"/>
        </w:rPr>
        <w:t>。</w:t>
      </w:r>
    </w:p>
    <w:p/>
    <w:p>
      <w:pPr>
        <w:pStyle w:val="12"/>
        <w:numPr>
          <w:ilvl w:val="0"/>
          <w:numId w:val="2"/>
        </w:numPr>
        <w:ind w:left="0" w:leftChars="0" w:firstLine="0" w:firstLineChars="0"/>
        <w:outlineLvl w:val="0"/>
        <w:rPr>
          <w:rFonts w:hint="eastAsia"/>
          <w:sz w:val="36"/>
          <w:szCs w:val="36"/>
          <w:lang w:val="en-US" w:eastAsia="zh-CN"/>
        </w:rPr>
      </w:pPr>
      <w:r>
        <w:rPr>
          <w:rFonts w:hint="eastAsia"/>
          <w:sz w:val="36"/>
          <w:szCs w:val="36"/>
          <w:lang w:val="en-US" w:eastAsia="zh-CN"/>
        </w:rPr>
        <w:t>投标文件组成</w:t>
      </w:r>
    </w:p>
    <w:p>
      <w:pPr>
        <w:pStyle w:val="7"/>
        <w:numPr>
          <w:ilvl w:val="255"/>
          <w:numId w:val="0"/>
        </w:numPr>
        <w:jc w:val="center"/>
        <w:outlineLvl w:val="0"/>
        <w:rPr>
          <w:rFonts w:hint="eastAsia" w:ascii="Calibri" w:hAnsi="Calibri" w:eastAsia="宋体" w:cs="Times New Roman"/>
          <w:b/>
          <w:bCs/>
          <w:kern w:val="44"/>
          <w:sz w:val="36"/>
          <w:szCs w:val="44"/>
          <w:lang w:val="en-US" w:eastAsia="zh-CN"/>
        </w:rPr>
      </w:pPr>
      <w:bookmarkStart w:id="58" w:name="_Toc22879"/>
      <w:bookmarkStart w:id="59" w:name="OLE_LINK30"/>
      <w:bookmarkStart w:id="60" w:name="OLE_LINK31"/>
      <w:r>
        <w:rPr>
          <w:rFonts w:hint="eastAsia" w:ascii="Calibri" w:hAnsi="Calibri" w:eastAsia="宋体" w:cs="Times New Roman"/>
          <w:b/>
          <w:bCs/>
          <w:kern w:val="44"/>
          <w:sz w:val="36"/>
          <w:szCs w:val="44"/>
        </w:rPr>
        <w:t>投标文件编制</w:t>
      </w:r>
      <w:bookmarkEnd w:id="58"/>
      <w:r>
        <w:rPr>
          <w:rFonts w:hint="eastAsia" w:ascii="Calibri" w:hAnsi="Calibri" w:eastAsia="宋体" w:cs="Times New Roman"/>
          <w:b/>
          <w:bCs/>
          <w:kern w:val="44"/>
          <w:sz w:val="36"/>
          <w:szCs w:val="44"/>
          <w:lang w:val="en-US" w:eastAsia="zh-CN"/>
        </w:rPr>
        <w:t>要求</w:t>
      </w:r>
    </w:p>
    <w:p>
      <w:pPr>
        <w:pStyle w:val="7"/>
        <w:numPr>
          <w:ilvl w:val="255"/>
          <w:numId w:val="0"/>
        </w:numPr>
        <w:jc w:val="center"/>
        <w:outlineLvl w:val="0"/>
        <w:rPr>
          <w:rFonts w:hint="eastAsia" w:ascii="Calibri" w:hAnsi="Calibri" w:eastAsia="宋体" w:cs="Times New Roman"/>
          <w:b/>
          <w:bCs/>
          <w:kern w:val="44"/>
          <w:sz w:val="36"/>
          <w:szCs w:val="44"/>
          <w:lang w:val="en-US" w:eastAsia="zh-CN"/>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投标人所投标</w:t>
      </w:r>
      <w:r>
        <w:rPr>
          <w:rFonts w:hint="eastAsia" w:ascii="宋体" w:hAnsi="宋体" w:eastAsia="宋体" w:cs="宋体"/>
          <w:color w:val="000000"/>
          <w:sz w:val="24"/>
          <w:szCs w:val="24"/>
          <w:lang w:val="en-US" w:eastAsia="zh-CN"/>
        </w:rPr>
        <w:t>工程</w:t>
      </w:r>
      <w:r>
        <w:rPr>
          <w:rFonts w:hint="eastAsia" w:ascii="宋体" w:hAnsi="宋体" w:eastAsia="宋体" w:cs="宋体"/>
          <w:color w:val="000000"/>
          <w:sz w:val="24"/>
          <w:szCs w:val="24"/>
        </w:rPr>
        <w:t>详细技术资料清单，在标书中列示说明</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《投标文件（资质标）》包括</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同应标资质文件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法定代表人身份证明；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）法定代表人授权委托书（授权人需带身份证原件）；</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）营业执照副本原件</w:t>
      </w:r>
      <w:r>
        <w:rPr>
          <w:rFonts w:hint="eastAsia" w:ascii="宋体" w:hAnsi="宋体" w:eastAsia="宋体" w:cs="宋体"/>
          <w:color w:val="000000"/>
          <w:sz w:val="24"/>
          <w:szCs w:val="24"/>
          <w:lang w:val="en-US" w:eastAsia="zh-CN"/>
        </w:rPr>
        <w:t>或复印件并加盖公章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）建筑装修装饰工程专业承包二级及以上资质</w:t>
      </w:r>
      <w:r>
        <w:rPr>
          <w:rFonts w:hint="eastAsia" w:ascii="宋体" w:hAnsi="宋体" w:eastAsia="宋体" w:cs="宋体"/>
          <w:color w:val="000000"/>
          <w:sz w:val="24"/>
          <w:szCs w:val="24"/>
          <w:lang w:val="en-US" w:eastAsia="zh-CN"/>
        </w:rPr>
        <w:t>证书</w:t>
      </w:r>
      <w:r>
        <w:rPr>
          <w:rFonts w:hint="eastAsia" w:ascii="宋体" w:hAnsi="宋体" w:eastAsia="宋体" w:cs="宋体"/>
          <w:color w:val="000000"/>
          <w:sz w:val="24"/>
          <w:szCs w:val="24"/>
          <w:lang w:eastAsia="zh-CN"/>
        </w:rPr>
        <w:t>，有效的安全生产许可证；</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）证明投标人满足投标资料表中列出的业绩要求的文件；</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）企业最近半年完税证明、信用证明材料（征信报告）；</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lang w:eastAsia="zh-CN"/>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lang w:eastAsia="zh-CN"/>
        </w:rPr>
        <w:t>）企业对外担保说明（写明贵单位对外有无对外担保和质押业务，需加盖公章）。</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eastAsia="zh-CN"/>
        </w:rPr>
        <w:t>）信用中国截图或国家企业信用信息公示系统截图；</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lang w:eastAsia="zh-CN"/>
        </w:rPr>
        <w:t>）招标文件中要求的其它资格证明文件。</w:t>
      </w:r>
    </w:p>
    <w:p>
      <w:pPr>
        <w:spacing w:line="360" w:lineRule="auto"/>
        <w:ind w:firstLine="482" w:firstLineChars="200"/>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对于投标人资质审核不通过的，招标人有权拒绝其投标。</w:t>
      </w:r>
    </w:p>
    <w:p>
      <w:pPr>
        <w:spacing w:line="360" w:lineRule="auto"/>
        <w:ind w:firstLine="482" w:firstLineChars="200"/>
        <w:rPr>
          <w:rFonts w:hint="eastAsia" w:ascii="宋体" w:hAnsi="宋体" w:eastAsia="宋体" w:cs="宋体"/>
          <w:b/>
          <w:bCs/>
          <w:color w:val="000000"/>
          <w:sz w:val="24"/>
          <w:szCs w:val="24"/>
          <w:highlight w:val="none"/>
        </w:rPr>
      </w:pPr>
      <w:bookmarkStart w:id="61" w:name="_Toc212369515"/>
      <w:r>
        <w:rPr>
          <w:rFonts w:hint="eastAsia" w:ascii="宋体" w:hAnsi="宋体" w:eastAsia="宋体" w:cs="宋体"/>
          <w:b/>
          <w:bCs/>
          <w:color w:val="000000"/>
          <w:sz w:val="24"/>
          <w:szCs w:val="24"/>
          <w:highlight w:val="none"/>
        </w:rPr>
        <w:t>2.《投标文件（技术标）》：</w:t>
      </w:r>
      <w:bookmarkEnd w:id="61"/>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w:t>
      </w:r>
      <w:r>
        <w:rPr>
          <w:rFonts w:hint="eastAsia" w:ascii="宋体" w:hAnsi="宋体" w:eastAsia="宋体" w:cs="宋体"/>
          <w:color w:val="000000"/>
          <w:sz w:val="24"/>
          <w:szCs w:val="24"/>
          <w:lang w:val="en-US" w:eastAsia="zh-CN"/>
        </w:rPr>
        <w:t>效果图。</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施工组织总体方案（对项目特点认知、项目管理机构组建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拟派项目部主要管理人员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施工准备、施工总平面布置、施工组织等）等进行阐述，力求简洁。</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施工进度计划及保证措施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a.</w:t>
      </w:r>
      <w:r>
        <w:rPr>
          <w:rFonts w:hint="eastAsia" w:ascii="宋体" w:hAnsi="宋体" w:eastAsia="宋体" w:cs="宋体"/>
          <w:color w:val="000000"/>
          <w:sz w:val="24"/>
          <w:szCs w:val="24"/>
        </w:rPr>
        <w:t>要求根据建设单位提供的关键节点，提供施工总进度横道图或网络图计划，施工内容要切合实际、全面；</w:t>
      </w:r>
      <w:r>
        <w:rPr>
          <w:rFonts w:hint="eastAsia" w:ascii="宋体" w:hAnsi="宋体" w:eastAsia="宋体" w:cs="宋体"/>
          <w:color w:val="000000"/>
          <w:sz w:val="24"/>
          <w:szCs w:val="24"/>
          <w:lang w:val="en-US" w:eastAsia="zh-CN"/>
        </w:rPr>
        <w:t>b.</w:t>
      </w:r>
      <w:r>
        <w:rPr>
          <w:rFonts w:hint="eastAsia" w:ascii="宋体" w:hAnsi="宋体" w:eastAsia="宋体" w:cs="宋体"/>
          <w:color w:val="000000"/>
          <w:sz w:val="24"/>
          <w:szCs w:val="24"/>
        </w:rPr>
        <w:t>列举分析本工程的工期风险点及应对保证措施。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2.4关键施工技术、工艺及工程实施的重点、难点分析。要求提炼出招标项目的关键施工工艺、施工重难点、危险性较大的专项工程等。</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2.5</w:t>
      </w:r>
      <w:r>
        <w:rPr>
          <w:rFonts w:hint="eastAsia" w:ascii="宋体" w:hAnsi="宋体" w:eastAsia="宋体" w:cs="宋体"/>
          <w:color w:val="000000"/>
          <w:sz w:val="24"/>
          <w:szCs w:val="24"/>
          <w:lang w:val="en-US" w:eastAsia="zh-CN"/>
        </w:rPr>
        <w:t>施工质量</w:t>
      </w:r>
      <w:r>
        <w:rPr>
          <w:rFonts w:hint="eastAsia" w:ascii="宋体" w:hAnsi="宋体" w:eastAsia="宋体" w:cs="宋体"/>
          <w:color w:val="000000"/>
          <w:sz w:val="24"/>
          <w:szCs w:val="24"/>
        </w:rPr>
        <w:t>保证措施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要求针对性分析本工程容易出现的质量通病、质量控制重点和保证措施</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2.6安全文明施工</w:t>
      </w:r>
      <w:r>
        <w:rPr>
          <w:rFonts w:hint="eastAsia" w:ascii="宋体" w:hAnsi="宋体" w:eastAsia="宋体" w:cs="宋体"/>
          <w:color w:val="000000"/>
          <w:sz w:val="24"/>
          <w:szCs w:val="24"/>
          <w:lang w:val="en-US" w:eastAsia="zh-CN"/>
        </w:rPr>
        <w:t>措施。要求对安全生产、文明施工、环境保护及防尘施工措施，制定保证措施和承诺。</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2.7投标人需提交的其它资料。</w:t>
      </w:r>
    </w:p>
    <w:p>
      <w:pPr>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3.《投标文件（商务标）》（开标一览表）：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rPr>
        <w:t>投标函（格式见附件）；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3.2开标一览表（</w:t>
      </w:r>
      <w:r>
        <w:rPr>
          <w:rFonts w:hint="eastAsia" w:ascii="宋体" w:hAnsi="宋体" w:eastAsia="宋体" w:cs="宋体"/>
          <w:color w:val="000000"/>
          <w:sz w:val="24"/>
          <w:szCs w:val="24"/>
        </w:rPr>
        <w:t>工程唱标单</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w:t>
      </w:r>
    </w:p>
    <w:p>
      <w:pPr>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3.3分项报价表；</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3.4质量承诺书</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投标文件的投递</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式：在中国重汽e采通平台应标成功后，进入“供应商投标”环节，投递盖章扫描版电子标书（包含资质标书、技术标书、商务标书），若逾期未在中国重汽e采通平台上传电子标书，即便递交了纸版投标文件，一律视为无效。</w:t>
      </w:r>
    </w:p>
    <w:p>
      <w:pPr>
        <w:keepNext/>
        <w:keepLines/>
        <w:spacing w:line="360" w:lineRule="auto"/>
        <w:outlineLvl w:val="1"/>
        <w:rPr>
          <w:rFonts w:hint="eastAsia" w:ascii="宋体" w:hAnsi="宋体" w:eastAsia="宋体" w:cs="宋体"/>
          <w:b/>
          <w:bCs/>
          <w:sz w:val="24"/>
          <w:szCs w:val="24"/>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eastAsiaTheme="minorEastAsia"/>
          <w:lang w:eastAsia="zh-CN"/>
        </w:rPr>
        <w:sectPr>
          <w:headerReference r:id="rId3" w:type="default"/>
          <w:footerReference r:id="rId4" w:type="default"/>
          <w:pgSz w:w="11907" w:h="16840"/>
          <w:pgMar w:top="1304" w:right="1418" w:bottom="1304" w:left="1418" w:header="724" w:footer="851" w:gutter="0"/>
          <w:cols w:space="720" w:num="1"/>
          <w:docGrid w:linePitch="290" w:charSpace="-3931"/>
        </w:sectPr>
      </w:pPr>
      <w:r>
        <w:rPr>
          <w:rFonts w:hint="eastAsia" w:ascii="宋体" w:hAnsi="宋体" w:eastAsia="宋体" w:cs="宋体"/>
          <w:color w:val="000000"/>
          <w:sz w:val="24"/>
          <w:szCs w:val="24"/>
        </w:rPr>
        <w:t>详见第六部分投标文件附件格式1—13，其余未尽事宜请按各单位习惯制定即可。</w:t>
      </w:r>
    </w:p>
    <w:bookmarkEnd w:id="59"/>
    <w:bookmarkEnd w:id="60"/>
    <w:p>
      <w:pPr>
        <w:keepNext/>
        <w:keepLines/>
        <w:jc w:val="center"/>
        <w:outlineLvl w:val="0"/>
        <w:rPr>
          <w:rFonts w:ascii="Calibri" w:hAnsi="Calibri" w:eastAsia="宋体" w:cs="Times New Roman"/>
          <w:b/>
          <w:bCs/>
          <w:kern w:val="44"/>
          <w:sz w:val="36"/>
          <w:szCs w:val="44"/>
        </w:rPr>
      </w:pPr>
      <w:bookmarkStart w:id="62" w:name="_Toc29691"/>
      <w:r>
        <w:rPr>
          <w:rFonts w:hint="eastAsia" w:ascii="Calibri" w:hAnsi="Calibri" w:eastAsia="宋体" w:cs="Times New Roman"/>
          <w:b/>
          <w:bCs/>
          <w:kern w:val="44"/>
          <w:sz w:val="36"/>
          <w:szCs w:val="44"/>
        </w:rPr>
        <w:t>投标文件附件</w:t>
      </w:r>
      <w:bookmarkEnd w:id="62"/>
    </w:p>
    <w:p>
      <w:pPr>
        <w:keepNext/>
        <w:keepLines/>
        <w:rPr>
          <w:rFonts w:ascii="Times New Roman" w:hAnsi="Times New Roman" w:eastAsia="宋体" w:cs="Times New Roman"/>
          <w:b/>
          <w:bCs/>
          <w:color w:val="000000"/>
          <w:sz w:val="24"/>
          <w:szCs w:val="24"/>
        </w:rPr>
      </w:pPr>
    </w:p>
    <w:p>
      <w:pPr>
        <w:pStyle w:val="7"/>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7"/>
        <w:rPr>
          <w:rFonts w:ascii="Times New Roman" w:hAnsi="Times New Roman" w:eastAsia="宋体" w:cs="Times New Roman"/>
          <w:b/>
          <w:bCs/>
          <w:color w:val="000000"/>
          <w:sz w:val="24"/>
          <w:szCs w:val="24"/>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hint="eastAsia" w:ascii="宋体" w:hAnsi="宋体" w:eastAsia="宋体" w:cs="宋体"/>
                <w:b/>
                <w:sz w:val="30"/>
                <w:szCs w:val="30"/>
              </w:rPr>
            </w:pPr>
          </w:p>
          <w:p>
            <w:pPr>
              <w:jc w:val="center"/>
              <w:rPr>
                <w:rFonts w:hint="eastAsia" w:ascii="宋体" w:hAnsi="宋体" w:eastAsia="宋体" w:cs="宋体"/>
                <w:b/>
                <w:sz w:val="30"/>
                <w:szCs w:val="30"/>
              </w:rPr>
            </w:pPr>
          </w:p>
          <w:p>
            <w:pPr>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 xml:space="preserve">  </w:t>
            </w:r>
            <w:r>
              <w:rPr>
                <w:rFonts w:ascii="等线" w:hAnsi="等线" w:eastAsia="等线" w:cs="Times New Roman"/>
                <w:b/>
                <w:sz w:val="30"/>
                <w:szCs w:val="30"/>
                <w:u w:val="single"/>
              </w:rPr>
              <w:t xml:space="preserve"> </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 xml:space="preserve">  </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spacing w:before="75" w:line="228" w:lineRule="auto"/>
              <w:ind w:left="134"/>
              <w:jc w:val="center"/>
              <w:rPr>
                <w:rFonts w:hint="eastAsia" w:ascii="宋体" w:hAnsi="宋体" w:eastAsia="宋体" w:cs="宋体"/>
                <w:spacing w:val="-9"/>
                <w:sz w:val="24"/>
                <w:szCs w:val="24"/>
                <w:u w:val="single"/>
              </w:rPr>
            </w:pPr>
            <w:r>
              <w:rPr>
                <w:rFonts w:hint="eastAsia" w:ascii="宋体" w:hAnsi="宋体" w:eastAsia="宋体" w:cs="宋体"/>
                <w:b/>
                <w:szCs w:val="20"/>
              </w:rPr>
              <w:t>项目名称：</w:t>
            </w:r>
            <w:r>
              <w:rPr>
                <w:rFonts w:hint="eastAsia" w:ascii="宋体" w:hAnsi="宋体" w:eastAsia="宋体" w:cs="宋体"/>
                <w:b/>
                <w:bCs/>
                <w:spacing w:val="-9"/>
                <w:sz w:val="21"/>
                <w:szCs w:val="21"/>
                <w:u w:val="single"/>
                <w:lang w:val="en-US" w:eastAsia="zh-CN"/>
              </w:rPr>
              <w:t>科技大厦卫生间改造一期项目</w:t>
            </w:r>
          </w:p>
          <w:p>
            <w:pPr>
              <w:jc w:val="center"/>
              <w:rPr>
                <w:rFonts w:ascii="Times New Roman" w:hAnsi="Times New Roman" w:eastAsia="宋体" w:cs="Times New Roman"/>
                <w:b/>
                <w:szCs w:val="20"/>
              </w:rPr>
            </w:pPr>
          </w:p>
          <w:p>
            <w:pPr>
              <w:jc w:val="both"/>
              <w:rPr>
                <w:rFonts w:hint="eastAsia" w:ascii="宋体" w:hAnsi="宋体" w:eastAsia="宋体" w:cs="宋体"/>
                <w:b/>
                <w:szCs w:val="20"/>
              </w:rPr>
            </w:pPr>
          </w:p>
          <w:p>
            <w:pPr>
              <w:jc w:val="both"/>
              <w:rPr>
                <w:rFonts w:ascii="Times New Roman" w:hAnsi="Times New Roman" w:eastAsia="宋体" w:cs="Times New Roman"/>
                <w:b/>
                <w:szCs w:val="20"/>
              </w:rPr>
            </w:pPr>
            <w:r>
              <w:rPr>
                <w:rFonts w:hint="eastAsia" w:ascii="宋体" w:hAnsi="宋体" w:eastAsia="宋体" w:cs="宋体"/>
                <w:b/>
                <w:szCs w:val="20"/>
              </w:rPr>
              <w:t>投标人名称（公章）：</w:t>
            </w:r>
          </w:p>
          <w:p>
            <w:pPr>
              <w:jc w:val="both"/>
              <w:rPr>
                <w:rFonts w:hint="eastAsia" w:ascii="宋体" w:hAnsi="宋体" w:eastAsia="宋体" w:cs="宋体"/>
                <w:b/>
                <w:szCs w:val="20"/>
              </w:rPr>
            </w:pPr>
          </w:p>
          <w:p>
            <w:pPr>
              <w:jc w:val="both"/>
              <w:rPr>
                <w:rFonts w:ascii="Times New Roman" w:hAnsi="Times New Roman" w:eastAsia="宋体" w:cs="Times New Roman"/>
                <w:b/>
                <w:szCs w:val="20"/>
              </w:rPr>
            </w:pPr>
            <w:r>
              <w:rPr>
                <w:rFonts w:hint="eastAsia" w:ascii="宋体" w:hAnsi="宋体" w:eastAsia="宋体" w:cs="宋体"/>
                <w:b/>
                <w:szCs w:val="20"/>
              </w:rPr>
              <w:t>地址：</w:t>
            </w:r>
          </w:p>
          <w:p>
            <w:pPr>
              <w:jc w:val="both"/>
              <w:rPr>
                <w:rFonts w:hint="eastAsia" w:ascii="宋体" w:hAnsi="宋体" w:eastAsia="宋体" w:cs="宋体"/>
                <w:b/>
                <w:szCs w:val="20"/>
              </w:rPr>
            </w:pPr>
          </w:p>
          <w:p>
            <w:pPr>
              <w:jc w:val="both"/>
              <w:rPr>
                <w:rFonts w:ascii="Times New Roman" w:hAnsi="Times New Roman" w:eastAsia="宋体" w:cs="Times New Roman"/>
                <w:b/>
                <w:szCs w:val="20"/>
              </w:rPr>
            </w:pPr>
            <w:r>
              <w:rPr>
                <w:rFonts w:hint="eastAsia" w:ascii="宋体" w:hAnsi="宋体" w:eastAsia="宋体" w:cs="宋体"/>
                <w:b/>
                <w:szCs w:val="20"/>
              </w:rPr>
              <w:t>授权代表电话：</w:t>
            </w:r>
          </w:p>
          <w:p>
            <w:pPr>
              <w:jc w:val="both"/>
              <w:rPr>
                <w:rFonts w:hint="eastAsia" w:ascii="宋体" w:hAnsi="宋体" w:eastAsia="宋体" w:cs="宋体"/>
                <w:b/>
                <w:szCs w:val="20"/>
              </w:rPr>
            </w:pPr>
          </w:p>
          <w:p>
            <w:pPr>
              <w:jc w:val="both"/>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7"/>
        <w:rPr>
          <w:rFonts w:hint="eastAsia"/>
        </w:rPr>
      </w:pPr>
    </w:p>
    <w:p>
      <w:pPr>
        <w:keepNext/>
        <w:keepLines/>
        <w:outlineLvl w:val="2"/>
        <w:rPr>
          <w:rFonts w:hint="eastAsia" w:ascii="宋体" w:hAnsi="宋体" w:eastAsia="宋体" w:cs="宋体"/>
          <w:b/>
          <w:bCs/>
          <w:color w:val="000000"/>
          <w:sz w:val="24"/>
          <w:szCs w:val="24"/>
        </w:rPr>
      </w:pPr>
    </w:p>
    <w:p>
      <w:pPr>
        <w:pStyle w:val="12"/>
        <w:rPr>
          <w:rFonts w:hint="eastAsia" w:ascii="宋体" w:hAnsi="宋体" w:eastAsia="宋体" w:cs="宋体"/>
          <w:b/>
          <w:bCs/>
          <w:color w:val="000000"/>
          <w:sz w:val="24"/>
          <w:szCs w:val="24"/>
        </w:rPr>
      </w:pPr>
    </w:p>
    <w:p>
      <w:pPr>
        <w:pStyle w:val="10"/>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pStyle w:val="12"/>
        <w:rPr>
          <w:rFonts w:hint="eastAsia" w:ascii="宋体" w:hAnsi="宋体" w:eastAsia="宋体" w:cs="宋体"/>
          <w:b/>
          <w:bCs/>
          <w:color w:val="000000"/>
          <w:sz w:val="24"/>
          <w:szCs w:val="24"/>
        </w:rPr>
      </w:pPr>
    </w:p>
    <w:p>
      <w:pPr>
        <w:pStyle w:val="10"/>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pStyle w:val="12"/>
        <w:rPr>
          <w:rFonts w:hint="eastAsia" w:ascii="宋体" w:hAnsi="宋体" w:eastAsia="宋体" w:cs="宋体"/>
          <w:b/>
          <w:bCs/>
          <w:color w:val="000000"/>
          <w:sz w:val="24"/>
          <w:szCs w:val="24"/>
        </w:rPr>
      </w:pPr>
    </w:p>
    <w:p>
      <w:pPr>
        <w:pStyle w:val="10"/>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pStyle w:val="12"/>
        <w:rPr>
          <w:rFonts w:hint="eastAsia" w:ascii="宋体" w:hAnsi="宋体" w:eastAsia="宋体" w:cs="宋体"/>
          <w:b/>
          <w:bCs/>
          <w:color w:val="000000"/>
          <w:sz w:val="24"/>
          <w:szCs w:val="24"/>
        </w:rPr>
      </w:pPr>
    </w:p>
    <w:p>
      <w:pPr>
        <w:pStyle w:val="10"/>
        <w:rPr>
          <w:rFonts w:hint="eastAsia" w:ascii="宋体" w:hAnsi="宋体" w:eastAsia="宋体" w:cs="宋体"/>
          <w:b/>
          <w:bCs/>
          <w:color w:val="000000"/>
          <w:sz w:val="24"/>
          <w:szCs w:val="24"/>
        </w:rPr>
      </w:pPr>
    </w:p>
    <w:p>
      <w:pPr>
        <w:keepNext/>
        <w:keepLines/>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bookmarkStart w:id="63" w:name="_Toc639004"/>
      <w:bookmarkStart w:id="64" w:name="_Toc25811"/>
      <w:bookmarkStart w:id="65" w:name="_Toc353881012"/>
      <w:bookmarkStart w:id="66" w:name="_Toc212369550"/>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 xml:space="preserve"> 投标函</w:t>
      </w:r>
      <w:bookmarkEnd w:id="63"/>
      <w:bookmarkEnd w:id="64"/>
      <w:bookmarkEnd w:id="65"/>
      <w:bookmarkEnd w:id="66"/>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根据已收到贵方的招标编号为</w:t>
      </w:r>
      <w:r>
        <w:rPr>
          <w:rFonts w:hint="eastAsia" w:ascii="宋体" w:hAnsi="宋体" w:eastAsia="宋体" w:cs="Times New Roman"/>
          <w:color w:val="000000"/>
          <w:sz w:val="24"/>
          <w:szCs w:val="24"/>
          <w:u w:val="single"/>
          <w:lang w:val="en-US" w:eastAsia="zh-CN"/>
        </w:rPr>
        <w:t>FSCZB2025110361</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u w:val="single"/>
          <w:lang w:val="en-US" w:eastAsia="zh-CN"/>
        </w:rPr>
        <w:t>科技大厦卫生间改造一期项目</w:t>
      </w:r>
      <w:r>
        <w:rPr>
          <w:rFonts w:hint="eastAsia" w:ascii="宋体" w:hAnsi="宋体" w:eastAsia="宋体" w:cs="Times New Roman"/>
          <w:color w:val="000000"/>
          <w:sz w:val="24"/>
          <w:szCs w:val="24"/>
        </w:rPr>
        <w:t>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如果我方中标，我方保证在</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single"/>
        </w:rPr>
        <w:t>年  月  日</w:t>
      </w:r>
      <w:r>
        <w:rPr>
          <w:rFonts w:hint="eastAsia" w:ascii="宋体" w:hAnsi="宋体" w:eastAsia="宋体" w:cs="Times New Roman"/>
          <w:color w:val="000000"/>
          <w:sz w:val="24"/>
          <w:szCs w:val="24"/>
        </w:rPr>
        <w:t>或按照合同约定的开工日期开始本工程的施工，</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天内竣工，并确保工程质量合格。我方同意本投标函在招标文件规定的提交投标文件截止时间后、在招标文件规定的投标有效期期满前对我方具有约束力，且随时准备接受你方发出的中标通知书。</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随本投标函递交的投标函附录是本投标函的组成部分，对我方构成约束力。</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随同本投标函递交投标保证金一份，金额为人民币（大写）：</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在签署协议书之前，你方中标通知书连同本投标函，包括投标函附录，对双方具有约束力。</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我公司承诺遵守贵公司由于招标人公司政策变化引起的随时终止项目的要求并承担由此带来的一切损失。</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  标  人（盖单位公章）：</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法人代表或委托代理人（签字或盖章）：</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  期：    年    月    日</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p>
    <w:p>
      <w:pPr>
        <w:pStyle w:val="12"/>
        <w:rPr>
          <w:rFonts w:hint="eastAsia" w:ascii="宋体" w:hAnsi="宋体" w:eastAsia="宋体" w:cs="Times New Roman"/>
          <w:color w:val="000000"/>
          <w:sz w:val="24"/>
          <w:szCs w:val="24"/>
        </w:rPr>
      </w:pPr>
    </w:p>
    <w:p>
      <w:pPr>
        <w:pStyle w:val="10"/>
        <w:rPr>
          <w:rFonts w:hint="eastAsia" w:ascii="宋体" w:hAnsi="宋体" w:eastAsia="宋体" w:cs="Times New Roman"/>
          <w:color w:val="000000"/>
          <w:sz w:val="24"/>
          <w:szCs w:val="24"/>
        </w:rPr>
      </w:pPr>
    </w:p>
    <w:p>
      <w:pPr>
        <w:rPr>
          <w:rFonts w:hint="eastAsia"/>
        </w:rPr>
      </w:pPr>
    </w:p>
    <w:p>
      <w:pPr>
        <w:pStyle w:val="7"/>
        <w:rPr>
          <w:rFonts w:ascii="黑体" w:hAnsi="Calibri" w:eastAsia="黑体" w:cs="Times New Roman"/>
          <w:color w:val="000000"/>
          <w:sz w:val="24"/>
          <w:szCs w:val="24"/>
        </w:rPr>
      </w:pPr>
    </w:p>
    <w:p>
      <w:pPr>
        <w:pStyle w:val="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科技大厦卫生间改造一期项目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开标一览表</w:t>
      </w:r>
    </w:p>
    <w:p>
      <w:pPr>
        <w:spacing w:line="360" w:lineRule="auto"/>
        <w:ind w:firstLine="277" w:firstLineChars="99"/>
        <w:jc w:val="center"/>
        <w:rPr>
          <w:rStyle w:val="19"/>
          <w:rFonts w:ascii="宋体" w:hAnsi="宋体"/>
          <w:b/>
          <w:bCs/>
          <w:sz w:val="28"/>
          <w:szCs w:val="28"/>
        </w:rPr>
      </w:pPr>
      <w:r>
        <w:rPr>
          <w:rStyle w:val="19"/>
          <w:rFonts w:ascii="宋体" w:hAnsi="宋体"/>
          <w:b/>
          <w:bCs/>
          <w:sz w:val="28"/>
          <w:szCs w:val="28"/>
        </w:rPr>
        <w:t>工程唱标单（格式）</w:t>
      </w:r>
    </w:p>
    <w:tbl>
      <w:tblPr>
        <w:tblStyle w:val="13"/>
        <w:tblW w:w="98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06"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 xml:space="preserve">投标人：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 xml:space="preserve">工程名称：科技大厦卫生间改造一期项目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214"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投标总价：</w:t>
            </w:r>
          </w:p>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不含税报价：大写：人民币</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 xml:space="preserve">元（小写：¥ </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元）；</w:t>
            </w:r>
          </w:p>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含税报价：大写：人民币</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 xml:space="preserve">元（小写：¥ </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 xml:space="preserve"> 元），含9%增值税。 </w:t>
            </w:r>
          </w:p>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清单外让利：</w:t>
            </w:r>
            <w:r>
              <w:rPr>
                <w:rStyle w:val="19"/>
                <w:rFonts w:hint="eastAsia" w:ascii="宋体" w:hAnsi="宋体" w:eastAsia="宋体" w:cs="Times New Roman"/>
                <w:bCs/>
                <w:szCs w:val="21"/>
                <w:u w:val="single"/>
                <w:lang w:val="en-US" w:eastAsia="zh-CN"/>
              </w:rPr>
              <w:t xml:space="preserve">  5  </w:t>
            </w:r>
            <w:r>
              <w:rPr>
                <w:rStyle w:val="19"/>
                <w:rFonts w:hint="eastAsia" w:ascii="宋体" w:hAnsi="宋体" w:eastAsia="宋体" w:cs="Times New Roman"/>
                <w:bCs/>
                <w:szCs w:val="21"/>
                <w:lang w:val="en-US" w:eastAsia="zh-CN"/>
              </w:rPr>
              <w:t>%；计日工单价（全费用）：</w:t>
            </w:r>
            <w:r>
              <w:rPr>
                <w:rStyle w:val="19"/>
                <w:rFonts w:hint="eastAsia" w:ascii="宋体" w:hAnsi="宋体" w:eastAsia="宋体" w:cs="Times New Roman"/>
                <w:bCs/>
                <w:szCs w:val="21"/>
                <w:u w:val="single"/>
                <w:lang w:val="en-US" w:eastAsia="zh-CN"/>
              </w:rPr>
              <w:t xml:space="preserve"> 220 </w:t>
            </w:r>
            <w:r>
              <w:rPr>
                <w:rStyle w:val="19"/>
                <w:rFonts w:hint="eastAsia" w:ascii="宋体" w:hAnsi="宋体" w:eastAsia="宋体" w:cs="Times New Roman"/>
                <w:bCs/>
                <w:szCs w:val="21"/>
                <w:lang w:val="en-US" w:eastAsia="zh-CN"/>
              </w:rPr>
              <w:t>元/工日。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85"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投标工期</w:t>
            </w:r>
          </w:p>
        </w:tc>
        <w:tc>
          <w:tcPr>
            <w:tcW w:w="8539" w:type="dxa"/>
            <w:gridSpan w:val="5"/>
            <w:tcBorders>
              <w:top w:val="single" w:color="000000" w:sz="4" w:space="0"/>
              <w:left w:val="single" w:color="000000" w:sz="4" w:space="0"/>
              <w:bottom w:val="single" w:color="000000" w:sz="4" w:space="0"/>
              <w:right w:val="single" w:color="000000" w:sz="4" w:space="0"/>
            </w:tcBorders>
            <w:vAlign w:val="bottom"/>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计划总工期：</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日历天（以收到招标人中标通知之日起计算）；</w:t>
            </w:r>
          </w:p>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计划开工日期：2025年</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月</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日；</w:t>
            </w:r>
          </w:p>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计划竣工日期：2025年</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月</w:t>
            </w:r>
            <w:r>
              <w:rPr>
                <w:rStyle w:val="19"/>
                <w:rFonts w:hint="eastAsia" w:ascii="宋体" w:hAnsi="宋体" w:eastAsia="宋体" w:cs="Times New Roman"/>
                <w:bCs/>
                <w:szCs w:val="21"/>
                <w:u w:val="single"/>
                <w:lang w:val="en-US" w:eastAsia="zh-CN"/>
              </w:rPr>
              <w:t xml:space="preserve">   </w:t>
            </w:r>
            <w:r>
              <w:rPr>
                <w:rStyle w:val="19"/>
                <w:rFonts w:hint="eastAsia" w:ascii="宋体" w:hAnsi="宋体" w:eastAsia="宋体" w:cs="Times New Roman"/>
                <w:bCs/>
                <w:szCs w:val="21"/>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67"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p>
        </w:tc>
        <w:tc>
          <w:tcPr>
            <w:tcW w:w="1235"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p>
        </w:tc>
        <w:tc>
          <w:tcPr>
            <w:tcW w:w="1807"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r>
              <w:rPr>
                <w:rStyle w:val="19"/>
                <w:rFonts w:hint="eastAsia" w:ascii="宋体" w:hAnsi="宋体" w:eastAsia="宋体" w:cs="Times New Roman"/>
                <w:bCs/>
                <w:szCs w:val="21"/>
                <w:lang w:val="en-US" w:eastAsia="zh-CN"/>
              </w:rPr>
              <w:t>编号</w:t>
            </w:r>
          </w:p>
        </w:tc>
        <w:tc>
          <w:tcPr>
            <w:tcW w:w="1203"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宋体" w:hAnsi="宋体" w:eastAsia="宋体" w:cs="Times New Roman"/>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07"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bCs/>
              </w:rPr>
            </w:pPr>
            <w:r>
              <w:rPr>
                <w:rFonts w:hint="eastAsia" w:ascii="宋体" w:hAnsi="宋体" w:eastAsia="宋体" w:cs="宋体"/>
                <w:b/>
                <w:bCs/>
              </w:rPr>
              <w:t>承诺拟派项目班子成员始终在工地现场管理，不擅自更换、不兼职其他工程项目，如确有原因须更换，应事先征得业主同意。</w:t>
            </w:r>
          </w:p>
          <w:p>
            <w:pPr>
              <w:pStyle w:val="12"/>
              <w:spacing w:after="0"/>
              <w:ind w:left="0" w:leftChars="0" w:firstLine="0" w:firstLineChars="0"/>
            </w:pPr>
            <w:r>
              <w:rPr>
                <w:rStyle w:val="19"/>
                <w:rFonts w:hint="eastAsia" w:ascii="宋体" w:hAnsi="宋体" w:eastAsia="宋体" w:cs="宋体"/>
                <w:b/>
                <w:szCs w:val="21"/>
              </w:rPr>
              <w:t>我方报价及清单外让利已充分考虑了招标清单外增加施工内容的风险，我方认可并严格执行招标文件约定的清单外结算原则。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82"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ascii="宋体" w:hAnsi="宋体"/>
                <w:bCs/>
                <w:szCs w:val="21"/>
              </w:rPr>
            </w:pPr>
            <w:r>
              <w:rPr>
                <w:rStyle w:val="19"/>
                <w:rFonts w:ascii="宋体" w:hAnsi="宋体"/>
                <w:bCs/>
                <w:szCs w:val="21"/>
              </w:rPr>
              <w:t>质量</w:t>
            </w:r>
            <w:r>
              <w:rPr>
                <w:rStyle w:val="19"/>
                <w:rFonts w:hint="eastAsia" w:ascii="宋体" w:hAnsi="宋体"/>
                <w:bCs/>
                <w:szCs w:val="21"/>
              </w:rPr>
              <w:t>标准</w:t>
            </w:r>
            <w:r>
              <w:rPr>
                <w:rStyle w:val="19"/>
                <w:rFonts w:ascii="宋体" w:hAnsi="宋体"/>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35"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ascii="宋体" w:hAnsi="宋体"/>
                <w:bCs/>
                <w:szCs w:val="21"/>
              </w:rPr>
            </w:pPr>
            <w:r>
              <w:rPr>
                <w:rStyle w:val="19"/>
                <w:rFonts w:ascii="宋体" w:hAnsi="宋体"/>
                <w:bCs/>
                <w:szCs w:val="21"/>
              </w:rPr>
              <w:t>本投标人完全认同招标文件的各项条款要求。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88" w:hRule="atLeast"/>
          <w:jc w:val="center"/>
        </w:trPr>
        <w:tc>
          <w:tcPr>
            <w:tcW w:w="9820" w:type="dxa"/>
            <w:gridSpan w:val="6"/>
            <w:tcBorders>
              <w:top w:val="single" w:color="000000" w:sz="4" w:space="0"/>
              <w:left w:val="single" w:color="000000" w:sz="4" w:space="0"/>
              <w:bottom w:val="single" w:color="000000" w:sz="4" w:space="0"/>
              <w:right w:val="single" w:color="000000" w:sz="4" w:space="0"/>
            </w:tcBorders>
            <w:vAlign w:val="center"/>
          </w:tcPr>
          <w:p>
            <w:pPr>
              <w:rPr>
                <w:rStyle w:val="19"/>
                <w:rFonts w:ascii="宋体" w:hAnsi="宋体"/>
                <w:bCs/>
                <w:szCs w:val="21"/>
              </w:rPr>
            </w:pPr>
            <w:r>
              <w:rPr>
                <w:rStyle w:val="19"/>
                <w:rFonts w:ascii="宋体" w:hAnsi="宋体"/>
                <w:bCs/>
                <w:szCs w:val="21"/>
              </w:rPr>
              <w:t>投标人现场确认（签字）：</w:t>
            </w:r>
          </w:p>
        </w:tc>
      </w:tr>
    </w:tbl>
    <w:p>
      <w:pPr>
        <w:spacing w:line="400" w:lineRule="exact"/>
        <w:ind w:firstLine="208" w:firstLineChars="99"/>
        <w:rPr>
          <w:rStyle w:val="19"/>
          <w:rFonts w:ascii="宋体" w:hAnsi="宋体"/>
          <w:b/>
          <w:bCs/>
          <w:szCs w:val="21"/>
        </w:rPr>
      </w:pPr>
      <w:r>
        <w:rPr>
          <w:rStyle w:val="19"/>
          <w:rFonts w:ascii="宋体" w:hAnsi="宋体"/>
          <w:b/>
          <w:bCs/>
          <w:szCs w:val="21"/>
        </w:rPr>
        <w:t>投标人（盖单位公章）</w:t>
      </w:r>
    </w:p>
    <w:p>
      <w:pPr>
        <w:spacing w:line="400" w:lineRule="exact"/>
        <w:ind w:firstLine="208" w:firstLineChars="99"/>
        <w:rPr>
          <w:rStyle w:val="19"/>
          <w:rFonts w:ascii="宋体" w:hAnsi="宋体"/>
          <w:b/>
          <w:bCs/>
          <w:szCs w:val="21"/>
        </w:rPr>
      </w:pPr>
      <w:r>
        <w:rPr>
          <w:rStyle w:val="19"/>
          <w:rFonts w:ascii="宋体" w:hAnsi="宋体"/>
          <w:b/>
          <w:bCs/>
          <w:szCs w:val="21"/>
        </w:rPr>
        <w:t>法定代表人：（盖章）</w:t>
      </w:r>
    </w:p>
    <w:p>
      <w:pPr>
        <w:spacing w:line="400" w:lineRule="exact"/>
        <w:ind w:firstLine="208" w:firstLineChars="99"/>
        <w:rPr>
          <w:rStyle w:val="19"/>
          <w:rFonts w:ascii="宋体" w:hAnsi="宋体"/>
          <w:b/>
          <w:bCs/>
          <w:szCs w:val="21"/>
        </w:rPr>
      </w:pPr>
      <w:r>
        <w:rPr>
          <w:rStyle w:val="19"/>
          <w:rFonts w:hint="eastAsia" w:ascii="宋体" w:hAnsi="宋体"/>
          <w:b/>
          <w:bCs/>
          <w:szCs w:val="21"/>
        </w:rPr>
        <w:t>日期：</w:t>
      </w:r>
      <w:r>
        <w:rPr>
          <w:rStyle w:val="19"/>
          <w:rFonts w:ascii="宋体" w:hAnsi="宋体"/>
          <w:b/>
          <w:bCs/>
          <w:szCs w:val="21"/>
        </w:rPr>
        <w:t xml:space="preserve">      年      月    日</w:t>
      </w:r>
    </w:p>
    <w:p>
      <w:pPr>
        <w:spacing w:line="400" w:lineRule="exact"/>
        <w:rPr>
          <w:rStyle w:val="19"/>
          <w:rFonts w:ascii="宋体" w:hAnsi="宋体"/>
          <w:b/>
          <w:bCs/>
          <w:sz w:val="20"/>
          <w:szCs w:val="20"/>
        </w:rPr>
      </w:pPr>
    </w:p>
    <w:p>
      <w:pPr>
        <w:spacing w:line="400" w:lineRule="exact"/>
        <w:rPr>
          <w:rStyle w:val="19"/>
          <w:rFonts w:ascii="宋体" w:hAnsi="宋体"/>
          <w:b/>
          <w:bCs/>
          <w:sz w:val="20"/>
          <w:szCs w:val="20"/>
        </w:rPr>
      </w:pPr>
      <w:r>
        <w:rPr>
          <w:rStyle w:val="19"/>
          <w:rFonts w:ascii="宋体" w:hAnsi="宋体"/>
          <w:b/>
          <w:bCs/>
          <w:sz w:val="20"/>
          <w:szCs w:val="20"/>
        </w:rPr>
        <w:t>注：</w:t>
      </w:r>
    </w:p>
    <w:p>
      <w:pPr>
        <w:spacing w:line="400" w:lineRule="exact"/>
        <w:rPr>
          <w:rStyle w:val="19"/>
          <w:rFonts w:ascii="宋体" w:hAnsi="宋体"/>
          <w:b/>
          <w:bCs/>
          <w:sz w:val="20"/>
          <w:szCs w:val="20"/>
        </w:rPr>
      </w:pPr>
      <w:r>
        <w:rPr>
          <w:rStyle w:val="19"/>
          <w:rFonts w:ascii="宋体" w:hAnsi="宋体"/>
          <w:b/>
          <w:bCs/>
          <w:sz w:val="20"/>
          <w:szCs w:val="20"/>
        </w:rPr>
        <w:t>1、本唱标单除装订在投标文件中外还应一式两份单独密封递交，各项内容务必填写详细，可以填满，但不允许添加附页。</w:t>
      </w:r>
    </w:p>
    <w:p>
      <w:pPr>
        <w:spacing w:line="400" w:lineRule="exact"/>
        <w:rPr>
          <w:rStyle w:val="19"/>
          <w:rFonts w:ascii="宋体" w:hAnsi="宋体"/>
          <w:b/>
          <w:bCs/>
          <w:sz w:val="20"/>
          <w:szCs w:val="20"/>
        </w:rPr>
      </w:pPr>
      <w:r>
        <w:rPr>
          <w:rStyle w:val="19"/>
          <w:rFonts w:ascii="宋体" w:hAnsi="宋体"/>
          <w:b/>
          <w:bCs/>
          <w:sz w:val="20"/>
          <w:szCs w:val="20"/>
        </w:rPr>
        <w:t>2、招标文件要求竞报费率的，不填按0计。</w:t>
      </w:r>
    </w:p>
    <w:p>
      <w:pPr>
        <w:rPr>
          <w:rFonts w:ascii="宋体" w:hAnsi="Calibri" w:eastAsia="宋体" w:cs="Times New Roman"/>
          <w:color w:val="000000"/>
          <w:sz w:val="24"/>
          <w:szCs w:val="24"/>
        </w:rPr>
      </w:pPr>
      <w:r>
        <w:rPr>
          <w:rStyle w:val="19"/>
          <w:rFonts w:ascii="宋体" w:hAnsi="宋体"/>
          <w:b/>
          <w:bCs/>
          <w:sz w:val="20"/>
          <w:szCs w:val="20"/>
        </w:rPr>
        <w:t>3、在评标过程中，评定内容的具体数据以单独密封并递交的本表内容为准。</w:t>
      </w:r>
      <w:r>
        <w:rPr>
          <w:rStyle w:val="19"/>
          <w:rFonts w:ascii="宋体" w:hAnsi="宋体"/>
          <w:szCs w:val="21"/>
        </w:rPr>
        <w:br w:type="page"/>
      </w:r>
    </w:p>
    <w:p>
      <w:pPr>
        <w:pStyle w:val="7"/>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pPr>
        <w:pStyle w:val="3"/>
        <w:jc w:val="left"/>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eastAsia="宋体" w:cs="宋体"/>
          <w:color w:val="000000"/>
          <w:sz w:val="24"/>
          <w:szCs w:val="24"/>
        </w:rPr>
        <w:t>附件</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分项报价表</w:t>
      </w:r>
    </w:p>
    <w:tbl>
      <w:tblPr>
        <w:tblStyle w:val="13"/>
        <w:tblpPr w:leftFromText="180" w:rightFromText="180" w:vertAnchor="text" w:horzAnchor="page" w:tblpX="767" w:tblpY="779"/>
        <w:tblOverlap w:val="never"/>
        <w:tblW w:w="158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93"/>
        <w:gridCol w:w="1334"/>
        <w:gridCol w:w="6370"/>
        <w:gridCol w:w="959"/>
        <w:gridCol w:w="885"/>
        <w:gridCol w:w="333"/>
        <w:gridCol w:w="1136"/>
        <w:gridCol w:w="1136"/>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581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分项工程量清单报价表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137" w:type="dxa"/>
            <w:gridSpan w:val="4"/>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工程名称：建筑工程</w:t>
            </w:r>
          </w:p>
        </w:tc>
        <w:tc>
          <w:tcPr>
            <w:tcW w:w="1844" w:type="dxa"/>
            <w:gridSpan w:val="2"/>
            <w:tcBorders>
              <w:top w:val="nil"/>
              <w:left w:val="nil"/>
              <w:bottom w:val="nil"/>
              <w:right w:val="nil"/>
            </w:tcBorders>
            <w:shd w:val="clear" w:color="FFFFFF" w:fill="FFFFFF"/>
            <w:vAlign w:val="center"/>
          </w:tcPr>
          <w:p>
            <w:pPr>
              <w:rPr>
                <w:rFonts w:hint="eastAsia" w:ascii="黑体" w:hAnsi="宋体" w:eastAsia="黑体" w:cs="黑体"/>
                <w:i w:val="0"/>
                <w:iCs w:val="0"/>
                <w:color w:val="000000"/>
                <w:sz w:val="18"/>
                <w:szCs w:val="18"/>
                <w:u w:val="none"/>
              </w:rPr>
            </w:pPr>
          </w:p>
        </w:tc>
        <w:tc>
          <w:tcPr>
            <w:tcW w:w="3829" w:type="dxa"/>
            <w:gridSpan w:val="4"/>
            <w:tcBorders>
              <w:top w:val="nil"/>
              <w:left w:val="nil"/>
              <w:bottom w:val="nil"/>
              <w:right w:val="nil"/>
            </w:tcBorders>
            <w:shd w:val="clear" w:color="FFFFFF" w:fill="FFFFFF"/>
            <w:vAlign w:val="center"/>
          </w:tcPr>
          <w:p>
            <w:pPr>
              <w:jc w:val="right"/>
              <w:rPr>
                <w:rFonts w:hint="eastAsia" w:ascii="黑体" w:hAnsi="宋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133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p>
        </w:tc>
        <w:tc>
          <w:tcPr>
            <w:tcW w:w="63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项目特征</w:t>
            </w:r>
          </w:p>
        </w:tc>
        <w:tc>
          <w:tcPr>
            <w:tcW w:w="9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21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c>
          <w:tcPr>
            <w:tcW w:w="349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33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63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9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21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合价</w:t>
            </w: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拆除工程</w:t>
            </w: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011605002001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卫生间墙面拆除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1.拆除的基层类型:含原有墙面瓷砖，水泥砂浆、砼等基层拆除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2.含墙面附着物拆除；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3.含清理以及外运至规定的处理场所。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4.其他：综合考虑，满足设计及技术要求。如甲方有回收物品，协助甲方运至指定位置。</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011606003001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天棚面龙骨及饰面拆除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1.拆除的基层类型:天棚吊顶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2.龙骨及饰面种类:轻钢龙骨及其它面层，含吊顶所有内容；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3.含清理以及外运至规定的处理场所。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4.其他：综合考虑，满足设计及技术要求。如甲方有回收物品，协助甲方运至指定位置。</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011605001001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卫生间地面拆除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1.拆除的基层类型:含原有地面瓷砖，水泥砂浆、砼等基层拆除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2.含地上附着物按照甲方要求处理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3.含清理以及外运至规定的处理场所。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4.其他：综合考虑，满足设计及技术要求。如甲方有回收物品，协助甲方运至指定位置。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5.含地上附着物按照甲方要求处理。</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5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011610002001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原卫生间门拆除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1.拆除的基层类型:卫生间门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2.含门板上所有内容；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3.含清理以及外运至规定的处理场所。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4.其他：综合考虑，满足设计及技术要求。如甲方有回收物品，协助甲方运至指定位置。</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011605001002</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卫生间洗手池台面拆除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卫生间洗手池台面拆除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1.拆除的基层类型:洗手池台面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2.龙骨及饰面种类:石材台面及其它面层，含洗手池所有内容；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3.台盆保护性拆除，交于甲方。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011609001001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原卫生间隔断拆除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1.拆除的基层类型:卫生间隔断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2.含隔断面板所有内容；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3.含清理以及外运至规定的处理场所。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4.其他：综合考虑，满足设计及技术要求。如甲方有回收物品，协助甲方运至指定位置。</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砌筑工程</w:t>
            </w:r>
          </w:p>
        </w:tc>
        <w:tc>
          <w:tcPr>
            <w:tcW w:w="6370" w:type="dxa"/>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010401001001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砖基础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1.部位：成品蹲便器底座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2.规格：H200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3.成品蹲便器底座做法暂按：品牌地面砖，20mm1:3干硬性水泥砂浆结合层，素水泥浆一道(内掺建筑胶)，刷聚氨酯防水涂料三遍，20mm1:2.5水泥砂浆找平层，砖砌地台，高度为200。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4.具体施工做法详见图纸，需满足设计、施工及招标人要求，须综合考虑各方深化带来的相关调整因素</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门窗工程</w:t>
            </w:r>
          </w:p>
        </w:tc>
        <w:tc>
          <w:tcPr>
            <w:tcW w:w="6370" w:type="dxa"/>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010804001001</w:t>
            </w:r>
          </w:p>
        </w:tc>
        <w:tc>
          <w:tcPr>
            <w:tcW w:w="1334" w:type="dxa"/>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实木复合门及门套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1.门代号及洞口尺寸:M0921,更新实木复合门及门套，尺寸根据现场综合考虑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2.含门锁、拉手、闭门器等所有五金件、以及底部不锈钢包覆。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3.报价满足规范验收及图纸要求，包括设计、施工全部工序及施工所需要的一切辅助用料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4.新装同款门牌号</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屋面及防水工程</w:t>
            </w:r>
          </w:p>
        </w:tc>
        <w:tc>
          <w:tcPr>
            <w:tcW w:w="6370" w:type="dxa"/>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010904002001</w:t>
            </w:r>
          </w:p>
        </w:tc>
        <w:tc>
          <w:tcPr>
            <w:tcW w:w="13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楼（地）面涂膜防水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1.部位:楼1用于卫生间等房间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2.材料要求及做法: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c.双组份聚氨酯防水涂料三遍1.5厚,面撒细砂,遇墙翻起自地面完成面上500高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d.基层处理剂一遍</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2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450"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    计</w:t>
            </w:r>
          </w:p>
        </w:tc>
        <w:tc>
          <w:tcPr>
            <w:tcW w:w="11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 </w:t>
            </w:r>
          </w:p>
        </w:tc>
        <w:tc>
          <w:tcPr>
            <w:tcW w:w="122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pPr>
    </w:p>
    <w:p>
      <w:pPr>
        <w:pStyle w:val="12"/>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pPr>
    </w:p>
    <w:p>
      <w:pPr>
        <w:pStyle w:val="10"/>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pPr>
    </w:p>
    <w:p>
      <w:pPr>
        <w:rPr>
          <w:rFonts w:hint="eastAsia"/>
        </w:rPr>
      </w:pPr>
    </w:p>
    <w:tbl>
      <w:tblPr>
        <w:tblStyle w:val="13"/>
        <w:tblpPr w:leftFromText="180" w:rightFromText="180" w:vertAnchor="text" w:horzAnchor="page" w:tblpX="962" w:tblpY="349"/>
        <w:tblOverlap w:val="never"/>
        <w:tblW w:w="15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8"/>
        <w:gridCol w:w="1593"/>
        <w:gridCol w:w="1618"/>
        <w:gridCol w:w="5934"/>
        <w:gridCol w:w="944"/>
        <w:gridCol w:w="718"/>
        <w:gridCol w:w="333"/>
        <w:gridCol w:w="1136"/>
        <w:gridCol w:w="1382"/>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993" w:type="dxa"/>
            <w:gridSpan w:val="4"/>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工程名称：装饰工程</w:t>
            </w:r>
          </w:p>
        </w:tc>
        <w:tc>
          <w:tcPr>
            <w:tcW w:w="1663" w:type="dxa"/>
            <w:gridSpan w:val="2"/>
            <w:tcBorders>
              <w:top w:val="nil"/>
              <w:left w:val="nil"/>
              <w:bottom w:val="nil"/>
              <w:right w:val="nil"/>
            </w:tcBorders>
            <w:shd w:val="clear" w:color="FFFFFF" w:fill="FFFFFF"/>
            <w:vAlign w:val="center"/>
          </w:tcPr>
          <w:p>
            <w:pPr>
              <w:rPr>
                <w:rFonts w:hint="eastAsia" w:ascii="黑体" w:hAnsi="宋体" w:eastAsia="黑体" w:cs="黑体"/>
                <w:i w:val="0"/>
                <w:iCs w:val="0"/>
                <w:color w:val="000000"/>
                <w:sz w:val="18"/>
                <w:szCs w:val="18"/>
                <w:u w:val="none"/>
              </w:rPr>
            </w:pPr>
          </w:p>
        </w:tc>
        <w:tc>
          <w:tcPr>
            <w:tcW w:w="4078" w:type="dxa"/>
            <w:gridSpan w:val="4"/>
            <w:tcBorders>
              <w:top w:val="nil"/>
              <w:left w:val="nil"/>
              <w:bottom w:val="nil"/>
              <w:right w:val="nil"/>
            </w:tcBorders>
            <w:shd w:val="clear" w:color="FFFFFF" w:fill="FFFFFF"/>
            <w:vAlign w:val="center"/>
          </w:tcPr>
          <w:p>
            <w:pPr>
              <w:jc w:val="right"/>
              <w:rPr>
                <w:rFonts w:hint="eastAsia" w:ascii="黑体" w:hAnsi="宋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16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p>
        </w:tc>
        <w:tc>
          <w:tcPr>
            <w:tcW w:w="59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项目特征</w:t>
            </w:r>
          </w:p>
        </w:tc>
        <w:tc>
          <w:tcPr>
            <w:tcW w:w="94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0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c>
          <w:tcPr>
            <w:tcW w:w="374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6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59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9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合价</w:t>
            </w: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楼地面装饰工程</w:t>
            </w:r>
          </w:p>
        </w:tc>
        <w:tc>
          <w:tcPr>
            <w:tcW w:w="0" w:type="auto"/>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011102003001</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地砖楼面(有防水层)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1.部位：楼1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a.300x600x(8-10厚)厚防滑全质瓷砖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b.30厚DS M15砂浆结合层,表面撒水泥粉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d.最薄处30厚C20细石混凝土找坡层,向地漏找1%坡,随打随抹平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。地漏四周及管根部用DS M15砂浆抹小八字角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e.界面剂1道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f.现浇钢筋混凝土楼板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3.各种节点及连接做法综合考虑在内（含各种找坡）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4.具体施工做法详见图纸，需满足设计、施工及招标人要求，须综合考虑各方深化带来的相关调整因素</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01B001</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卫生间地面全质瓷砖美缝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1.部位：卫生间地面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2.面层材料品种、规格、颜色:按照甲方要求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3.美缝材料种类:瓷砖缝隙应采美缝剂美缝,确保均匀密实。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4.具体施工做法详见图纸，需满足设计、施工及招标人要求，须综合考虑各方深化带来的相关调整因素</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墙面装饰工程</w:t>
            </w: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011201001002</w:t>
            </w:r>
          </w:p>
        </w:tc>
        <w:tc>
          <w:tcPr>
            <w:tcW w:w="16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墙面一般抹灰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1.卫生间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2.材料要求及做法：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d.10厚DP M15砂浆打底找平;;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e.界面剂1道;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f.用修补砂浆局部修补墙面,DP砂浆勾实接缝并拉毛,接缝处粘贴耐碱玻纤网格布;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g.砖墙基础墙体;</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011204003002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面砖内墙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1.部位：内墙1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2.材料要求及做法：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a.300x600x(8-10厚)防滑全质瓷砖;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b.5厚DTA砂浆粘结层;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3.具体施工做法详见图纸，需满足设计、施工及招标人要求，须综合考虑各方深化带来的相关调整因素</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天棚工程</w:t>
            </w: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011302001001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石膏板吊顶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双层防水石膏板，单层厚度9mm，施工内容含吊筋龙骨、防水乳胶漆、检修口、收口收边等；</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其他装饰工程</w:t>
            </w: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011210005001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成品隔断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1.卫生间复合隔板隔断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2.厚度:18厚复合隔断,高度至吊顶底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3.包含所需配件等全部内容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4.满足设计及规范要求,参16J914-1-XT9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011210005002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成品隔断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1.卫生间复合隔板隔断（小便斗隔断）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2.厚度:18厚复合隔断,尺寸：400*900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3.包含所需配件等全部内容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4.满足设计及规范要求,参16J914-1-XT9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011505010001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高梳妆镜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1.1100高梳妆镜,与台板同宽,镜底标高1.0米，参16J914-1-XT24-4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2.含感应式led线型灯带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3.满足设计及规范要求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011505001001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洗漱台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1.人造大理石洗漱台，参16J914-1-XT24-4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2.含裙边、开孔、磨边、支架等全部工作内容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3.满足设计及规范要求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84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01B002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5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洗手盆橱柜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1.柜体采用铝制木纹转印，铝板厚度不小于1毫米。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2.长度与台板同宽,宽度0.6米，高度0.8米。</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trPr>
        <w:tc>
          <w:tcPr>
            <w:tcW w:w="13126" w:type="dxa"/>
            <w:gridSpan w:val="8"/>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    计</w:t>
            </w:r>
          </w:p>
        </w:tc>
        <w:tc>
          <w:tcPr>
            <w:tcW w:w="138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0.000 </w:t>
            </w:r>
          </w:p>
        </w:tc>
        <w:tc>
          <w:tcPr>
            <w:tcW w:w="12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Fonts w:ascii="宋体" w:hAnsi="宋体" w:eastAsia="宋体" w:cs="宋体"/>
          <w:spacing w:val="-7"/>
          <w:sz w:val="24"/>
          <w:szCs w:val="24"/>
          <w14:textOutline w14:w="4356" w14:cap="flat" w14:cmpd="sng" w14:algn="ctr">
            <w14:solidFill>
              <w14:srgbClr w14:val="000000"/>
            </w14:solidFill>
            <w14:prstDash w14:val="solid"/>
            <w14:miter w14:val="0"/>
          </w14:textOutline>
        </w:rPr>
      </w:pPr>
    </w:p>
    <w:p>
      <w:pPr>
        <w:pStyle w:val="12"/>
        <w:rPr>
          <w:rFonts w:ascii="宋体" w:hAnsi="宋体" w:eastAsia="宋体" w:cs="宋体"/>
          <w:spacing w:val="-7"/>
          <w:sz w:val="24"/>
          <w:szCs w:val="24"/>
          <w14:textOutline w14:w="4356" w14:cap="flat" w14:cmpd="sng" w14:algn="ctr">
            <w14:solidFill>
              <w14:srgbClr w14:val="000000"/>
            </w14:solidFill>
            <w14:prstDash w14:val="solid"/>
            <w14:miter w14:val="0"/>
          </w14:textOutline>
        </w:rPr>
      </w:pPr>
    </w:p>
    <w:tbl>
      <w:tblPr>
        <w:tblStyle w:val="13"/>
        <w:tblW w:w="14625" w:type="dxa"/>
        <w:tblInd w:w="-3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93"/>
        <w:gridCol w:w="1469"/>
        <w:gridCol w:w="5247"/>
        <w:gridCol w:w="929"/>
        <w:gridCol w:w="718"/>
        <w:gridCol w:w="333"/>
        <w:gridCol w:w="1136"/>
        <w:gridCol w:w="1136"/>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149" w:type="dxa"/>
            <w:gridSpan w:val="4"/>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工程名称：电气改造工程</w:t>
            </w:r>
          </w:p>
        </w:tc>
        <w:tc>
          <w:tcPr>
            <w:tcW w:w="1647" w:type="dxa"/>
            <w:gridSpan w:val="2"/>
            <w:tcBorders>
              <w:top w:val="nil"/>
              <w:left w:val="nil"/>
              <w:bottom w:val="nil"/>
              <w:right w:val="nil"/>
            </w:tcBorders>
            <w:shd w:val="clear" w:color="FFFFFF" w:fill="FFFFFF"/>
            <w:vAlign w:val="center"/>
          </w:tcPr>
          <w:p>
            <w:pPr>
              <w:rPr>
                <w:rFonts w:hint="eastAsia" w:ascii="黑体" w:hAnsi="宋体" w:eastAsia="黑体" w:cs="黑体"/>
                <w:i w:val="0"/>
                <w:iCs w:val="0"/>
                <w:color w:val="000000"/>
                <w:sz w:val="18"/>
                <w:szCs w:val="18"/>
                <w:u w:val="none"/>
              </w:rPr>
            </w:pPr>
          </w:p>
        </w:tc>
        <w:tc>
          <w:tcPr>
            <w:tcW w:w="3829" w:type="dxa"/>
            <w:gridSpan w:val="4"/>
            <w:tcBorders>
              <w:top w:val="nil"/>
              <w:left w:val="nil"/>
              <w:bottom w:val="nil"/>
              <w:right w:val="nil"/>
            </w:tcBorders>
            <w:shd w:val="clear" w:color="FFFFFF" w:fill="FFFFFF"/>
            <w:vAlign w:val="center"/>
          </w:tcPr>
          <w:p>
            <w:pPr>
              <w:jc w:val="right"/>
              <w:rPr>
                <w:rFonts w:hint="eastAsia" w:ascii="黑体" w:hAnsi="宋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146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p>
        </w:tc>
        <w:tc>
          <w:tcPr>
            <w:tcW w:w="52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项目特征</w:t>
            </w:r>
          </w:p>
        </w:tc>
        <w:tc>
          <w:tcPr>
            <w:tcW w:w="9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0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c>
          <w:tcPr>
            <w:tcW w:w="349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46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52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9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合价</w:t>
            </w: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电气拆改</w:t>
            </w:r>
          </w:p>
        </w:tc>
        <w:tc>
          <w:tcPr>
            <w:tcW w:w="5247" w:type="dxa"/>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030506001001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扩声系统设备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1.名称:吊顶广播保护性拆除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2.配套线缆等也一并保护性拆除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030404036001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其他电器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1.名称:小厨宝、烘手器、纸盒、喷香机保护性拆除及恢复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1.名称:电线保护性拆除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3.规格:线型≤4mm²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4419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030404031001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小电器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1.名称:开关、插座、装饰灯、排风扇等拆除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1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03B001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水浸报警系统的拆除及恢复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1.原水浸报警系统（3根3米信号线，3个水浸探头）的保护性拆除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2.利旧恢复信号线：墙面留DN15PVC管（3×3米）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3.利旧恢复水浸探头：墙面留洞口3处（尺寸150×150），安装暗盒（尺寸150×150×100）3个，黑色烤漆不锈钢鱼鳞板百叶（150×150）3个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4.以上为主要工作内容，最终需恢复到正常使用功能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电气安装</w:t>
            </w:r>
          </w:p>
        </w:tc>
        <w:tc>
          <w:tcPr>
            <w:tcW w:w="5247" w:type="dxa"/>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030506001002</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扩声系统设备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1.名称:吊顶广播利旧安装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2.含配套线缆恢复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030412004002</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1.名称:LED筒灯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2.规格:φ175*40,开孔φ145-150,LED 12W,4000K,1140lm,IP20,显色指数&gt;80,灯具效能95lm/W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3.安装形式:嵌入式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4.综合考虑吊顶钻孔或预留孔洞费用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030404034001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1.名称:防溅型面板开关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2.规格:单联单控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3.IP54,带防溅盖板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4.安装方式:+1.3m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030404034002</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1.名称:防溅型面板开关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2.规格:双联单控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3.IP54,带防溅盖板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4.安装方式:+1.3m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030404035001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1.名称:防溅型单相5孔暗装插座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2.规格:250V/16A(小厨宝、烘手器用、备用)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3.安装方式:+0.5m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030404019001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1.名称:空调面板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2.规格:IP54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3.安装方式:+1.3m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030411006001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1.名称:接线盒安装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2.材质:钢制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3.安装形式:明装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030411006002</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1.名称:接线盒安装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2.材质:钢制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3.安装形式:暗装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030411004003</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1.名称:电线利旧安装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2.配线形式:综合考虑，若在原桥架内敷设，需考虑揭、盖桥架盖板费用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3.规格:线型≤4mm²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030411004004</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1.名称:电线安装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2.配线形式:综合考虑，若在原桥架内敷设，需考虑揭、盖桥架盖板费用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3.规格:WDZA-BYJ-4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4995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030411004005</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1.名称:空调面板控制线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2.材质、规格:SC20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3.配置形式:明配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4.吊顶内明配时综合考虑支吊架安装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5.防腐要求:刷防锈漆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030411001002</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2.材质、规格:SC20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3.配置形式:暗配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4.综合考虑砌块墙内敷设配管及接线盒时剔槽及恢复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5.防腐要求:刷防锈漆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030411001003</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1.名称:金属软管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2.材质、规格:DN20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030411003001</w:t>
            </w:r>
          </w:p>
        </w:tc>
        <w:tc>
          <w:tcPr>
            <w:tcW w:w="14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2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1.名称:钢制桥架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3.桥架穿墙处做防火封堵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4.含桥架、盖板、隔板、桥架支吊架、桥架连接板、铜接地线、桥架封头等，电缆桥架外观应按设计要求设有明显设备名称标示、走向标识及安全警示标志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9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265"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    计</w:t>
            </w:r>
          </w:p>
        </w:tc>
        <w:tc>
          <w:tcPr>
            <w:tcW w:w="11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22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10"/>
      </w:pPr>
    </w:p>
    <w:tbl>
      <w:tblPr>
        <w:tblStyle w:val="13"/>
        <w:tblpPr w:leftFromText="180" w:rightFromText="180" w:vertAnchor="text" w:horzAnchor="page" w:tblpX="917" w:tblpY="548"/>
        <w:tblOverlap w:val="never"/>
        <w:tblW w:w="154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93"/>
        <w:gridCol w:w="1514"/>
        <w:gridCol w:w="5876"/>
        <w:gridCol w:w="1079"/>
        <w:gridCol w:w="718"/>
        <w:gridCol w:w="333"/>
        <w:gridCol w:w="1136"/>
        <w:gridCol w:w="1136"/>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828" w:type="dxa"/>
            <w:gridSpan w:val="4"/>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工程名称：给排水改造工程</w:t>
            </w:r>
          </w:p>
        </w:tc>
        <w:tc>
          <w:tcPr>
            <w:tcW w:w="1798" w:type="dxa"/>
            <w:gridSpan w:val="2"/>
            <w:tcBorders>
              <w:top w:val="nil"/>
              <w:left w:val="nil"/>
              <w:bottom w:val="nil"/>
              <w:right w:val="nil"/>
            </w:tcBorders>
            <w:shd w:val="clear" w:color="FFFFFF" w:fill="FFFFFF"/>
            <w:vAlign w:val="center"/>
          </w:tcPr>
          <w:p>
            <w:pPr>
              <w:rPr>
                <w:rFonts w:hint="eastAsia" w:ascii="黑体" w:hAnsi="宋体" w:eastAsia="黑体" w:cs="黑体"/>
                <w:i w:val="0"/>
                <w:iCs w:val="0"/>
                <w:color w:val="000000"/>
                <w:sz w:val="18"/>
                <w:szCs w:val="18"/>
                <w:u w:val="none"/>
              </w:rPr>
            </w:pPr>
          </w:p>
        </w:tc>
        <w:tc>
          <w:tcPr>
            <w:tcW w:w="3832" w:type="dxa"/>
            <w:gridSpan w:val="4"/>
            <w:tcBorders>
              <w:top w:val="nil"/>
              <w:left w:val="nil"/>
              <w:bottom w:val="nil"/>
              <w:right w:val="nil"/>
            </w:tcBorders>
            <w:shd w:val="clear" w:color="FFFFFF" w:fill="FFFFFF"/>
            <w:vAlign w:val="center"/>
          </w:tcPr>
          <w:p>
            <w:pPr>
              <w:jc w:val="right"/>
              <w:rPr>
                <w:rFonts w:hint="eastAsia" w:ascii="黑体" w:hAnsi="宋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151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p>
        </w:tc>
        <w:tc>
          <w:tcPr>
            <w:tcW w:w="58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项目特征</w:t>
            </w:r>
          </w:p>
        </w:tc>
        <w:tc>
          <w:tcPr>
            <w:tcW w:w="10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0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c>
          <w:tcPr>
            <w:tcW w:w="349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1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58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合价</w:t>
            </w: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给排水拆除</w:t>
            </w:r>
          </w:p>
        </w:tc>
        <w:tc>
          <w:tcPr>
            <w:tcW w:w="0" w:type="auto"/>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031004006001</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大便器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1.名称:蹲便器拆除（含座便器）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2.含配套控制器等附件拆除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031004007001</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小便器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1.名称:小便器拆除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2.含配套控制器或感应器等附件拆除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031004003001</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洗脸盆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1.名称:洗脸盆拆除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2.含配套水龙头等附件拆除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031004014001</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给、排水附(配)件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1.名称:地漏拆除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2.型号、规格:综合考虑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031001006001</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1.名称:排水管拆除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031001006002</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1.名称:排水管拆除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2.材质、规格:UPVCDN75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031001006003</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1.名称:排水管拆除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3.拆除后废弃处理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给排水安装</w:t>
            </w:r>
          </w:p>
        </w:tc>
        <w:tc>
          <w:tcPr>
            <w:tcW w:w="0" w:type="auto"/>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031004006002</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大便器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1.名称:成品陶瓷蹲式大便器（手按延时排水）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2.含配套角阀、冲洗管、存水弯等附件安装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031004007002</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小便器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1.名称:成品感应式小便器（壁挂式）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2.含配套感应器、冲水连接管等附件安装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031004003002</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洗脸盆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1.名称:成品陶瓷洗脸盆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2.含配套冷热水龙头、角阀、软管、托架等附件安装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031004014002</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给、排水附(配)件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1.名称:304不锈钢深水封地漏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2.型号、规格:DN50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3.材质、类型:型号GGF50-10,内含地漏滤网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031001006004</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1.介质:排水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4.重力流排水管道安装完毕在隐蔽前必须做灌水试验和通球试验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031001006005</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1.介质:排水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2.材质、规格:UPVCDN75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4.含楼板洞口封堵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5.重力流排水管道安装完毕在隐蔽前必须做灌水试验和通球试验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031001006006</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1.介质:排水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2.材质、规格:UPVCDN50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4.含楼板洞口封堵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5.重力流排水管道安装完毕在隐蔽前必须做灌水试验和通球试验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3096"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    计</w:t>
            </w:r>
          </w:p>
        </w:tc>
        <w:tc>
          <w:tcPr>
            <w:tcW w:w="11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2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tbl>
      <w:tblPr>
        <w:tblStyle w:val="13"/>
        <w:tblpPr w:leftFromText="180" w:rightFromText="180" w:vertAnchor="text" w:horzAnchor="page" w:tblpX="752" w:tblpY="508"/>
        <w:tblOverlap w:val="never"/>
        <w:tblW w:w="15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93"/>
        <w:gridCol w:w="1229"/>
        <w:gridCol w:w="6731"/>
        <w:gridCol w:w="1019"/>
        <w:gridCol w:w="718"/>
        <w:gridCol w:w="333"/>
        <w:gridCol w:w="1136"/>
        <w:gridCol w:w="1136"/>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0" w:hRule="atLeast"/>
        </w:trPr>
        <w:tc>
          <w:tcPr>
            <w:tcW w:w="10393" w:type="dxa"/>
            <w:gridSpan w:val="4"/>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工程名称：暖通改造工程</w:t>
            </w:r>
          </w:p>
        </w:tc>
        <w:tc>
          <w:tcPr>
            <w:tcW w:w="1737" w:type="dxa"/>
            <w:gridSpan w:val="2"/>
            <w:tcBorders>
              <w:top w:val="nil"/>
              <w:left w:val="nil"/>
              <w:bottom w:val="nil"/>
              <w:right w:val="nil"/>
            </w:tcBorders>
            <w:shd w:val="clear" w:color="FFFFFF" w:fill="FFFFFF"/>
            <w:vAlign w:val="center"/>
          </w:tcPr>
          <w:p>
            <w:pPr>
              <w:rPr>
                <w:rFonts w:hint="eastAsia" w:ascii="黑体" w:hAnsi="宋体" w:eastAsia="黑体" w:cs="黑体"/>
                <w:i w:val="0"/>
                <w:iCs w:val="0"/>
                <w:color w:val="000000"/>
                <w:sz w:val="18"/>
                <w:szCs w:val="18"/>
                <w:u w:val="none"/>
              </w:rPr>
            </w:pPr>
          </w:p>
        </w:tc>
        <w:tc>
          <w:tcPr>
            <w:tcW w:w="3830" w:type="dxa"/>
            <w:gridSpan w:val="4"/>
            <w:tcBorders>
              <w:top w:val="nil"/>
              <w:left w:val="nil"/>
              <w:bottom w:val="nil"/>
              <w:right w:val="nil"/>
            </w:tcBorders>
            <w:shd w:val="clear" w:color="FFFFFF" w:fill="FFFFFF"/>
            <w:vAlign w:val="center"/>
          </w:tcPr>
          <w:p>
            <w:pPr>
              <w:jc w:val="right"/>
              <w:rPr>
                <w:rFonts w:hint="eastAsia" w:ascii="黑体" w:hAnsi="宋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5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12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p>
        </w:tc>
        <w:tc>
          <w:tcPr>
            <w:tcW w:w="67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项目特征</w:t>
            </w:r>
          </w:p>
        </w:tc>
        <w:tc>
          <w:tcPr>
            <w:tcW w:w="10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0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c>
          <w:tcPr>
            <w:tcW w:w="349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4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5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2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67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0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合价</w:t>
            </w: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空调工程</w:t>
            </w:r>
          </w:p>
        </w:tc>
        <w:tc>
          <w:tcPr>
            <w:tcW w:w="6731" w:type="dxa"/>
            <w:tcBorders>
              <w:top w:val="nil"/>
              <w:left w:val="nil"/>
              <w:bottom w:val="nil"/>
              <w:right w:val="nil"/>
            </w:tcBorders>
            <w:shd w:val="clear" w:color="auto" w:fill="auto"/>
            <w:noWrap/>
            <w:vAlign w:val="bottom"/>
          </w:tcPr>
          <w:p>
            <w:pPr>
              <w:rPr>
                <w:rFonts w:hint="eastAsia" w:ascii="??" w:hAnsi="??" w:eastAsia="??" w:cs="??"/>
                <w:i w:val="0"/>
                <w:iCs w:val="0"/>
                <w:color w:val="000000"/>
                <w:sz w:val="18"/>
                <w:szCs w:val="18"/>
                <w:u w:val="none"/>
              </w:rPr>
            </w:pP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030701004001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风机盘管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1.名称:一面出风嵌入式风机盘管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2.型号:设备选型要与原系统匹配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3.规格:FP-1,循环风量340m[[3]]/h,供冷量1.8kW,水压降≤30kPa，进出水接管管径DN20;配冷凝水提升泵(带止回阀),扬程1.2m。供回水温度7℃/12℃,电机功率0.4kW/220V。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4.安装形式及类型:吊顶嵌入安装，选用静音型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5.减振器、支架形式、材质:含减震、支吊架安装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031003001001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1.类型:电动二通阀(开/关)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2.规格、压力等级:DN25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3.连接形式:螺纹连接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031003001002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螺纹阀门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1.类型:铜截止阀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2.规格、压力等级:DN25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3.连接形式:螺纹连接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031003010001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金属软接头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1.规格:DN25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031001001001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热镀锌钢管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1.介质:空调供回水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2.规格、压力等级:GB/T 3091 DN25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3.连接形式:螺纹连接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4.含管道支吊架安装，并综合考虑与原管道对接产生的费用，包括且不限于局部管道拆改、泄水等费用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5.管道及支吊架刷漆防腐要求:保温管道:刷红丹防锈底漆两遍;管道金属支吊架:刷红丹防锈底漆和色漆各两遍,色漆颜色一般应与室内墙壁一致。刷漆前必须先清除金属表面的灰尘、铁锈、毛刺、水等污物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031001001002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热镀锌钢管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1.介质:空调供回水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2.规格、压力等级:GB/T 3091 DN32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3.连接形式:螺纹连接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4.含管道支吊架安装，并综合考虑与原管道对接产生的费用，包括且不限于局部管道拆改、泄水等费用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5.管道及支吊架刷漆防腐要求:保温管道:刷红丹防锈底漆两遍;管道金属支吊架:刷红丹防锈底漆和色漆各两遍,色漆颜色一般应与室内墙壁一致。刷漆前必须先清除金属表面的灰尘、铁锈、毛刺、水等污物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031001001003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热镀锌钢管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1.介质:空调冷凝水管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2.规格、压力等级:GB/T 3091 DN20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3.连接形式:螺纹连接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4.含管道支吊架安装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5.管道及支吊架刷漆防腐要求:保温管道:刷红丹防锈底漆两遍;管道金属支吊架:刷红丹防锈底漆和色漆各两遍,色漆颜色一般应与室内墙壁一致。刷漆前必须先清除金属表面的灰尘、铁锈、毛刺、水等污物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031208002001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管道绝热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1.绝热材料品种:柔性泡沫橡塑管壳(最高介质温度80℃)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2.绝热厚度:空调供回水管30mm，冷凝水管20mm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3.管道外径:≤φ57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4.导热系数λ=0.0334+0.00013t W/(m·K),密度60kg/m[[3]],燃烧性能为氧指数&gt;32的难燃B1级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030413003001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打洞（孔）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1.名称:混凝土墙体开洞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2.规格:D60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3.墙体材质、厚度:综合考虑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4.含孔洞封堵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030413003002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打洞（孔）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1.名称:混凝土墙体开洞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2.规格:400*400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3.墙体材质、厚度:综合考虑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4.含孔洞封堵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5.洞底与原洞口底同高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030413002002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凿（压)槽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1.名称:墙体剔槽及恢复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2.规格:介质管道规格≤DN20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3.墙体类型:综合考虑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03B001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空调水系统调试及打压试验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1.除正常空调水系统调试外，改造涉及到的管道系统还需重新做打压试验，工作压力1.0MPa，强度试验压力1.5MPa，密闭性实验压力1.0MPa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通风工程</w:t>
            </w:r>
          </w:p>
        </w:tc>
        <w:tc>
          <w:tcPr>
            <w:tcW w:w="6731" w:type="dxa"/>
            <w:tcBorders>
              <w:top w:val="nil"/>
              <w:left w:val="nil"/>
              <w:bottom w:val="nil"/>
              <w:right w:val="nil"/>
            </w:tcBorders>
            <w:shd w:val="clear" w:color="auto" w:fill="auto"/>
            <w:noWrap/>
            <w:vAlign w:val="bottom"/>
          </w:tcPr>
          <w:p>
            <w:pPr>
              <w:rPr>
                <w:rFonts w:hint="default" w:ascii="??" w:hAnsi="??" w:eastAsia="??" w:cs="??"/>
                <w:i w:val="0"/>
                <w:iCs w:val="0"/>
                <w:color w:val="000000"/>
                <w:sz w:val="18"/>
                <w:szCs w:val="18"/>
                <w:u w:val="none"/>
              </w:rPr>
            </w:pP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030404033002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1.名称:吸顶式换气扇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2.规格:X-1,风量680m[[3]]/h,P=190Pa,n=2500rpm,超静音型，配D200软接,电机功率0.2kW/220V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3.安装方式:吊顶嵌入安装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4.含配套支吊架安装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030703001001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1.名称:风管蝶阀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2.规格:320*320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030703001002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1.名称:风管70℃防火阀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2.规格:320*320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030703001003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碳钢阀门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1.名称:风管止回阀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2.规格:D200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030702001001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碳钢通风管道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1.材质:镀锌薄钢板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2.形状:圆形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3.规格:D200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4.板材厚度:0.75mm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5.接口形式:法兰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6.含支吊架安装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86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030702001002</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碳钢通风管道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1.材质:镀锌薄钢板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2.形状:矩形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3.规格:320*320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4.板材厚度:0.75mm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5.接口形式:法兰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6.含支吊架安装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59.13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2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030702001003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低噪声柜式离心风机箱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1.风量3050m</w:t>
            </w:r>
            <w:r>
              <w:rPr>
                <w:rStyle w:val="22"/>
                <w:lang w:val="en-US" w:eastAsia="zh-CN" w:bidi="ar"/>
              </w:rPr>
              <w:t>3</w:t>
            </w:r>
            <w:r>
              <w:rPr>
                <w:rFonts w:hint="eastAsia" w:ascii="宋体" w:hAnsi="宋体" w:eastAsia="宋体" w:cs="宋体"/>
                <w:i w:val="0"/>
                <w:iCs w:val="0"/>
                <w:color w:val="000000"/>
                <w:kern w:val="0"/>
                <w:sz w:val="18"/>
                <w:szCs w:val="18"/>
                <w:u w:val="none"/>
                <w:lang w:val="en-US" w:eastAsia="zh-CN" w:bidi="ar"/>
              </w:rPr>
              <w:t>/h,P=255Pa,n=900rpm,超静音型，配止回风阀、电机功率0.55kW/220V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2.吊顶嵌入安装</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030704001001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通风工程检测、调试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1.其他:详见设计,满足设计及验收要求</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4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5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030703007001</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风口百叶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1.综合考虑尺寸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2.铝合金材质</w:t>
            </w:r>
          </w:p>
        </w:tc>
        <w:tc>
          <w:tcPr>
            <w:tcW w:w="1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3599"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    计</w:t>
            </w:r>
          </w:p>
        </w:tc>
        <w:tc>
          <w:tcPr>
            <w:tcW w:w="11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0.00 </w:t>
            </w:r>
          </w:p>
        </w:tc>
        <w:tc>
          <w:tcPr>
            <w:tcW w:w="12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spacing w:before="186" w:line="224" w:lineRule="auto"/>
        <w:ind w:left="5342"/>
        <w:rPr>
          <w:rFonts w:ascii="宋体" w:hAnsi="宋体" w:eastAsia="宋体" w:cs="宋体"/>
          <w:spacing w:val="16"/>
          <w:sz w:val="24"/>
          <w:szCs w:val="24"/>
          <w14:textOutline w14:w="5791" w14:cap="flat" w14:cmpd="sng" w14:algn="ctr">
            <w14:solidFill>
              <w14:srgbClr w14:val="000000"/>
            </w14:solidFill>
            <w14:prstDash w14:val="solid"/>
            <w14:miter w14:val="0"/>
          </w14:textOutline>
        </w:rPr>
      </w:pPr>
    </w:p>
    <w:p>
      <w:pPr>
        <w:spacing w:before="140" w:line="220" w:lineRule="auto"/>
        <w:ind w:left="2" w:firstLine="412" w:firstLineChars="200"/>
        <w:rPr>
          <w:rFonts w:hint="eastAsia" w:ascii="宋体" w:hAnsi="宋体" w:eastAsia="宋体" w:cs="宋体"/>
          <w:spacing w:val="-2"/>
          <w:szCs w:val="21"/>
        </w:rPr>
        <w:sectPr>
          <w:footerReference r:id="rId10" w:type="default"/>
          <w:pgSz w:w="16841" w:h="11907"/>
          <w:pgMar w:top="400" w:right="1699" w:bottom="1168" w:left="1481" w:header="0" w:footer="990" w:gutter="0"/>
          <w:cols w:equalWidth="0" w:num="1">
            <w:col w:w="13660"/>
          </w:cols>
        </w:sectPr>
      </w:pPr>
    </w:p>
    <w:p>
      <w:pPr>
        <w:keepNext/>
        <w:keepLines/>
        <w:outlineLvl w:val="2"/>
        <w:rPr>
          <w:rFonts w:hint="eastAsia" w:ascii="Times New Roman" w:hAnsi="Times New Roman" w:eastAsia="宋体" w:cs="Times New Roman"/>
          <w:b/>
          <w:bCs/>
          <w:color w:val="000000"/>
          <w:sz w:val="24"/>
          <w:szCs w:val="24"/>
          <w:lang w:eastAsia="zh-CN"/>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6</w:t>
      </w:r>
      <w:r>
        <w:rPr>
          <w:rFonts w:hint="eastAsia" w:ascii="Times New Roman" w:hAnsi="Times New Roman" w:eastAsia="宋体" w:cs="Times New Roman"/>
          <w:b/>
          <w:bCs/>
          <w:color w:val="000000"/>
          <w:sz w:val="24"/>
          <w:szCs w:val="24"/>
        </w:rPr>
        <w:t>质量承诺</w:t>
      </w:r>
      <w:r>
        <w:rPr>
          <w:rFonts w:hint="eastAsia" w:ascii="Times New Roman" w:hAnsi="Times New Roman" w:eastAsia="宋体" w:cs="Times New Roman"/>
          <w:b/>
          <w:bCs/>
          <w:color w:val="000000"/>
          <w:sz w:val="24"/>
          <w:szCs w:val="24"/>
          <w:lang w:val="en-US" w:eastAsia="zh-CN"/>
        </w:rPr>
        <w:t>书</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b/>
          <w:bCs/>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color w:val="000000"/>
          <w:sz w:val="24"/>
          <w:szCs w:val="24"/>
          <w:u w:val="single"/>
          <w:lang w:val="en-US" w:eastAsia="zh-CN"/>
        </w:rPr>
        <w:t>科技大厦卫生间改造一期项目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w:t>
      </w:r>
      <w:r>
        <w:rPr>
          <w:rFonts w:hint="eastAsia" w:ascii="宋体" w:hAnsi="宋体" w:eastAsia="宋体" w:cs="Times New Roman"/>
          <w:sz w:val="24"/>
          <w:szCs w:val="20"/>
          <w:lang w:val="en-US" w:eastAsia="zh-CN"/>
        </w:rPr>
        <w:t>项目</w:t>
      </w:r>
      <w:r>
        <w:rPr>
          <w:rFonts w:hint="eastAsia" w:ascii="宋体" w:hAnsi="宋体" w:eastAsia="宋体" w:cs="Times New Roman"/>
          <w:sz w:val="24"/>
          <w:szCs w:val="20"/>
        </w:rPr>
        <w:t>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before="110" w:line="227" w:lineRule="auto"/>
        <w:ind w:left="29"/>
        <w:outlineLvl w:val="2"/>
        <w:rPr>
          <w:rFonts w:hint="eastAsia" w:ascii="Times New Roman" w:hAnsi="Times New Roman" w:eastAsia="宋体" w:cs="Times New Roman"/>
          <w:b/>
          <w:bCs/>
          <w:color w:val="000000"/>
          <w:sz w:val="24"/>
          <w:szCs w:val="24"/>
        </w:rPr>
      </w:pPr>
    </w:p>
    <w:p>
      <w:pPr>
        <w:pStyle w:val="2"/>
        <w:jc w:val="both"/>
        <w:rPr>
          <w:rFonts w:hint="default"/>
          <w:i w:val="0"/>
          <w:iCs w:val="0"/>
          <w:sz w:val="24"/>
          <w:szCs w:val="24"/>
          <w:lang w:val="en-US" w:eastAsia="zh-CN"/>
        </w:rPr>
      </w:pPr>
      <w:bookmarkStart w:id="67" w:name="_Toc22263"/>
      <w:bookmarkStart w:id="68" w:name="_Toc17817356"/>
      <w:bookmarkStart w:id="69" w:name="_Toc6830"/>
      <w:bookmarkStart w:id="70" w:name="_Toc205452069"/>
      <w:r>
        <w:rPr>
          <w:rFonts w:hint="eastAsia"/>
          <w:i w:val="0"/>
          <w:iCs w:val="0"/>
          <w:sz w:val="24"/>
          <w:szCs w:val="24"/>
          <w:lang w:val="en-US" w:eastAsia="zh-CN"/>
        </w:rPr>
        <w:t>附件7：近三年财务状况</w:t>
      </w:r>
    </w:p>
    <w:bookmarkEnd w:id="67"/>
    <w:bookmarkEnd w:id="68"/>
    <w:bookmarkEnd w:id="69"/>
    <w:bookmarkEnd w:id="70"/>
    <w:p>
      <w:pPr>
        <w:pStyle w:val="23"/>
        <w:numPr>
          <w:ilvl w:val="0"/>
          <w:numId w:val="0"/>
        </w:numPr>
        <w:snapToGrid w:val="0"/>
        <w:spacing w:line="440" w:lineRule="exact"/>
        <w:jc w:val="center"/>
        <w:rPr>
          <w:rStyle w:val="19"/>
          <w:rFonts w:hint="eastAsia" w:ascii="宋体" w:hAnsi="宋体" w:eastAsia="宋体" w:cs="宋体"/>
          <w:b/>
          <w:szCs w:val="21"/>
        </w:rPr>
      </w:pPr>
      <w:bookmarkStart w:id="71" w:name="_Toc16064006"/>
      <w:r>
        <w:rPr>
          <w:rStyle w:val="19"/>
          <w:rFonts w:hint="eastAsia" w:ascii="宋体" w:hAnsi="宋体" w:eastAsia="宋体" w:cs="宋体"/>
          <w:b/>
          <w:szCs w:val="21"/>
        </w:rPr>
        <w:t>近三年财务状况：</w:t>
      </w:r>
      <w:bookmarkEnd w:id="71"/>
    </w:p>
    <w:p>
      <w:pPr>
        <w:spacing w:line="440" w:lineRule="exact"/>
        <w:rPr>
          <w:rStyle w:val="19"/>
          <w:rFonts w:hint="eastAsia" w:ascii="宋体" w:hAnsi="宋体" w:eastAsia="宋体" w:cs="宋体"/>
        </w:rPr>
      </w:pPr>
      <w:r>
        <w:rPr>
          <w:rStyle w:val="19"/>
          <w:rFonts w:hint="eastAsia" w:ascii="宋体" w:hAnsi="宋体" w:eastAsia="宋体" w:cs="宋体"/>
        </w:rPr>
        <w:t>附：投标人提供经会计师事务所审计且出具无保留意见的近三年（近三年指2022、2023、2024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要求后附</w:t>
      </w:r>
      <w:r>
        <w:rPr>
          <w:rStyle w:val="19"/>
          <w:rFonts w:hint="eastAsia" w:ascii="宋体" w:hAnsi="宋体" w:eastAsia="宋体" w:cs="宋体"/>
          <w:b/>
          <w:bCs/>
        </w:rPr>
        <w:t>企业最近半年完税证明、信用证明材料（中国人民银行信用报告）；年度纳税信用评价信息（可从电子税务局查询截图）；企业对外担保说明（写明贵单位对外有无对外担保和质押业务）。</w:t>
      </w:r>
    </w:p>
    <w:p>
      <w:pPr>
        <w:spacing w:line="440" w:lineRule="exact"/>
        <w:rPr>
          <w:rStyle w:val="19"/>
          <w:rFonts w:hint="eastAsia" w:ascii="宋体" w:hAnsi="宋体" w:eastAsia="宋体" w:cs="宋体"/>
        </w:rPr>
      </w:pPr>
      <w:r>
        <w:rPr>
          <w:rStyle w:val="19"/>
          <w:rFonts w:hint="eastAsia" w:ascii="宋体" w:hAnsi="宋体" w:eastAsia="宋体" w:cs="宋体"/>
        </w:rPr>
        <w:br w:type="page"/>
      </w:r>
    </w:p>
    <w:p>
      <w:pPr>
        <w:pStyle w:val="2"/>
        <w:jc w:val="both"/>
        <w:rPr>
          <w:rFonts w:hint="default"/>
          <w:i w:val="0"/>
          <w:iCs w:val="0"/>
          <w:sz w:val="24"/>
          <w:szCs w:val="24"/>
          <w:lang w:val="en-US" w:eastAsia="zh-CN"/>
        </w:rPr>
      </w:pPr>
      <w:bookmarkStart w:id="72" w:name="_Toc16064007"/>
      <w:r>
        <w:rPr>
          <w:rFonts w:hint="eastAsia"/>
          <w:i w:val="0"/>
          <w:iCs w:val="0"/>
          <w:sz w:val="24"/>
          <w:szCs w:val="24"/>
          <w:lang w:val="en-US" w:eastAsia="zh-CN"/>
        </w:rPr>
        <w:t>附件8：</w:t>
      </w:r>
      <w:r>
        <w:rPr>
          <w:rStyle w:val="19"/>
          <w:rFonts w:hint="eastAsia" w:ascii="宋体" w:hAnsi="宋体" w:eastAsia="宋体" w:cs="宋体"/>
          <w:b/>
          <w:szCs w:val="21"/>
        </w:rPr>
        <w:t>拟派项目部主要管理人员</w:t>
      </w:r>
    </w:p>
    <w:p>
      <w:pPr>
        <w:pStyle w:val="23"/>
        <w:numPr>
          <w:ilvl w:val="0"/>
          <w:numId w:val="0"/>
        </w:numPr>
        <w:snapToGrid w:val="0"/>
        <w:spacing w:line="440" w:lineRule="exact"/>
        <w:jc w:val="both"/>
        <w:rPr>
          <w:rStyle w:val="19"/>
          <w:rFonts w:hint="eastAsia" w:ascii="宋体" w:hAnsi="宋体" w:eastAsia="宋体" w:cs="宋体"/>
          <w:b/>
          <w:szCs w:val="21"/>
        </w:rPr>
      </w:pPr>
    </w:p>
    <w:p>
      <w:pPr>
        <w:pStyle w:val="23"/>
        <w:numPr>
          <w:ilvl w:val="0"/>
          <w:numId w:val="0"/>
        </w:numPr>
        <w:snapToGrid w:val="0"/>
        <w:spacing w:line="440" w:lineRule="exact"/>
        <w:jc w:val="center"/>
        <w:rPr>
          <w:rStyle w:val="19"/>
          <w:rFonts w:hint="eastAsia" w:ascii="宋体" w:hAnsi="宋体" w:eastAsia="宋体" w:cs="宋体"/>
          <w:b/>
          <w:szCs w:val="21"/>
        </w:rPr>
      </w:pPr>
      <w:r>
        <w:rPr>
          <w:rStyle w:val="19"/>
          <w:rFonts w:hint="eastAsia" w:ascii="宋体" w:hAnsi="宋体" w:eastAsia="宋体" w:cs="宋体"/>
          <w:b/>
          <w:szCs w:val="21"/>
        </w:rPr>
        <w:t>拟派项目部主要管理人员</w:t>
      </w:r>
      <w:bookmarkEnd w:id="72"/>
    </w:p>
    <w:p>
      <w:pPr>
        <w:pStyle w:val="23"/>
        <w:snapToGrid w:val="0"/>
        <w:spacing w:line="440" w:lineRule="exact"/>
        <w:ind w:left="1367" w:firstLine="0" w:firstLineChars="0"/>
        <w:rPr>
          <w:rStyle w:val="19"/>
          <w:rFonts w:hint="eastAsia" w:ascii="宋体" w:hAnsi="宋体" w:eastAsia="宋体" w:cs="宋体"/>
          <w:b/>
          <w:szCs w:val="21"/>
        </w:rPr>
      </w:pPr>
    </w:p>
    <w:p>
      <w:pPr>
        <w:spacing w:line="440" w:lineRule="exact"/>
        <w:rPr>
          <w:rStyle w:val="19"/>
          <w:rFonts w:hint="eastAsia" w:ascii="宋体" w:hAnsi="宋体" w:eastAsia="宋体" w:cs="宋体"/>
        </w:rPr>
      </w:pPr>
      <w:r>
        <w:rPr>
          <w:rStyle w:val="19"/>
          <w:rFonts w:hint="eastAsia" w:ascii="宋体" w:hAnsi="宋体" w:eastAsia="宋体" w:cs="宋体"/>
        </w:rPr>
        <w:t xml:space="preserve">附：拟派项目经理的注册建造师执业资格证及安全生产考核合格B证复印件； </w:t>
      </w:r>
    </w:p>
    <w:p>
      <w:pPr>
        <w:spacing w:line="360" w:lineRule="exact"/>
        <w:ind w:firstLine="413" w:firstLineChars="196"/>
        <w:rPr>
          <w:rStyle w:val="19"/>
          <w:rFonts w:hint="eastAsia" w:ascii="宋体" w:hAnsi="宋体" w:eastAsia="宋体" w:cs="宋体"/>
          <w:b/>
          <w:bCs/>
          <w:u w:val="single"/>
        </w:rPr>
      </w:pPr>
      <w:r>
        <w:rPr>
          <w:rStyle w:val="19"/>
          <w:rFonts w:hint="eastAsia" w:ascii="宋体" w:hAnsi="宋体" w:eastAsia="宋体" w:cs="宋体"/>
          <w:b/>
          <w:bCs/>
          <w:u w:val="single"/>
        </w:rPr>
        <w:t>注：若以上人员资格证书无单位名称或与投标人单位名称不一致的，须提交投标截至时间前一年内在本单位缴纳的连续十二个月的社保证明，否则视为无效证件且不计入济建建字【2011】12号文规定的最低人员配备。</w:t>
      </w:r>
    </w:p>
    <w:p>
      <w:pPr>
        <w:spacing w:line="440" w:lineRule="exact"/>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Style w:val="19"/>
          <w:rFonts w:hint="eastAsia" w:ascii="宋体" w:hAnsi="宋体" w:eastAsia="宋体" w:cs="宋体"/>
          <w:b/>
          <w:bCs/>
          <w:u w:val="single"/>
        </w:rPr>
      </w:pPr>
    </w:p>
    <w:p>
      <w:pPr>
        <w:pStyle w:val="12"/>
        <w:rPr>
          <w:rStyle w:val="19"/>
          <w:rFonts w:hint="eastAsia" w:ascii="宋体" w:hAnsi="宋体" w:eastAsia="宋体" w:cs="宋体"/>
          <w:b/>
          <w:bCs/>
          <w:u w:val="single"/>
        </w:rPr>
      </w:pPr>
    </w:p>
    <w:p>
      <w:pPr>
        <w:pStyle w:val="10"/>
        <w:rPr>
          <w:rStyle w:val="19"/>
          <w:rFonts w:hint="eastAsia" w:ascii="宋体" w:hAnsi="宋体" w:eastAsia="宋体" w:cs="宋体"/>
          <w:b/>
          <w:bCs/>
          <w:u w:val="single"/>
        </w:rPr>
      </w:pPr>
    </w:p>
    <w:p>
      <w:pPr>
        <w:rPr>
          <w:rFonts w:hint="eastAsia"/>
        </w:rPr>
      </w:pPr>
    </w:p>
    <w:p>
      <w:pPr>
        <w:pStyle w:val="2"/>
        <w:jc w:val="both"/>
        <w:rPr>
          <w:rFonts w:hint="default" w:eastAsia="宋体"/>
          <w:i w:val="0"/>
          <w:iCs w:val="0"/>
          <w:sz w:val="24"/>
          <w:szCs w:val="24"/>
          <w:lang w:val="en-US" w:eastAsia="zh-CN"/>
        </w:rPr>
      </w:pPr>
      <w:r>
        <w:rPr>
          <w:rFonts w:hint="eastAsia"/>
          <w:i w:val="0"/>
          <w:iCs w:val="0"/>
          <w:sz w:val="24"/>
          <w:szCs w:val="24"/>
          <w:lang w:val="en-US" w:eastAsia="zh-CN"/>
        </w:rPr>
        <w:t>附件9：</w:t>
      </w:r>
      <w:r>
        <w:rPr>
          <w:rStyle w:val="19"/>
          <w:rFonts w:hint="eastAsia" w:ascii="宋体" w:hAnsi="宋体" w:cs="宋体"/>
          <w:b/>
          <w:szCs w:val="21"/>
          <w:lang w:val="en-US" w:eastAsia="zh-CN"/>
        </w:rPr>
        <w:t>近三年承担的类似工程情况表</w:t>
      </w:r>
    </w:p>
    <w:p>
      <w:pPr>
        <w:pStyle w:val="10"/>
        <w:rPr>
          <w:rFonts w:hint="eastAsia"/>
        </w:rPr>
      </w:pPr>
    </w:p>
    <w:p>
      <w:pPr>
        <w:pStyle w:val="23"/>
        <w:numPr>
          <w:ilvl w:val="0"/>
          <w:numId w:val="0"/>
        </w:numPr>
        <w:snapToGrid w:val="0"/>
        <w:spacing w:line="440" w:lineRule="exact"/>
        <w:jc w:val="center"/>
        <w:rPr>
          <w:rStyle w:val="19"/>
          <w:rFonts w:hint="eastAsia" w:ascii="宋体" w:hAnsi="宋体" w:eastAsia="宋体" w:cs="宋体"/>
          <w:b/>
          <w:szCs w:val="21"/>
        </w:rPr>
      </w:pPr>
      <w:bookmarkStart w:id="73" w:name="_Toc16064008"/>
      <w:r>
        <w:rPr>
          <w:rStyle w:val="19"/>
          <w:rFonts w:hint="eastAsia" w:ascii="宋体" w:hAnsi="宋体" w:eastAsia="宋体" w:cs="宋体"/>
          <w:b/>
          <w:szCs w:val="21"/>
        </w:rPr>
        <w:t>近三年承担的类似工程情况表</w:t>
      </w:r>
      <w:bookmarkEnd w:id="73"/>
    </w:p>
    <w:p>
      <w:pPr>
        <w:pStyle w:val="23"/>
        <w:snapToGrid w:val="0"/>
        <w:spacing w:line="440" w:lineRule="exact"/>
        <w:ind w:left="1367" w:firstLine="0" w:firstLineChars="0"/>
        <w:rPr>
          <w:rStyle w:val="19"/>
          <w:rFonts w:hint="eastAsia" w:ascii="宋体" w:hAnsi="宋体" w:eastAsia="宋体" w:cs="宋体"/>
          <w:b/>
          <w:szCs w:val="21"/>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55"/>
        <w:gridCol w:w="655"/>
        <w:gridCol w:w="800"/>
        <w:gridCol w:w="1381"/>
        <w:gridCol w:w="655"/>
        <w:gridCol w:w="1010"/>
        <w:gridCol w:w="655"/>
        <w:gridCol w:w="656"/>
        <w:gridCol w:w="801"/>
        <w:gridCol w:w="1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bookmarkStart w:id="74" w:name="_Hlk161835794"/>
            <w:r>
              <w:rPr>
                <w:rStyle w:val="19"/>
                <w:rFonts w:hint="eastAsia" w:ascii="宋体" w:hAnsi="宋体" w:eastAsia="宋体" w:cs="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总监理工程师及电话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3"/>
              </w:num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r>
              <w:rPr>
                <w:rStyle w:val="19"/>
                <w:rFonts w:hint="eastAsia" w:ascii="宋体" w:hAnsi="宋体" w:eastAsia="宋体" w:cs="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宋体" w:hAnsi="宋体" w:eastAsia="宋体" w:cs="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19"/>
                <w:rFonts w:hint="eastAsia" w:ascii="宋体" w:hAnsi="宋体" w:eastAsia="宋体" w:cs="宋体"/>
                <w:szCs w:val="21"/>
              </w:rPr>
            </w:pPr>
          </w:p>
        </w:tc>
      </w:tr>
      <w:bookmarkEnd w:id="74"/>
    </w:tbl>
    <w:p>
      <w:pPr>
        <w:spacing w:line="440" w:lineRule="exact"/>
        <w:ind w:left="630" w:hanging="630" w:hangingChars="300"/>
        <w:rPr>
          <w:rStyle w:val="19"/>
          <w:rFonts w:hint="eastAsia" w:ascii="宋体" w:hAnsi="宋体" w:eastAsia="宋体" w:cs="宋体"/>
          <w:szCs w:val="21"/>
        </w:rPr>
      </w:pPr>
      <w:r>
        <w:rPr>
          <w:rStyle w:val="19"/>
          <w:rFonts w:hint="eastAsia" w:ascii="宋体" w:hAnsi="宋体" w:eastAsia="宋体" w:cs="宋体"/>
          <w:szCs w:val="21"/>
        </w:rPr>
        <w:t>备注：近三年指2022年1月1日至开标之日（以合同签订时间为准），类似工程：详见投标人须知前附表；</w:t>
      </w:r>
    </w:p>
    <w:p>
      <w:pPr>
        <w:pStyle w:val="7"/>
        <w:outlineLvl w:val="1"/>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 xml:space="preserve">10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7"/>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7"/>
        <w:outlineLvl w:val="1"/>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1</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http://ecaitong.sinotruk.com:8012/</w:t>
      </w:r>
      <w:r>
        <w:rPr>
          <w:rStyle w:val="15"/>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
      <w:pPr>
        <w:spacing w:line="440" w:lineRule="exact"/>
        <w:ind w:left="630" w:leftChars="300"/>
        <w:rPr>
          <w:rStyle w:val="19"/>
          <w:rFonts w:hint="eastAsia" w:ascii="宋体" w:hAnsi="宋体" w:eastAsia="宋体" w:cs="宋体"/>
          <w:b/>
          <w:bCs/>
          <w:szCs w:val="21"/>
        </w:rPr>
      </w:pPr>
    </w:p>
    <w:p>
      <w:pPr>
        <w:rPr>
          <w:rFonts w:hint="eastAsia" w:ascii="宋体" w:hAnsi="宋体" w:eastAsia="宋体" w:cs="宋体"/>
        </w:rPr>
      </w:pPr>
    </w:p>
    <w:p>
      <w:pPr>
        <w:pStyle w:val="7"/>
        <w:rPr>
          <w:rFonts w:hint="eastAsia" w:ascii="宋体" w:hAnsi="宋体" w:eastAsia="宋体" w:cs="宋体"/>
        </w:rPr>
      </w:pPr>
    </w:p>
    <w:p>
      <w:pPr>
        <w:pStyle w:val="10"/>
        <w:rPr>
          <w:rFonts w:hint="eastAsia"/>
          <w:lang w:val="en-US" w:eastAsia="zh-CN"/>
        </w:rPr>
      </w:pPr>
    </w:p>
    <w:p>
      <w:pPr>
        <w:pStyle w:val="10"/>
        <w:numPr>
          <w:numId w:val="0"/>
        </w:numPr>
        <w:ind w:leftChars="0"/>
        <w:rPr>
          <w:rFonts w:hint="default"/>
          <w:lang w:val="en-US" w:eastAsia="zh-CN"/>
        </w:rPr>
      </w:pPr>
    </w:p>
    <w:p>
      <w:pPr>
        <w:pStyle w:val="7"/>
        <w:numPr>
          <w:numId w:val="0"/>
        </w:numPr>
        <w:spacing w:line="360" w:lineRule="auto"/>
        <w:ind w:leftChars="0"/>
        <w:jc w:val="both"/>
        <w:outlineLvl w:val="0"/>
        <w:rPr>
          <w:rStyle w:val="17"/>
          <w:rFonts w:hint="default" w:eastAsia="宋体" w:cs="Times New Roman"/>
          <w:sz w:val="48"/>
          <w:szCs w:val="48"/>
          <w:highlight w:val="none"/>
          <w:lang w:val="en-US" w:eastAsia="zh-CN"/>
        </w:rPr>
      </w:pPr>
    </w:p>
    <w:p>
      <w:pPr>
        <w:pStyle w:val="7"/>
        <w:spacing w:line="360" w:lineRule="auto"/>
        <w:ind w:firstLine="480" w:firstLineChars="200"/>
        <w:rPr>
          <w:rStyle w:val="17"/>
          <w:rFonts w:hint="default" w:eastAsia="宋体" w:cs="Times New Roman"/>
          <w:highlight w:val="yellow"/>
          <w:lang w:val="en-US" w:eastAsia="zh-CN"/>
        </w:rPr>
      </w:pPr>
    </w:p>
    <w:p>
      <w:pPr>
        <w:pStyle w:val="7"/>
        <w:spacing w:line="360" w:lineRule="auto"/>
        <w:ind w:firstLine="420" w:firstLineChars="0"/>
        <w:rPr>
          <w:rFonts w:hint="default" w:eastAsia="宋体"/>
          <w:color w:val="000000"/>
          <w:sz w:val="24"/>
          <w:szCs w:val="24"/>
          <w:lang w:val="en-US" w:eastAsia="zh-CN"/>
        </w:rPr>
      </w:pPr>
    </w:p>
    <w:p>
      <w:pPr>
        <w:pStyle w:val="7"/>
        <w:rPr>
          <w:rFonts w:hint="eastAsia"/>
          <w:lang w:val="en-US" w:eastAsia="zh-CN"/>
        </w:rPr>
      </w:pPr>
    </w:p>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Emoji">
    <w:panose1 w:val="020B0502040204020203"/>
    <w:charset w:val="00"/>
    <w:family w:val="swiss"/>
    <w:pitch w:val="default"/>
    <w:sig w:usb0="00000001" w:usb1="02000000" w:usb2="08000000" w:usb3="00000000" w:csb0="0000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9065A"/>
    <w:multiLevelType w:val="singleLevel"/>
    <w:tmpl w:val="8239065A"/>
    <w:lvl w:ilvl="0" w:tentative="0">
      <w:start w:val="4"/>
      <w:numFmt w:val="chineseCounting"/>
      <w:suff w:val="nothing"/>
      <w:lvlText w:val="%1、"/>
      <w:lvlJc w:val="left"/>
      <w:rPr>
        <w:rFonts w:hint="eastAsia"/>
      </w:rPr>
    </w:lvl>
  </w:abstractNum>
  <w:abstractNum w:abstractNumId="1">
    <w:nsid w:val="B2236B96"/>
    <w:multiLevelType w:val="singleLevel"/>
    <w:tmpl w:val="B2236B96"/>
    <w:lvl w:ilvl="0" w:tentative="0">
      <w:start w:val="2"/>
      <w:numFmt w:val="chineseCounting"/>
      <w:suff w:val="space"/>
      <w:lvlText w:val="第%1章"/>
      <w:lvlJc w:val="left"/>
      <w:rPr>
        <w:rFonts w:hint="eastAsia"/>
      </w:rPr>
    </w:lvl>
  </w:abstractNum>
  <w:abstractNum w:abstractNumId="2">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E715D"/>
    <w:rsid w:val="00D45531"/>
    <w:rsid w:val="06A21193"/>
    <w:rsid w:val="0C3E1CAE"/>
    <w:rsid w:val="23C640E9"/>
    <w:rsid w:val="2D780355"/>
    <w:rsid w:val="339D1272"/>
    <w:rsid w:val="35E068EB"/>
    <w:rsid w:val="4F8638D1"/>
    <w:rsid w:val="507F1442"/>
    <w:rsid w:val="5D5A71EF"/>
    <w:rsid w:val="6E544226"/>
    <w:rsid w:val="73B2703B"/>
    <w:rsid w:val="76ED454E"/>
    <w:rsid w:val="7B3E7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Segoe UI Emoji" w:cs="Arial"/>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qFormat/>
    <w:uiPriority w:val="9"/>
    <w:pPr>
      <w:keepNext/>
      <w:spacing w:before="240" w:after="60"/>
      <w:outlineLvl w:val="2"/>
    </w:pPr>
    <w:rPr>
      <w:rFonts w:ascii="Cambria" w:hAnsi="Cambria"/>
      <w:b/>
      <w:bCs/>
      <w:sz w:val="26"/>
      <w:szCs w:val="26"/>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4">
    <w:name w:val="annotation text"/>
    <w:basedOn w:val="1"/>
    <w:qFormat/>
    <w:uiPriority w:val="0"/>
    <w:pPr>
      <w:jc w:val="left"/>
    </w:pPr>
    <w:rPr>
      <w:rFonts w:asciiTheme="minorHAnsi" w:hAnsiTheme="minorHAnsi" w:cstheme="minorBidi"/>
    </w:rPr>
  </w:style>
  <w:style w:type="paragraph" w:styleId="5">
    <w:name w:val="Body Text"/>
    <w:basedOn w:val="1"/>
    <w:next w:val="1"/>
    <w:qFormat/>
    <w:uiPriority w:val="0"/>
    <w:rPr>
      <w:rFonts w:eastAsia="楷体_GB2312"/>
      <w:sz w:val="28"/>
      <w:szCs w:val="20"/>
    </w:rPr>
  </w:style>
  <w:style w:type="paragraph" w:styleId="6">
    <w:name w:val="Body Text Indent"/>
    <w:basedOn w:val="1"/>
    <w:next w:val="1"/>
    <w:qFormat/>
    <w:uiPriority w:val="0"/>
    <w:pPr>
      <w:spacing w:after="120"/>
      <w:ind w:left="420" w:leftChars="200"/>
    </w:pPr>
  </w:style>
  <w:style w:type="paragraph" w:styleId="7">
    <w:name w:val="Plain Text"/>
    <w:basedOn w:val="1"/>
    <w:qFormat/>
    <w:uiPriority w:val="0"/>
    <w:rPr>
      <w:rFonts w:ascii="Segoe UI Emoji" w:hAnsi="Calibri"/>
    </w:rPr>
  </w:style>
  <w:style w:type="paragraph" w:styleId="8">
    <w:name w:val="footer"/>
    <w:basedOn w:val="1"/>
    <w:qFormat/>
    <w:uiPriority w:val="99"/>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toc 2"/>
    <w:basedOn w:val="1"/>
    <w:next w:val="1"/>
    <w:qFormat/>
    <w:uiPriority w:val="39"/>
    <w:pPr>
      <w:tabs>
        <w:tab w:val="right" w:leader="dot" w:pos="9629"/>
      </w:tabs>
      <w:ind w:left="480" w:leftChars="200"/>
    </w:pPr>
    <w:rPr>
      <w:b/>
    </w:rPr>
  </w:style>
  <w:style w:type="paragraph" w:styleId="11">
    <w:name w:val="Normal (Web)"/>
    <w:basedOn w:val="1"/>
    <w:qFormat/>
    <w:uiPriority w:val="99"/>
    <w:pPr>
      <w:spacing w:before="100" w:beforeAutospacing="1" w:after="100" w:afterAutospacing="1"/>
      <w:jc w:val="left"/>
    </w:pPr>
    <w:rPr>
      <w:kern w:val="0"/>
      <w:sz w:val="24"/>
    </w:rPr>
  </w:style>
  <w:style w:type="paragraph" w:styleId="12">
    <w:name w:val="Body Text First Indent 2"/>
    <w:basedOn w:val="6"/>
    <w:next w:val="10"/>
    <w:qFormat/>
    <w:uiPriority w:val="0"/>
    <w:pPr>
      <w:spacing w:line="276" w:lineRule="auto"/>
      <w:ind w:left="200" w:firstLine="200" w:firstLineChars="200"/>
      <w:jc w:val="left"/>
    </w:pPr>
  </w:style>
  <w:style w:type="character" w:styleId="15">
    <w:name w:val="Hyperlink"/>
    <w:basedOn w:val="14"/>
    <w:uiPriority w:val="0"/>
    <w:rPr>
      <w:color w:val="0000FF"/>
      <w:u w:val="single"/>
    </w:rPr>
  </w:style>
  <w:style w:type="paragraph" w:customStyle="1" w:styleId="16">
    <w:name w:val="标书二级标题"/>
    <w:basedOn w:val="2"/>
    <w:qFormat/>
    <w:uiPriority w:val="0"/>
    <w:pPr>
      <w:spacing w:before="0" w:after="0" w:line="240" w:lineRule="auto"/>
      <w:jc w:val="left"/>
    </w:pPr>
    <w:rPr>
      <w:rFonts w:ascii="Segoe UI Emoji" w:hAnsi="Segoe UI Emoji"/>
      <w:b w:val="0"/>
      <w:sz w:val="28"/>
      <w:szCs w:val="30"/>
    </w:rPr>
  </w:style>
  <w:style w:type="character" w:customStyle="1" w:styleId="17">
    <w:name w:val="标书正文格式 字符"/>
    <w:link w:val="18"/>
    <w:qFormat/>
    <w:uiPriority w:val="0"/>
    <w:rPr>
      <w:rFonts w:hAnsi="Segoe UI Emoji"/>
      <w:color w:val="000000"/>
      <w:sz w:val="24"/>
      <w:szCs w:val="24"/>
    </w:rPr>
  </w:style>
  <w:style w:type="paragraph" w:customStyle="1" w:styleId="18">
    <w:name w:val="标书正文格式"/>
    <w:basedOn w:val="7"/>
    <w:link w:val="17"/>
    <w:qFormat/>
    <w:uiPriority w:val="0"/>
    <w:pPr>
      <w:spacing w:line="360" w:lineRule="auto"/>
      <w:ind w:firstLine="200" w:firstLineChars="200"/>
    </w:pPr>
    <w:rPr>
      <w:rFonts w:hAnsi="Segoe UI Emoji"/>
      <w:color w:val="000000"/>
      <w:sz w:val="24"/>
      <w:szCs w:val="24"/>
    </w:rPr>
  </w:style>
  <w:style w:type="character" w:customStyle="1" w:styleId="19">
    <w:name w:val="NormalCharacter"/>
    <w:qFormat/>
    <w:uiPriority w:val="0"/>
  </w:style>
  <w:style w:type="paragraph" w:customStyle="1" w:styleId="20">
    <w:name w:val="UserStyle_95"/>
    <w:basedOn w:val="21"/>
    <w:qFormat/>
    <w:uiPriority w:val="0"/>
  </w:style>
  <w:style w:type="paragraph" w:customStyle="1" w:styleId="21">
    <w:name w:val="Heading4"/>
    <w:basedOn w:val="1"/>
    <w:next w:val="1"/>
    <w:qFormat/>
    <w:uiPriority w:val="0"/>
    <w:pPr>
      <w:keepNext/>
      <w:spacing w:before="240" w:after="60"/>
    </w:pPr>
    <w:rPr>
      <w:b/>
      <w:bCs/>
      <w:sz w:val="28"/>
      <w:szCs w:val="28"/>
    </w:rPr>
  </w:style>
  <w:style w:type="character" w:customStyle="1" w:styleId="22">
    <w:name w:val="font31"/>
    <w:basedOn w:val="14"/>
    <w:qFormat/>
    <w:uiPriority w:val="0"/>
    <w:rPr>
      <w:rFonts w:hint="eastAsia" w:ascii="宋体" w:hAnsi="宋体" w:eastAsia="宋体" w:cs="宋体"/>
      <w:color w:val="000000"/>
      <w:sz w:val="18"/>
      <w:szCs w:val="18"/>
      <w:u w:val="none"/>
      <w:vertAlign w:val="superscript"/>
    </w:rPr>
  </w:style>
  <w:style w:type="paragraph" w:styleId="2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2025-11-24T06:31:00Z</dcterms:created>
  <dc:creator>赵力</dc:creator>
  <cp:lastModifiedBy>赵力</cp:lastModifiedBy>
  <dcterms:modified xsi:type="dcterms:W3CDTF">2025-11-24T06:56:00Z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6E90BD8D4D3E4C83A2D5F640BE9C9EBB</vt:lpwstr>
  </property>
</Properties>
</file>