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spacing w:line="276" w:lineRule="auto"/>
        <w:jc w:val="center"/>
        <w:rPr>
          <w:rFonts w:hint="eastAsia" w:ascii="仿宋_GB2312" w:hAnsi="仿宋_GB2312" w:eastAsia="仿宋_GB2312" w:cs="仿宋_GB2312"/>
          <w:b/>
          <w:bCs/>
          <w:color w:val="000000"/>
          <w:spacing w:val="-8"/>
          <w:sz w:val="48"/>
          <w:szCs w:val="48"/>
        </w:rPr>
      </w:pPr>
      <w:r>
        <w:rPr>
          <w:rFonts w:hint="eastAsia" w:ascii="仿宋_GB2312" w:hAnsi="仿宋_GB2312" w:eastAsia="仿宋_GB2312" w:cs="仿宋_GB2312"/>
          <w:b/>
          <w:bCs/>
          <w:color w:val="000000"/>
          <w:spacing w:val="-8"/>
          <w:sz w:val="48"/>
          <w:szCs w:val="48"/>
        </w:rPr>
        <w:t>总院竞品对标车辆租赁服务项目</w:t>
      </w:r>
    </w:p>
    <w:p>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pPr>
        <w:pStyle w:val="2"/>
        <w:rPr>
          <w:rFonts w:hint="eastAsia" w:ascii="仿宋_GB2312" w:hAnsi="仿宋_GB2312" w:eastAsia="仿宋_GB2312" w:cs="仿宋_GB2312"/>
        </w:rPr>
      </w:pPr>
    </w:p>
    <w:p>
      <w:pPr>
        <w:pStyle w:val="2"/>
        <w:rPr>
          <w:rFonts w:hint="eastAsia" w:ascii="仿宋_GB2312" w:hAnsi="仿宋_GB2312" w:eastAsia="仿宋_GB2312" w:cs="仿宋_GB2312"/>
        </w:rPr>
      </w:pPr>
    </w:p>
    <w:p>
      <w:pPr>
        <w:pStyle w:val="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：汽车研究总院</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11</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8"/>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2"/>
        <w:rPr>
          <w:rFonts w:hint="eastAsia" w:ascii="仿宋_GB2312" w:hAnsi="仿宋_GB2312" w:eastAsia="仿宋_GB2312" w:cs="仿宋_GB2312"/>
          <w:b/>
          <w:bCs/>
          <w:kern w:val="44"/>
          <w:sz w:val="36"/>
          <w:szCs w:val="44"/>
        </w:rPr>
      </w:pPr>
    </w:p>
    <w:p>
      <w:pPr>
        <w:pStyle w:val="3"/>
        <w:jc w:val="both"/>
        <w:rPr>
          <w:rFonts w:hint="eastAsia" w:ascii="仿宋_GB2312" w:hAnsi="仿宋_GB2312" w:eastAsia="仿宋_GB2312" w:cs="仿宋_GB2312"/>
          <w:sz w:val="44"/>
        </w:rPr>
      </w:pPr>
      <w:bookmarkStart w:id="0" w:name="_Toc23693"/>
      <w:bookmarkStart w:id="1" w:name="_Toc15480"/>
      <w:bookmarkStart w:id="2" w:name="_Toc22242"/>
      <w:bookmarkStart w:id="3" w:name="_Toc29994"/>
      <w:bookmarkStart w:id="4" w:name="_Toc5202"/>
    </w:p>
    <w:p>
      <w:pPr>
        <w:pStyle w:val="3"/>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项目名称：总院竞品对标车辆租赁服务项目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项目编号：FSCZB2025110230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根据汽车研究总院整车性能开发及全国路况适应性验证需要，需要租赁部分国内外皮卡、VAN、轻卡及中重卡等竞品车辆进行对标验证，投标人需能够根据招标人要求配置准备相关车辆，准备周期要求：国产车不超过7天，进口车不超过15天。</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招标人名称：汽车研究总院</w:t>
            </w:r>
          </w:p>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snapToGrid w:val="0"/>
                <w:kern w:val="0"/>
                <w:sz w:val="24"/>
                <w:szCs w:val="24"/>
              </w:rPr>
              <w:t>招标人地址：</w:t>
            </w:r>
            <w:r>
              <w:rPr>
                <w:rFonts w:hint="eastAsia" w:ascii="仿宋_GB2312" w:hAnsi="仿宋_GB2312" w:eastAsia="仿宋_GB2312" w:cs="仿宋_GB2312"/>
                <w:b/>
                <w:snapToGrid w:val="0"/>
                <w:kern w:val="0"/>
                <w:sz w:val="24"/>
                <w:szCs w:val="24"/>
                <w:lang w:val="en-US" w:eastAsia="zh-CN"/>
              </w:rPr>
              <w:t>山东省济南市历城区华奥路777号</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技术联系人：郑家豪</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电话：19818939659</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300</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pStyle w:val="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拟标投人必须是在中华人民共和国境内注册的独立法人机构，具有独立承担民事责任能力；注册资金不少于300万人民币（或等值其他货币）；公司成立三年以上（以营业执照成立日期到开标当日满三年为准），且经营范围满足招标人需求；并在人员、设备、资金等方面具有承担本项目的能力；</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2.拟投标人应提供营业执照副本原件和扫描件（需盖章）；</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3.拟投标人应提供法定代表人资格证明文件；</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4.拟投标人在“国家企业信用信息公示系统”、“中国执行信息公开网”、“信用中国”、“天眼查”“裁判文书网”等信息平台中，无行政处罚及失信记录等信息；</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6.拟投标人2022年1月1日至今经第三方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7.拟投标人有与本次招标内容相同或类似项目业绩，且近3年内无因服务不当而造成重大事故；</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8.拟投标人近三年内在经营活动中无与本项目有关的违法及重大违规情况；</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9.拟投标人须认可招标人的工作指令，包括节、假日能正常开展工作的要求；</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10.拟投标人最近半年纳税正常；</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11.拟投标人信用证明材料（征信中心出具的信用报告）未显示异常；</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12.拟投标人的直接或间接股东、法定代表人、董事、监事、高管非重汽员工及其亲属；</w:t>
            </w:r>
            <w:r>
              <w:rPr>
                <w:rFonts w:hint="eastAsia" w:ascii="仿宋_GB2312" w:hAnsi="仿宋_GB2312" w:eastAsia="仿宋_GB2312" w:cs="仿宋_GB2312"/>
                <w:color w:val="000000"/>
                <w:sz w:val="24"/>
                <w:szCs w:val="24"/>
              </w:rPr>
              <w:br w:type="textWrapping"/>
            </w:r>
            <w:r>
              <w:rPr>
                <w:rFonts w:hint="eastAsia" w:ascii="仿宋_GB2312" w:hAnsi="仿宋_GB2312" w:eastAsia="仿宋_GB2312" w:cs="仿宋_GB2312"/>
                <w:color w:val="000000"/>
                <w:sz w:val="24"/>
                <w:szCs w:val="24"/>
              </w:rPr>
              <w:t>13.本项目不接受联合体投标，拟投标人必须是最终投标单位和签订合同单位，不得以任何理由将已中标项目以任何形式分包或转包给其他单位。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2025年11月24日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中国重汽官网、山东省阳光采购服务平台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2025年11月30日前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2025年11月30日前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2025年11月29日17：00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2025年12月4日17：00</w:t>
            </w:r>
          </w:p>
          <w:p>
            <w:pPr>
              <w:pStyle w:val="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sz w:val="24"/>
                <w:szCs w:val="24"/>
                <w:lang w:val="en-US" w:eastAsia="zh-CN"/>
              </w:rPr>
              <w:t>20000</w:t>
            </w:r>
            <w:r>
              <w:rPr>
                <w:rFonts w:hint="eastAsia" w:ascii="仿宋_GB2312" w:hAnsi="仿宋_GB2312" w:eastAsia="仿宋_GB2312" w:cs="仿宋_GB2312"/>
                <w:sz w:val="24"/>
                <w:szCs w:val="24"/>
              </w:rPr>
              <w:t>元</w:t>
            </w:r>
          </w:p>
          <w:p>
            <w:pPr>
              <w:tabs>
                <w:tab w:val="left" w:pos="932"/>
              </w:tabs>
              <w:ind w:firstLine="482" w:firstLineChars="200"/>
              <w:rPr>
                <w:rFonts w:hint="eastAsia" w:ascii="宋体" w:hAnsi="宋体" w:eastAsia="宋体" w:cs="宋体"/>
                <w:color w:val="000000"/>
                <w:kern w:val="0"/>
                <w:sz w:val="24"/>
                <w:szCs w:val="24"/>
                <w:highlight w:val="yellow"/>
                <w:lang w:eastAsia="zh-CN"/>
              </w:rPr>
            </w:pPr>
            <w:r>
              <w:rPr>
                <w:rFonts w:hint="eastAsia" w:ascii="宋体" w:hAnsi="宋体" w:eastAsia="宋体" w:cs="宋体"/>
                <w:b/>
                <w:bCs/>
                <w:color w:val="000000"/>
                <w:kern w:val="0"/>
                <w:sz w:val="24"/>
                <w:szCs w:val="24"/>
                <w:highlight w:val="yellow"/>
              </w:rPr>
              <w:t>开户名称：</w:t>
            </w:r>
            <w:r>
              <w:rPr>
                <w:rFonts w:hint="eastAsia" w:ascii="宋体" w:hAnsi="宋体" w:eastAsia="宋体" w:cs="宋体"/>
                <w:color w:val="000000"/>
                <w:kern w:val="0"/>
                <w:sz w:val="24"/>
                <w:szCs w:val="24"/>
                <w:highlight w:val="yellow"/>
                <w:lang w:eastAsia="zh-CN"/>
              </w:rPr>
              <w:t>中国重汽集团济南动力有限公司</w:t>
            </w:r>
          </w:p>
          <w:p>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开户银行：</w:t>
            </w:r>
            <w:r>
              <w:rPr>
                <w:rFonts w:hint="eastAsia" w:ascii="宋体" w:hAnsi="宋体" w:eastAsia="宋体" w:cs="宋体"/>
                <w:color w:val="000000"/>
                <w:kern w:val="0"/>
                <w:sz w:val="24"/>
                <w:szCs w:val="24"/>
                <w:highlight w:val="yellow"/>
              </w:rPr>
              <w:t>中国建设银行股份有限公司济南天桥支行</w:t>
            </w:r>
          </w:p>
          <w:p>
            <w:pPr>
              <w:tabs>
                <w:tab w:val="left" w:pos="932"/>
              </w:tabs>
              <w:ind w:firstLine="482" w:firstLineChars="200"/>
              <w:rPr>
                <w:rFonts w:hint="eastAsia" w:ascii="宋体" w:hAnsi="宋体" w:eastAsia="宋体" w:cs="宋体"/>
                <w:color w:val="000000"/>
                <w:kern w:val="0"/>
                <w:sz w:val="24"/>
                <w:szCs w:val="24"/>
                <w:highlight w:val="yellow"/>
              </w:rPr>
            </w:pPr>
            <w:r>
              <w:rPr>
                <w:rFonts w:hint="eastAsia" w:ascii="宋体" w:hAnsi="宋体" w:eastAsia="宋体" w:cs="宋体"/>
                <w:b/>
                <w:bCs/>
                <w:color w:val="000000"/>
                <w:kern w:val="0"/>
                <w:sz w:val="24"/>
                <w:szCs w:val="24"/>
                <w:highlight w:val="yellow"/>
              </w:rPr>
              <w:t>银行帐号：</w:t>
            </w:r>
            <w:r>
              <w:rPr>
                <w:rFonts w:hint="eastAsia" w:ascii="宋体" w:hAnsi="宋体" w:eastAsia="宋体" w:cs="宋体"/>
                <w:color w:val="000000"/>
                <w:kern w:val="0"/>
                <w:sz w:val="24"/>
                <w:szCs w:val="24"/>
                <w:highlight w:val="yellow"/>
              </w:rPr>
              <w:t>37001616508050150300</w:t>
            </w:r>
          </w:p>
          <w:p>
            <w:pPr>
              <w:ind w:firstLine="482" w:firstLineChars="200"/>
              <w:rPr>
                <w:rFonts w:hint="eastAsia" w:ascii="宋体" w:hAnsi="宋体" w:eastAsia="宋体" w:cs="宋体"/>
                <w:sz w:val="24"/>
                <w:szCs w:val="24"/>
                <w:highlight w:val="yellow"/>
              </w:rPr>
            </w:pPr>
            <w:r>
              <w:rPr>
                <w:rFonts w:hint="eastAsia" w:ascii="宋体" w:hAnsi="宋体" w:eastAsia="宋体" w:cs="宋体"/>
                <w:b/>
                <w:bCs/>
                <w:color w:val="000000"/>
                <w:kern w:val="0"/>
                <w:sz w:val="24"/>
                <w:szCs w:val="24"/>
                <w:highlight w:val="yellow"/>
              </w:rPr>
              <w:t>联行号：</w:t>
            </w:r>
            <w:r>
              <w:rPr>
                <w:rFonts w:hint="eastAsia" w:ascii="宋体" w:hAnsi="宋体" w:eastAsia="宋体" w:cs="宋体"/>
                <w:color w:val="000000"/>
                <w:kern w:val="0"/>
                <w:sz w:val="24"/>
                <w:szCs w:val="24"/>
                <w:highlight w:val="yellow"/>
              </w:rPr>
              <w:t>105451000362</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2025年12月4日17：00</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2025年12月5</w:t>
            </w:r>
            <w:bookmarkStart w:id="104" w:name="_GoBack"/>
            <w:bookmarkEnd w:id="104"/>
            <w:r>
              <w:rPr>
                <w:rFonts w:hint="eastAsia" w:ascii="仿宋_GB2312" w:hAnsi="仿宋_GB2312" w:eastAsia="仿宋_GB2312" w:cs="仿宋_GB2312"/>
                <w:color w:val="000000"/>
                <w:sz w:val="24"/>
                <w:szCs w:val="24"/>
                <w:highlight w:val="green"/>
                <w:lang w:val="en-US" w:eastAsia="zh-CN"/>
              </w:rPr>
              <w:t>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pStyle w:val="2"/>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lang w:val="en-US" w:eastAsia="zh-CN"/>
              </w:rPr>
              <w:t>以技术标书内要求为准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w:t>
            </w:r>
            <w:r>
              <w:rPr>
                <w:rFonts w:hint="eastAsia" w:ascii="仿宋_GB2312" w:hAnsi="仿宋_GB2312" w:eastAsia="仿宋_GB2312" w:cs="仿宋_GB2312"/>
                <w:b/>
                <w:bCs/>
                <w:color w:val="000000"/>
                <w:sz w:val="24"/>
                <w:szCs w:val="24"/>
                <w:highlight w:val="green"/>
                <w:lang w:val="en-US" w:eastAsia="zh-CN"/>
              </w:rPr>
              <w:t>济南市历城区华奥路777号</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7"/>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2"/>
              <w:ind w:firstLine="482" w:firstLineChars="200"/>
              <w:rPr>
                <w:rFonts w:hint="eastAsia" w:ascii="仿宋_GB2312" w:hAnsi="仿宋_GB2312" w:eastAsia="仿宋_GB2312" w:cs="仿宋_GB2312"/>
                <w:color w:val="000000"/>
                <w:sz w:val="24"/>
                <w:szCs w:val="24"/>
                <w:highlight w:val="yellow"/>
                <w:lang w:eastAsia="zh-CN"/>
              </w:rPr>
            </w:pPr>
            <w:r>
              <w:rPr>
                <w:rFonts w:hint="eastAsia" w:ascii="仿宋_GB2312" w:hAnsi="仿宋_GB2312" w:eastAsia="仿宋_GB2312" w:cs="仿宋_GB2312"/>
                <w:b/>
                <w:bCs/>
                <w:color w:val="000000"/>
                <w:sz w:val="24"/>
                <w:szCs w:val="24"/>
              </w:rPr>
              <w:t>付款方式：银行转账</w:t>
            </w:r>
            <w:r>
              <w:rPr>
                <w:rFonts w:hint="eastAsia" w:ascii="仿宋_GB2312" w:hAnsi="仿宋_GB2312" w:eastAsia="仿宋_GB2312" w:cs="仿宋_GB2312"/>
                <w:b/>
                <w:bCs/>
                <w:color w:val="000000"/>
                <w:sz w:val="24"/>
                <w:szCs w:val="24"/>
                <w:lang w:eastAsia="zh-CN"/>
              </w:rPr>
              <w:t>：</w:t>
            </w:r>
          </w:p>
          <w:p>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中标人与招标人签订合同，中标人按照招标人要求做好车辆组织工作，并由招标人进行确认。每辆车每次租用完成后，中标方在招标人费用通知单确认后5个工作日开具全额增值税专用发票，招标人在收到中标方发票30日内一次性支付。</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7"/>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7"/>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3"/>
        <w:rPr>
          <w:rFonts w:hint="eastAsia" w:ascii="仿宋_GB2312" w:hAnsi="仿宋_GB2312" w:eastAsia="仿宋_GB2312" w:cs="仿宋_GB2312"/>
          <w:sz w:val="44"/>
        </w:rPr>
      </w:pPr>
      <w:bookmarkStart w:id="7" w:name="_Toc9448"/>
      <w:bookmarkStart w:id="8" w:name="_Toc27087"/>
      <w:bookmarkStart w:id="9" w:name="_Toc19183"/>
      <w:bookmarkStart w:id="10" w:name="_Toc6577"/>
      <w:bookmarkStart w:id="11" w:name="_Toc427"/>
      <w:bookmarkStart w:id="12" w:name="_Toc11216"/>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4"/>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4"/>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4"/>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4"/>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4"/>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中国重汽官网、山东省阳光采购服务平台</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4"/>
        <w:rPr>
          <w:rFonts w:hint="eastAsia" w:ascii="仿宋_GB2312" w:hAnsi="仿宋_GB2312" w:eastAsia="仿宋_GB2312" w:cs="仿宋_GB2312"/>
          <w:sz w:val="36"/>
          <w:szCs w:val="36"/>
        </w:rPr>
      </w:pPr>
      <w:bookmarkStart w:id="19" w:name="_Toc33266627"/>
      <w:bookmarkStart w:id="20" w:name="_Toc33266950"/>
      <w:bookmarkStart w:id="21" w:name="_Toc33266914"/>
      <w:bookmarkStart w:id="22" w:name="_Toc33285487"/>
      <w:bookmarkStart w:id="23" w:name="_Toc33267001"/>
      <w:bookmarkStart w:id="24" w:name="_Toc33265653"/>
      <w:bookmarkStart w:id="25" w:name="_Toc33265752"/>
      <w:bookmarkStart w:id="26" w:name="_Toc30534"/>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65654"/>
      <w:bookmarkStart w:id="29" w:name="_Toc395116634"/>
      <w:bookmarkStart w:id="30" w:name="_Toc33265753"/>
      <w:bookmarkStart w:id="31" w:name="_Toc33285489"/>
      <w:bookmarkStart w:id="32" w:name="_Toc33266951"/>
      <w:bookmarkStart w:id="33" w:name="_Toc33267002"/>
      <w:bookmarkStart w:id="34" w:name="_Toc33266915"/>
      <w:bookmarkStart w:id="35" w:name="_Toc33266628"/>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p>
    <w:bookmarkEnd w:id="28"/>
    <w:bookmarkEnd w:id="29"/>
    <w:bookmarkEnd w:id="30"/>
    <w:bookmarkEnd w:id="31"/>
    <w:bookmarkEnd w:id="32"/>
    <w:bookmarkEnd w:id="33"/>
    <w:bookmarkEnd w:id="34"/>
    <w:bookmarkEnd w:id="35"/>
    <w:p>
      <w:pPr>
        <w:pStyle w:val="123"/>
        <w:rPr>
          <w:rFonts w:ascii="宋体" w:hAnsi="宋体" w:cs="宋体"/>
        </w:rPr>
      </w:pPr>
      <w:bookmarkStart w:id="36" w:name="_Toc66999409"/>
      <w:bookmarkStart w:id="37" w:name="_Toc28416"/>
      <w:r>
        <w:rPr>
          <w:rFonts w:hint="eastAsia" w:ascii="宋体" w:hAnsi="宋体" w:cs="宋体"/>
        </w:rPr>
        <w:t>1、评标</w:t>
      </w:r>
      <w:bookmarkEnd w:id="36"/>
    </w:p>
    <w:p>
      <w:pPr>
        <w:pStyle w:val="117"/>
        <w:rPr>
          <w:rFonts w:ascii="宋体" w:hAnsi="宋体" w:eastAsia="宋体" w:cs="宋体"/>
          <w:highlight w:val="yellow"/>
        </w:rPr>
      </w:pPr>
      <w:r>
        <w:rPr>
          <w:rFonts w:hint="eastAsia" w:ascii="宋体" w:hAnsi="宋体" w:eastAsia="宋体" w:cs="宋体"/>
        </w:rPr>
        <w:t>为保证项目顺利实施，由招标人组织、按国家法律法规及公司相关规章制度要求，设立评标工作小组，同时依据以下评分标准，采用综合评定法，本着公平、公正、公开的原则，在最大限度地满足招标文件实质性要求的前提下，对招标文件中规定的各项因素进行综合评审，确定中标人（不保证最低价格中标），对未中标单位不做任何解释。招标人有权根据项目情况，采取多级评标模式，最终确定推荐中标人。</w:t>
      </w:r>
    </w:p>
    <w:p>
      <w:pPr>
        <w:pStyle w:val="117"/>
        <w:rPr>
          <w:rFonts w:ascii="宋体" w:hAnsi="宋体" w:eastAsia="宋体" w:cs="宋体"/>
        </w:rPr>
      </w:pPr>
      <w:r>
        <w:rPr>
          <w:rFonts w:hint="eastAsia" w:ascii="宋体" w:hAnsi="宋体" w:eastAsia="宋体" w:cs="宋体"/>
        </w:rPr>
        <w:t>评标流程：</w:t>
      </w:r>
    </w:p>
    <w:p>
      <w:pPr>
        <w:pStyle w:val="117"/>
        <w:numPr>
          <w:ilvl w:val="0"/>
          <w:numId w:val="5"/>
        </w:numPr>
        <w:ind w:firstLineChars="0"/>
        <w:rPr>
          <w:rFonts w:ascii="宋体" w:hAnsi="宋体" w:eastAsia="宋体" w:cs="宋体"/>
        </w:rPr>
      </w:pPr>
      <w:r>
        <w:rPr>
          <w:rFonts w:hint="eastAsia" w:ascii="宋体" w:hAnsi="宋体" w:eastAsia="宋体" w:cs="宋体"/>
        </w:rPr>
        <w:t>资质审核：投标文件要求的资质证明文件审核；通过资质审核的单位可以进入技术评议，没有通过的单位不能进入技术评议。</w:t>
      </w:r>
    </w:p>
    <w:p>
      <w:pPr>
        <w:pStyle w:val="117"/>
        <w:numPr>
          <w:ilvl w:val="0"/>
          <w:numId w:val="5"/>
        </w:numPr>
        <w:ind w:firstLineChars="0"/>
        <w:rPr>
          <w:rFonts w:ascii="宋体" w:hAnsi="宋体" w:eastAsia="宋体" w:cs="宋体"/>
        </w:rPr>
      </w:pPr>
      <w:r>
        <w:rPr>
          <w:rFonts w:hint="eastAsia" w:ascii="宋体" w:hAnsi="宋体" w:eastAsia="宋体" w:cs="宋体"/>
        </w:rPr>
        <w:t>技术评议：</w:t>
      </w:r>
    </w:p>
    <w:p>
      <w:pPr>
        <w:numPr>
          <w:ilvl w:val="0"/>
          <w:numId w:val="6"/>
        </w:numPr>
        <w:tabs>
          <w:tab w:val="left" w:pos="1080"/>
        </w:tabs>
        <w:adjustRightInd w:val="0"/>
        <w:snapToGrid w:val="0"/>
        <w:spacing w:line="360" w:lineRule="auto"/>
        <w:rPr>
          <w:rFonts w:ascii="宋体" w:hAnsi="宋体" w:cs="宋体"/>
          <w:sz w:val="24"/>
          <w:szCs w:val="24"/>
        </w:rPr>
      </w:pPr>
      <w:r>
        <w:rPr>
          <w:rFonts w:hint="eastAsia" w:ascii="宋体" w:hAnsi="宋体" w:cs="宋体"/>
          <w:sz w:val="24"/>
          <w:szCs w:val="24"/>
        </w:rPr>
        <w:t>投标文件不满足或严重偏离招标技术文件关键条款或无证实性技术资料支持，达到1项（包含）及以上者。证实性技术资料以投标文件、投标人公开发布印刷资料或检测机构出具检测报告为准。若投标人公开发布印刷资料与检测机构出具检测报告相矛盾或不一致，以检测机构出具检测报告为准。</w:t>
      </w:r>
    </w:p>
    <w:p>
      <w:pPr>
        <w:numPr>
          <w:ilvl w:val="0"/>
          <w:numId w:val="6"/>
        </w:numPr>
        <w:tabs>
          <w:tab w:val="left" w:pos="1080"/>
        </w:tabs>
        <w:adjustRightInd w:val="0"/>
        <w:snapToGrid w:val="0"/>
        <w:spacing w:line="360" w:lineRule="auto"/>
        <w:rPr>
          <w:rFonts w:ascii="宋体" w:hAnsi="宋体" w:cs="宋体"/>
          <w:sz w:val="24"/>
          <w:szCs w:val="24"/>
        </w:rPr>
      </w:pPr>
      <w:r>
        <w:rPr>
          <w:rFonts w:hint="eastAsia" w:ascii="宋体" w:hAnsi="宋体" w:cs="宋体"/>
          <w:sz w:val="24"/>
          <w:szCs w:val="24"/>
        </w:rPr>
        <w:t>投标文件技术规格书的响应与事实不符或虚假投标的。</w:t>
      </w:r>
    </w:p>
    <w:p>
      <w:pPr>
        <w:numPr>
          <w:ilvl w:val="0"/>
          <w:numId w:val="6"/>
        </w:numPr>
        <w:tabs>
          <w:tab w:val="left" w:pos="1080"/>
        </w:tabs>
        <w:adjustRightInd w:val="0"/>
        <w:snapToGrid w:val="0"/>
        <w:spacing w:line="360" w:lineRule="auto"/>
        <w:rPr>
          <w:rFonts w:ascii="宋体" w:hAnsi="宋体" w:cs="宋体"/>
          <w:sz w:val="24"/>
          <w:szCs w:val="24"/>
        </w:rPr>
      </w:pPr>
      <w:r>
        <w:rPr>
          <w:rFonts w:hint="eastAsia" w:ascii="宋体" w:hAnsi="宋体" w:cs="宋体"/>
          <w:sz w:val="24"/>
          <w:szCs w:val="24"/>
        </w:rPr>
        <w:t>投标人复制招标文件的相关内容作为其投标文件内容，达到50%及以上者。</w:t>
      </w:r>
    </w:p>
    <w:p>
      <w:pPr>
        <w:numPr>
          <w:ilvl w:val="0"/>
          <w:numId w:val="6"/>
        </w:numPr>
        <w:tabs>
          <w:tab w:val="left" w:pos="1080"/>
        </w:tabs>
        <w:adjustRightInd w:val="0"/>
        <w:snapToGrid w:val="0"/>
        <w:spacing w:line="360" w:lineRule="auto"/>
        <w:rPr>
          <w:rFonts w:ascii="宋体" w:hAnsi="宋体" w:cs="宋体"/>
          <w:sz w:val="24"/>
          <w:szCs w:val="24"/>
        </w:rPr>
      </w:pPr>
      <w:r>
        <w:rPr>
          <w:rFonts w:hint="eastAsia" w:ascii="宋体" w:hAnsi="宋体" w:cs="宋体"/>
          <w:sz w:val="24"/>
          <w:szCs w:val="24"/>
        </w:rPr>
        <w:t>投标文件符合招标文件中规定废标的其它技术条款。</w:t>
      </w:r>
    </w:p>
    <w:p>
      <w:pPr>
        <w:pStyle w:val="117"/>
        <w:numPr>
          <w:ilvl w:val="0"/>
          <w:numId w:val="5"/>
        </w:numPr>
        <w:ind w:firstLineChars="0"/>
        <w:rPr>
          <w:rFonts w:ascii="宋体" w:hAnsi="宋体" w:eastAsia="宋体" w:cs="宋体"/>
        </w:rPr>
      </w:pPr>
      <w:r>
        <w:rPr>
          <w:rFonts w:hint="eastAsia" w:ascii="宋体" w:hAnsi="宋体" w:eastAsia="宋体" w:cs="宋体"/>
        </w:rPr>
        <w:t>技术评议合格的单位可以进入商务评议环节，技术评议不合格的单位会面临淘汰。</w:t>
      </w:r>
    </w:p>
    <w:p>
      <w:pPr>
        <w:pStyle w:val="117"/>
        <w:numPr>
          <w:ilvl w:val="0"/>
          <w:numId w:val="5"/>
        </w:numPr>
        <w:ind w:left="0" w:firstLine="480"/>
        <w:rPr>
          <w:rFonts w:ascii="宋体" w:hAnsi="宋体" w:eastAsia="宋体" w:cs="宋体"/>
          <w:bCs/>
        </w:rPr>
      </w:pPr>
      <w:r>
        <w:rPr>
          <w:rFonts w:hint="eastAsia" w:ascii="宋体" w:hAnsi="宋体" w:eastAsia="宋体" w:cs="宋体"/>
        </w:rPr>
        <w:t>商务评议：公开唱标→商务条款相应确认→商谈评议→推荐中标人。本项目产生2个中标人，且中标价格需相同。</w:t>
      </w:r>
    </w:p>
    <w:p>
      <w:pPr>
        <w:pStyle w:val="123"/>
        <w:rPr>
          <w:rFonts w:ascii="宋体" w:hAnsi="宋体" w:cs="宋体"/>
        </w:rPr>
      </w:pPr>
      <w:bookmarkStart w:id="38" w:name="_Toc66999410"/>
      <w:r>
        <w:rPr>
          <w:rFonts w:hint="eastAsia" w:ascii="宋体" w:hAnsi="宋体" w:cs="宋体"/>
        </w:rPr>
        <w:t>2、</w:t>
      </w:r>
      <w:bookmarkStart w:id="39" w:name="OLE_LINK4"/>
      <w:r>
        <w:rPr>
          <w:rFonts w:hint="eastAsia" w:ascii="宋体" w:hAnsi="宋体" w:cs="宋体"/>
        </w:rPr>
        <w:t>评分标准</w:t>
      </w:r>
      <w:bookmarkEnd w:id="38"/>
    </w:p>
    <w:p>
      <w:pPr>
        <w:pStyle w:val="2"/>
        <w:spacing w:line="360" w:lineRule="auto"/>
        <w:ind w:firstLine="470" w:firstLineChars="196"/>
        <w:rPr>
          <w:rFonts w:hAnsi="宋体" w:cs="宋体"/>
          <w:color w:val="000000"/>
          <w:sz w:val="24"/>
          <w:szCs w:val="24"/>
        </w:rPr>
      </w:pPr>
      <w:r>
        <w:rPr>
          <w:rFonts w:hint="eastAsia" w:hAnsi="宋体" w:cs="宋体"/>
          <w:color w:val="000000"/>
          <w:sz w:val="24"/>
          <w:szCs w:val="24"/>
        </w:rPr>
        <w:t>(1)评标依据：技术入围后，合理最低价中标。</w:t>
      </w:r>
    </w:p>
    <w:bookmarkEnd w:id="39"/>
    <w:tbl>
      <w:tblPr>
        <w:tblStyle w:val="41"/>
        <w:tblpPr w:leftFromText="180" w:rightFromText="180" w:vertAnchor="text" w:horzAnchor="page" w:tblpX="1457" w:tblpY="467"/>
        <w:tblOverlap w:val="never"/>
        <w:tblW w:w="8998" w:type="dxa"/>
        <w:tblInd w:w="0" w:type="dxa"/>
        <w:tblLayout w:type="fixed"/>
        <w:tblCellMar>
          <w:top w:w="15" w:type="dxa"/>
          <w:left w:w="15" w:type="dxa"/>
          <w:bottom w:w="15" w:type="dxa"/>
          <w:right w:w="15" w:type="dxa"/>
        </w:tblCellMar>
      </w:tblPr>
      <w:tblGrid>
        <w:gridCol w:w="671"/>
        <w:gridCol w:w="7222"/>
        <w:gridCol w:w="1105"/>
      </w:tblGrid>
      <w:tr>
        <w:tblPrEx>
          <w:tblCellMar>
            <w:top w:w="15" w:type="dxa"/>
            <w:left w:w="15" w:type="dxa"/>
            <w:bottom w:w="15" w:type="dxa"/>
            <w:right w:w="15" w:type="dxa"/>
          </w:tblCellMar>
        </w:tblPrEx>
        <w:trPr>
          <w:trHeight w:val="630" w:hRule="atLeast"/>
        </w:trPr>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color w:val="000000"/>
                <w:sz w:val="24"/>
                <w:szCs w:val="24"/>
              </w:rPr>
            </w:pPr>
            <w:r>
              <w:rPr>
                <w:rFonts w:hint="eastAsia" w:ascii="宋体" w:hAnsi="宋体" w:cs="宋体"/>
                <w:b/>
                <w:color w:val="000000"/>
                <w:kern w:val="0"/>
                <w:sz w:val="24"/>
                <w:szCs w:val="24"/>
                <w:lang w:bidi="ar"/>
              </w:rPr>
              <w:t>评审项目</w:t>
            </w:r>
          </w:p>
        </w:tc>
        <w:tc>
          <w:tcPr>
            <w:tcW w:w="722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color w:val="000000"/>
                <w:sz w:val="24"/>
                <w:szCs w:val="24"/>
              </w:rPr>
            </w:pPr>
            <w:r>
              <w:rPr>
                <w:rFonts w:hint="eastAsia" w:ascii="宋体" w:hAnsi="宋体" w:cs="宋体"/>
                <w:b/>
                <w:color w:val="000000"/>
                <w:kern w:val="0"/>
                <w:sz w:val="24"/>
                <w:szCs w:val="24"/>
                <w:lang w:bidi="ar"/>
              </w:rPr>
              <w:t>评定内容</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color w:val="000000"/>
                <w:sz w:val="24"/>
                <w:szCs w:val="24"/>
              </w:rPr>
            </w:pPr>
            <w:r>
              <w:rPr>
                <w:rFonts w:hint="eastAsia" w:ascii="宋体" w:hAnsi="宋体" w:cs="宋体"/>
                <w:b/>
                <w:color w:val="000000"/>
                <w:kern w:val="0"/>
                <w:sz w:val="24"/>
                <w:szCs w:val="24"/>
                <w:lang w:bidi="ar"/>
              </w:rPr>
              <w:t>最大分值（分）</w:t>
            </w:r>
          </w:p>
        </w:tc>
      </w:tr>
      <w:tr>
        <w:tblPrEx>
          <w:tblCellMar>
            <w:top w:w="15" w:type="dxa"/>
            <w:left w:w="15" w:type="dxa"/>
            <w:bottom w:w="15" w:type="dxa"/>
            <w:right w:w="15" w:type="dxa"/>
          </w:tblCellMar>
        </w:tblPrEx>
        <w:trPr>
          <w:trHeight w:val="2054" w:hRule="atLeast"/>
        </w:trPr>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7854"/>
              </w:tabs>
              <w:spacing w:line="300" w:lineRule="exact"/>
              <w:jc w:val="center"/>
              <w:rPr>
                <w:rFonts w:ascii="宋体" w:hAnsi="宋体" w:cs="宋体"/>
                <w:b/>
                <w:color w:val="000000"/>
                <w:sz w:val="24"/>
                <w:szCs w:val="24"/>
              </w:rPr>
            </w:pPr>
            <w:r>
              <w:rPr>
                <w:rFonts w:hint="eastAsia" w:ascii="宋体" w:hAnsi="宋体" w:cs="宋体"/>
                <w:b/>
                <w:color w:val="000000"/>
                <w:sz w:val="24"/>
                <w:szCs w:val="24"/>
              </w:rPr>
              <w:t>技术服务</w:t>
            </w:r>
          </w:p>
        </w:tc>
        <w:tc>
          <w:tcPr>
            <w:tcW w:w="7222" w:type="dxa"/>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7854"/>
              </w:tabs>
              <w:spacing w:line="300" w:lineRule="exact"/>
              <w:rPr>
                <w:rFonts w:ascii="宋体" w:hAnsi="宋体" w:cs="宋体"/>
                <w:color w:val="000000"/>
                <w:sz w:val="24"/>
                <w:szCs w:val="24"/>
              </w:rPr>
            </w:pPr>
            <w:r>
              <w:rPr>
                <w:rFonts w:hint="eastAsia" w:ascii="宋体" w:hAnsi="宋体" w:cs="宋体"/>
                <w:color w:val="000000"/>
                <w:sz w:val="24"/>
                <w:szCs w:val="24"/>
              </w:rPr>
              <w:t>1.具有车辆租赁资质，10分。</w:t>
            </w:r>
          </w:p>
          <w:p>
            <w:pPr>
              <w:tabs>
                <w:tab w:val="left" w:pos="7854"/>
              </w:tabs>
              <w:spacing w:line="300" w:lineRule="exact"/>
              <w:rPr>
                <w:rFonts w:ascii="宋体" w:hAnsi="宋体" w:cs="宋体"/>
                <w:color w:val="000000"/>
                <w:sz w:val="24"/>
                <w:szCs w:val="24"/>
              </w:rPr>
            </w:pPr>
            <w:r>
              <w:rPr>
                <w:rFonts w:hint="eastAsia" w:ascii="宋体" w:hAnsi="宋体" w:cs="宋体"/>
                <w:color w:val="000000"/>
                <w:sz w:val="24"/>
                <w:szCs w:val="24"/>
              </w:rPr>
              <w:t>2.能够配合招标人,积极协调车辆资源，在招标人要求时间内尽快提供车辆，最高20分。</w:t>
            </w:r>
          </w:p>
          <w:p>
            <w:pPr>
              <w:tabs>
                <w:tab w:val="left" w:pos="7854"/>
              </w:tabs>
              <w:spacing w:line="300" w:lineRule="exact"/>
              <w:rPr>
                <w:rFonts w:ascii="宋体" w:hAnsi="宋体" w:cs="宋体"/>
                <w:color w:val="000000"/>
                <w:sz w:val="24"/>
                <w:szCs w:val="24"/>
              </w:rPr>
            </w:pPr>
            <w:r>
              <w:rPr>
                <w:rFonts w:hint="eastAsia" w:ascii="宋体" w:hAnsi="宋体" w:cs="宋体"/>
                <w:color w:val="000000"/>
                <w:sz w:val="24"/>
                <w:szCs w:val="24"/>
              </w:rPr>
              <w:t>3.能够处理部分突发情况以确保车辆正常使用，最高10分。</w:t>
            </w:r>
          </w:p>
          <w:p>
            <w:pPr>
              <w:tabs>
                <w:tab w:val="left" w:pos="7854"/>
              </w:tabs>
              <w:spacing w:line="300" w:lineRule="exact"/>
              <w:rPr>
                <w:rFonts w:ascii="宋体" w:hAnsi="宋体" w:cs="宋体"/>
                <w:color w:val="000000"/>
                <w:sz w:val="24"/>
                <w:szCs w:val="24"/>
              </w:rPr>
            </w:pPr>
            <w:r>
              <w:rPr>
                <w:rFonts w:hint="eastAsia" w:ascii="宋体" w:hAnsi="宋体" w:cs="宋体"/>
                <w:color w:val="000000"/>
                <w:sz w:val="24"/>
                <w:szCs w:val="24"/>
              </w:rPr>
              <w:t>4.能接受招标人提出的租赁违约条款的相关规定，最高10分。</w:t>
            </w:r>
          </w:p>
          <w:p>
            <w:pPr>
              <w:tabs>
                <w:tab w:val="left" w:pos="7854"/>
              </w:tabs>
              <w:spacing w:line="300" w:lineRule="exact"/>
              <w:rPr>
                <w:rFonts w:ascii="宋体" w:hAnsi="宋体" w:cs="宋体"/>
                <w:color w:val="000000"/>
                <w:sz w:val="24"/>
                <w:szCs w:val="24"/>
              </w:rPr>
            </w:pPr>
            <w:r>
              <w:rPr>
                <w:rFonts w:hint="eastAsia" w:ascii="宋体" w:hAnsi="宋体" w:cs="宋体"/>
                <w:color w:val="000000"/>
                <w:sz w:val="24"/>
                <w:szCs w:val="24"/>
              </w:rPr>
              <w:t>5.能够根据要求提供进口车和国内新品的租赁服务，最高10分。</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7854"/>
              </w:tabs>
              <w:spacing w:line="300" w:lineRule="exact"/>
              <w:jc w:val="center"/>
              <w:rPr>
                <w:rFonts w:ascii="宋体" w:hAnsi="宋体" w:cs="宋体"/>
                <w:color w:val="000000"/>
                <w:sz w:val="24"/>
                <w:szCs w:val="24"/>
              </w:rPr>
            </w:pPr>
            <w:r>
              <w:rPr>
                <w:rFonts w:hint="eastAsia" w:ascii="宋体" w:hAnsi="宋体" w:cs="宋体"/>
                <w:color w:val="000000"/>
                <w:sz w:val="24"/>
                <w:szCs w:val="24"/>
              </w:rPr>
              <w:t>60</w:t>
            </w:r>
          </w:p>
        </w:tc>
      </w:tr>
      <w:tr>
        <w:tblPrEx>
          <w:tblCellMar>
            <w:top w:w="15" w:type="dxa"/>
            <w:left w:w="15" w:type="dxa"/>
            <w:bottom w:w="15" w:type="dxa"/>
            <w:right w:w="15" w:type="dxa"/>
          </w:tblCellMar>
        </w:tblPrEx>
        <w:trPr>
          <w:trHeight w:val="1160" w:hRule="atLeast"/>
        </w:trPr>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b/>
                <w:color w:val="000000"/>
                <w:sz w:val="24"/>
                <w:szCs w:val="24"/>
              </w:rPr>
            </w:pPr>
            <w:r>
              <w:rPr>
                <w:rFonts w:hint="eastAsia" w:ascii="宋体" w:hAnsi="宋体" w:cs="宋体"/>
                <w:b/>
                <w:color w:val="000000"/>
                <w:kern w:val="0"/>
                <w:sz w:val="24"/>
                <w:szCs w:val="24"/>
                <w:lang w:bidi="ar"/>
              </w:rPr>
              <w:t>相关项目经验</w:t>
            </w:r>
          </w:p>
        </w:tc>
        <w:tc>
          <w:tcPr>
            <w:tcW w:w="7222" w:type="dxa"/>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7854"/>
              </w:tabs>
              <w:spacing w:line="300" w:lineRule="exact"/>
              <w:rPr>
                <w:rFonts w:ascii="宋体" w:hAnsi="宋体" w:cs="宋体"/>
                <w:color w:val="000000"/>
                <w:sz w:val="24"/>
                <w:szCs w:val="24"/>
              </w:rPr>
            </w:pPr>
            <w:r>
              <w:rPr>
                <w:rFonts w:hint="eastAsia" w:ascii="宋体" w:hAnsi="宋体" w:cs="宋体"/>
                <w:color w:val="000000"/>
                <w:sz w:val="24"/>
                <w:szCs w:val="24"/>
              </w:rPr>
              <w:t>1.有相关车辆租赁服务经验，有类似业绩的，按相关合同数量，一个合同得2分，最高10分。</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4"/>
                <w:szCs w:val="24"/>
              </w:rPr>
            </w:pPr>
            <w:r>
              <w:rPr>
                <w:rFonts w:hint="eastAsia" w:ascii="宋体" w:hAnsi="宋体" w:cs="宋体"/>
                <w:color w:val="000000"/>
                <w:kern w:val="0"/>
                <w:sz w:val="24"/>
                <w:szCs w:val="24"/>
                <w:lang w:bidi="ar"/>
              </w:rPr>
              <w:t>10</w:t>
            </w:r>
          </w:p>
        </w:tc>
      </w:tr>
      <w:tr>
        <w:tblPrEx>
          <w:tblCellMar>
            <w:top w:w="15" w:type="dxa"/>
            <w:left w:w="15" w:type="dxa"/>
            <w:bottom w:w="15" w:type="dxa"/>
            <w:right w:w="15" w:type="dxa"/>
          </w:tblCellMar>
        </w:tblPrEx>
        <w:trPr>
          <w:trHeight w:val="1413" w:hRule="atLeast"/>
        </w:trPr>
        <w:tc>
          <w:tcPr>
            <w:tcW w:w="671" w:type="dxa"/>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7854"/>
              </w:tabs>
              <w:spacing w:line="300" w:lineRule="exact"/>
              <w:jc w:val="center"/>
              <w:rPr>
                <w:rFonts w:ascii="宋体" w:hAnsi="宋体" w:cs="宋体"/>
                <w:b/>
                <w:color w:val="000000"/>
                <w:sz w:val="24"/>
                <w:szCs w:val="24"/>
              </w:rPr>
            </w:pPr>
            <w:r>
              <w:rPr>
                <w:rFonts w:hint="eastAsia" w:ascii="宋体" w:hAnsi="宋体" w:cs="宋体"/>
                <w:b/>
                <w:color w:val="000000"/>
                <w:sz w:val="24"/>
                <w:szCs w:val="24"/>
              </w:rPr>
              <w:t>现场</w:t>
            </w:r>
          </w:p>
          <w:p>
            <w:pPr>
              <w:tabs>
                <w:tab w:val="left" w:pos="7854"/>
              </w:tabs>
              <w:spacing w:line="300" w:lineRule="exact"/>
              <w:jc w:val="center"/>
              <w:rPr>
                <w:rFonts w:ascii="宋体" w:hAnsi="宋体" w:cs="宋体"/>
                <w:b/>
                <w:color w:val="000000"/>
                <w:sz w:val="24"/>
                <w:szCs w:val="24"/>
              </w:rPr>
            </w:pPr>
            <w:r>
              <w:rPr>
                <w:rFonts w:hint="eastAsia" w:ascii="宋体" w:hAnsi="宋体" w:cs="宋体"/>
                <w:b/>
                <w:color w:val="000000"/>
                <w:sz w:val="24"/>
                <w:szCs w:val="24"/>
              </w:rPr>
              <w:t>答疑</w:t>
            </w:r>
          </w:p>
        </w:tc>
        <w:tc>
          <w:tcPr>
            <w:tcW w:w="7222" w:type="dxa"/>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7854"/>
              </w:tabs>
              <w:spacing w:line="300" w:lineRule="exact"/>
              <w:rPr>
                <w:rFonts w:ascii="宋体" w:hAnsi="宋体" w:cs="宋体"/>
                <w:color w:val="000000"/>
                <w:kern w:val="0"/>
                <w:sz w:val="24"/>
                <w:szCs w:val="24"/>
                <w:lang w:bidi="ar"/>
              </w:rPr>
            </w:pPr>
            <w:r>
              <w:rPr>
                <w:rFonts w:hint="eastAsia" w:ascii="宋体" w:hAnsi="宋体" w:cs="宋体"/>
                <w:color w:val="000000"/>
                <w:sz w:val="24"/>
                <w:szCs w:val="24"/>
              </w:rPr>
              <w:t>1.投标人代表对方案及技术优势阐述，回答评标专家现场提问。</w:t>
            </w:r>
            <w:r>
              <w:rPr>
                <w:rFonts w:hint="eastAsia" w:ascii="宋体" w:hAnsi="宋体" w:cs="宋体"/>
                <w:color w:val="000000" w:themeColor="text1"/>
                <w:sz w:val="24"/>
                <w14:textFill>
                  <w14:solidFill>
                    <w14:schemeClr w14:val="tx1"/>
                  </w14:solidFill>
                </w14:textFill>
              </w:rPr>
              <w:t>根据投标人的</w:t>
            </w:r>
            <w:r>
              <w:rPr>
                <w:rFonts w:ascii="宋体" w:hAnsi="宋体" w:cs="宋体"/>
                <w:sz w:val="24"/>
                <w:szCs w:val="24"/>
              </w:rPr>
              <w:t>方案与技术优势</w:t>
            </w:r>
            <w:r>
              <w:rPr>
                <w:rFonts w:hint="eastAsia" w:ascii="宋体" w:hAnsi="宋体" w:cs="宋体"/>
                <w:color w:val="000000"/>
                <w:sz w:val="24"/>
                <w:szCs w:val="24"/>
              </w:rPr>
              <w:t>及</w:t>
            </w:r>
            <w:r>
              <w:rPr>
                <w:rFonts w:hint="eastAsia" w:ascii="宋体" w:hAnsi="宋体" w:cs="宋体"/>
                <w:color w:val="000000" w:themeColor="text1"/>
                <w:sz w:val="24"/>
                <w14:textFill>
                  <w14:solidFill>
                    <w14:schemeClr w14:val="tx1"/>
                  </w14:solidFill>
                </w14:textFill>
              </w:rPr>
              <w:t>过往的</w:t>
            </w:r>
            <w:r>
              <w:rPr>
                <w:rFonts w:hint="eastAsia" w:ascii="宋体" w:hAnsi="宋体" w:cs="宋体"/>
                <w:color w:val="000000"/>
                <w:sz w:val="24"/>
                <w:szCs w:val="24"/>
              </w:rPr>
              <w:t>车辆租赁服务经验，评估</w:t>
            </w:r>
            <w:r>
              <w:rPr>
                <w:rFonts w:hint="eastAsia" w:ascii="宋体" w:hAnsi="宋体" w:cs="宋体"/>
                <w:color w:val="000000" w:themeColor="text1"/>
                <w:sz w:val="24"/>
                <w14:textFill>
                  <w14:solidFill>
                    <w14:schemeClr w14:val="tx1"/>
                  </w14:solidFill>
                </w14:textFill>
              </w:rPr>
              <w:t>与招标人需求符合度</w:t>
            </w:r>
            <w:r>
              <w:rPr>
                <w:rFonts w:hint="eastAsia" w:ascii="宋体" w:hAnsi="宋体" w:cs="宋体"/>
                <w:color w:val="000000"/>
                <w:sz w:val="24"/>
                <w:szCs w:val="24"/>
              </w:rPr>
              <w:t>及车辆供应的及时性，最高30分。</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7854"/>
              </w:tabs>
              <w:spacing w:line="300" w:lineRule="exact"/>
              <w:jc w:val="center"/>
              <w:rPr>
                <w:rFonts w:ascii="宋体" w:hAnsi="宋体" w:cs="宋体"/>
                <w:color w:val="000000"/>
                <w:kern w:val="0"/>
                <w:sz w:val="24"/>
                <w:szCs w:val="24"/>
                <w:lang w:bidi="ar"/>
              </w:rPr>
            </w:pPr>
            <w:r>
              <w:rPr>
                <w:rFonts w:hint="eastAsia" w:ascii="宋体" w:hAnsi="宋体" w:cs="宋体"/>
                <w:color w:val="000000"/>
                <w:sz w:val="24"/>
                <w:szCs w:val="24"/>
              </w:rPr>
              <w:t>30</w:t>
            </w:r>
          </w:p>
        </w:tc>
      </w:tr>
      <w:tr>
        <w:tblPrEx>
          <w:tblCellMar>
            <w:top w:w="15" w:type="dxa"/>
            <w:left w:w="15" w:type="dxa"/>
            <w:bottom w:w="15" w:type="dxa"/>
            <w:right w:w="15" w:type="dxa"/>
          </w:tblCellMar>
        </w:tblPrEx>
        <w:trPr>
          <w:trHeight w:val="476" w:hRule="atLeast"/>
        </w:trPr>
        <w:tc>
          <w:tcPr>
            <w:tcW w:w="789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7854"/>
              </w:tabs>
              <w:spacing w:line="300" w:lineRule="exact"/>
              <w:jc w:val="center"/>
              <w:rPr>
                <w:rFonts w:ascii="宋体" w:hAnsi="宋体" w:cs="宋体"/>
                <w:color w:val="000000"/>
                <w:sz w:val="24"/>
                <w:szCs w:val="24"/>
              </w:rPr>
            </w:pPr>
            <w:r>
              <w:rPr>
                <w:rFonts w:hint="eastAsia" w:ascii="宋体" w:hAnsi="宋体" w:cs="宋体"/>
                <w:color w:val="000000"/>
                <w:sz w:val="24"/>
                <w:szCs w:val="24"/>
              </w:rPr>
              <w:t>总分</w:t>
            </w:r>
          </w:p>
        </w:tc>
        <w:tc>
          <w:tcPr>
            <w:tcW w:w="1105" w:type="dxa"/>
            <w:tcBorders>
              <w:top w:val="single" w:color="000000" w:sz="4" w:space="0"/>
              <w:left w:val="single" w:color="000000" w:sz="4" w:space="0"/>
              <w:bottom w:val="single" w:color="000000" w:sz="4" w:space="0"/>
              <w:right w:val="single" w:color="000000" w:sz="4" w:space="0"/>
            </w:tcBorders>
            <w:shd w:val="clear" w:color="auto" w:fill="auto"/>
            <w:vAlign w:val="center"/>
          </w:tcPr>
          <w:p>
            <w:pPr>
              <w:tabs>
                <w:tab w:val="left" w:pos="7854"/>
              </w:tabs>
              <w:spacing w:line="300" w:lineRule="exact"/>
              <w:jc w:val="center"/>
              <w:rPr>
                <w:rFonts w:ascii="宋体" w:hAnsi="宋体" w:cs="宋体"/>
                <w:color w:val="000000"/>
                <w:sz w:val="24"/>
                <w:szCs w:val="24"/>
              </w:rPr>
            </w:pPr>
            <w:r>
              <w:rPr>
                <w:rFonts w:hint="eastAsia" w:ascii="宋体" w:hAnsi="宋体" w:cs="宋体"/>
                <w:color w:val="000000"/>
                <w:sz w:val="24"/>
                <w:szCs w:val="24"/>
              </w:rPr>
              <w:t>100</w:t>
            </w:r>
          </w:p>
        </w:tc>
      </w:tr>
    </w:tbl>
    <w:p>
      <w:pPr>
        <w:pStyle w:val="2"/>
        <w:spacing w:line="360" w:lineRule="auto"/>
        <w:ind w:firstLine="480" w:firstLineChars="200"/>
        <w:rPr>
          <w:rFonts w:hAnsi="宋体" w:cs="宋体"/>
          <w:color w:val="000000"/>
          <w:sz w:val="24"/>
          <w:szCs w:val="24"/>
        </w:rPr>
      </w:pPr>
      <w:r>
        <w:rPr>
          <w:rFonts w:hint="eastAsia" w:hAnsi="宋体" w:cs="宋体"/>
          <w:color w:val="000000"/>
          <w:sz w:val="24"/>
          <w:szCs w:val="24"/>
        </w:rPr>
        <w:t>（2）评标方法</w:t>
      </w:r>
    </w:p>
    <w:p>
      <w:pPr>
        <w:pStyle w:val="117"/>
        <w:rPr>
          <w:rFonts w:ascii="宋体" w:hAnsi="宋体" w:eastAsia="宋体" w:cs="宋体"/>
        </w:rPr>
      </w:pPr>
      <w:r>
        <w:rPr>
          <w:rFonts w:hint="eastAsia" w:ascii="宋体" w:hAnsi="宋体" w:eastAsia="宋体" w:cs="宋体"/>
        </w:rPr>
        <w:t>a、若出现总分并列时，比较产品技术与服务承诺部分综合得分，此分项得分高者排序在前；若产品技术与服务承诺综合得分仍相同，再比较价格部分的投标报价得分，此分项得分高者排序在前；若投标报价得分仍相同，则由全体评委成员无记名投票，得票高者排序在前。</w:t>
      </w:r>
    </w:p>
    <w:p>
      <w:pPr>
        <w:pStyle w:val="117"/>
        <w:rPr>
          <w:rFonts w:ascii="宋体" w:hAnsi="宋体" w:eastAsia="宋体" w:cs="宋体"/>
        </w:rPr>
      </w:pPr>
      <w:r>
        <w:rPr>
          <w:rFonts w:hint="eastAsia" w:ascii="宋体" w:hAnsi="宋体" w:eastAsia="宋体" w:cs="宋体"/>
        </w:rPr>
        <w:t>b、评委打分超过得分界限或未按本方法赋分时，该评委的打分按废票处理。</w:t>
      </w:r>
    </w:p>
    <w:p>
      <w:pPr>
        <w:pStyle w:val="117"/>
        <w:rPr>
          <w:rFonts w:ascii="宋体" w:hAnsi="宋体" w:eastAsia="宋体" w:cs="宋体"/>
        </w:rPr>
      </w:pPr>
      <w:r>
        <w:rPr>
          <w:rFonts w:hint="eastAsia" w:ascii="宋体" w:hAnsi="宋体" w:eastAsia="宋体" w:cs="宋体"/>
        </w:rPr>
        <w:t>c、评标过程中，若出现本办法以外的特殊情况时，将暂停评标，有关情况处理意见待招标工作小组确认后，再行评定。</w:t>
      </w:r>
    </w:p>
    <w:p>
      <w:pPr>
        <w:pStyle w:val="117"/>
        <w:numPr>
          <w:ilvl w:val="0"/>
          <w:numId w:val="7"/>
        </w:numPr>
        <w:rPr>
          <w:rFonts w:ascii="宋体" w:hAnsi="宋体" w:eastAsia="宋体" w:cs="宋体"/>
        </w:rPr>
      </w:pPr>
      <w:r>
        <w:rPr>
          <w:rFonts w:hint="eastAsia" w:ascii="宋体" w:hAnsi="宋体" w:eastAsia="宋体" w:cs="宋体"/>
        </w:rPr>
        <w:t>本项目产生2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则本次评标作废。</w:t>
      </w:r>
    </w:p>
    <w:p/>
    <w:p>
      <w:pPr>
        <w:pStyle w:val="4"/>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7"/>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4"/>
        <w:rPr>
          <w:rFonts w:hint="eastAsia" w:ascii="仿宋_GB2312" w:hAnsi="仿宋_GB2312" w:eastAsia="仿宋_GB2312" w:cs="仿宋_GB2312"/>
          <w:sz w:val="36"/>
          <w:szCs w:val="36"/>
        </w:rPr>
      </w:pPr>
      <w:bookmarkStart w:id="40" w:name="_Toc15650"/>
      <w:r>
        <w:rPr>
          <w:rFonts w:hint="eastAsia" w:ascii="仿宋_GB2312" w:hAnsi="仿宋_GB2312" w:eastAsia="仿宋_GB2312" w:cs="仿宋_GB2312"/>
          <w:sz w:val="36"/>
          <w:szCs w:val="36"/>
        </w:rPr>
        <w:t>八、废标及终止招标</w:t>
      </w:r>
      <w:bookmarkEnd w:id="40"/>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41" w:name="OLE_LINK25"/>
      <w:bookmarkStart w:id="42" w:name="OLE_LINK28"/>
      <w:bookmarkStart w:id="43" w:name="OLE_LINK26"/>
      <w:bookmarkStart w:id="44" w:name="OLE_LINK27"/>
      <w:bookmarkStart w:id="45" w:name="OLE_LINK29"/>
      <w:r>
        <w:rPr>
          <w:rFonts w:hint="eastAsia" w:ascii="仿宋_GB2312" w:hAnsi="仿宋_GB2312" w:eastAsia="仿宋_GB2312" w:cs="仿宋_GB2312"/>
          <w:bCs/>
          <w:sz w:val="24"/>
          <w:szCs w:val="24"/>
        </w:rPr>
        <w:t>；</w:t>
      </w:r>
      <w:bookmarkEnd w:id="41"/>
      <w:bookmarkEnd w:id="42"/>
      <w:bookmarkEnd w:id="43"/>
      <w:bookmarkEnd w:id="44"/>
      <w:bookmarkEnd w:id="45"/>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4"/>
        <w:rPr>
          <w:rFonts w:hint="eastAsia" w:ascii="仿宋_GB2312" w:hAnsi="仿宋_GB2312" w:eastAsia="仿宋_GB2312" w:cs="仿宋_GB2312"/>
          <w:sz w:val="36"/>
          <w:szCs w:val="36"/>
        </w:rPr>
      </w:pPr>
      <w:bookmarkStart w:id="46" w:name="_Toc14012"/>
      <w:r>
        <w:rPr>
          <w:rFonts w:hint="eastAsia" w:ascii="仿宋_GB2312" w:hAnsi="仿宋_GB2312" w:eastAsia="仿宋_GB2312" w:cs="仿宋_GB2312"/>
          <w:sz w:val="36"/>
          <w:szCs w:val="36"/>
        </w:rPr>
        <w:t>九、本次招标最终解释权归中国重汽集团济南动力有限公司。</w:t>
      </w:r>
      <w:bookmarkEnd w:id="46"/>
    </w:p>
    <w:p>
      <w:pPr>
        <w:pStyle w:val="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3"/>
        <w:rPr>
          <w:rFonts w:hint="eastAsia" w:ascii="仿宋_GB2312" w:hAnsi="仿宋_GB2312" w:eastAsia="仿宋_GB2312" w:cs="仿宋_GB2312"/>
          <w:sz w:val="44"/>
        </w:rPr>
      </w:pPr>
      <w:bookmarkStart w:id="47" w:name="_Toc13002"/>
      <w:bookmarkStart w:id="48" w:name="_Toc762"/>
      <w:bookmarkStart w:id="49" w:name="_Toc21022"/>
      <w:bookmarkStart w:id="50" w:name="_Toc31869"/>
      <w:bookmarkStart w:id="51" w:name="_Toc13479"/>
      <w:bookmarkStart w:id="52" w:name="_Toc2363"/>
      <w:r>
        <w:rPr>
          <w:rFonts w:hint="eastAsia" w:ascii="仿宋_GB2312" w:hAnsi="仿宋_GB2312" w:eastAsia="仿宋_GB2312" w:cs="仿宋_GB2312"/>
          <w:sz w:val="44"/>
        </w:rPr>
        <w:t>第三部分 投标文件编制</w:t>
      </w:r>
      <w:bookmarkEnd w:id="47"/>
      <w:bookmarkEnd w:id="48"/>
      <w:bookmarkEnd w:id="49"/>
      <w:bookmarkEnd w:id="50"/>
      <w:bookmarkEnd w:id="51"/>
      <w:bookmarkEnd w:id="52"/>
    </w:p>
    <w:p>
      <w:pPr>
        <w:pStyle w:val="4"/>
        <w:rPr>
          <w:rFonts w:hint="eastAsia" w:ascii="仿宋_GB2312" w:hAnsi="仿宋_GB2312" w:eastAsia="仿宋_GB2312" w:cs="仿宋_GB2312"/>
          <w:sz w:val="36"/>
          <w:szCs w:val="36"/>
        </w:rPr>
      </w:pPr>
      <w:bookmarkStart w:id="53" w:name="_Toc2771"/>
      <w:r>
        <w:rPr>
          <w:rFonts w:hint="eastAsia" w:ascii="仿宋_GB2312" w:hAnsi="仿宋_GB2312" w:eastAsia="仿宋_GB2312" w:cs="仿宋_GB2312"/>
          <w:sz w:val="36"/>
          <w:szCs w:val="36"/>
        </w:rPr>
        <w:t>一、投标文件的编制</w:t>
      </w:r>
      <w:bookmarkEnd w:id="53"/>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4"/>
        <w:rPr>
          <w:rFonts w:hint="eastAsia" w:ascii="仿宋_GB2312" w:hAnsi="仿宋_GB2312" w:eastAsia="仿宋_GB2312" w:cs="仿宋_GB2312"/>
          <w:sz w:val="36"/>
          <w:szCs w:val="36"/>
        </w:rPr>
      </w:pPr>
      <w:bookmarkStart w:id="54" w:name="_Toc5592"/>
      <w:r>
        <w:rPr>
          <w:rFonts w:hint="eastAsia" w:ascii="仿宋_GB2312" w:hAnsi="仿宋_GB2312" w:eastAsia="仿宋_GB2312" w:cs="仿宋_GB2312"/>
          <w:sz w:val="36"/>
          <w:szCs w:val="36"/>
        </w:rPr>
        <w:t>二、投标文件资料</w:t>
      </w:r>
      <w:bookmarkEnd w:id="54"/>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4"/>
        <w:rPr>
          <w:rFonts w:hint="eastAsia" w:ascii="仿宋_GB2312" w:hAnsi="仿宋_GB2312" w:eastAsia="仿宋_GB2312" w:cs="仿宋_GB2312"/>
          <w:sz w:val="36"/>
          <w:szCs w:val="36"/>
        </w:rPr>
      </w:pPr>
      <w:bookmarkStart w:id="55" w:name="_Toc5199"/>
      <w:r>
        <w:rPr>
          <w:rFonts w:hint="eastAsia" w:ascii="仿宋_GB2312" w:hAnsi="仿宋_GB2312" w:eastAsia="仿宋_GB2312" w:cs="仿宋_GB2312"/>
          <w:sz w:val="36"/>
          <w:szCs w:val="36"/>
        </w:rPr>
        <w:t>三、投标文件的组成</w:t>
      </w:r>
      <w:bookmarkEnd w:id="55"/>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6"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1</w:t>
      </w:r>
      <w:r>
        <w:rPr>
          <w:rFonts w:hint="eastAsia" w:ascii="仿宋_GB2312" w:hAnsi="仿宋_GB2312" w:eastAsia="仿宋_GB2312" w:cs="仿宋_GB2312"/>
          <w:color w:val="000000"/>
          <w:sz w:val="24"/>
          <w:szCs w:val="24"/>
        </w:rPr>
        <w:t>供货期及保证措施；</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交货进度及计划；</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w:t>
      </w:r>
      <w:r>
        <w:rPr>
          <w:rFonts w:hint="eastAsia" w:ascii="仿宋_GB2312" w:hAnsi="仿宋_GB2312" w:eastAsia="仿宋_GB2312" w:cs="仿宋_GB2312"/>
          <w:color w:val="000000"/>
          <w:sz w:val="24"/>
          <w:szCs w:val="24"/>
          <w:lang w:val="en-US" w:eastAsia="zh-CN"/>
        </w:rPr>
        <w:t>3</w:t>
      </w:r>
      <w:r>
        <w:rPr>
          <w:rFonts w:hint="eastAsia" w:ascii="仿宋_GB2312" w:hAnsi="仿宋_GB2312" w:eastAsia="仿宋_GB2312" w:cs="仿宋_GB2312"/>
          <w:color w:val="000000"/>
          <w:sz w:val="24"/>
          <w:szCs w:val="24"/>
        </w:rPr>
        <w:t>投标人需提交的其它资料。</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7" w:name="OLE_LINK19"/>
      <w:bookmarkStart w:id="58" w:name="OLE_LINK18"/>
      <w:r>
        <w:rPr>
          <w:rFonts w:hint="eastAsia" w:ascii="仿宋_GB2312" w:hAnsi="仿宋_GB2312" w:eastAsia="仿宋_GB2312" w:cs="仿宋_GB2312"/>
          <w:b/>
          <w:color w:val="000000"/>
          <w:sz w:val="24"/>
          <w:szCs w:val="24"/>
        </w:rPr>
        <w:t>；</w:t>
      </w:r>
      <w:bookmarkEnd w:id="57"/>
      <w:bookmarkEnd w:id="58"/>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4"/>
        <w:rPr>
          <w:rFonts w:hint="eastAsia" w:ascii="仿宋_GB2312" w:hAnsi="仿宋_GB2312" w:eastAsia="仿宋_GB2312" w:cs="仿宋_GB2312"/>
          <w:sz w:val="36"/>
          <w:szCs w:val="36"/>
        </w:rPr>
      </w:pPr>
      <w:bookmarkStart w:id="59" w:name="_Toc15748"/>
      <w:r>
        <w:rPr>
          <w:rFonts w:hint="eastAsia" w:ascii="仿宋_GB2312" w:hAnsi="仿宋_GB2312" w:eastAsia="仿宋_GB2312" w:cs="仿宋_GB2312"/>
          <w:sz w:val="36"/>
          <w:szCs w:val="36"/>
        </w:rPr>
        <w:t>四、投标文件格式</w:t>
      </w:r>
      <w:bookmarkEnd w:id="59"/>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pStyle w:val="2"/>
        <w:jc w:val="center"/>
        <w:rPr>
          <w:rFonts w:hint="eastAsia" w:ascii="仿宋_GB2312" w:hAnsi="仿宋_GB2312" w:eastAsia="仿宋_GB2312" w:cs="仿宋_GB2312"/>
          <w:b/>
          <w:bCs/>
          <w:kern w:val="44"/>
          <w:sz w:val="36"/>
          <w:szCs w:val="44"/>
        </w:rPr>
      </w:pPr>
    </w:p>
    <w:p>
      <w:pPr>
        <w:bidi w:val="0"/>
        <w:rPr>
          <w:rFonts w:hint="eastAsia"/>
        </w:rPr>
      </w:pPr>
      <w:bookmarkStart w:id="60" w:name="_Toc7511"/>
      <w:bookmarkStart w:id="61" w:name="_Toc4483"/>
      <w:bookmarkStart w:id="62" w:name="_Toc13605"/>
      <w:bookmarkStart w:id="63" w:name="_Toc12714"/>
      <w:bookmarkStart w:id="64" w:name="_Toc28236"/>
      <w:bookmarkStart w:id="65" w:name="_Toc32378"/>
      <w:bookmarkStart w:id="66" w:name="_Toc12552"/>
      <w:bookmarkStart w:id="67" w:name="_Toc133783966"/>
      <w:bookmarkStart w:id="68" w:name="_Toc18805"/>
      <w:bookmarkStart w:id="69" w:name="_Toc16358"/>
      <w:bookmarkStart w:id="70" w:name="_Toc30738"/>
      <w:bookmarkStart w:id="71" w:name="_Toc4194"/>
      <w:bookmarkStart w:id="72" w:name="_Toc12563"/>
      <w:bookmarkStart w:id="73" w:name="_Toc14517"/>
      <w:bookmarkStart w:id="74" w:name="_Toc13988"/>
      <w:bookmarkStart w:id="75" w:name="_Toc20272"/>
      <w:bookmarkStart w:id="76" w:name="_Toc1884"/>
      <w:bookmarkStart w:id="77" w:name="_Toc4532"/>
      <w:bookmarkStart w:id="78" w:name="_Toc3565"/>
      <w:bookmarkStart w:id="79" w:name="_Toc13555"/>
      <w:bookmarkStart w:id="80" w:name="_Toc6957"/>
      <w:bookmarkStart w:id="81" w:name="_Toc8202"/>
      <w:bookmarkStart w:id="82" w:name="_Toc6346"/>
      <w:bookmarkStart w:id="83" w:name="_Toc4029"/>
      <w:bookmarkStart w:id="84" w:name="_Toc7110"/>
      <w:bookmarkStart w:id="85" w:name="_Toc24964"/>
      <w:bookmarkStart w:id="86" w:name="_Toc18182"/>
      <w:bookmarkStart w:id="87" w:name="_Toc3372"/>
      <w:bookmarkStart w:id="88" w:name="_Toc24913"/>
      <w:bookmarkStart w:id="89" w:name="_Toc20467"/>
      <w:bookmarkStart w:id="90" w:name="_Toc13562"/>
      <w:bookmarkStart w:id="91" w:name="_Toc23870"/>
      <w:bookmarkStart w:id="92" w:name="_Toc22649"/>
      <w:bookmarkStart w:id="93" w:name="_Toc11355"/>
      <w:bookmarkStart w:id="94" w:name="_Toc19672"/>
      <w:bookmarkStart w:id="95" w:name="_Toc21497"/>
      <w:bookmarkStart w:id="96" w:name="_Toc18606"/>
      <w:bookmarkStart w:id="97" w:name="_Toc8032"/>
    </w:p>
    <w:p>
      <w:pPr>
        <w:bidi w:val="0"/>
        <w:rPr>
          <w:rFonts w:hint="eastAsia"/>
        </w:rPr>
      </w:pPr>
    </w:p>
    <w:p>
      <w:pPr>
        <w:bidi w:val="0"/>
        <w:rPr>
          <w:rFonts w:hint="eastAsia"/>
        </w:rPr>
      </w:pPr>
    </w:p>
    <w:p>
      <w:pPr>
        <w:bidi w:val="0"/>
        <w:rPr>
          <w:rFonts w:hint="eastAsia"/>
        </w:rPr>
      </w:pPr>
    </w:p>
    <w:p>
      <w:pPr>
        <w:bidi w:val="0"/>
        <w:rPr>
          <w:rFonts w:hint="eastAsia"/>
        </w:rPr>
      </w:pPr>
    </w:p>
    <w:p>
      <w:pPr>
        <w:pStyle w:val="3"/>
        <w:numPr>
          <w:ilvl w:val="0"/>
          <w:numId w:val="8"/>
        </w:numPr>
        <w:spacing w:line="360" w:lineRule="auto"/>
        <w:rPr>
          <w:rFonts w:hint="eastAsia" w:ascii="仿宋_GB2312" w:hAnsi="仿宋_GB2312" w:eastAsia="仿宋_GB2312" w:cs="仿宋_GB2312"/>
          <w:sz w:val="44"/>
          <w:highlight w:val="green"/>
        </w:rPr>
      </w:pPr>
      <w:bookmarkStart w:id="98" w:name="_Toc10008"/>
      <w:r>
        <w:rPr>
          <w:rFonts w:hint="eastAsia" w:ascii="仿宋_GB2312" w:hAnsi="仿宋_GB2312" w:eastAsia="仿宋_GB2312" w:cs="仿宋_GB2312"/>
          <w:sz w:val="44"/>
          <w:highlight w:val="green"/>
        </w:rPr>
        <w:t>技术标书</w:t>
      </w:r>
      <w:bookmarkEnd w:id="98"/>
    </w:p>
    <w:p>
      <w:pPr>
        <w:rPr>
          <w:rFonts w:hint="eastAsia" w:ascii="仿宋_GB2312" w:hAnsi="仿宋_GB2312" w:eastAsia="仿宋_GB2312" w:cs="仿宋_GB2312"/>
          <w:sz w:val="44"/>
          <w:highlight w:val="green"/>
        </w:rPr>
        <w:sectPr>
          <w:headerReference r:id="rId8" w:type="default"/>
          <w:footerReference r:id="rId9" w:type="default"/>
          <w:pgSz w:w="11907" w:h="16840"/>
          <w:pgMar w:top="1304" w:right="1418" w:bottom="1304" w:left="1418" w:header="724" w:footer="851" w:gutter="0"/>
          <w:cols w:space="720" w:num="1"/>
          <w:docGrid w:linePitch="290" w:charSpace="-3931"/>
        </w:sectPr>
      </w:pPr>
    </w:p>
    <w:p>
      <w:pPr>
        <w:spacing w:line="880" w:lineRule="exact"/>
        <w:jc w:val="center"/>
        <w:rPr>
          <w:rFonts w:ascii="宋体" w:hAnsi="宋体" w:cs="宋体"/>
          <w:b/>
          <w:bCs/>
          <w:spacing w:val="-8"/>
          <w:sz w:val="48"/>
          <w:szCs w:val="44"/>
        </w:rPr>
      </w:pPr>
      <w:r>
        <w:rPr>
          <w:rFonts w:hint="eastAsia" w:ascii="宋体" w:hAnsi="宋体" w:cs="宋体"/>
          <w:b/>
          <w:bCs/>
          <w:spacing w:val="-8"/>
          <w:sz w:val="48"/>
          <w:szCs w:val="44"/>
        </w:rPr>
        <w:t>中国重汽集团济南动力有限公司</w:t>
      </w:r>
    </w:p>
    <w:p>
      <w:pPr>
        <w:spacing w:line="880" w:lineRule="exact"/>
        <w:jc w:val="center"/>
        <w:rPr>
          <w:rFonts w:ascii="宋体" w:hAnsi="宋体" w:cs="宋体"/>
          <w:b/>
          <w:bCs/>
          <w:spacing w:val="-8"/>
          <w:sz w:val="48"/>
          <w:szCs w:val="44"/>
        </w:rPr>
      </w:pPr>
      <w:r>
        <w:rPr>
          <w:rFonts w:hint="eastAsia" w:ascii="宋体" w:hAnsi="宋体" w:cs="宋体"/>
          <w:b/>
          <w:bCs/>
          <w:spacing w:val="-8"/>
          <w:sz w:val="48"/>
          <w:szCs w:val="44"/>
        </w:rPr>
        <w:t>车辆租赁服务采购招标项目</w:t>
      </w:r>
    </w:p>
    <w:p>
      <w:pPr>
        <w:pStyle w:val="117"/>
        <w:ind w:firstLine="3600" w:firstLineChars="1500"/>
        <w:rPr>
          <w:rFonts w:ascii="宋体" w:hAnsi="宋体" w:eastAsia="宋体" w:cs="宋体"/>
        </w:rPr>
      </w:pPr>
    </w:p>
    <w:p>
      <w:pPr>
        <w:jc w:val="right"/>
        <w:rPr>
          <w:rFonts w:ascii="宋体" w:hAnsi="宋体" w:cs="宋体"/>
          <w:color w:val="000000"/>
          <w:sz w:val="28"/>
          <w:szCs w:val="28"/>
        </w:rPr>
      </w:pPr>
    </w:p>
    <w:p>
      <w:pPr>
        <w:ind w:right="1120"/>
        <w:rPr>
          <w:rFonts w:ascii="宋体" w:hAnsi="宋体" w:cs="宋体"/>
          <w:color w:val="000000"/>
          <w:sz w:val="28"/>
          <w:szCs w:val="28"/>
        </w:rPr>
      </w:pPr>
    </w:p>
    <w:p>
      <w:pPr>
        <w:jc w:val="center"/>
        <w:rPr>
          <w:rFonts w:ascii="黑体" w:hAnsi="宋体" w:eastAsia="黑体" w:cstheme="minorBidi"/>
          <w:color w:val="000000"/>
          <w:sz w:val="84"/>
          <w:szCs w:val="84"/>
        </w:rPr>
      </w:pPr>
      <w:r>
        <w:rPr>
          <w:rFonts w:hint="eastAsia" w:ascii="黑体" w:hAnsi="宋体" w:eastAsia="黑体" w:cstheme="minorBidi"/>
          <w:color w:val="000000"/>
          <w:sz w:val="84"/>
          <w:szCs w:val="84"/>
        </w:rPr>
        <w:t>技</w:t>
      </w:r>
    </w:p>
    <w:p>
      <w:pPr>
        <w:jc w:val="center"/>
        <w:rPr>
          <w:rFonts w:ascii="黑体" w:hAnsi="宋体" w:eastAsia="黑体" w:cstheme="minorBidi"/>
          <w:color w:val="000000"/>
          <w:sz w:val="84"/>
          <w:szCs w:val="84"/>
        </w:rPr>
      </w:pPr>
    </w:p>
    <w:p>
      <w:pPr>
        <w:jc w:val="center"/>
        <w:rPr>
          <w:rFonts w:ascii="黑体" w:hAnsi="宋体" w:eastAsia="黑体" w:cstheme="minorBidi"/>
          <w:color w:val="000000"/>
          <w:sz w:val="84"/>
          <w:szCs w:val="84"/>
        </w:rPr>
      </w:pPr>
      <w:r>
        <w:rPr>
          <w:rFonts w:hint="eastAsia" w:ascii="黑体" w:hAnsi="宋体" w:eastAsia="黑体" w:cstheme="minorBidi"/>
          <w:color w:val="000000"/>
          <w:sz w:val="84"/>
          <w:szCs w:val="84"/>
        </w:rPr>
        <w:t>术</w:t>
      </w:r>
    </w:p>
    <w:p>
      <w:pPr>
        <w:jc w:val="center"/>
        <w:rPr>
          <w:rFonts w:ascii="黑体" w:hAnsi="宋体" w:eastAsia="黑体" w:cstheme="minorBidi"/>
          <w:color w:val="000000"/>
          <w:sz w:val="84"/>
          <w:szCs w:val="84"/>
        </w:rPr>
      </w:pPr>
    </w:p>
    <w:p>
      <w:pPr>
        <w:jc w:val="center"/>
        <w:rPr>
          <w:rFonts w:ascii="黑体" w:hAnsi="宋体" w:eastAsia="黑体" w:cstheme="minorBidi"/>
          <w:color w:val="000000"/>
          <w:sz w:val="84"/>
          <w:szCs w:val="84"/>
        </w:rPr>
      </w:pPr>
      <w:r>
        <w:rPr>
          <w:rFonts w:hint="eastAsia" w:ascii="黑体" w:hAnsi="宋体" w:eastAsia="黑体" w:cstheme="minorBidi"/>
          <w:color w:val="000000"/>
          <w:sz w:val="84"/>
          <w:szCs w:val="84"/>
        </w:rPr>
        <w:t>标</w:t>
      </w:r>
    </w:p>
    <w:p>
      <w:pPr>
        <w:jc w:val="center"/>
        <w:rPr>
          <w:rFonts w:ascii="黑体" w:hAnsi="宋体" w:eastAsia="黑体" w:cstheme="minorBidi"/>
          <w:color w:val="000000"/>
          <w:sz w:val="84"/>
          <w:szCs w:val="84"/>
        </w:rPr>
      </w:pPr>
    </w:p>
    <w:p>
      <w:pPr>
        <w:jc w:val="center"/>
        <w:rPr>
          <w:rFonts w:ascii="黑体" w:hAnsi="宋体" w:eastAsia="黑体" w:cstheme="minorBidi"/>
          <w:color w:val="000000"/>
          <w:sz w:val="84"/>
          <w:szCs w:val="84"/>
        </w:rPr>
      </w:pPr>
      <w:r>
        <w:rPr>
          <w:rFonts w:hint="eastAsia" w:ascii="黑体" w:hAnsi="宋体" w:eastAsia="黑体" w:cstheme="minorBidi"/>
          <w:color w:val="000000"/>
          <w:sz w:val="84"/>
          <w:szCs w:val="84"/>
        </w:rPr>
        <w:t>书</w:t>
      </w:r>
    </w:p>
    <w:p>
      <w:pPr>
        <w:pStyle w:val="2"/>
      </w:pPr>
    </w:p>
    <w:p>
      <w:pPr>
        <w:jc w:val="center"/>
        <w:rPr>
          <w:rFonts w:ascii="宋体" w:hAnsi="宋体" w:cs="宋体"/>
          <w:sz w:val="28"/>
          <w:szCs w:val="28"/>
        </w:rPr>
      </w:pPr>
      <w:r>
        <w:rPr>
          <w:rFonts w:hint="eastAsia" w:ascii="宋体" w:hAnsi="宋体" w:cs="宋体"/>
          <w:sz w:val="28"/>
          <w:szCs w:val="28"/>
        </w:rPr>
        <w:t>招 标 人：中国重汽集团济南动力有限公司</w:t>
      </w:r>
    </w:p>
    <w:p>
      <w:pPr>
        <w:jc w:val="center"/>
        <w:rPr>
          <w:rFonts w:ascii="宋体" w:hAnsi="宋体" w:cs="宋体"/>
          <w:sz w:val="28"/>
          <w:szCs w:val="28"/>
        </w:rPr>
      </w:pPr>
      <w:r>
        <w:rPr>
          <w:rFonts w:hint="eastAsia" w:ascii="宋体" w:hAnsi="宋体" w:cs="宋体"/>
          <w:sz w:val="28"/>
          <w:szCs w:val="28"/>
        </w:rPr>
        <w:t>2025年11月</w:t>
      </w:r>
    </w:p>
    <w:p>
      <w:pPr>
        <w:keepNext/>
        <w:keepLines/>
        <w:spacing w:before="120" w:after="120" w:line="480" w:lineRule="exact"/>
        <w:jc w:val="center"/>
        <w:outlineLvl w:val="1"/>
        <w:rPr>
          <w:rFonts w:hint="eastAsia" w:ascii="宋体" w:hAnsi="宋体"/>
          <w:b/>
          <w:bCs/>
          <w:kern w:val="44"/>
          <w:sz w:val="28"/>
          <w:szCs w:val="28"/>
        </w:rPr>
      </w:pPr>
    </w:p>
    <w:p>
      <w:pPr>
        <w:keepNext/>
        <w:keepLines/>
        <w:spacing w:before="120" w:after="120" w:line="480" w:lineRule="exact"/>
        <w:jc w:val="center"/>
        <w:outlineLvl w:val="1"/>
        <w:rPr>
          <w:rFonts w:hint="eastAsia" w:ascii="宋体" w:hAnsi="宋体"/>
          <w:b/>
          <w:bCs/>
          <w:kern w:val="44"/>
          <w:sz w:val="28"/>
          <w:szCs w:val="28"/>
        </w:rPr>
      </w:pPr>
    </w:p>
    <w:p>
      <w:pPr>
        <w:keepNext/>
        <w:keepLines/>
        <w:spacing w:before="120" w:after="120" w:line="480" w:lineRule="exact"/>
        <w:jc w:val="center"/>
        <w:outlineLvl w:val="1"/>
        <w:rPr>
          <w:rFonts w:ascii="宋体" w:hAnsi="Calibri"/>
          <w:b/>
          <w:bCs/>
          <w:kern w:val="44"/>
          <w:sz w:val="28"/>
          <w:szCs w:val="28"/>
        </w:rPr>
      </w:pPr>
      <w:r>
        <w:rPr>
          <w:rFonts w:hint="eastAsia" w:ascii="宋体" w:hAnsi="宋体"/>
          <w:b/>
          <w:bCs/>
          <w:kern w:val="44"/>
          <w:sz w:val="28"/>
          <w:szCs w:val="28"/>
        </w:rPr>
        <w:t>第一章</w:t>
      </w:r>
      <w:r>
        <w:rPr>
          <w:rFonts w:ascii="宋体" w:hAnsi="宋体"/>
          <w:b/>
          <w:bCs/>
          <w:kern w:val="44"/>
          <w:sz w:val="28"/>
          <w:szCs w:val="28"/>
        </w:rPr>
        <w:t xml:space="preserve">  </w:t>
      </w:r>
      <w:r>
        <w:rPr>
          <w:rFonts w:hint="eastAsia" w:ascii="宋体" w:hAnsi="宋体"/>
          <w:b/>
          <w:bCs/>
          <w:kern w:val="44"/>
          <w:sz w:val="28"/>
          <w:szCs w:val="28"/>
        </w:rPr>
        <w:t>采购货物概况</w:t>
      </w:r>
    </w:p>
    <w:p>
      <w:pPr>
        <w:keepNext/>
        <w:keepLines/>
        <w:spacing w:before="120" w:after="120" w:line="480" w:lineRule="exact"/>
        <w:jc w:val="center"/>
        <w:outlineLvl w:val="2"/>
        <w:rPr>
          <w:rFonts w:ascii="Arial" w:hAnsi="Arial"/>
          <w:b/>
          <w:bCs/>
          <w:sz w:val="24"/>
          <w:szCs w:val="24"/>
        </w:rPr>
      </w:pPr>
      <w:bookmarkStart w:id="99" w:name="_Toc169605878"/>
      <w:r>
        <w:rPr>
          <w:rFonts w:hint="eastAsia" w:ascii="Arial" w:hAnsi="Arial"/>
          <w:b/>
          <w:bCs/>
          <w:sz w:val="24"/>
          <w:szCs w:val="24"/>
        </w:rPr>
        <w:t>第一节</w:t>
      </w:r>
      <w:r>
        <w:rPr>
          <w:rFonts w:ascii="Arial" w:hAnsi="Arial"/>
          <w:b/>
          <w:bCs/>
          <w:sz w:val="24"/>
          <w:szCs w:val="24"/>
        </w:rPr>
        <w:t xml:space="preserve">  </w:t>
      </w:r>
      <w:r>
        <w:rPr>
          <w:rFonts w:hint="eastAsia" w:ascii="Arial" w:hAnsi="Arial"/>
          <w:b/>
          <w:bCs/>
          <w:sz w:val="24"/>
          <w:szCs w:val="24"/>
        </w:rPr>
        <w:t>使用环境</w:t>
      </w:r>
      <w:bookmarkEnd w:id="99"/>
    </w:p>
    <w:p>
      <w:pPr>
        <w:spacing w:line="360" w:lineRule="auto"/>
        <w:outlineLvl w:val="3"/>
        <w:rPr>
          <w:rFonts w:ascii="宋体" w:hAnsi="宋体" w:cs="宋体"/>
          <w:sz w:val="24"/>
          <w:szCs w:val="24"/>
          <w:u w:val="single"/>
          <w:shd w:val="pct10" w:color="auto" w:fill="FFFFFF"/>
        </w:rPr>
      </w:pPr>
      <w:r>
        <w:rPr>
          <w:rFonts w:hint="eastAsia" w:ascii="宋体" w:hAnsi="宋体" w:cs="宋体"/>
          <w:sz w:val="24"/>
          <w:szCs w:val="24"/>
        </w:rPr>
        <w:t>一、项目名称：</w:t>
      </w:r>
      <w:r>
        <w:rPr>
          <w:rFonts w:hint="eastAsia" w:ascii="宋体" w:hAnsi="宋体" w:cs="宋体"/>
          <w:sz w:val="24"/>
          <w:szCs w:val="24"/>
          <w:u w:val="single"/>
        </w:rPr>
        <w:t>汽车研究总院竞品对标车辆租赁服务</w:t>
      </w:r>
    </w:p>
    <w:p>
      <w:pPr>
        <w:spacing w:line="360" w:lineRule="auto"/>
        <w:outlineLvl w:val="3"/>
        <w:rPr>
          <w:rFonts w:ascii="宋体" w:hAnsi="宋体" w:cs="宋体"/>
          <w:color w:val="000000"/>
          <w:sz w:val="24"/>
          <w:szCs w:val="24"/>
          <w:u w:val="single"/>
        </w:rPr>
      </w:pPr>
      <w:r>
        <w:rPr>
          <w:rFonts w:hint="eastAsia" w:ascii="宋体" w:hAnsi="宋体" w:cs="宋体"/>
          <w:sz w:val="24"/>
          <w:szCs w:val="24"/>
        </w:rPr>
        <w:t>二、建设地点：</w:t>
      </w:r>
      <w:r>
        <w:rPr>
          <w:rFonts w:hint="eastAsia" w:ascii="宋体" w:hAnsi="宋体" w:cs="宋体"/>
          <w:color w:val="000000"/>
          <w:sz w:val="24"/>
          <w:szCs w:val="24"/>
          <w:u w:val="single"/>
        </w:rPr>
        <w:t>中国重汽集团济南动力有限公司汽车研究总院</w:t>
      </w:r>
    </w:p>
    <w:p>
      <w:pPr>
        <w:spacing w:line="360" w:lineRule="auto"/>
        <w:outlineLvl w:val="3"/>
        <w:rPr>
          <w:rFonts w:ascii="宋体" w:hAnsi="宋体" w:cs="宋体"/>
          <w:sz w:val="24"/>
          <w:szCs w:val="24"/>
        </w:rPr>
      </w:pPr>
      <w:r>
        <w:rPr>
          <w:rFonts w:hint="eastAsia" w:ascii="宋体" w:hAnsi="宋体" w:cs="宋体"/>
          <w:sz w:val="24"/>
          <w:szCs w:val="24"/>
        </w:rPr>
        <w:t>三、使用地点：</w:t>
      </w:r>
      <w:r>
        <w:rPr>
          <w:rFonts w:hint="eastAsia" w:ascii="宋体" w:hAnsi="宋体" w:cs="宋体"/>
          <w:color w:val="000000"/>
          <w:sz w:val="24"/>
          <w:szCs w:val="24"/>
          <w:u w:val="single"/>
        </w:rPr>
        <w:t xml:space="preserve"> 山东省济南市高新区华奥路777号</w:t>
      </w:r>
    </w:p>
    <w:p>
      <w:pPr>
        <w:keepNext/>
        <w:keepLines/>
        <w:spacing w:before="120" w:after="120" w:line="480" w:lineRule="exact"/>
        <w:jc w:val="center"/>
        <w:outlineLvl w:val="2"/>
        <w:rPr>
          <w:rFonts w:ascii="宋体" w:hAnsi="Arial"/>
          <w:b/>
          <w:bCs/>
          <w:sz w:val="24"/>
          <w:szCs w:val="24"/>
        </w:rPr>
      </w:pPr>
      <w:r>
        <w:rPr>
          <w:rFonts w:hint="eastAsia" w:ascii="宋体" w:hAnsi="宋体"/>
          <w:b/>
          <w:bCs/>
          <w:sz w:val="24"/>
          <w:szCs w:val="24"/>
        </w:rPr>
        <w:t>第二节</w:t>
      </w:r>
      <w:r>
        <w:rPr>
          <w:rFonts w:ascii="宋体" w:hAnsi="宋体"/>
          <w:b/>
          <w:bCs/>
          <w:sz w:val="24"/>
          <w:szCs w:val="24"/>
        </w:rPr>
        <w:t xml:space="preserve">  </w:t>
      </w:r>
      <w:r>
        <w:rPr>
          <w:rFonts w:hint="eastAsia" w:ascii="宋体" w:hAnsi="宋体"/>
          <w:b/>
          <w:bCs/>
          <w:sz w:val="24"/>
          <w:szCs w:val="24"/>
        </w:rPr>
        <w:t>采购服务概况</w:t>
      </w:r>
    </w:p>
    <w:p>
      <w:pPr>
        <w:spacing w:line="420" w:lineRule="exact"/>
        <w:outlineLvl w:val="3"/>
        <w:rPr>
          <w:rFonts w:ascii="宋体" w:hAnsi="宋体" w:cs="宋体"/>
          <w:sz w:val="24"/>
          <w:szCs w:val="24"/>
        </w:rPr>
      </w:pPr>
      <w:r>
        <w:rPr>
          <w:rFonts w:hint="eastAsia" w:ascii="宋体" w:hAnsi="宋体" w:cs="宋体"/>
          <w:sz w:val="24"/>
          <w:szCs w:val="24"/>
        </w:rPr>
        <w:t>一、</w:t>
      </w:r>
      <w:r>
        <w:rPr>
          <w:rFonts w:hint="eastAsia" w:hAnsi="宋体" w:cs="宋体"/>
          <w:sz w:val="24"/>
          <w:szCs w:val="24"/>
        </w:rPr>
        <w:t>招标内容：根据汽车研究总院整车性能开发及全国路况适应性验证需要，需要租赁部分国内外轻卡及中重卡等竞品车辆进行对标验证，投标人需能够根据招标人要求配置准备相关车辆，准备周期要求：国产车不超过7天，进口车不超过15天。</w:t>
      </w:r>
    </w:p>
    <w:p>
      <w:pPr>
        <w:spacing w:line="420" w:lineRule="exact"/>
        <w:outlineLvl w:val="3"/>
        <w:rPr>
          <w:rFonts w:ascii="宋体" w:hAnsi="宋体" w:cs="宋体"/>
          <w:sz w:val="24"/>
          <w:szCs w:val="24"/>
        </w:rPr>
      </w:pPr>
      <w:r>
        <w:rPr>
          <w:rFonts w:hint="eastAsia" w:ascii="宋体" w:hAnsi="宋体" w:cs="宋体"/>
          <w:sz w:val="24"/>
          <w:szCs w:val="24"/>
        </w:rPr>
        <w:t>二、数量：按实际需求（年度数量预计详见下表）</w:t>
      </w:r>
    </w:p>
    <w:p>
      <w:pPr>
        <w:spacing w:line="420" w:lineRule="exact"/>
        <w:outlineLvl w:val="3"/>
        <w:rPr>
          <w:rFonts w:hAnsi="宋体" w:cs="宋体"/>
          <w:sz w:val="24"/>
          <w:szCs w:val="24"/>
        </w:rPr>
      </w:pPr>
      <w:r>
        <w:rPr>
          <w:rFonts w:hint="eastAsia" w:hAnsi="宋体" w:cs="宋体"/>
          <w:sz w:val="24"/>
          <w:szCs w:val="24"/>
        </w:rPr>
        <w:t>三、付款方式：按季度电汇付款。</w:t>
      </w:r>
    </w:p>
    <w:p>
      <w:pPr>
        <w:spacing w:line="420" w:lineRule="exact"/>
        <w:outlineLvl w:val="3"/>
        <w:rPr>
          <w:rFonts w:hAnsi="宋体" w:cs="宋体"/>
          <w:sz w:val="24"/>
          <w:szCs w:val="24"/>
        </w:rPr>
      </w:pPr>
      <w:r>
        <w:rPr>
          <w:rFonts w:hint="eastAsia" w:hAnsi="宋体" w:cs="宋体"/>
          <w:sz w:val="24"/>
          <w:szCs w:val="24"/>
        </w:rPr>
        <w:t>四、交货方式：能够根据配置要求完成车辆的组织工作。</w:t>
      </w:r>
    </w:p>
    <w:p>
      <w:pPr>
        <w:spacing w:line="420" w:lineRule="exact"/>
        <w:outlineLvl w:val="3"/>
        <w:rPr>
          <w:rFonts w:hAnsi="宋体" w:cs="宋体"/>
          <w:sz w:val="24"/>
          <w:szCs w:val="24"/>
        </w:rPr>
      </w:pPr>
      <w:r>
        <w:rPr>
          <w:rFonts w:hint="eastAsia" w:hAnsi="宋体" w:cs="宋体"/>
          <w:sz w:val="24"/>
          <w:szCs w:val="24"/>
        </w:rPr>
        <w:t>五、服务内容：</w:t>
      </w:r>
    </w:p>
    <w:p>
      <w:pPr>
        <w:spacing w:line="420" w:lineRule="exact"/>
        <w:jc w:val="center"/>
        <w:outlineLvl w:val="3"/>
      </w:pPr>
      <w:r>
        <w:rPr>
          <w:rFonts w:hint="eastAsia" w:ascii="宋体" w:hAnsi="宋体" w:cs="宋体"/>
          <w:color w:val="000000"/>
          <w:sz w:val="24"/>
          <w:szCs w:val="24"/>
        </w:rPr>
        <w:t>采购服务主要构成</w:t>
      </w:r>
      <w:r>
        <w:rPr>
          <w:rFonts w:hint="eastAsia" w:ascii="宋体" w:hAnsi="宋体" w:cs="宋体"/>
          <w:sz w:val="24"/>
          <w:szCs w:val="24"/>
        </w:rPr>
        <w:t>一览表</w:t>
      </w:r>
    </w:p>
    <w:tbl>
      <w:tblPr>
        <w:tblStyle w:val="41"/>
        <w:tblpPr w:leftFromText="180" w:rightFromText="180" w:vertAnchor="text" w:horzAnchor="page" w:tblpX="1322" w:tblpY="319"/>
        <w:tblOverlap w:val="never"/>
        <w:tblW w:w="5154"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5"/>
        <w:gridCol w:w="1090"/>
        <w:gridCol w:w="2656"/>
        <w:gridCol w:w="3107"/>
        <w:gridCol w:w="20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8" w:hRule="atLeast"/>
        </w:trPr>
        <w:tc>
          <w:tcPr>
            <w:tcW w:w="261" w:type="pct"/>
            <w:vAlign w:val="center"/>
          </w:tcPr>
          <w:p>
            <w:pPr>
              <w:pStyle w:val="120"/>
              <w:rPr>
                <w:rFonts w:ascii="宋体" w:hAnsi="宋体" w:eastAsia="宋体" w:cs="宋体"/>
                <w:b w:val="0"/>
                <w:bCs/>
              </w:rPr>
            </w:pPr>
            <w:r>
              <w:rPr>
                <w:rFonts w:hint="eastAsia" w:ascii="宋体" w:hAnsi="宋体" w:eastAsia="宋体" w:cs="宋体"/>
                <w:b w:val="0"/>
                <w:bCs/>
              </w:rPr>
              <w:t>序号</w:t>
            </w:r>
          </w:p>
        </w:tc>
        <w:tc>
          <w:tcPr>
            <w:tcW w:w="409" w:type="pct"/>
            <w:vAlign w:val="center"/>
          </w:tcPr>
          <w:p>
            <w:pPr>
              <w:pStyle w:val="120"/>
              <w:rPr>
                <w:rFonts w:ascii="宋体" w:hAnsi="宋体" w:eastAsia="宋体" w:cs="宋体"/>
                <w:b w:val="0"/>
                <w:bCs/>
              </w:rPr>
            </w:pPr>
            <w:r>
              <w:rPr>
                <w:rFonts w:hint="eastAsia" w:ascii="宋体" w:hAnsi="宋体" w:eastAsia="宋体" w:cs="宋体"/>
                <w:b w:val="0"/>
                <w:bCs/>
              </w:rPr>
              <w:t>类别</w:t>
            </w:r>
          </w:p>
        </w:tc>
        <w:tc>
          <w:tcPr>
            <w:tcW w:w="997" w:type="pct"/>
            <w:vAlign w:val="center"/>
          </w:tcPr>
          <w:p>
            <w:pPr>
              <w:pStyle w:val="120"/>
              <w:rPr>
                <w:rFonts w:ascii="宋体" w:hAnsi="宋体" w:eastAsia="宋体" w:cs="宋体"/>
                <w:b w:val="0"/>
                <w:bCs/>
              </w:rPr>
            </w:pPr>
            <w:r>
              <w:rPr>
                <w:rFonts w:hint="eastAsia" w:ascii="宋体" w:hAnsi="宋体" w:eastAsia="宋体" w:cs="宋体"/>
                <w:b w:val="0"/>
                <w:bCs/>
              </w:rPr>
              <w:t>车辆裸车费用</w:t>
            </w:r>
          </w:p>
        </w:tc>
        <w:tc>
          <w:tcPr>
            <w:tcW w:w="1166" w:type="pct"/>
            <w:vAlign w:val="center"/>
          </w:tcPr>
          <w:p>
            <w:pPr>
              <w:pStyle w:val="120"/>
              <w:rPr>
                <w:rFonts w:ascii="宋体" w:hAnsi="宋体" w:eastAsia="宋体" w:cs="宋体"/>
                <w:b w:val="0"/>
                <w:bCs/>
              </w:rPr>
            </w:pPr>
            <w:r>
              <w:rPr>
                <w:rFonts w:hint="eastAsia" w:ascii="宋体" w:hAnsi="宋体" w:eastAsia="宋体" w:cs="宋体"/>
                <w:b w:val="0"/>
                <w:bCs/>
              </w:rPr>
              <w:t>单次租赁周期</w:t>
            </w:r>
          </w:p>
        </w:tc>
        <w:tc>
          <w:tcPr>
            <w:tcW w:w="760" w:type="pct"/>
            <w:vAlign w:val="center"/>
          </w:tcPr>
          <w:p>
            <w:pPr>
              <w:pStyle w:val="120"/>
              <w:rPr>
                <w:rFonts w:ascii="宋体" w:hAnsi="宋体" w:eastAsia="宋体" w:cs="宋体"/>
                <w:b w:val="0"/>
                <w:bCs/>
              </w:rPr>
            </w:pPr>
            <w:r>
              <w:rPr>
                <w:rFonts w:hint="eastAsia" w:ascii="宋体" w:hAnsi="宋体" w:eastAsia="宋体" w:cs="宋体"/>
                <w:b w:val="0"/>
                <w:bCs/>
              </w:rPr>
              <w:t>预计天数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1</w:t>
            </w:r>
          </w:p>
        </w:tc>
        <w:tc>
          <w:tcPr>
            <w:tcW w:w="409"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卡车</w:t>
            </w:r>
          </w:p>
        </w:tc>
        <w:tc>
          <w:tcPr>
            <w:tcW w:w="997"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35万元以上</w:t>
            </w:r>
          </w:p>
        </w:tc>
        <w:tc>
          <w:tcPr>
            <w:tcW w:w="1166" w:type="pct"/>
            <w:vAlign w:val="center"/>
          </w:tcPr>
          <w:p>
            <w:pPr>
              <w:pStyle w:val="120"/>
              <w:rPr>
                <w:rFonts w:ascii="宋体" w:hAnsi="宋体" w:eastAsia="宋体" w:cs="宋体"/>
                <w:b w:val="0"/>
                <w:bCs/>
                <w:szCs w:val="21"/>
              </w:rPr>
            </w:pPr>
            <w:r>
              <w:rPr>
                <w:rFonts w:hint="eastAsia" w:ascii="宋体" w:hAnsi="宋体" w:eastAsia="宋体" w:cs="宋体"/>
                <w:b w:val="0"/>
                <w:bCs/>
                <w:color w:val="000000"/>
                <w:kern w:val="0"/>
                <w:szCs w:val="21"/>
                <w:lang w:bidi="ar"/>
              </w:rPr>
              <w:t>租赁天数≤15</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900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2</w:t>
            </w:r>
          </w:p>
        </w:tc>
        <w:tc>
          <w:tcPr>
            <w:tcW w:w="409" w:type="pct"/>
            <w:vMerge w:val="continue"/>
            <w:vAlign w:val="center"/>
          </w:tcPr>
          <w:p>
            <w:pPr>
              <w:pStyle w:val="120"/>
              <w:rPr>
                <w:rFonts w:ascii="宋体" w:hAnsi="宋体" w:eastAsia="宋体" w:cs="宋体"/>
                <w:b w:val="0"/>
                <w:bCs/>
                <w:szCs w:val="21"/>
              </w:rPr>
            </w:pPr>
          </w:p>
        </w:tc>
        <w:tc>
          <w:tcPr>
            <w:tcW w:w="997" w:type="pct"/>
            <w:vMerge w:val="continue"/>
            <w:vAlign w:val="center"/>
          </w:tcPr>
          <w:p>
            <w:pPr>
              <w:pStyle w:val="120"/>
              <w:rPr>
                <w:rFonts w:ascii="宋体" w:hAnsi="宋体" w:eastAsia="宋体" w:cs="宋体"/>
                <w:b w:val="0"/>
                <w:bCs/>
                <w:szCs w:val="21"/>
              </w:rPr>
            </w:pPr>
          </w:p>
        </w:tc>
        <w:tc>
          <w:tcPr>
            <w:tcW w:w="1166" w:type="pct"/>
            <w:vAlign w:val="center"/>
          </w:tcPr>
          <w:p>
            <w:pPr>
              <w:pStyle w:val="120"/>
              <w:rPr>
                <w:rFonts w:ascii="宋体" w:hAnsi="宋体" w:eastAsia="宋体" w:cs="宋体"/>
                <w:b w:val="0"/>
                <w:bCs/>
                <w:szCs w:val="21"/>
              </w:rPr>
            </w:pPr>
            <w:r>
              <w:rPr>
                <w:rFonts w:hint="eastAsia" w:ascii="宋体" w:hAnsi="宋体" w:eastAsia="宋体" w:cs="宋体"/>
                <w:b w:val="0"/>
                <w:bCs/>
                <w:color w:val="000000"/>
                <w:w w:val="90"/>
                <w:kern w:val="0"/>
                <w:szCs w:val="21"/>
                <w:lang w:bidi="ar"/>
              </w:rPr>
              <w:t>租赁天数</w:t>
            </w:r>
            <w:r>
              <w:rPr>
                <w:rFonts w:hint="eastAsia" w:ascii="宋体" w:hAnsi="宋体" w:eastAsia="宋体" w:cs="宋体"/>
                <w:b w:val="0"/>
                <w:bCs/>
                <w:color w:val="000000"/>
                <w:kern w:val="0"/>
                <w:szCs w:val="21"/>
                <w:lang w:bidi="ar"/>
              </w:rPr>
              <w:t>＞15</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400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3</w:t>
            </w:r>
          </w:p>
        </w:tc>
        <w:tc>
          <w:tcPr>
            <w:tcW w:w="409" w:type="pct"/>
            <w:vMerge w:val="continue"/>
            <w:vAlign w:val="center"/>
          </w:tcPr>
          <w:p>
            <w:pPr>
              <w:pStyle w:val="120"/>
              <w:rPr>
                <w:rFonts w:ascii="宋体" w:hAnsi="宋体" w:eastAsia="宋体" w:cs="宋体"/>
                <w:b w:val="0"/>
                <w:bCs/>
                <w:szCs w:val="21"/>
              </w:rPr>
            </w:pPr>
          </w:p>
        </w:tc>
        <w:tc>
          <w:tcPr>
            <w:tcW w:w="997"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20万元至35万元（含）</w:t>
            </w:r>
          </w:p>
        </w:tc>
        <w:tc>
          <w:tcPr>
            <w:tcW w:w="1166" w:type="pct"/>
            <w:vAlign w:val="center"/>
          </w:tcPr>
          <w:p>
            <w:pPr>
              <w:pStyle w:val="120"/>
              <w:rPr>
                <w:rFonts w:ascii="宋体" w:hAnsi="宋体" w:eastAsia="宋体" w:cs="宋体"/>
                <w:b w:val="0"/>
                <w:bCs/>
                <w:szCs w:val="21"/>
              </w:rPr>
            </w:pPr>
            <w:r>
              <w:rPr>
                <w:rFonts w:hint="eastAsia" w:ascii="宋体" w:hAnsi="宋体" w:eastAsia="宋体" w:cs="宋体"/>
                <w:b w:val="0"/>
                <w:bCs/>
                <w:color w:val="000000"/>
                <w:kern w:val="0"/>
                <w:szCs w:val="21"/>
                <w:lang w:bidi="ar"/>
              </w:rPr>
              <w:t>租赁天数≤15</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4</w:t>
            </w:r>
          </w:p>
        </w:tc>
        <w:tc>
          <w:tcPr>
            <w:tcW w:w="409" w:type="pct"/>
            <w:vMerge w:val="continue"/>
            <w:vAlign w:val="center"/>
          </w:tcPr>
          <w:p>
            <w:pPr>
              <w:pStyle w:val="120"/>
              <w:rPr>
                <w:rFonts w:ascii="宋体" w:hAnsi="宋体" w:eastAsia="宋体" w:cs="宋体"/>
                <w:b w:val="0"/>
                <w:bCs/>
                <w:szCs w:val="21"/>
              </w:rPr>
            </w:pPr>
          </w:p>
        </w:tc>
        <w:tc>
          <w:tcPr>
            <w:tcW w:w="997" w:type="pct"/>
            <w:vMerge w:val="continue"/>
            <w:vAlign w:val="center"/>
          </w:tcPr>
          <w:p>
            <w:pPr>
              <w:pStyle w:val="120"/>
              <w:rPr>
                <w:rFonts w:ascii="宋体" w:hAnsi="宋体" w:eastAsia="宋体" w:cs="宋体"/>
                <w:b w:val="0"/>
                <w:bCs/>
                <w:szCs w:val="21"/>
              </w:rPr>
            </w:pPr>
          </w:p>
        </w:tc>
        <w:tc>
          <w:tcPr>
            <w:tcW w:w="1166" w:type="pct"/>
            <w:vAlign w:val="center"/>
          </w:tcPr>
          <w:p>
            <w:pPr>
              <w:pStyle w:val="120"/>
              <w:rPr>
                <w:rFonts w:ascii="宋体" w:hAnsi="宋体" w:eastAsia="宋体" w:cs="宋体"/>
                <w:b w:val="0"/>
                <w:bCs/>
                <w:szCs w:val="21"/>
              </w:rPr>
            </w:pPr>
            <w:r>
              <w:rPr>
                <w:rFonts w:hint="eastAsia" w:ascii="宋体" w:hAnsi="宋体" w:eastAsia="宋体" w:cs="宋体"/>
                <w:b w:val="0"/>
                <w:bCs/>
                <w:color w:val="000000"/>
                <w:w w:val="90"/>
                <w:kern w:val="0"/>
                <w:szCs w:val="21"/>
                <w:lang w:bidi="ar"/>
              </w:rPr>
              <w:t>租赁天数</w:t>
            </w:r>
            <w:r>
              <w:rPr>
                <w:rFonts w:hint="eastAsia" w:ascii="宋体" w:hAnsi="宋体" w:eastAsia="宋体" w:cs="宋体"/>
                <w:b w:val="0"/>
                <w:bCs/>
                <w:color w:val="000000"/>
                <w:kern w:val="0"/>
                <w:szCs w:val="21"/>
                <w:lang w:bidi="ar"/>
              </w:rPr>
              <w:t>＞15</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5</w:t>
            </w:r>
          </w:p>
        </w:tc>
        <w:tc>
          <w:tcPr>
            <w:tcW w:w="409" w:type="pct"/>
            <w:vMerge w:val="continue"/>
            <w:vAlign w:val="center"/>
          </w:tcPr>
          <w:p>
            <w:pPr>
              <w:pStyle w:val="120"/>
              <w:rPr>
                <w:rFonts w:ascii="宋体" w:hAnsi="宋体" w:eastAsia="宋体" w:cs="宋体"/>
                <w:b w:val="0"/>
                <w:bCs/>
                <w:szCs w:val="21"/>
              </w:rPr>
            </w:pPr>
          </w:p>
        </w:tc>
        <w:tc>
          <w:tcPr>
            <w:tcW w:w="997"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20万元以下（含）</w:t>
            </w:r>
          </w:p>
        </w:tc>
        <w:tc>
          <w:tcPr>
            <w:tcW w:w="1166" w:type="pct"/>
            <w:vAlign w:val="center"/>
          </w:tcPr>
          <w:p>
            <w:pPr>
              <w:pStyle w:val="120"/>
              <w:rPr>
                <w:rFonts w:ascii="宋体" w:hAnsi="宋体" w:eastAsia="宋体" w:cs="宋体"/>
                <w:b w:val="0"/>
                <w:bCs/>
                <w:szCs w:val="21"/>
              </w:rPr>
            </w:pPr>
            <w:r>
              <w:rPr>
                <w:rFonts w:hint="eastAsia" w:ascii="宋体" w:hAnsi="宋体" w:eastAsia="宋体" w:cs="宋体"/>
                <w:b w:val="0"/>
                <w:bCs/>
                <w:color w:val="000000"/>
                <w:kern w:val="0"/>
                <w:szCs w:val="21"/>
                <w:lang w:bidi="ar"/>
              </w:rPr>
              <w:t>租赁天数≤15</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6</w:t>
            </w:r>
          </w:p>
        </w:tc>
        <w:tc>
          <w:tcPr>
            <w:tcW w:w="409" w:type="pct"/>
            <w:vMerge w:val="continue"/>
            <w:vAlign w:val="center"/>
          </w:tcPr>
          <w:p>
            <w:pPr>
              <w:pStyle w:val="120"/>
              <w:rPr>
                <w:rFonts w:ascii="宋体" w:hAnsi="宋体" w:eastAsia="宋体" w:cs="宋体"/>
                <w:b w:val="0"/>
                <w:bCs/>
                <w:szCs w:val="21"/>
              </w:rPr>
            </w:pPr>
          </w:p>
        </w:tc>
        <w:tc>
          <w:tcPr>
            <w:tcW w:w="997" w:type="pct"/>
            <w:vMerge w:val="continue"/>
            <w:vAlign w:val="center"/>
          </w:tcPr>
          <w:p>
            <w:pPr>
              <w:pStyle w:val="120"/>
              <w:rPr>
                <w:rFonts w:ascii="宋体" w:hAnsi="宋体" w:eastAsia="宋体" w:cs="宋体"/>
                <w:b w:val="0"/>
                <w:bCs/>
                <w:szCs w:val="21"/>
              </w:rPr>
            </w:pPr>
          </w:p>
        </w:tc>
        <w:tc>
          <w:tcPr>
            <w:tcW w:w="1166" w:type="pct"/>
            <w:vAlign w:val="center"/>
          </w:tcPr>
          <w:p>
            <w:pPr>
              <w:pStyle w:val="120"/>
              <w:rPr>
                <w:rFonts w:ascii="宋体" w:hAnsi="宋体" w:eastAsia="宋体" w:cs="宋体"/>
                <w:b w:val="0"/>
                <w:bCs/>
                <w:szCs w:val="21"/>
              </w:rPr>
            </w:pPr>
            <w:r>
              <w:rPr>
                <w:rFonts w:hint="eastAsia" w:ascii="宋体" w:hAnsi="宋体" w:eastAsia="宋体" w:cs="宋体"/>
                <w:b w:val="0"/>
                <w:bCs/>
                <w:color w:val="000000"/>
                <w:w w:val="90"/>
                <w:kern w:val="0"/>
                <w:szCs w:val="21"/>
                <w:lang w:bidi="ar"/>
              </w:rPr>
              <w:t>租赁天数</w:t>
            </w:r>
            <w:r>
              <w:rPr>
                <w:rFonts w:hint="eastAsia" w:ascii="宋体" w:hAnsi="宋体" w:eastAsia="宋体" w:cs="宋体"/>
                <w:b w:val="0"/>
                <w:bCs/>
                <w:color w:val="000000"/>
                <w:kern w:val="0"/>
                <w:szCs w:val="21"/>
                <w:lang w:bidi="ar"/>
              </w:rPr>
              <w:t>＞15</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7</w:t>
            </w:r>
          </w:p>
        </w:tc>
        <w:tc>
          <w:tcPr>
            <w:tcW w:w="409" w:type="pct"/>
            <w:vMerge w:val="continue"/>
            <w:vAlign w:val="center"/>
          </w:tcPr>
          <w:p>
            <w:pPr>
              <w:pStyle w:val="120"/>
              <w:rPr>
                <w:rFonts w:ascii="宋体" w:hAnsi="宋体" w:eastAsia="宋体" w:cs="宋体"/>
                <w:b w:val="0"/>
                <w:bCs/>
                <w:szCs w:val="21"/>
              </w:rPr>
            </w:pPr>
          </w:p>
        </w:tc>
        <w:tc>
          <w:tcPr>
            <w:tcW w:w="997"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新车租赁且费用35万元以上</w:t>
            </w:r>
          </w:p>
        </w:tc>
        <w:tc>
          <w:tcPr>
            <w:tcW w:w="1166" w:type="pct"/>
            <w:vAlign w:val="center"/>
          </w:tcPr>
          <w:p>
            <w:pPr>
              <w:pStyle w:val="120"/>
              <w:rPr>
                <w:rFonts w:ascii="宋体" w:hAnsi="宋体" w:eastAsia="宋体" w:cs="宋体"/>
                <w:b w:val="0"/>
                <w:bCs/>
                <w:color w:val="000000"/>
                <w:w w:val="90"/>
                <w:kern w:val="0"/>
                <w:szCs w:val="21"/>
                <w:lang w:bidi="ar"/>
              </w:rPr>
            </w:pPr>
            <w:r>
              <w:rPr>
                <w:rFonts w:hint="eastAsia" w:ascii="宋体" w:hAnsi="宋体" w:eastAsia="宋体" w:cs="宋体"/>
                <w:b w:val="0"/>
                <w:bCs/>
                <w:color w:val="000000"/>
                <w:kern w:val="0"/>
                <w:szCs w:val="21"/>
                <w:lang w:bidi="ar"/>
              </w:rPr>
              <w:t>租赁天数≤7</w:t>
            </w:r>
          </w:p>
        </w:tc>
        <w:tc>
          <w:tcPr>
            <w:tcW w:w="760" w:type="pct"/>
            <w:vAlign w:val="center"/>
          </w:tcPr>
          <w:p>
            <w:pPr>
              <w:widowControl/>
              <w:jc w:val="center"/>
              <w:textAlignment w:val="center"/>
              <w:rPr>
                <w:rFonts w:ascii="宋体" w:hAnsi="宋体" w:cs="宋体"/>
                <w:bCs/>
                <w:color w:val="000000"/>
                <w:kern w:val="0"/>
                <w:szCs w:val="21"/>
                <w:lang w:bidi="ar"/>
              </w:rPr>
            </w:pPr>
            <w:r>
              <w:rPr>
                <w:rFonts w:ascii="宋体" w:hAnsi="宋体" w:cs="宋体"/>
                <w:bCs/>
                <w:color w:val="000000"/>
                <w:kern w:val="0"/>
                <w:szCs w:val="21"/>
                <w:lang w:bidi="ar"/>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8</w:t>
            </w:r>
          </w:p>
        </w:tc>
        <w:tc>
          <w:tcPr>
            <w:tcW w:w="409" w:type="pct"/>
            <w:vMerge w:val="continue"/>
            <w:vAlign w:val="center"/>
          </w:tcPr>
          <w:p>
            <w:pPr>
              <w:pStyle w:val="120"/>
              <w:rPr>
                <w:rFonts w:ascii="宋体" w:hAnsi="宋体" w:eastAsia="宋体" w:cs="宋体"/>
                <w:b w:val="0"/>
                <w:bCs/>
                <w:szCs w:val="21"/>
              </w:rPr>
            </w:pPr>
          </w:p>
        </w:tc>
        <w:tc>
          <w:tcPr>
            <w:tcW w:w="997" w:type="pct"/>
            <w:vMerge w:val="continue"/>
            <w:vAlign w:val="center"/>
          </w:tcPr>
          <w:p>
            <w:pPr>
              <w:pStyle w:val="120"/>
              <w:rPr>
                <w:rFonts w:ascii="宋体" w:hAnsi="宋体" w:eastAsia="宋体" w:cs="宋体"/>
                <w:b w:val="0"/>
                <w:bCs/>
                <w:szCs w:val="21"/>
              </w:rPr>
            </w:pPr>
          </w:p>
        </w:tc>
        <w:tc>
          <w:tcPr>
            <w:tcW w:w="1166" w:type="pct"/>
            <w:vAlign w:val="center"/>
          </w:tcPr>
          <w:p>
            <w:pPr>
              <w:pStyle w:val="120"/>
              <w:rPr>
                <w:rFonts w:ascii="宋体" w:hAnsi="宋体" w:eastAsia="宋体" w:cs="宋体"/>
                <w:b w:val="0"/>
                <w:bCs/>
                <w:color w:val="000000"/>
                <w:w w:val="90"/>
                <w:kern w:val="0"/>
                <w:szCs w:val="21"/>
                <w:lang w:bidi="ar"/>
              </w:rPr>
            </w:pPr>
            <w:r>
              <w:rPr>
                <w:rFonts w:hint="eastAsia" w:ascii="宋体" w:hAnsi="宋体" w:eastAsia="宋体" w:cs="宋体"/>
                <w:b w:val="0"/>
                <w:bCs/>
                <w:color w:val="000000"/>
                <w:kern w:val="0"/>
                <w:szCs w:val="21"/>
                <w:lang w:bidi="ar"/>
              </w:rPr>
              <w:t>租赁天数＞7</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9</w:t>
            </w:r>
          </w:p>
        </w:tc>
        <w:tc>
          <w:tcPr>
            <w:tcW w:w="409" w:type="pct"/>
            <w:vMerge w:val="continue"/>
            <w:vAlign w:val="center"/>
          </w:tcPr>
          <w:p>
            <w:pPr>
              <w:pStyle w:val="120"/>
              <w:rPr>
                <w:rFonts w:ascii="宋体" w:hAnsi="宋体" w:eastAsia="宋体" w:cs="宋体"/>
                <w:b w:val="0"/>
                <w:bCs/>
                <w:szCs w:val="21"/>
              </w:rPr>
            </w:pPr>
          </w:p>
        </w:tc>
        <w:tc>
          <w:tcPr>
            <w:tcW w:w="997"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新车租赁且费用35万元以下（含）</w:t>
            </w:r>
          </w:p>
        </w:tc>
        <w:tc>
          <w:tcPr>
            <w:tcW w:w="1166" w:type="pct"/>
            <w:vAlign w:val="center"/>
          </w:tcPr>
          <w:p>
            <w:pPr>
              <w:pStyle w:val="120"/>
              <w:rPr>
                <w:rFonts w:ascii="宋体" w:hAnsi="宋体" w:eastAsia="宋体" w:cs="宋体"/>
                <w:b w:val="0"/>
                <w:bCs/>
                <w:color w:val="000000"/>
                <w:w w:val="90"/>
                <w:kern w:val="0"/>
                <w:szCs w:val="21"/>
                <w:lang w:bidi="ar"/>
              </w:rPr>
            </w:pPr>
            <w:r>
              <w:rPr>
                <w:rFonts w:hint="eastAsia" w:ascii="宋体" w:hAnsi="宋体" w:eastAsia="宋体" w:cs="宋体"/>
                <w:b w:val="0"/>
                <w:bCs/>
                <w:color w:val="000000"/>
                <w:kern w:val="0"/>
                <w:szCs w:val="21"/>
                <w:lang w:bidi="ar"/>
              </w:rPr>
              <w:t>租赁天数≤7</w:t>
            </w:r>
          </w:p>
        </w:tc>
        <w:tc>
          <w:tcPr>
            <w:tcW w:w="760" w:type="pct"/>
            <w:vAlign w:val="center"/>
          </w:tcPr>
          <w:p>
            <w:pPr>
              <w:widowControl/>
              <w:jc w:val="center"/>
              <w:textAlignment w:val="center"/>
              <w:rPr>
                <w:rFonts w:ascii="宋体" w:hAnsi="宋体" w:cs="宋体"/>
                <w:bCs/>
                <w:color w:val="000000"/>
                <w:kern w:val="0"/>
                <w:szCs w:val="21"/>
                <w:lang w:bidi="ar"/>
              </w:rPr>
            </w:pPr>
            <w:r>
              <w:rPr>
                <w:rFonts w:ascii="宋体" w:hAnsi="宋体" w:cs="宋体"/>
                <w:bCs/>
                <w:color w:val="000000"/>
                <w:kern w:val="0"/>
                <w:szCs w:val="21"/>
                <w:lang w:bidi="ar"/>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10</w:t>
            </w:r>
          </w:p>
        </w:tc>
        <w:tc>
          <w:tcPr>
            <w:tcW w:w="409" w:type="pct"/>
            <w:vMerge w:val="continue"/>
            <w:vAlign w:val="center"/>
          </w:tcPr>
          <w:p>
            <w:pPr>
              <w:pStyle w:val="120"/>
              <w:rPr>
                <w:rFonts w:ascii="宋体" w:hAnsi="宋体" w:eastAsia="宋体" w:cs="宋体"/>
                <w:b w:val="0"/>
                <w:bCs/>
                <w:szCs w:val="21"/>
              </w:rPr>
            </w:pPr>
          </w:p>
        </w:tc>
        <w:tc>
          <w:tcPr>
            <w:tcW w:w="997" w:type="pct"/>
            <w:vMerge w:val="continue"/>
            <w:vAlign w:val="center"/>
          </w:tcPr>
          <w:p>
            <w:pPr>
              <w:pStyle w:val="120"/>
              <w:rPr>
                <w:rFonts w:ascii="宋体" w:hAnsi="宋体" w:eastAsia="宋体" w:cs="宋体"/>
                <w:b w:val="0"/>
                <w:bCs/>
                <w:szCs w:val="21"/>
              </w:rPr>
            </w:pPr>
          </w:p>
        </w:tc>
        <w:tc>
          <w:tcPr>
            <w:tcW w:w="1166" w:type="pct"/>
            <w:vAlign w:val="center"/>
          </w:tcPr>
          <w:p>
            <w:pPr>
              <w:pStyle w:val="120"/>
              <w:rPr>
                <w:rFonts w:ascii="宋体" w:hAnsi="宋体" w:eastAsia="宋体" w:cs="宋体"/>
                <w:b w:val="0"/>
                <w:bCs/>
                <w:color w:val="000000"/>
                <w:w w:val="90"/>
                <w:kern w:val="0"/>
                <w:szCs w:val="21"/>
                <w:lang w:bidi="ar"/>
              </w:rPr>
            </w:pPr>
            <w:r>
              <w:rPr>
                <w:rFonts w:hint="eastAsia" w:ascii="宋体" w:hAnsi="宋体" w:eastAsia="宋体" w:cs="宋体"/>
                <w:b w:val="0"/>
                <w:bCs/>
                <w:color w:val="000000"/>
                <w:kern w:val="0"/>
                <w:szCs w:val="21"/>
                <w:lang w:bidi="ar"/>
              </w:rPr>
              <w:t>租赁天数＞7</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11</w:t>
            </w:r>
          </w:p>
        </w:tc>
        <w:tc>
          <w:tcPr>
            <w:tcW w:w="409"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乘用车</w:t>
            </w:r>
          </w:p>
        </w:tc>
        <w:tc>
          <w:tcPr>
            <w:tcW w:w="997"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20万元以上</w:t>
            </w:r>
          </w:p>
        </w:tc>
        <w:tc>
          <w:tcPr>
            <w:tcW w:w="1166" w:type="pct"/>
            <w:vAlign w:val="center"/>
          </w:tcPr>
          <w:p>
            <w:pPr>
              <w:pStyle w:val="120"/>
              <w:rPr>
                <w:rFonts w:ascii="宋体" w:hAnsi="宋体" w:eastAsia="宋体" w:cs="宋体"/>
                <w:b w:val="0"/>
                <w:bCs/>
                <w:color w:val="000000"/>
                <w:w w:val="90"/>
                <w:kern w:val="0"/>
                <w:szCs w:val="21"/>
                <w:lang w:bidi="ar"/>
              </w:rPr>
            </w:pPr>
            <w:r>
              <w:rPr>
                <w:rFonts w:hint="eastAsia" w:ascii="宋体" w:hAnsi="宋体" w:eastAsia="宋体" w:cs="宋体"/>
                <w:b w:val="0"/>
                <w:bCs/>
                <w:color w:val="000000"/>
                <w:kern w:val="0"/>
                <w:szCs w:val="21"/>
                <w:lang w:bidi="ar"/>
              </w:rPr>
              <w:t>租赁天数≤15</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12</w:t>
            </w:r>
          </w:p>
        </w:tc>
        <w:tc>
          <w:tcPr>
            <w:tcW w:w="409" w:type="pct"/>
            <w:vMerge w:val="continue"/>
            <w:vAlign w:val="center"/>
          </w:tcPr>
          <w:p>
            <w:pPr>
              <w:pStyle w:val="120"/>
              <w:rPr>
                <w:rFonts w:ascii="宋体" w:hAnsi="宋体" w:eastAsia="宋体" w:cs="宋体"/>
                <w:b w:val="0"/>
                <w:bCs/>
                <w:szCs w:val="21"/>
              </w:rPr>
            </w:pPr>
          </w:p>
        </w:tc>
        <w:tc>
          <w:tcPr>
            <w:tcW w:w="997" w:type="pct"/>
            <w:vMerge w:val="continue"/>
            <w:vAlign w:val="center"/>
          </w:tcPr>
          <w:p>
            <w:pPr>
              <w:pStyle w:val="120"/>
              <w:rPr>
                <w:rFonts w:ascii="宋体" w:hAnsi="宋体" w:eastAsia="宋体" w:cs="宋体"/>
                <w:b w:val="0"/>
                <w:bCs/>
                <w:szCs w:val="21"/>
              </w:rPr>
            </w:pPr>
          </w:p>
        </w:tc>
        <w:tc>
          <w:tcPr>
            <w:tcW w:w="1166" w:type="pct"/>
            <w:vAlign w:val="center"/>
          </w:tcPr>
          <w:p>
            <w:pPr>
              <w:pStyle w:val="120"/>
              <w:rPr>
                <w:rFonts w:ascii="宋体" w:hAnsi="宋体" w:eastAsia="宋体" w:cs="宋体"/>
                <w:b w:val="0"/>
                <w:bCs/>
                <w:color w:val="000000"/>
                <w:w w:val="90"/>
                <w:kern w:val="0"/>
                <w:szCs w:val="21"/>
                <w:lang w:bidi="ar"/>
              </w:rPr>
            </w:pPr>
            <w:r>
              <w:rPr>
                <w:rFonts w:hint="eastAsia" w:ascii="宋体" w:hAnsi="宋体" w:eastAsia="宋体" w:cs="宋体"/>
                <w:b w:val="0"/>
                <w:bCs/>
                <w:color w:val="000000"/>
                <w:w w:val="90"/>
                <w:kern w:val="0"/>
                <w:szCs w:val="21"/>
                <w:lang w:bidi="ar"/>
              </w:rPr>
              <w:t>租赁天数</w:t>
            </w:r>
            <w:r>
              <w:rPr>
                <w:rFonts w:hint="eastAsia" w:ascii="宋体" w:hAnsi="宋体" w:eastAsia="宋体" w:cs="宋体"/>
                <w:b w:val="0"/>
                <w:bCs/>
                <w:color w:val="000000"/>
                <w:kern w:val="0"/>
                <w:szCs w:val="21"/>
                <w:lang w:bidi="ar"/>
              </w:rPr>
              <w:t>＞15</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13</w:t>
            </w:r>
          </w:p>
        </w:tc>
        <w:tc>
          <w:tcPr>
            <w:tcW w:w="409" w:type="pct"/>
            <w:vMerge w:val="continue"/>
            <w:vAlign w:val="center"/>
          </w:tcPr>
          <w:p>
            <w:pPr>
              <w:pStyle w:val="120"/>
              <w:rPr>
                <w:rFonts w:ascii="宋体" w:hAnsi="宋体" w:eastAsia="宋体" w:cs="宋体"/>
                <w:b w:val="0"/>
                <w:bCs/>
                <w:szCs w:val="21"/>
              </w:rPr>
            </w:pPr>
          </w:p>
        </w:tc>
        <w:tc>
          <w:tcPr>
            <w:tcW w:w="997"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20万元以下（含）</w:t>
            </w:r>
          </w:p>
        </w:tc>
        <w:tc>
          <w:tcPr>
            <w:tcW w:w="1166" w:type="pct"/>
            <w:vAlign w:val="center"/>
          </w:tcPr>
          <w:p>
            <w:pPr>
              <w:pStyle w:val="120"/>
              <w:rPr>
                <w:rFonts w:ascii="宋体" w:hAnsi="宋体" w:eastAsia="宋体" w:cs="宋体"/>
                <w:b w:val="0"/>
                <w:bCs/>
                <w:color w:val="000000"/>
                <w:w w:val="90"/>
                <w:kern w:val="0"/>
                <w:szCs w:val="21"/>
                <w:lang w:bidi="ar"/>
              </w:rPr>
            </w:pPr>
            <w:r>
              <w:rPr>
                <w:rFonts w:hint="eastAsia" w:ascii="宋体" w:hAnsi="宋体" w:eastAsia="宋体" w:cs="宋体"/>
                <w:b w:val="0"/>
                <w:bCs/>
                <w:color w:val="000000"/>
                <w:kern w:val="0"/>
                <w:szCs w:val="21"/>
                <w:lang w:bidi="ar"/>
              </w:rPr>
              <w:t>租赁天数≤15</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14</w:t>
            </w:r>
          </w:p>
        </w:tc>
        <w:tc>
          <w:tcPr>
            <w:tcW w:w="409" w:type="pct"/>
            <w:vMerge w:val="continue"/>
            <w:vAlign w:val="center"/>
          </w:tcPr>
          <w:p>
            <w:pPr>
              <w:pStyle w:val="120"/>
              <w:rPr>
                <w:rFonts w:ascii="宋体" w:hAnsi="宋体" w:eastAsia="宋体" w:cs="宋体"/>
                <w:b w:val="0"/>
                <w:bCs/>
                <w:szCs w:val="21"/>
              </w:rPr>
            </w:pPr>
          </w:p>
        </w:tc>
        <w:tc>
          <w:tcPr>
            <w:tcW w:w="997" w:type="pct"/>
            <w:vMerge w:val="continue"/>
            <w:vAlign w:val="center"/>
          </w:tcPr>
          <w:p>
            <w:pPr>
              <w:pStyle w:val="120"/>
              <w:rPr>
                <w:rFonts w:ascii="宋体" w:hAnsi="宋体" w:eastAsia="宋体" w:cs="宋体"/>
                <w:b w:val="0"/>
                <w:bCs/>
                <w:szCs w:val="21"/>
              </w:rPr>
            </w:pPr>
          </w:p>
        </w:tc>
        <w:tc>
          <w:tcPr>
            <w:tcW w:w="1166" w:type="pct"/>
            <w:vAlign w:val="center"/>
          </w:tcPr>
          <w:p>
            <w:pPr>
              <w:pStyle w:val="120"/>
              <w:rPr>
                <w:rFonts w:ascii="宋体" w:hAnsi="宋体" w:eastAsia="宋体" w:cs="宋体"/>
                <w:b w:val="0"/>
                <w:bCs/>
                <w:color w:val="000000"/>
                <w:w w:val="90"/>
                <w:kern w:val="0"/>
                <w:szCs w:val="21"/>
                <w:lang w:bidi="ar"/>
              </w:rPr>
            </w:pPr>
            <w:r>
              <w:rPr>
                <w:rFonts w:hint="eastAsia" w:ascii="宋体" w:hAnsi="宋体" w:eastAsia="宋体" w:cs="宋体"/>
                <w:b w:val="0"/>
                <w:bCs/>
                <w:color w:val="000000"/>
                <w:w w:val="90"/>
                <w:kern w:val="0"/>
                <w:szCs w:val="21"/>
                <w:lang w:bidi="ar"/>
              </w:rPr>
              <w:t>租赁天数</w:t>
            </w:r>
            <w:r>
              <w:rPr>
                <w:rFonts w:hint="eastAsia" w:ascii="宋体" w:hAnsi="宋体" w:eastAsia="宋体" w:cs="宋体"/>
                <w:b w:val="0"/>
                <w:bCs/>
                <w:color w:val="000000"/>
                <w:kern w:val="0"/>
                <w:szCs w:val="21"/>
                <w:lang w:bidi="ar"/>
              </w:rPr>
              <w:t>＞15</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15</w:t>
            </w:r>
          </w:p>
        </w:tc>
        <w:tc>
          <w:tcPr>
            <w:tcW w:w="409" w:type="pct"/>
            <w:vMerge w:val="continue"/>
            <w:vAlign w:val="center"/>
          </w:tcPr>
          <w:p>
            <w:pPr>
              <w:pStyle w:val="120"/>
              <w:rPr>
                <w:rFonts w:ascii="宋体" w:hAnsi="宋体" w:eastAsia="宋体" w:cs="宋体"/>
                <w:b w:val="0"/>
                <w:bCs/>
                <w:szCs w:val="21"/>
              </w:rPr>
            </w:pPr>
          </w:p>
        </w:tc>
        <w:tc>
          <w:tcPr>
            <w:tcW w:w="997"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新车租赁且费用20万元以上</w:t>
            </w:r>
          </w:p>
        </w:tc>
        <w:tc>
          <w:tcPr>
            <w:tcW w:w="1166" w:type="pct"/>
            <w:vAlign w:val="center"/>
          </w:tcPr>
          <w:p>
            <w:pPr>
              <w:pStyle w:val="120"/>
              <w:rPr>
                <w:rFonts w:ascii="宋体" w:hAnsi="宋体" w:eastAsia="宋体" w:cs="宋体"/>
                <w:b w:val="0"/>
                <w:bCs/>
                <w:color w:val="000000"/>
                <w:kern w:val="0"/>
                <w:szCs w:val="21"/>
                <w:lang w:bidi="ar"/>
              </w:rPr>
            </w:pPr>
            <w:r>
              <w:rPr>
                <w:rFonts w:hint="eastAsia" w:ascii="宋体" w:hAnsi="宋体" w:eastAsia="宋体" w:cs="宋体"/>
                <w:b w:val="0"/>
                <w:bCs/>
                <w:color w:val="000000"/>
                <w:kern w:val="0"/>
                <w:szCs w:val="21"/>
                <w:lang w:bidi="ar"/>
              </w:rPr>
              <w:t>租赁天数≤7</w:t>
            </w:r>
          </w:p>
        </w:tc>
        <w:tc>
          <w:tcPr>
            <w:tcW w:w="760" w:type="pct"/>
            <w:vAlign w:val="center"/>
          </w:tcPr>
          <w:p>
            <w:pPr>
              <w:widowControl/>
              <w:jc w:val="center"/>
              <w:textAlignment w:val="center"/>
              <w:rPr>
                <w:rFonts w:ascii="宋体" w:hAnsi="宋体" w:cs="宋体"/>
                <w:bCs/>
                <w:color w:val="000000"/>
                <w:kern w:val="0"/>
                <w:szCs w:val="21"/>
                <w:lang w:bidi="ar"/>
              </w:rPr>
            </w:pPr>
            <w:r>
              <w:rPr>
                <w:rFonts w:ascii="宋体" w:hAnsi="宋体" w:cs="宋体"/>
                <w:bCs/>
                <w:color w:val="000000"/>
                <w:kern w:val="0"/>
                <w:szCs w:val="21"/>
                <w:lang w:bidi="ar"/>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3"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16</w:t>
            </w:r>
          </w:p>
        </w:tc>
        <w:tc>
          <w:tcPr>
            <w:tcW w:w="409" w:type="pct"/>
            <w:vMerge w:val="continue"/>
            <w:vAlign w:val="center"/>
          </w:tcPr>
          <w:p>
            <w:pPr>
              <w:pStyle w:val="120"/>
              <w:rPr>
                <w:rFonts w:ascii="宋体" w:hAnsi="宋体" w:eastAsia="宋体" w:cs="宋体"/>
                <w:b w:val="0"/>
                <w:bCs/>
                <w:szCs w:val="21"/>
              </w:rPr>
            </w:pPr>
          </w:p>
        </w:tc>
        <w:tc>
          <w:tcPr>
            <w:tcW w:w="997" w:type="pct"/>
            <w:vMerge w:val="continue"/>
            <w:vAlign w:val="center"/>
          </w:tcPr>
          <w:p>
            <w:pPr>
              <w:pStyle w:val="120"/>
              <w:rPr>
                <w:rFonts w:ascii="宋体" w:hAnsi="宋体" w:eastAsia="宋体" w:cs="宋体"/>
                <w:b w:val="0"/>
                <w:bCs/>
                <w:szCs w:val="21"/>
              </w:rPr>
            </w:pPr>
          </w:p>
        </w:tc>
        <w:tc>
          <w:tcPr>
            <w:tcW w:w="1166" w:type="pct"/>
            <w:vAlign w:val="center"/>
          </w:tcPr>
          <w:p>
            <w:pPr>
              <w:pStyle w:val="120"/>
              <w:rPr>
                <w:rFonts w:ascii="宋体" w:hAnsi="宋体" w:eastAsia="宋体" w:cs="宋体"/>
                <w:b w:val="0"/>
                <w:bCs/>
                <w:color w:val="000000"/>
                <w:kern w:val="0"/>
                <w:szCs w:val="21"/>
                <w:lang w:bidi="ar"/>
              </w:rPr>
            </w:pPr>
            <w:r>
              <w:rPr>
                <w:rFonts w:hint="eastAsia" w:ascii="宋体" w:hAnsi="宋体" w:eastAsia="宋体" w:cs="宋体"/>
                <w:b w:val="0"/>
                <w:bCs/>
                <w:color w:val="000000"/>
                <w:kern w:val="0"/>
                <w:szCs w:val="21"/>
                <w:lang w:bidi="ar"/>
              </w:rPr>
              <w:t>租赁天数＞7</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1"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17</w:t>
            </w:r>
          </w:p>
        </w:tc>
        <w:tc>
          <w:tcPr>
            <w:tcW w:w="409" w:type="pct"/>
            <w:vMerge w:val="continue"/>
            <w:vAlign w:val="center"/>
          </w:tcPr>
          <w:p>
            <w:pPr>
              <w:pStyle w:val="120"/>
              <w:rPr>
                <w:rFonts w:ascii="宋体" w:hAnsi="宋体" w:eastAsia="宋体" w:cs="宋体"/>
                <w:b w:val="0"/>
                <w:bCs/>
                <w:szCs w:val="21"/>
              </w:rPr>
            </w:pPr>
          </w:p>
        </w:tc>
        <w:tc>
          <w:tcPr>
            <w:tcW w:w="997" w:type="pct"/>
            <w:vMerge w:val="restart"/>
            <w:vAlign w:val="center"/>
          </w:tcPr>
          <w:p>
            <w:pPr>
              <w:pStyle w:val="120"/>
              <w:rPr>
                <w:rFonts w:ascii="宋体" w:hAnsi="宋体" w:eastAsia="宋体" w:cs="宋体"/>
                <w:b w:val="0"/>
                <w:bCs/>
                <w:szCs w:val="21"/>
              </w:rPr>
            </w:pPr>
            <w:r>
              <w:rPr>
                <w:rFonts w:hint="eastAsia" w:ascii="宋体" w:hAnsi="宋体" w:eastAsia="宋体" w:cs="宋体"/>
                <w:b w:val="0"/>
                <w:bCs/>
                <w:szCs w:val="21"/>
              </w:rPr>
              <w:t>新车租赁且费用20万元以下（含）</w:t>
            </w:r>
          </w:p>
        </w:tc>
        <w:tc>
          <w:tcPr>
            <w:tcW w:w="1166" w:type="pct"/>
            <w:vAlign w:val="center"/>
          </w:tcPr>
          <w:p>
            <w:pPr>
              <w:pStyle w:val="120"/>
              <w:rPr>
                <w:rFonts w:ascii="宋体" w:hAnsi="宋体" w:eastAsia="宋体" w:cs="宋体"/>
                <w:b w:val="0"/>
                <w:bCs/>
                <w:color w:val="000000"/>
                <w:kern w:val="0"/>
                <w:szCs w:val="21"/>
                <w:lang w:bidi="ar"/>
              </w:rPr>
            </w:pPr>
            <w:r>
              <w:rPr>
                <w:rFonts w:hint="eastAsia" w:ascii="宋体" w:hAnsi="宋体" w:eastAsia="宋体" w:cs="宋体"/>
                <w:b w:val="0"/>
                <w:bCs/>
                <w:color w:val="000000"/>
                <w:kern w:val="0"/>
                <w:szCs w:val="21"/>
                <w:lang w:bidi="ar"/>
              </w:rPr>
              <w:t>租赁天数≤7</w:t>
            </w:r>
          </w:p>
        </w:tc>
        <w:tc>
          <w:tcPr>
            <w:tcW w:w="760" w:type="pct"/>
            <w:vAlign w:val="center"/>
          </w:tcPr>
          <w:p>
            <w:pPr>
              <w:widowControl/>
              <w:jc w:val="center"/>
              <w:textAlignment w:val="center"/>
              <w:rPr>
                <w:rFonts w:ascii="宋体" w:hAnsi="宋体" w:cs="宋体"/>
                <w:bCs/>
                <w:color w:val="000000"/>
                <w:kern w:val="0"/>
                <w:szCs w:val="21"/>
                <w:lang w:bidi="ar"/>
              </w:rPr>
            </w:pPr>
            <w:r>
              <w:rPr>
                <w:rFonts w:ascii="宋体" w:hAnsi="宋体" w:cs="宋体"/>
                <w:bCs/>
                <w:color w:val="000000"/>
                <w:kern w:val="0"/>
                <w:szCs w:val="21"/>
                <w:lang w:bidi="ar"/>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261" w:type="pct"/>
            <w:vAlign w:val="center"/>
          </w:tcPr>
          <w:p>
            <w:pPr>
              <w:pStyle w:val="120"/>
              <w:rPr>
                <w:rFonts w:ascii="宋体" w:hAnsi="宋体" w:eastAsia="宋体" w:cs="宋体"/>
                <w:b w:val="0"/>
                <w:bCs/>
                <w:szCs w:val="21"/>
              </w:rPr>
            </w:pPr>
            <w:r>
              <w:rPr>
                <w:rFonts w:hint="eastAsia" w:ascii="宋体" w:hAnsi="宋体" w:eastAsia="宋体" w:cs="宋体"/>
                <w:b w:val="0"/>
                <w:bCs/>
                <w:szCs w:val="21"/>
              </w:rPr>
              <w:t>18</w:t>
            </w:r>
          </w:p>
        </w:tc>
        <w:tc>
          <w:tcPr>
            <w:tcW w:w="409" w:type="pct"/>
            <w:vMerge w:val="continue"/>
            <w:vAlign w:val="center"/>
          </w:tcPr>
          <w:p>
            <w:pPr>
              <w:pStyle w:val="120"/>
              <w:rPr>
                <w:rFonts w:ascii="宋体" w:hAnsi="宋体" w:eastAsia="宋体" w:cs="宋体"/>
                <w:b w:val="0"/>
                <w:bCs/>
                <w:szCs w:val="21"/>
              </w:rPr>
            </w:pPr>
          </w:p>
        </w:tc>
        <w:tc>
          <w:tcPr>
            <w:tcW w:w="997" w:type="pct"/>
            <w:vMerge w:val="continue"/>
            <w:vAlign w:val="center"/>
          </w:tcPr>
          <w:p>
            <w:pPr>
              <w:pStyle w:val="120"/>
              <w:rPr>
                <w:rFonts w:ascii="宋体" w:hAnsi="宋体" w:eastAsia="宋体" w:cs="宋体"/>
                <w:b w:val="0"/>
                <w:bCs/>
                <w:szCs w:val="21"/>
              </w:rPr>
            </w:pPr>
          </w:p>
        </w:tc>
        <w:tc>
          <w:tcPr>
            <w:tcW w:w="1166" w:type="pct"/>
            <w:vAlign w:val="center"/>
          </w:tcPr>
          <w:p>
            <w:pPr>
              <w:pStyle w:val="120"/>
              <w:rPr>
                <w:rFonts w:ascii="宋体" w:hAnsi="宋体" w:eastAsia="宋体" w:cs="宋体"/>
                <w:b w:val="0"/>
                <w:bCs/>
                <w:color w:val="000000"/>
                <w:kern w:val="0"/>
                <w:szCs w:val="21"/>
                <w:lang w:bidi="ar"/>
              </w:rPr>
            </w:pPr>
            <w:r>
              <w:rPr>
                <w:rFonts w:hint="eastAsia" w:ascii="宋体" w:hAnsi="宋体" w:eastAsia="宋体" w:cs="宋体"/>
                <w:b w:val="0"/>
                <w:bCs/>
                <w:color w:val="000000"/>
                <w:kern w:val="0"/>
                <w:szCs w:val="21"/>
                <w:lang w:bidi="ar"/>
              </w:rPr>
              <w:t>租赁天数＞7</w:t>
            </w:r>
          </w:p>
        </w:tc>
        <w:tc>
          <w:tcPr>
            <w:tcW w:w="760" w:type="pct"/>
            <w:vAlign w:val="center"/>
          </w:tcPr>
          <w:p>
            <w:pPr>
              <w:widowControl/>
              <w:jc w:val="center"/>
              <w:textAlignment w:val="center"/>
              <w:rPr>
                <w:rFonts w:ascii="宋体" w:hAnsi="宋体" w:cs="宋体"/>
                <w:bCs/>
                <w:color w:val="000000"/>
                <w:kern w:val="0"/>
                <w:szCs w:val="21"/>
                <w:lang w:bidi="ar"/>
              </w:rPr>
            </w:pPr>
            <w:r>
              <w:rPr>
                <w:rFonts w:hint="eastAsia" w:ascii="宋体" w:hAnsi="宋体" w:cs="宋体"/>
                <w:bCs/>
                <w:color w:val="000000"/>
                <w:kern w:val="0"/>
                <w:szCs w:val="21"/>
                <w:lang w:bidi="ar"/>
              </w:rPr>
              <w:t>5</w:t>
            </w:r>
          </w:p>
        </w:tc>
      </w:tr>
    </w:tbl>
    <w:p>
      <w:pPr>
        <w:spacing w:line="360" w:lineRule="auto"/>
        <w:ind w:firstLine="420" w:firstLineChars="175"/>
        <w:rPr>
          <w:rFonts w:ascii="宋体" w:hAnsi="宋体" w:cs="宋体"/>
          <w:sz w:val="24"/>
          <w:szCs w:val="24"/>
        </w:rPr>
      </w:pPr>
      <w:r>
        <w:rPr>
          <w:rFonts w:hint="eastAsia" w:ascii="宋体" w:hAnsi="宋体" w:cs="宋体"/>
          <w:sz w:val="24"/>
          <w:szCs w:val="24"/>
        </w:rPr>
        <w:t>注：</w:t>
      </w:r>
    </w:p>
    <w:p>
      <w:pPr>
        <w:spacing w:line="360" w:lineRule="auto"/>
        <w:ind w:firstLine="420" w:firstLineChars="175"/>
        <w:rPr>
          <w:rFonts w:ascii="宋体" w:hAnsi="宋体" w:cs="宋体"/>
          <w:sz w:val="24"/>
          <w:szCs w:val="24"/>
        </w:rPr>
      </w:pPr>
      <w:r>
        <w:rPr>
          <w:rFonts w:hint="eastAsia" w:ascii="宋体" w:hAnsi="宋体" w:cs="宋体"/>
          <w:sz w:val="24"/>
          <w:szCs w:val="24"/>
        </w:rPr>
        <w:t>1、新车车辆租赁：租赁未挂牌的车辆，或租赁刚挂牌且公里数5000公里以内的卡车、公里数1000公里以内的乘用车。</w:t>
      </w:r>
    </w:p>
    <w:p>
      <w:pPr>
        <w:spacing w:line="360" w:lineRule="auto"/>
        <w:ind w:firstLine="420" w:firstLineChars="175"/>
        <w:rPr>
          <w:rFonts w:ascii="宋体" w:hAnsi="宋体" w:cs="宋体"/>
          <w:sz w:val="24"/>
          <w:szCs w:val="24"/>
        </w:rPr>
      </w:pPr>
      <w:r>
        <w:rPr>
          <w:rFonts w:hint="eastAsia" w:ascii="宋体" w:hAnsi="宋体" w:cs="宋体"/>
          <w:sz w:val="24"/>
          <w:szCs w:val="24"/>
        </w:rPr>
        <w:t>2、单辆车租赁价格计算方式：按阶梯价计算方式，车辆租赁天数15天内，按租赁天数≤15天的价格计算，车辆租赁天数超过15天后，按租赁天数＞15天的价格计算；新车车辆租赁天数7天内，按租赁天数≤7天的价格计算，新车车辆租赁天数超过7天后，按租赁天数＞7天的价格计算。</w:t>
      </w:r>
    </w:p>
    <w:p>
      <w:pPr>
        <w:spacing w:line="360" w:lineRule="auto"/>
        <w:ind w:firstLine="420" w:firstLineChars="175"/>
        <w:rPr>
          <w:rFonts w:ascii="宋体" w:hAnsi="宋体" w:cs="宋体"/>
          <w:sz w:val="24"/>
          <w:szCs w:val="24"/>
        </w:rPr>
      </w:pPr>
      <w:r>
        <w:rPr>
          <w:rFonts w:hint="eastAsia" w:ascii="宋体" w:hAnsi="宋体" w:cs="宋体"/>
          <w:sz w:val="24"/>
          <w:szCs w:val="24"/>
        </w:rPr>
        <w:t>3、车辆裸车费用：以机动车销售统一发票为准，不包括车辆购置税、保险费、上牌费、车船使用税等其他费用。</w:t>
      </w:r>
    </w:p>
    <w:p>
      <w:pPr>
        <w:spacing w:line="360" w:lineRule="auto"/>
        <w:ind w:firstLine="420" w:firstLineChars="175"/>
      </w:pPr>
      <w:r>
        <w:rPr>
          <w:rFonts w:hint="eastAsia" w:ascii="宋体" w:hAnsi="宋体" w:cs="宋体"/>
          <w:sz w:val="24"/>
          <w:szCs w:val="24"/>
        </w:rPr>
        <w:t>4、卡车包含轻卡、中重卡、特种车；乘用车包含常见乘用车及皮卡、VAN</w:t>
      </w:r>
      <w:r>
        <w:rPr>
          <w:rFonts w:hint="eastAsia" w:ascii="宋体" w:hAnsi="宋体" w:cs="宋体"/>
          <w:bCs/>
          <w:sz w:val="24"/>
          <w:szCs w:val="24"/>
        </w:rPr>
        <w:t>。</w:t>
      </w:r>
    </w:p>
    <w:p>
      <w:pPr>
        <w:spacing w:line="420" w:lineRule="exact"/>
        <w:outlineLvl w:val="3"/>
        <w:rPr>
          <w:rFonts w:ascii="宋体" w:hAnsi="宋体" w:cs="宋体"/>
          <w:bCs/>
          <w:sz w:val="24"/>
          <w:szCs w:val="24"/>
        </w:rPr>
      </w:pPr>
      <w:r>
        <w:rPr>
          <w:rFonts w:hint="eastAsia" w:ascii="宋体" w:hAnsi="宋体" w:cs="宋体"/>
          <w:sz w:val="24"/>
          <w:szCs w:val="24"/>
        </w:rPr>
        <w:t>六、采购货物特别说明</w:t>
      </w:r>
      <w:r>
        <w:rPr>
          <w:rFonts w:hint="eastAsia" w:ascii="宋体" w:hAnsi="宋体" w:cs="宋体"/>
          <w:bCs/>
          <w:sz w:val="24"/>
          <w:szCs w:val="24"/>
        </w:rPr>
        <w:t>：</w:t>
      </w:r>
    </w:p>
    <w:p>
      <w:pPr>
        <w:spacing w:line="360" w:lineRule="auto"/>
        <w:ind w:firstLine="420" w:firstLineChars="175"/>
        <w:rPr>
          <w:rFonts w:ascii="宋体" w:hAnsi="宋体" w:cs="宋体"/>
          <w:bCs/>
          <w:sz w:val="24"/>
          <w:szCs w:val="24"/>
        </w:rPr>
      </w:pPr>
      <w:r>
        <w:rPr>
          <w:rFonts w:hint="eastAsia" w:ascii="宋体" w:hAnsi="宋体" w:cs="宋体"/>
          <w:bCs/>
          <w:sz w:val="24"/>
          <w:szCs w:val="24"/>
        </w:rPr>
        <w:t>1、投标方能够根据要求提供进口车和国内新品的租赁服务，能够根据要求配置准备相关车辆，准备周期要求：国产车不超过7天，进口车不超过15天。</w:t>
      </w:r>
    </w:p>
    <w:p>
      <w:pPr>
        <w:spacing w:line="360" w:lineRule="auto"/>
        <w:ind w:firstLine="420" w:firstLineChars="175"/>
        <w:rPr>
          <w:rFonts w:ascii="宋体" w:hAnsi="宋体" w:cs="宋体"/>
          <w:bCs/>
          <w:sz w:val="24"/>
          <w:szCs w:val="24"/>
        </w:rPr>
      </w:pPr>
      <w:r>
        <w:rPr>
          <w:rFonts w:hint="eastAsia" w:ascii="宋体" w:hAnsi="宋体" w:cs="宋体"/>
          <w:bCs/>
          <w:sz w:val="24"/>
          <w:szCs w:val="24"/>
        </w:rPr>
        <w:t>2、能接受招标人根据需求确定车辆租用天数，投标方不得干涉。租赁期间车辆的使用权归招标方，投标方不得影响招标方使用。</w:t>
      </w:r>
    </w:p>
    <w:p>
      <w:pPr>
        <w:spacing w:line="360" w:lineRule="auto"/>
        <w:ind w:firstLine="420" w:firstLineChars="175"/>
        <w:rPr>
          <w:rFonts w:ascii="宋体" w:hAnsi="宋体" w:cs="宋体"/>
          <w:bCs/>
          <w:sz w:val="24"/>
          <w:szCs w:val="24"/>
        </w:rPr>
      </w:pPr>
      <w:r>
        <w:rPr>
          <w:rFonts w:hint="eastAsia" w:ascii="宋体" w:hAnsi="宋体" w:cs="宋体"/>
          <w:bCs/>
          <w:sz w:val="24"/>
          <w:szCs w:val="24"/>
        </w:rPr>
        <w:t>3、投标方需确保车辆配置符合要求，且可以根据招标人要求配合调配其他车辆。</w:t>
      </w:r>
    </w:p>
    <w:p>
      <w:pPr>
        <w:spacing w:line="360" w:lineRule="auto"/>
        <w:ind w:firstLine="420" w:firstLineChars="175"/>
        <w:rPr>
          <w:rFonts w:ascii="宋体" w:hAnsi="宋体" w:cs="宋体"/>
          <w:bCs/>
          <w:sz w:val="24"/>
          <w:szCs w:val="24"/>
        </w:rPr>
      </w:pPr>
      <w:r>
        <w:rPr>
          <w:rFonts w:hint="eastAsia" w:ascii="宋体" w:hAnsi="宋体" w:cs="宋体"/>
          <w:bCs/>
          <w:sz w:val="24"/>
          <w:szCs w:val="24"/>
        </w:rPr>
        <w:t>4、车辆租赁过程中不得影响招标人使用，能够配合招标人完成部分车辆运行数据检测，能够接受招标人在租赁过程中，根据招标人需要对车辆进行部分零部件、总成的更换，租赁结束时由招标人恢复租赁前车辆配置状态。</w:t>
      </w:r>
    </w:p>
    <w:p>
      <w:pPr>
        <w:spacing w:line="360" w:lineRule="auto"/>
        <w:ind w:firstLine="420" w:firstLineChars="175"/>
        <w:rPr>
          <w:rFonts w:ascii="宋体" w:hAnsi="宋体" w:cs="宋体"/>
          <w:bCs/>
          <w:sz w:val="24"/>
          <w:szCs w:val="24"/>
        </w:rPr>
      </w:pPr>
      <w:r>
        <w:rPr>
          <w:rFonts w:hint="eastAsia" w:ascii="宋体" w:hAnsi="宋体" w:cs="宋体"/>
          <w:bCs/>
          <w:sz w:val="24"/>
          <w:szCs w:val="24"/>
        </w:rPr>
        <w:t>5、车辆交接时双方互派代表将所租车辆拍照、验车。</w:t>
      </w:r>
    </w:p>
    <w:p>
      <w:pPr>
        <w:spacing w:line="360" w:lineRule="auto"/>
        <w:ind w:firstLine="420" w:firstLineChars="175"/>
        <w:rPr>
          <w:rFonts w:ascii="宋体" w:hAnsi="宋体" w:cs="宋体"/>
          <w:bCs/>
          <w:sz w:val="24"/>
          <w:szCs w:val="24"/>
        </w:rPr>
      </w:pPr>
      <w:r>
        <w:rPr>
          <w:rFonts w:hint="eastAsia" w:ascii="宋体" w:hAnsi="宋体" w:cs="宋体"/>
          <w:bCs/>
          <w:sz w:val="24"/>
          <w:szCs w:val="24"/>
        </w:rPr>
        <w:t>6、招标方承担车辆租赁期内的油费、过路费、停车费、维修费、保养费等，保险费用由投标方承担。</w:t>
      </w:r>
    </w:p>
    <w:p>
      <w:pPr>
        <w:spacing w:line="360" w:lineRule="auto"/>
        <w:ind w:firstLine="420" w:firstLineChars="175"/>
        <w:rPr>
          <w:rFonts w:ascii="宋体" w:hAnsi="宋体" w:cs="宋体"/>
          <w:bCs/>
          <w:sz w:val="24"/>
          <w:szCs w:val="24"/>
        </w:rPr>
      </w:pPr>
      <w:r>
        <w:rPr>
          <w:rFonts w:hint="eastAsia" w:ascii="宋体" w:hAnsi="宋体" w:cs="宋体"/>
          <w:bCs/>
          <w:sz w:val="24"/>
          <w:szCs w:val="24"/>
        </w:rPr>
        <w:t>7、车辆租赁期满，招标方应将车辆完好无损的交回给投标方，造成损失的招标方应承担赔偿责任。</w:t>
      </w:r>
    </w:p>
    <w:p>
      <w:pPr>
        <w:spacing w:line="360" w:lineRule="auto"/>
        <w:ind w:firstLine="420" w:firstLineChars="175"/>
        <w:rPr>
          <w:rFonts w:ascii="宋体" w:hAnsi="宋体" w:cs="宋体"/>
          <w:bCs/>
          <w:sz w:val="24"/>
          <w:szCs w:val="24"/>
        </w:rPr>
      </w:pPr>
      <w:r>
        <w:rPr>
          <w:rFonts w:hint="eastAsia" w:ascii="宋体" w:hAnsi="宋体" w:cs="宋体"/>
          <w:bCs/>
          <w:sz w:val="24"/>
          <w:szCs w:val="24"/>
        </w:rPr>
        <w:t>8、投标方不承担租赁车辆在租赁期间内所发生交通事故或其他事故造成的一切责任，包括有关部门的罚款等。</w:t>
      </w:r>
    </w:p>
    <w:p>
      <w:pPr>
        <w:spacing w:line="360" w:lineRule="auto"/>
        <w:ind w:firstLine="420" w:firstLineChars="175"/>
        <w:rPr>
          <w:rFonts w:ascii="宋体" w:hAnsi="宋体" w:cs="宋体"/>
          <w:bCs/>
          <w:sz w:val="24"/>
          <w:szCs w:val="24"/>
        </w:rPr>
      </w:pPr>
      <w:r>
        <w:rPr>
          <w:rFonts w:hint="eastAsia" w:ascii="宋体" w:hAnsi="宋体" w:cs="宋体"/>
          <w:bCs/>
          <w:sz w:val="24"/>
          <w:szCs w:val="24"/>
        </w:rPr>
        <w:t>9、投标方不承担租赁车辆在租赁期间引发的第三者责任。</w:t>
      </w:r>
    </w:p>
    <w:p>
      <w:pPr>
        <w:spacing w:line="360" w:lineRule="auto"/>
        <w:ind w:firstLine="420" w:firstLineChars="175"/>
        <w:rPr>
          <w:rFonts w:ascii="宋体" w:hAnsi="宋体" w:cs="宋体"/>
          <w:bCs/>
          <w:sz w:val="24"/>
          <w:szCs w:val="24"/>
        </w:rPr>
      </w:pPr>
      <w:r>
        <w:rPr>
          <w:rFonts w:hint="eastAsia" w:ascii="宋体" w:hAnsi="宋体" w:cs="宋体"/>
          <w:bCs/>
          <w:sz w:val="24"/>
          <w:szCs w:val="24"/>
        </w:rPr>
        <w:t>10、招标方在租赁期间应严格遵守国家各项法律法规，并承担由于违章、肇事、违法等行为所产生的全部责任及经济损失。</w:t>
      </w:r>
    </w:p>
    <w:p>
      <w:pPr>
        <w:spacing w:line="360" w:lineRule="auto"/>
        <w:ind w:firstLine="420" w:firstLineChars="175"/>
        <w:rPr>
          <w:rFonts w:ascii="宋体" w:hAnsi="宋体" w:cs="宋体"/>
          <w:bCs/>
          <w:sz w:val="24"/>
          <w:szCs w:val="24"/>
        </w:rPr>
      </w:pPr>
      <w:r>
        <w:rPr>
          <w:rFonts w:hint="eastAsia" w:ascii="宋体" w:hAnsi="宋体" w:cs="宋体"/>
          <w:bCs/>
          <w:sz w:val="24"/>
          <w:szCs w:val="24"/>
        </w:rPr>
        <w:t>11、车辆在租赁期内招标方不得将车辆转卖、抵押、质押、典当、转借、转租给第三方，或以其他方式损害投标方的车辆所有权。</w:t>
      </w:r>
    </w:p>
    <w:p>
      <w:pPr>
        <w:spacing w:line="360" w:lineRule="auto"/>
        <w:ind w:firstLine="420" w:firstLineChars="175"/>
        <w:rPr>
          <w:rFonts w:ascii="宋体" w:hAnsi="宋体" w:cs="宋体"/>
          <w:bCs/>
          <w:sz w:val="24"/>
          <w:szCs w:val="24"/>
        </w:rPr>
      </w:pPr>
      <w:r>
        <w:rPr>
          <w:rFonts w:hint="eastAsia" w:ascii="宋体" w:hAnsi="宋体" w:cs="宋体"/>
          <w:bCs/>
          <w:sz w:val="24"/>
          <w:szCs w:val="24"/>
        </w:rPr>
        <w:t>12、投标方能接受招标人提出的租赁违约条款的相关规定。若投标方组织车辆资源，超过招标方规定的准备周期不能提供车辆资源的，且无正当理由的，视为违约，每延期一次承担1000元违约金，累计达7次，合同终止。</w:t>
      </w:r>
    </w:p>
    <w:p>
      <w:pPr>
        <w:pStyle w:val="2"/>
        <w:rPr>
          <w:rFonts w:hint="eastAsia"/>
        </w:rPr>
        <w:sectPr>
          <w:pgSz w:w="11907" w:h="16840"/>
          <w:pgMar w:top="1304" w:right="1418" w:bottom="1304" w:left="1418" w:header="724" w:footer="851" w:gutter="0"/>
          <w:cols w:space="720" w:num="1"/>
          <w:docGrid w:linePitch="290" w:charSpace="-3931"/>
        </w:sectPr>
      </w:pPr>
    </w:p>
    <w:p>
      <w:pPr>
        <w:pStyle w:val="2"/>
        <w:rPr>
          <w:rFonts w:hint="eastAsia"/>
        </w:rPr>
      </w:pPr>
    </w:p>
    <w:p/>
    <w:p>
      <w:pPr>
        <w:pStyle w:val="2"/>
      </w:pPr>
    </w:p>
    <w:p>
      <w:pPr>
        <w:spacing w:line="360" w:lineRule="auto"/>
        <w:jc w:val="center"/>
        <w:outlineLvl w:val="0"/>
        <w:rPr>
          <w:rFonts w:ascii="宋体" w:hAnsi="Calibri" w:eastAsia="宋体" w:cs="Times New Roman"/>
          <w:b/>
          <w:sz w:val="36"/>
          <w:szCs w:val="36"/>
        </w:rPr>
      </w:pPr>
      <w:bookmarkStart w:id="100"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00"/>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5"/>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0" w:type="default"/>
          <w:footerReference r:id="rId11"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01" w:name="_Toc20872"/>
      <w:bookmarkStart w:id="102" w:name="_Toc8509"/>
      <w:bookmarkStart w:id="103" w:name="_Toc1585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01"/>
      <w:bookmarkEnd w:id="102"/>
      <w:bookmarkEnd w:id="103"/>
    </w:p>
    <w:p>
      <w:pPr>
        <w:keepNext/>
        <w:keepLines/>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
        <w:rPr>
          <w:rFonts w:ascii="Times New Roman" w:hAnsi="Times New Roman" w:eastAsia="宋体" w:cs="Times New Roman"/>
          <w:b/>
          <w:bCs/>
          <w:color w:val="000000"/>
          <w:sz w:val="24"/>
          <w:szCs w:val="24"/>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pStyle w:val="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rPr>
          <w:rFonts w:ascii="Times New Roman" w:hAnsi="Times New Roman" w:eastAsia="宋体" w:cs="Times New Roman"/>
          <w:b/>
          <w:bCs/>
          <w:color w:val="000000"/>
          <w:sz w:val="24"/>
          <w:szCs w:val="24"/>
        </w:rPr>
      </w:pPr>
    </w:p>
    <w:p>
      <w:pPr>
        <w:pStyle w:val="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cs="宋体"/>
                <w:sz w:val="24"/>
                <w:szCs w:val="24"/>
              </w:rPr>
            </w:pPr>
          </w:p>
        </w:tc>
        <w:tc>
          <w:tcPr>
            <w:tcW w:w="645" w:type="dxa"/>
            <w:vAlign w:val="center"/>
          </w:tcPr>
          <w:p>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3"/>
        <w:gridCol w:w="1657"/>
        <w:gridCol w:w="2420"/>
        <w:gridCol w:w="891"/>
        <w:gridCol w:w="793"/>
        <w:gridCol w:w="2028"/>
        <w:gridCol w:w="1624"/>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7"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77"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7"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2"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77"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cs="宋体"/>
                <w:sz w:val="24"/>
                <w:szCs w:val="24"/>
              </w:rPr>
            </w:pPr>
          </w:p>
        </w:tc>
        <w:tc>
          <w:tcPr>
            <w:tcW w:w="283" w:type="pct"/>
            <w:vAlign w:val="center"/>
          </w:tcPr>
          <w:p>
            <w:pPr>
              <w:widowControl/>
              <w:jc w:val="center"/>
              <w:textAlignment w:val="center"/>
              <w:rPr>
                <w:rFonts w:hint="eastAsia" w:ascii="宋体" w:hAnsi="宋体" w:eastAsia="宋体" w:cs="宋体"/>
                <w:sz w:val="24"/>
                <w:szCs w:val="24"/>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2"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3"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4"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5"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
      </w:pPr>
    </w:p>
    <w:p>
      <w:pPr>
        <w:pStyle w:val="2"/>
      </w:pPr>
    </w:p>
    <w:p>
      <w:pPr>
        <w:spacing w:before="140" w:line="220" w:lineRule="auto"/>
        <w:ind w:left="2" w:firstLine="464" w:firstLineChars="200"/>
        <w:rPr>
          <w:rFonts w:hint="eastAsia" w:ascii="宋体" w:hAnsi="宋体" w:eastAsia="宋体" w:cs="宋体"/>
          <w:spacing w:val="-2"/>
          <w:szCs w:val="21"/>
        </w:rPr>
        <w:sectPr>
          <w:footerReference r:id="rId26"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27"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29" w:type="first"/>
          <w:footerReference r:id="rId31" w:type="first"/>
          <w:headerReference r:id="rId28" w:type="default"/>
          <w:footerReference r:id="rId30"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37"/>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38"/>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39"/>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0"/>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1"/>
                    <a:stretch>
                      <a:fillRect/>
                    </a:stretch>
                  </pic:blipFill>
                  <pic:spPr>
                    <a:xfrm>
                      <a:off x="0" y="0"/>
                      <a:ext cx="5760085" cy="2810122"/>
                    </a:xfrm>
                    <a:prstGeom prst="rect">
                      <a:avLst/>
                    </a:prstGeom>
                  </pic:spPr>
                </pic:pic>
              </a:graphicData>
            </a:graphic>
          </wp:inline>
        </w:drawing>
      </w:r>
    </w:p>
    <w:p>
      <w:pPr>
        <w:pStyle w:val="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2"/>
                    <a:stretch>
                      <a:fillRect/>
                    </a:stretch>
                  </pic:blipFill>
                  <pic:spPr>
                    <a:xfrm>
                      <a:off x="0" y="0"/>
                      <a:ext cx="5760085" cy="2820042"/>
                    </a:xfrm>
                    <a:prstGeom prst="rect">
                      <a:avLst/>
                    </a:prstGeom>
                  </pic:spPr>
                </pic:pic>
              </a:graphicData>
            </a:graphic>
          </wp:inline>
        </w:drawing>
      </w:r>
    </w:p>
    <w:p>
      <w:pPr>
        <w:pStyle w:val="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3"/>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4"/>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5"/>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46"/>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47"/>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48"/>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49"/>
                    <a:stretch>
                      <a:fillRect/>
                    </a:stretch>
                  </pic:blipFill>
                  <pic:spPr>
                    <a:xfrm>
                      <a:off x="0" y="0"/>
                      <a:ext cx="5760085" cy="1956600"/>
                    </a:xfrm>
                    <a:prstGeom prst="rect">
                      <a:avLst/>
                    </a:prstGeom>
                  </pic:spPr>
                </pic:pic>
              </a:graphicData>
            </a:graphic>
          </wp:inline>
        </w:drawing>
      </w:r>
    </w:p>
    <w:p>
      <w:pPr>
        <w:pStyle w:val="2"/>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pPr>
        <w:pStyle w:val="2"/>
        <w:outlineLvl w:val="2"/>
      </w:pPr>
      <w:r>
        <w:drawing>
          <wp:inline distT="0" distB="0" distL="114300" distR="114300">
            <wp:extent cx="5749290" cy="2501265"/>
            <wp:effectExtent l="0" t="0" r="381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0"/>
                    <a:stretch>
                      <a:fillRect/>
                    </a:stretch>
                  </pic:blipFill>
                  <pic:spPr>
                    <a:xfrm>
                      <a:off x="0" y="0"/>
                      <a:ext cx="5749290" cy="2501265"/>
                    </a:xfrm>
                    <a:prstGeom prst="rect">
                      <a:avLst/>
                    </a:prstGeom>
                    <a:noFill/>
                    <a:ln>
                      <a:noFill/>
                    </a:ln>
                  </pic:spPr>
                </pic:pic>
              </a:graphicData>
            </a:graphic>
          </wp:inline>
        </w:drawing>
      </w:r>
    </w:p>
    <w:p>
      <w:pPr>
        <w:pStyle w:val="2"/>
        <w:outlineLvl w:val="2"/>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51"/>
                    <a:stretch>
                      <a:fillRect/>
                    </a:stretch>
                  </pic:blipFill>
                  <pic:spPr>
                    <a:xfrm>
                      <a:off x="0" y="0"/>
                      <a:ext cx="5746750" cy="3303270"/>
                    </a:xfrm>
                    <a:prstGeom prst="rect">
                      <a:avLst/>
                    </a:prstGeom>
                    <a:noFill/>
                    <a:ln>
                      <a:noFill/>
                    </a:ln>
                  </pic:spPr>
                </pic:pic>
              </a:graphicData>
            </a:graphic>
          </wp:inline>
        </w:drawing>
      </w:r>
    </w:p>
    <w:p>
      <w:pPr>
        <w:pStyle w:val="2"/>
        <w:outlineLvl w:val="2"/>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52"/>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53"/>
                    <a:stretch>
                      <a:fillRect/>
                    </a:stretch>
                  </pic:blipFill>
                  <pic:spPr>
                    <a:xfrm>
                      <a:off x="0" y="0"/>
                      <a:ext cx="5742940" cy="2925445"/>
                    </a:xfrm>
                    <a:prstGeom prst="rect">
                      <a:avLst/>
                    </a:prstGeom>
                    <a:noFill/>
                    <a:ln>
                      <a:noFill/>
                    </a:ln>
                  </pic:spPr>
                </pic:pic>
              </a:graphicData>
            </a:graphic>
          </wp:inline>
        </w:drawing>
      </w:r>
    </w:p>
    <w:p/>
    <w:p>
      <w:pPr>
        <w:rPr>
          <w:rFonts w:hint="eastAsia"/>
        </w:rPr>
      </w:pPr>
    </w:p>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方正小标宋简体">
    <w:altName w:val="黑体"/>
    <w:panose1 w:val="02000000000000000000"/>
    <w:charset w:val="86"/>
    <w:family w:val="auto"/>
    <w:pitch w:val="default"/>
    <w:sig w:usb0="00000000" w:usb1="00000000" w:usb2="00000012" w:usb3="00000000" w:csb0="00040001"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icrosoft Sans Serif">
    <w:panose1 w:val="020B0604020202020204"/>
    <w:charset w:val="00"/>
    <w:family w:val="auto"/>
    <w:pitch w:val="default"/>
    <w:sig w:usb0="E5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2">
    <w:nsid w:val="28934A01"/>
    <w:multiLevelType w:val="multilevel"/>
    <w:tmpl w:val="28934A01"/>
    <w:lvl w:ilvl="0" w:tentative="0">
      <w:start w:val="1"/>
      <w:numFmt w:val="bullet"/>
      <w:lvlText w:val=""/>
      <w:lvlJc w:val="left"/>
      <w:pPr>
        <w:ind w:left="902" w:hanging="420"/>
      </w:pPr>
      <w:rPr>
        <w:rFonts w:hint="default" w:ascii="Wingdings" w:hAnsi="Wingdings"/>
      </w:rPr>
    </w:lvl>
    <w:lvl w:ilvl="1" w:tentative="0">
      <w:start w:val="1"/>
      <w:numFmt w:val="bullet"/>
      <w:lvlText w:val=""/>
      <w:lvlJc w:val="left"/>
      <w:pPr>
        <w:ind w:left="1322" w:hanging="420"/>
      </w:pPr>
      <w:rPr>
        <w:rFonts w:hint="default" w:ascii="Wingdings" w:hAnsi="Wingdings"/>
      </w:rPr>
    </w:lvl>
    <w:lvl w:ilvl="2" w:tentative="0">
      <w:start w:val="1"/>
      <w:numFmt w:val="bullet"/>
      <w:lvlText w:val=""/>
      <w:lvlJc w:val="left"/>
      <w:pPr>
        <w:ind w:left="1742" w:hanging="420"/>
      </w:pPr>
      <w:rPr>
        <w:rFonts w:hint="default" w:ascii="Wingdings" w:hAnsi="Wingdings"/>
      </w:rPr>
    </w:lvl>
    <w:lvl w:ilvl="3" w:tentative="0">
      <w:start w:val="1"/>
      <w:numFmt w:val="bullet"/>
      <w:lvlText w:val=""/>
      <w:lvlJc w:val="left"/>
      <w:pPr>
        <w:ind w:left="2162" w:hanging="420"/>
      </w:pPr>
      <w:rPr>
        <w:rFonts w:hint="default" w:ascii="Wingdings" w:hAnsi="Wingdings"/>
      </w:rPr>
    </w:lvl>
    <w:lvl w:ilvl="4" w:tentative="0">
      <w:start w:val="1"/>
      <w:numFmt w:val="bullet"/>
      <w:lvlText w:val=""/>
      <w:lvlJc w:val="left"/>
      <w:pPr>
        <w:ind w:left="2582" w:hanging="420"/>
      </w:pPr>
      <w:rPr>
        <w:rFonts w:hint="default" w:ascii="Wingdings" w:hAnsi="Wingdings"/>
      </w:rPr>
    </w:lvl>
    <w:lvl w:ilvl="5" w:tentative="0">
      <w:start w:val="1"/>
      <w:numFmt w:val="bullet"/>
      <w:lvlText w:val=""/>
      <w:lvlJc w:val="left"/>
      <w:pPr>
        <w:ind w:left="3002" w:hanging="420"/>
      </w:pPr>
      <w:rPr>
        <w:rFonts w:hint="default" w:ascii="Wingdings" w:hAnsi="Wingdings"/>
      </w:rPr>
    </w:lvl>
    <w:lvl w:ilvl="6" w:tentative="0">
      <w:start w:val="1"/>
      <w:numFmt w:val="bullet"/>
      <w:lvlText w:val=""/>
      <w:lvlJc w:val="left"/>
      <w:pPr>
        <w:ind w:left="3422" w:hanging="420"/>
      </w:pPr>
      <w:rPr>
        <w:rFonts w:hint="default" w:ascii="Wingdings" w:hAnsi="Wingdings"/>
      </w:rPr>
    </w:lvl>
    <w:lvl w:ilvl="7" w:tentative="0">
      <w:start w:val="1"/>
      <w:numFmt w:val="bullet"/>
      <w:lvlText w:val=""/>
      <w:lvlJc w:val="left"/>
      <w:pPr>
        <w:ind w:left="3842" w:hanging="420"/>
      </w:pPr>
      <w:rPr>
        <w:rFonts w:hint="default" w:ascii="Wingdings" w:hAnsi="Wingdings"/>
      </w:rPr>
    </w:lvl>
    <w:lvl w:ilvl="8" w:tentative="0">
      <w:start w:val="1"/>
      <w:numFmt w:val="bullet"/>
      <w:lvlText w:val=""/>
      <w:lvlJc w:val="left"/>
      <w:pPr>
        <w:ind w:left="4262" w:hanging="420"/>
      </w:pPr>
      <w:rPr>
        <w:rFonts w:hint="default" w:ascii="Wingdings" w:hAnsi="Wingdings"/>
      </w:rPr>
    </w:lvl>
  </w:abstractNum>
  <w:abstractNum w:abstractNumId="3">
    <w:nsid w:val="602CD361"/>
    <w:multiLevelType w:val="singleLevel"/>
    <w:tmpl w:val="602CD361"/>
    <w:lvl w:ilvl="0" w:tentative="0">
      <w:start w:val="3"/>
      <w:numFmt w:val="decimal"/>
      <w:suff w:val="nothing"/>
      <w:lvlText w:val="（%1）"/>
      <w:lvlJc w:val="left"/>
    </w:lvl>
  </w:abstractNum>
  <w:abstractNum w:abstractNumId="4">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5">
    <w:nsid w:val="6E8C6948"/>
    <w:multiLevelType w:val="singleLevel"/>
    <w:tmpl w:val="6E8C6948"/>
    <w:lvl w:ilvl="0" w:tentative="0">
      <w:start w:val="1"/>
      <w:numFmt w:val="chineseCounting"/>
      <w:suff w:val="space"/>
      <w:lvlText w:val="第%1部分"/>
      <w:lvlJc w:val="left"/>
      <w:rPr>
        <w:rFonts w:hint="eastAsia"/>
      </w:rPr>
    </w:lvl>
  </w:abstractNum>
  <w:abstractNum w:abstractNumId="6">
    <w:nsid w:val="73D16EFA"/>
    <w:multiLevelType w:val="multilevel"/>
    <w:tmpl w:val="73D16EFA"/>
    <w:lvl w:ilvl="0" w:tentative="0">
      <w:start w:val="1"/>
      <w:numFmt w:val="decimal"/>
      <w:lvlText w:val="%1)"/>
      <w:lvlJc w:val="left"/>
      <w:pPr>
        <w:ind w:left="1322" w:hanging="420"/>
      </w:pPr>
    </w:lvl>
    <w:lvl w:ilvl="1" w:tentative="0">
      <w:start w:val="1"/>
      <w:numFmt w:val="lowerLetter"/>
      <w:lvlText w:val="%2)"/>
      <w:lvlJc w:val="left"/>
      <w:pPr>
        <w:ind w:left="1742" w:hanging="420"/>
      </w:pPr>
    </w:lvl>
    <w:lvl w:ilvl="2" w:tentative="0">
      <w:start w:val="1"/>
      <w:numFmt w:val="lowerRoman"/>
      <w:lvlText w:val="%3."/>
      <w:lvlJc w:val="right"/>
      <w:pPr>
        <w:ind w:left="2162" w:hanging="420"/>
      </w:pPr>
    </w:lvl>
    <w:lvl w:ilvl="3" w:tentative="0">
      <w:start w:val="1"/>
      <w:numFmt w:val="decimal"/>
      <w:lvlText w:val="%4."/>
      <w:lvlJc w:val="left"/>
      <w:pPr>
        <w:ind w:left="2582" w:hanging="420"/>
      </w:pPr>
    </w:lvl>
    <w:lvl w:ilvl="4" w:tentative="0">
      <w:start w:val="1"/>
      <w:numFmt w:val="lowerLetter"/>
      <w:lvlText w:val="%5)"/>
      <w:lvlJc w:val="left"/>
      <w:pPr>
        <w:ind w:left="3002" w:hanging="420"/>
      </w:pPr>
    </w:lvl>
    <w:lvl w:ilvl="5" w:tentative="0">
      <w:start w:val="1"/>
      <w:numFmt w:val="lowerRoman"/>
      <w:lvlText w:val="%6."/>
      <w:lvlJc w:val="right"/>
      <w:pPr>
        <w:ind w:left="3422" w:hanging="420"/>
      </w:pPr>
    </w:lvl>
    <w:lvl w:ilvl="6" w:tentative="0">
      <w:start w:val="1"/>
      <w:numFmt w:val="decimal"/>
      <w:lvlText w:val="%7."/>
      <w:lvlJc w:val="left"/>
      <w:pPr>
        <w:ind w:left="3842" w:hanging="420"/>
      </w:pPr>
    </w:lvl>
    <w:lvl w:ilvl="7" w:tentative="0">
      <w:start w:val="1"/>
      <w:numFmt w:val="lowerLetter"/>
      <w:lvlText w:val="%8)"/>
      <w:lvlJc w:val="left"/>
      <w:pPr>
        <w:ind w:left="4262" w:hanging="420"/>
      </w:pPr>
    </w:lvl>
    <w:lvl w:ilvl="8" w:tentative="0">
      <w:start w:val="1"/>
      <w:numFmt w:val="lowerRoman"/>
      <w:lvlText w:val="%9."/>
      <w:lvlJc w:val="right"/>
      <w:pPr>
        <w:ind w:left="4682" w:hanging="420"/>
      </w:pPr>
    </w:lvl>
  </w:abstractNum>
  <w:abstractNum w:abstractNumId="7">
    <w:nsid w:val="7A612DE2"/>
    <w:multiLevelType w:val="singleLevel"/>
    <w:tmpl w:val="7A612DE2"/>
    <w:lvl w:ilvl="0" w:tentative="0">
      <w:start w:val="2"/>
      <w:numFmt w:val="decimal"/>
      <w:lvlText w:val="%1."/>
      <w:lvlJc w:val="left"/>
      <w:pPr>
        <w:tabs>
          <w:tab w:val="left" w:pos="312"/>
        </w:tabs>
      </w:pPr>
    </w:lvl>
  </w:abstractNum>
  <w:num w:numId="1">
    <w:abstractNumId w:val="4"/>
  </w:num>
  <w:num w:numId="2">
    <w:abstractNumId w:val="5"/>
  </w:num>
  <w:num w:numId="3">
    <w:abstractNumId w:val="7"/>
  </w:num>
  <w:num w:numId="4">
    <w:abstractNumId w:val="1"/>
  </w:num>
  <w:num w:numId="5">
    <w:abstractNumId w:val="2"/>
  </w:num>
  <w:num w:numId="6">
    <w:abstractNumId w:val="6"/>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2F54175"/>
    <w:rsid w:val="03247961"/>
    <w:rsid w:val="03251978"/>
    <w:rsid w:val="0325718A"/>
    <w:rsid w:val="033A780B"/>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0611D"/>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2E461D"/>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D7277E"/>
    <w:rsid w:val="14E21050"/>
    <w:rsid w:val="14F5646A"/>
    <w:rsid w:val="14F73019"/>
    <w:rsid w:val="15044722"/>
    <w:rsid w:val="15080C95"/>
    <w:rsid w:val="152B7F51"/>
    <w:rsid w:val="15433A9B"/>
    <w:rsid w:val="158A5031"/>
    <w:rsid w:val="15961DF8"/>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7CF24F7"/>
    <w:rsid w:val="1813218C"/>
    <w:rsid w:val="181E57CF"/>
    <w:rsid w:val="18454A08"/>
    <w:rsid w:val="18586F2B"/>
    <w:rsid w:val="18656713"/>
    <w:rsid w:val="188C65D3"/>
    <w:rsid w:val="18A70482"/>
    <w:rsid w:val="18CA3EB9"/>
    <w:rsid w:val="18E815ED"/>
    <w:rsid w:val="192F3CC4"/>
    <w:rsid w:val="192F795A"/>
    <w:rsid w:val="1935690C"/>
    <w:rsid w:val="19651B39"/>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83924"/>
    <w:rsid w:val="1DED1842"/>
    <w:rsid w:val="1E001284"/>
    <w:rsid w:val="1E20535F"/>
    <w:rsid w:val="1E43150B"/>
    <w:rsid w:val="1E575188"/>
    <w:rsid w:val="1E8C2E63"/>
    <w:rsid w:val="1E9E304B"/>
    <w:rsid w:val="1EA93E80"/>
    <w:rsid w:val="1ED33FB6"/>
    <w:rsid w:val="1EE81332"/>
    <w:rsid w:val="1EED2D98"/>
    <w:rsid w:val="1F32415A"/>
    <w:rsid w:val="1F3A560A"/>
    <w:rsid w:val="1F466CDC"/>
    <w:rsid w:val="1F5A4199"/>
    <w:rsid w:val="1F7E2174"/>
    <w:rsid w:val="1F8964CB"/>
    <w:rsid w:val="1FA56195"/>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5D5B02"/>
    <w:rsid w:val="246818DB"/>
    <w:rsid w:val="246E4D46"/>
    <w:rsid w:val="247E4FED"/>
    <w:rsid w:val="248E7864"/>
    <w:rsid w:val="249B7324"/>
    <w:rsid w:val="24B30BE8"/>
    <w:rsid w:val="24C6643F"/>
    <w:rsid w:val="24E31A74"/>
    <w:rsid w:val="24E34060"/>
    <w:rsid w:val="24E42F6F"/>
    <w:rsid w:val="24E73693"/>
    <w:rsid w:val="250A319D"/>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514925"/>
    <w:rsid w:val="298E421D"/>
    <w:rsid w:val="299E147F"/>
    <w:rsid w:val="29C32A87"/>
    <w:rsid w:val="29CF070E"/>
    <w:rsid w:val="29CF26DC"/>
    <w:rsid w:val="2A1C5DA0"/>
    <w:rsid w:val="2A200D39"/>
    <w:rsid w:val="2A507EFF"/>
    <w:rsid w:val="2A9248E5"/>
    <w:rsid w:val="2A931BAD"/>
    <w:rsid w:val="2ACB3B45"/>
    <w:rsid w:val="2ADC05A4"/>
    <w:rsid w:val="2AE41EC1"/>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194D"/>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DF5A37"/>
    <w:rsid w:val="34F07DB1"/>
    <w:rsid w:val="350420D4"/>
    <w:rsid w:val="3507752E"/>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50B22"/>
    <w:rsid w:val="37085B1F"/>
    <w:rsid w:val="372E04CB"/>
    <w:rsid w:val="3762046C"/>
    <w:rsid w:val="376A7E9C"/>
    <w:rsid w:val="376B5C1E"/>
    <w:rsid w:val="37742729"/>
    <w:rsid w:val="3790083E"/>
    <w:rsid w:val="37A92DDE"/>
    <w:rsid w:val="37C77814"/>
    <w:rsid w:val="382C7B34"/>
    <w:rsid w:val="38662298"/>
    <w:rsid w:val="38715CEA"/>
    <w:rsid w:val="388A3751"/>
    <w:rsid w:val="38B251E7"/>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AA6A70"/>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4E0899"/>
    <w:rsid w:val="3F661A90"/>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B70D36"/>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13DCD"/>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2F60E9"/>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2F619C"/>
    <w:rsid w:val="504B57F2"/>
    <w:rsid w:val="505C5D66"/>
    <w:rsid w:val="50631D77"/>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30CDD"/>
    <w:rsid w:val="58E525CA"/>
    <w:rsid w:val="59351174"/>
    <w:rsid w:val="593B5DDE"/>
    <w:rsid w:val="593D045A"/>
    <w:rsid w:val="59473F47"/>
    <w:rsid w:val="5960739E"/>
    <w:rsid w:val="59894795"/>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8D085B"/>
    <w:rsid w:val="5D9539D7"/>
    <w:rsid w:val="5DBF6C59"/>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3144C8"/>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DA4F2C"/>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A1C2F"/>
    <w:rsid w:val="667B4472"/>
    <w:rsid w:val="66AA6977"/>
    <w:rsid w:val="66D435C2"/>
    <w:rsid w:val="66E40473"/>
    <w:rsid w:val="66EB550E"/>
    <w:rsid w:val="66F041A8"/>
    <w:rsid w:val="67056EA1"/>
    <w:rsid w:val="671109C3"/>
    <w:rsid w:val="6721178A"/>
    <w:rsid w:val="6739399A"/>
    <w:rsid w:val="673F39DE"/>
    <w:rsid w:val="674C5D22"/>
    <w:rsid w:val="674F0513"/>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16471"/>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1C6A73"/>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712EE"/>
    <w:rsid w:val="7109004F"/>
    <w:rsid w:val="710F390D"/>
    <w:rsid w:val="71103167"/>
    <w:rsid w:val="712E56F7"/>
    <w:rsid w:val="7148570A"/>
    <w:rsid w:val="7156627F"/>
    <w:rsid w:val="71642194"/>
    <w:rsid w:val="71691ABB"/>
    <w:rsid w:val="71815087"/>
    <w:rsid w:val="7183799B"/>
    <w:rsid w:val="71A375A1"/>
    <w:rsid w:val="71AE1AEA"/>
    <w:rsid w:val="71BD3E64"/>
    <w:rsid w:val="71C852BA"/>
    <w:rsid w:val="71CF3B6C"/>
    <w:rsid w:val="71F80F33"/>
    <w:rsid w:val="722111CB"/>
    <w:rsid w:val="722922C6"/>
    <w:rsid w:val="722D46B7"/>
    <w:rsid w:val="722E6D97"/>
    <w:rsid w:val="724D6E70"/>
    <w:rsid w:val="72632F3A"/>
    <w:rsid w:val="728121EC"/>
    <w:rsid w:val="728770A1"/>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4FC3932"/>
    <w:rsid w:val="750958F2"/>
    <w:rsid w:val="75590B0A"/>
    <w:rsid w:val="7582279F"/>
    <w:rsid w:val="75843EB5"/>
    <w:rsid w:val="759F4605"/>
    <w:rsid w:val="75AB44BA"/>
    <w:rsid w:val="75BB71AF"/>
    <w:rsid w:val="75D05731"/>
    <w:rsid w:val="75F01962"/>
    <w:rsid w:val="760E19DF"/>
    <w:rsid w:val="7615653D"/>
    <w:rsid w:val="761B75CE"/>
    <w:rsid w:val="762116DB"/>
    <w:rsid w:val="76450580"/>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9265A2"/>
    <w:rsid w:val="7AB16925"/>
    <w:rsid w:val="7AB21163"/>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05147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51"/>
    <w:qFormat/>
    <w:uiPriority w:val="9"/>
    <w:pPr>
      <w:keepNext/>
      <w:keepLines/>
      <w:jc w:val="center"/>
      <w:outlineLvl w:val="0"/>
    </w:pPr>
    <w:rPr>
      <w:b/>
      <w:bCs/>
      <w:kern w:val="44"/>
      <w:sz w:val="36"/>
      <w:szCs w:val="44"/>
    </w:rPr>
  </w:style>
  <w:style w:type="paragraph" w:styleId="4">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8">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9">
    <w:name w:val="heading 7"/>
    <w:basedOn w:val="1"/>
    <w:next w:val="1"/>
    <w:link w:val="150"/>
    <w:unhideWhenUsed/>
    <w:qFormat/>
    <w:uiPriority w:val="9"/>
    <w:pPr>
      <w:keepNext/>
      <w:keepLines/>
      <w:spacing w:before="240" w:after="64" w:line="317" w:lineRule="auto"/>
      <w:outlineLvl w:val="6"/>
    </w:pPr>
    <w:rPr>
      <w:b/>
      <w:sz w:val="24"/>
    </w:rPr>
  </w:style>
  <w:style w:type="paragraph" w:styleId="10">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76"/>
    <w:qFormat/>
    <w:uiPriority w:val="0"/>
    <w:rPr>
      <w:rFonts w:ascii="宋体" w:hAnsi="Courier New"/>
    </w:rPr>
  </w:style>
  <w:style w:type="paragraph" w:styleId="11">
    <w:name w:val="toc 7"/>
    <w:basedOn w:val="1"/>
    <w:next w:val="1"/>
    <w:qFormat/>
    <w:uiPriority w:val="39"/>
    <w:pPr>
      <w:ind w:left="1440"/>
      <w:jc w:val="left"/>
    </w:pPr>
    <w:rPr>
      <w:rFonts w:ascii="Calibri" w:hAnsi="Calibri" w:eastAsia="宋体" w:cs="Times New Roman"/>
      <w:sz w:val="18"/>
      <w:szCs w:val="18"/>
    </w:rPr>
  </w:style>
  <w:style w:type="paragraph" w:styleId="12">
    <w:name w:val="Normal Indent"/>
    <w:basedOn w:val="1"/>
    <w:next w:val="13"/>
    <w:qFormat/>
    <w:uiPriority w:val="0"/>
    <w:pPr>
      <w:ind w:firstLine="420"/>
    </w:pPr>
    <w:rPr>
      <w:rFonts w:ascii="Times New Roman" w:hAnsi="Times New Roman"/>
      <w:kern w:val="0"/>
      <w:sz w:val="20"/>
      <w:szCs w:val="20"/>
    </w:rPr>
  </w:style>
  <w:style w:type="paragraph" w:styleId="13">
    <w:name w:val="Body Text"/>
    <w:basedOn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4">
    <w:name w:val="caption"/>
    <w:basedOn w:val="1"/>
    <w:next w:val="1"/>
    <w:qFormat/>
    <w:uiPriority w:val="35"/>
    <w:pPr>
      <w:spacing w:before="152" w:after="160"/>
    </w:pPr>
    <w:rPr>
      <w:rFonts w:ascii="Arial" w:hAnsi="Arial" w:eastAsia="黑体" w:cs="Arial"/>
      <w:sz w:val="20"/>
      <w:szCs w:val="20"/>
    </w:rPr>
  </w:style>
  <w:style w:type="paragraph" w:styleId="15">
    <w:name w:val="Document Map"/>
    <w:basedOn w:val="1"/>
    <w:link w:val="74"/>
    <w:qFormat/>
    <w:uiPriority w:val="0"/>
    <w:pPr>
      <w:shd w:val="clear" w:color="auto" w:fill="000080"/>
    </w:pPr>
    <w:rPr>
      <w:sz w:val="24"/>
    </w:rPr>
  </w:style>
  <w:style w:type="paragraph" w:styleId="16">
    <w:name w:val="toa heading"/>
    <w:basedOn w:val="1"/>
    <w:next w:val="1"/>
    <w:qFormat/>
    <w:uiPriority w:val="99"/>
    <w:pPr>
      <w:spacing w:before="120"/>
    </w:pPr>
    <w:rPr>
      <w:rFonts w:ascii="Arial" w:hAnsi="Arial" w:eastAsia="宋体" w:cs="Arial"/>
      <w:sz w:val="24"/>
      <w:szCs w:val="24"/>
    </w:rPr>
  </w:style>
  <w:style w:type="paragraph" w:styleId="17">
    <w:name w:val="annotation text"/>
    <w:basedOn w:val="1"/>
    <w:link w:val="65"/>
    <w:qFormat/>
    <w:uiPriority w:val="0"/>
    <w:pPr>
      <w:jc w:val="left"/>
    </w:pPr>
  </w:style>
  <w:style w:type="paragraph" w:styleId="18">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9">
    <w:name w:val="Body Text Indent"/>
    <w:basedOn w:val="1"/>
    <w:link w:val="83"/>
    <w:qFormat/>
    <w:uiPriority w:val="99"/>
    <w:pPr>
      <w:spacing w:after="120"/>
      <w:ind w:left="420" w:leftChars="200"/>
    </w:pPr>
    <w:rPr>
      <w:rFonts w:ascii="Calibri" w:hAnsi="Calibri" w:eastAsia="宋体" w:cs="Times New Roman"/>
      <w:szCs w:val="20"/>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960"/>
      <w:jc w:val="left"/>
    </w:pPr>
    <w:rPr>
      <w:rFonts w:ascii="Calibri" w:hAnsi="Calibri" w:eastAsia="宋体" w:cs="Times New Roman"/>
      <w:sz w:val="18"/>
      <w:szCs w:val="18"/>
    </w:rPr>
  </w:style>
  <w:style w:type="paragraph" w:styleId="22">
    <w:name w:val="toc 3"/>
    <w:basedOn w:val="1"/>
    <w:next w:val="1"/>
    <w:qFormat/>
    <w:uiPriority w:val="39"/>
    <w:pPr>
      <w:ind w:left="480"/>
      <w:jc w:val="left"/>
    </w:pPr>
    <w:rPr>
      <w:rFonts w:ascii="Calibri" w:hAnsi="Calibri" w:eastAsia="宋体" w:cs="Times New Roman"/>
      <w:i/>
      <w:iCs/>
      <w:sz w:val="20"/>
      <w:szCs w:val="20"/>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7"/>
    <w:next w:val="17"/>
    <w:link w:val="56"/>
    <w:qFormat/>
    <w:uiPriority w:val="0"/>
    <w:rPr>
      <w:b/>
    </w:rPr>
  </w:style>
  <w:style w:type="paragraph" w:styleId="40">
    <w:name w:val="Body Text First Indent 2"/>
    <w:basedOn w:val="19"/>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3"/>
    <w:qFormat/>
    <w:uiPriority w:val="9"/>
    <w:rPr>
      <w:rFonts w:ascii="Calibri" w:hAnsi="Calibri" w:eastAsia="宋体" w:cs="Times New Roman"/>
      <w:b/>
      <w:bCs/>
      <w:kern w:val="44"/>
      <w:sz w:val="36"/>
      <w:szCs w:val="44"/>
    </w:rPr>
  </w:style>
  <w:style w:type="character" w:customStyle="1" w:styleId="52">
    <w:name w:val="标题 2 字符"/>
    <w:basedOn w:val="43"/>
    <w:link w:val="4"/>
    <w:qFormat/>
    <w:uiPriority w:val="9"/>
    <w:rPr>
      <w:rFonts w:ascii="Arial" w:hAnsi="Arial" w:eastAsia="宋体" w:cs="Times New Roman"/>
      <w:b/>
      <w:bCs/>
      <w:sz w:val="24"/>
      <w:szCs w:val="32"/>
    </w:rPr>
  </w:style>
  <w:style w:type="character" w:customStyle="1" w:styleId="53">
    <w:name w:val="标题 3 字符"/>
    <w:basedOn w:val="43"/>
    <w:link w:val="5"/>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7"/>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5"/>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9"/>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3"/>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4"/>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5"/>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3"/>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3"/>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8"/>
    <w:qFormat/>
    <w:uiPriority w:val="9"/>
    <w:rPr>
      <w:rFonts w:ascii="Arial" w:hAnsi="Arial" w:eastAsia="黑体" w:cstheme="minorBidi"/>
      <w:b/>
      <w:kern w:val="2"/>
      <w:sz w:val="24"/>
      <w:szCs w:val="22"/>
    </w:rPr>
  </w:style>
  <w:style w:type="character" w:customStyle="1" w:styleId="150">
    <w:name w:val="标题 7 字符"/>
    <w:basedOn w:val="43"/>
    <w:link w:val="9"/>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10"/>
    <w:semiHidden/>
    <w:qFormat/>
    <w:uiPriority w:val="9"/>
    <w:rPr>
      <w:rFonts w:ascii="Arial" w:hAnsi="Arial" w:eastAsia="黑体" w:cstheme="minorBidi"/>
      <w:kern w:val="2"/>
      <w:sz w:val="21"/>
      <w:szCs w:val="22"/>
    </w:rPr>
  </w:style>
  <w:style w:type="paragraph" w:customStyle="1" w:styleId="152">
    <w:name w:val="_Style 4"/>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3"/>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6"/>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header" Target="header2.xml"/><Relationship Id="rId56" Type="http://schemas.openxmlformats.org/officeDocument/2006/relationships/fontTable" Target="fontTable.xml"/><Relationship Id="rId55" Type="http://schemas.openxmlformats.org/officeDocument/2006/relationships/numbering" Target="numbering.xml"/><Relationship Id="rId54" Type="http://schemas.openxmlformats.org/officeDocument/2006/relationships/customXml" Target="../customXml/item1.xml"/><Relationship Id="rId53" Type="http://schemas.openxmlformats.org/officeDocument/2006/relationships/image" Target="media/image18.png"/><Relationship Id="rId52" Type="http://schemas.openxmlformats.org/officeDocument/2006/relationships/image" Target="media/image17.png"/><Relationship Id="rId51" Type="http://schemas.openxmlformats.org/officeDocument/2006/relationships/image" Target="media/image16.png"/><Relationship Id="rId50" Type="http://schemas.openxmlformats.org/officeDocument/2006/relationships/image" Target="media/image15.png"/><Relationship Id="rId5" Type="http://schemas.openxmlformats.org/officeDocument/2006/relationships/footer" Target="footer2.xml"/><Relationship Id="rId49" Type="http://schemas.openxmlformats.org/officeDocument/2006/relationships/image" Target="media/image14.png"/><Relationship Id="rId48" Type="http://schemas.openxmlformats.org/officeDocument/2006/relationships/image" Target="media/image13.png"/><Relationship Id="rId47" Type="http://schemas.openxmlformats.org/officeDocument/2006/relationships/image" Target="media/image12.png"/><Relationship Id="rId46" Type="http://schemas.openxmlformats.org/officeDocument/2006/relationships/image" Target="media/image11.png"/><Relationship Id="rId45" Type="http://schemas.openxmlformats.org/officeDocument/2006/relationships/image" Target="media/image10.png"/><Relationship Id="rId44" Type="http://schemas.openxmlformats.org/officeDocument/2006/relationships/image" Target="media/image9.png"/><Relationship Id="rId43" Type="http://schemas.openxmlformats.org/officeDocument/2006/relationships/image" Target="media/image8.png"/><Relationship Id="rId42" Type="http://schemas.openxmlformats.org/officeDocument/2006/relationships/image" Target="media/image7.png"/><Relationship Id="rId41" Type="http://schemas.openxmlformats.org/officeDocument/2006/relationships/image" Target="media/image6.png"/><Relationship Id="rId40" Type="http://schemas.openxmlformats.org/officeDocument/2006/relationships/image" Target="media/image5.png"/><Relationship Id="rId4" Type="http://schemas.openxmlformats.org/officeDocument/2006/relationships/footer" Target="footer1.xml"/><Relationship Id="rId39" Type="http://schemas.openxmlformats.org/officeDocument/2006/relationships/image" Target="media/image4.png"/><Relationship Id="rId38" Type="http://schemas.openxmlformats.org/officeDocument/2006/relationships/image" Target="media/image3.png"/><Relationship Id="rId37" Type="http://schemas.openxmlformats.org/officeDocument/2006/relationships/image" Target="media/image2.png"/><Relationship Id="rId36" Type="http://schemas.openxmlformats.org/officeDocument/2006/relationships/theme" Target="theme/theme1.xml"/><Relationship Id="rId35" Type="http://schemas.openxmlformats.org/officeDocument/2006/relationships/footer" Target="footer25.xml"/><Relationship Id="rId34" Type="http://schemas.openxmlformats.org/officeDocument/2006/relationships/footer" Target="footer24.xml"/><Relationship Id="rId33" Type="http://schemas.openxmlformats.org/officeDocument/2006/relationships/header" Target="header8.xml"/><Relationship Id="rId32" Type="http://schemas.openxmlformats.org/officeDocument/2006/relationships/header" Target="header7.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header" Target="header1.xml"/><Relationship Id="rId29" Type="http://schemas.openxmlformats.org/officeDocument/2006/relationships/header" Target="header6.xml"/><Relationship Id="rId28" Type="http://schemas.openxmlformats.org/officeDocument/2006/relationships/header" Target="header5.xml"/><Relationship Id="rId27" Type="http://schemas.openxmlformats.org/officeDocument/2006/relationships/footer" Target="footer21.xml"/><Relationship Id="rId26" Type="http://schemas.openxmlformats.org/officeDocument/2006/relationships/footer" Target="footer20.xml"/><Relationship Id="rId25" Type="http://schemas.openxmlformats.org/officeDocument/2006/relationships/footer" Target="footer19.xml"/><Relationship Id="rId24" Type="http://schemas.openxmlformats.org/officeDocument/2006/relationships/footer" Target="footer18.xml"/><Relationship Id="rId23" Type="http://schemas.openxmlformats.org/officeDocument/2006/relationships/footer" Target="footer17.xml"/><Relationship Id="rId22" Type="http://schemas.openxmlformats.org/officeDocument/2006/relationships/footer" Target="footer16.xml"/><Relationship Id="rId21" Type="http://schemas.openxmlformats.org/officeDocument/2006/relationships/footer" Target="footer15.xml"/><Relationship Id="rId20" Type="http://schemas.openxmlformats.org/officeDocument/2006/relationships/footer" Target="footer14.xml"/><Relationship Id="rId2" Type="http://schemas.openxmlformats.org/officeDocument/2006/relationships/settings" Target="settings.xml"/><Relationship Id="rId19" Type="http://schemas.openxmlformats.org/officeDocument/2006/relationships/footer" Target="footer13.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63</Pages>
  <Words>9726</Words>
  <Characters>10320</Characters>
  <Lines>371</Lines>
  <Paragraphs>104</Paragraphs>
  <TotalTime>1</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2025-11-24T09:08:42Z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