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eastAsia"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中国重汽集团济南</w:t>
      </w:r>
      <w:r>
        <w:rPr>
          <w:rFonts w:hint="eastAsia" w:ascii="楷体_GB2312" w:hAnsi="宋体" w:eastAsia="楷体_GB2312"/>
          <w:b w:val="0"/>
          <w:bCs w:val="0"/>
          <w:sz w:val="52"/>
          <w:szCs w:val="52"/>
          <w:highlight w:val="none"/>
          <w:lang w:eastAsia="zh-CN"/>
        </w:rPr>
        <w:t>卡车公司党家厂区锅炉能效检测项目（2025年）</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lang w:eastAsia="zh-CN"/>
        </w:rPr>
        <w:t>FSCZB2025090185</w:t>
      </w:r>
      <w:r>
        <w:rPr>
          <w:rFonts w:hint="eastAsia" w:ascii="宋体" w:hAnsi="宋体" w:cs="宋体"/>
          <w:b/>
          <w:bCs/>
          <w:kern w:val="0"/>
          <w:sz w:val="32"/>
          <w:szCs w:val="32"/>
          <w:highlight w:val="none"/>
          <w:u w:val="single"/>
          <w:lang w:val="en-US" w:eastAsia="zh-CN"/>
        </w:rPr>
        <w:t xml:space="preserve"> </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ascii="宋体" w:hAnsi="Calibri" w:eastAsia="宋体" w:cs="Times New Roman"/>
          <w:b/>
          <w:bCs/>
          <w:color w:val="000000"/>
          <w:sz w:val="28"/>
          <w:szCs w:val="28"/>
        </w:rPr>
      </w:pPr>
      <w:r>
        <w:rPr>
          <w:rFonts w:hint="eastAsia" w:ascii="宋体" w:hAnsi="宋体"/>
          <w:b/>
          <w:bCs/>
          <w:sz w:val="28"/>
          <w:szCs w:val="28"/>
        </w:rPr>
        <w:t>招 标 人：</w:t>
      </w:r>
      <w:r>
        <w:rPr>
          <w:rFonts w:hint="eastAsia" w:ascii="宋体" w:hAnsi="宋体" w:eastAsia="宋体" w:cs="Times New Roman"/>
          <w:b/>
          <w:bCs/>
          <w:color w:val="000000"/>
          <w:sz w:val="28"/>
          <w:szCs w:val="28"/>
          <w:highlight w:val="none"/>
        </w:rPr>
        <w:t>中国重汽集团济南动力有限公司</w:t>
      </w:r>
    </w:p>
    <w:p w14:paraId="4AB0D8A6">
      <w:pPr>
        <w:jc w:val="center"/>
        <w:rPr>
          <w:rFonts w:ascii="宋体" w:hAnsi="宋体"/>
          <w:sz w:val="28"/>
          <w:szCs w:val="28"/>
        </w:rPr>
      </w:pPr>
    </w:p>
    <w:p w14:paraId="6617A57C">
      <w:pPr>
        <w:jc w:val="center"/>
        <w:rPr>
          <w:b/>
          <w:bCs/>
        </w:rPr>
      </w:pPr>
      <w:r>
        <w:rPr>
          <w:rFonts w:hint="eastAsia" w:ascii="宋体" w:hAnsi="宋体"/>
          <w:b/>
          <w:bCs/>
          <w:sz w:val="28"/>
          <w:szCs w:val="28"/>
          <w:u w:val="single"/>
          <w:lang w:val="en-US" w:eastAsia="zh-CN"/>
        </w:rPr>
        <w:t>2025</w:t>
      </w:r>
      <w:r>
        <w:rPr>
          <w:rFonts w:hint="eastAsia" w:ascii="宋体" w:hAnsi="宋体"/>
          <w:b/>
          <w:bCs/>
          <w:sz w:val="28"/>
          <w:szCs w:val="28"/>
          <w:u w:val="single"/>
        </w:rPr>
        <w:t>年</w:t>
      </w:r>
      <w:r>
        <w:rPr>
          <w:rFonts w:hint="eastAsia" w:ascii="宋体" w:hAnsi="宋体"/>
          <w:b/>
          <w:bCs/>
          <w:sz w:val="28"/>
          <w:szCs w:val="28"/>
          <w:u w:val="single"/>
          <w:lang w:val="en-US" w:eastAsia="zh-CN"/>
        </w:rPr>
        <w:t>9</w:t>
      </w:r>
      <w:r>
        <w:rPr>
          <w:rFonts w:hint="eastAsia" w:ascii="宋体" w:hAnsi="宋体"/>
          <w:b/>
          <w:bCs/>
          <w:sz w:val="28"/>
          <w:szCs w:val="28"/>
          <w:u w:val="single"/>
        </w:rPr>
        <w:t>月</w:t>
      </w:r>
    </w:p>
    <w:p w14:paraId="582BF911">
      <w:pPr>
        <w:pStyle w:val="16"/>
        <w:tabs>
          <w:tab w:val="left" w:pos="2940"/>
        </w:tabs>
        <w:spacing w:line="360" w:lineRule="auto"/>
      </w:pPr>
      <w:r>
        <w:tab/>
      </w:r>
    </w:p>
    <w:p w14:paraId="29FEE1FC">
      <w:pPr>
        <w:pStyle w:val="16"/>
        <w:spacing w:line="360" w:lineRule="auto"/>
        <w:jc w:val="center"/>
      </w:pPr>
    </w:p>
    <w:p w14:paraId="5B3316FD">
      <w:pPr>
        <w:pStyle w:val="16"/>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2"/>
        <w:rPr>
          <w:rFonts w:hint="default" w:eastAsia="黑体"/>
          <w:lang w:val="en-US" w:eastAsia="zh-CN"/>
        </w:rPr>
      </w:pPr>
      <w:bookmarkStart w:id="0" w:name="_Toc7104"/>
      <w:bookmarkStart w:id="1" w:name="_Toc47976587"/>
      <w:r>
        <w:rPr>
          <w:rFonts w:hint="eastAsia"/>
        </w:rPr>
        <w:t>招标公告</w:t>
      </w:r>
      <w:bookmarkEnd w:id="0"/>
      <w:bookmarkEnd w:id="1"/>
      <w:r>
        <w:rPr>
          <w:rFonts w:hint="eastAsia"/>
          <w:lang w:eastAsia="zh-CN"/>
        </w:rPr>
        <w:t>（</w:t>
      </w:r>
      <w:r>
        <w:rPr>
          <w:rFonts w:hint="eastAsia"/>
          <w:lang w:val="en-US" w:eastAsia="zh-CN"/>
        </w:rPr>
        <w:t>二次公告）</w:t>
      </w:r>
    </w:p>
    <w:p w14:paraId="22C6BEDA">
      <w:pPr>
        <w:pStyle w:val="72"/>
        <w:rPr>
          <w:rFonts w:hint="eastAsia"/>
          <w:highlight w:val="cyan"/>
          <w:u w:val="single"/>
          <w:lang w:val="en-US" w:eastAsia="zh-CN"/>
        </w:rPr>
      </w:pPr>
      <w:bookmarkStart w:id="2" w:name="_Toc32474"/>
      <w:r>
        <w:rPr>
          <w:rFonts w:hint="eastAsia"/>
          <w:sz w:val="28"/>
          <w:lang w:val="en-US" w:eastAsia="zh-CN"/>
        </w:rPr>
        <w:t>中国重汽集团</w:t>
      </w:r>
      <w:r>
        <w:rPr>
          <w:rFonts w:hint="eastAsia"/>
          <w:sz w:val="28"/>
        </w:rPr>
        <w:t>党家厂区锅炉能效检测项目（2025年）公告</w:t>
      </w:r>
      <w:bookmarkEnd w:id="2"/>
    </w:p>
    <w:p w14:paraId="418340FC">
      <w:pPr>
        <w:pStyle w:val="73"/>
        <w:numPr>
          <w:ilvl w:val="0"/>
          <w:numId w:val="9"/>
        </w:numPr>
        <w:ind w:left="420"/>
        <w:jc w:val="left"/>
      </w:pPr>
      <w:bookmarkStart w:id="3" w:name="_Toc47976596"/>
      <w:r>
        <w:rPr>
          <w:rFonts w:hint="eastAsia"/>
        </w:rPr>
        <w:t>项目介绍</w:t>
      </w:r>
      <w:bookmarkEnd w:id="3"/>
    </w:p>
    <w:p w14:paraId="75577100">
      <w:pPr>
        <w:pStyle w:val="77"/>
        <w:numPr>
          <w:ilvl w:val="0"/>
          <w:numId w:val="10"/>
        </w:numPr>
        <w:ind w:left="425" w:leftChars="0" w:hanging="425" w:firstLineChars="0"/>
      </w:pPr>
      <w:r>
        <w:rPr>
          <w:rFonts w:hint="eastAsia"/>
          <w:b/>
          <w:bCs/>
        </w:rPr>
        <w:t>项目名称</w:t>
      </w:r>
      <w:r>
        <w:rPr>
          <w:rFonts w:hint="eastAsia"/>
        </w:rPr>
        <w:t>：</w:t>
      </w:r>
      <w:r>
        <w:rPr>
          <w:rFonts w:hint="eastAsia"/>
          <w:lang w:val="en-US" w:eastAsia="zh-CN"/>
        </w:rPr>
        <w:t>济南</w:t>
      </w:r>
      <w:r>
        <w:rPr>
          <w:rFonts w:hint="eastAsia"/>
          <w:lang w:eastAsia="zh-CN"/>
        </w:rPr>
        <w:t>卡车公司党家厂区锅炉能效检测项目（2025年）</w:t>
      </w:r>
    </w:p>
    <w:p w14:paraId="17A97EAA">
      <w:pPr>
        <w:pStyle w:val="77"/>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FSCZB2025090185</w:t>
      </w:r>
    </w:p>
    <w:p w14:paraId="09C2DB2D">
      <w:pPr>
        <w:pStyle w:val="77"/>
        <w:numPr>
          <w:ilvl w:val="0"/>
          <w:numId w:val="10"/>
        </w:numPr>
        <w:ind w:left="425" w:leftChars="0" w:hanging="425" w:firstLineChars="0"/>
        <w:rPr>
          <w:rFonts w:hint="eastAsia" w:cs="Times New Roman"/>
          <w:highlight w:val="none"/>
          <w:lang w:val="en-US" w:eastAsia="zh-CN"/>
        </w:rPr>
      </w:pPr>
      <w:r>
        <w:rPr>
          <w:rFonts w:hint="eastAsia"/>
          <w:b/>
          <w:bCs/>
        </w:rPr>
        <w:t>招标形式</w:t>
      </w:r>
      <w:r>
        <w:rPr>
          <w:rFonts w:hint="eastAsia"/>
        </w:rPr>
        <w:t>：</w:t>
      </w:r>
      <w:bookmarkStart w:id="4" w:name="_Toc47112482"/>
      <w:r>
        <w:rPr>
          <w:rFonts w:hint="eastAsia"/>
          <w:lang w:val="en-US" w:eastAsia="zh-CN"/>
        </w:rPr>
        <w:t>公开招标</w:t>
      </w:r>
    </w:p>
    <w:p w14:paraId="218D8651">
      <w:pPr>
        <w:pStyle w:val="77"/>
        <w:numPr>
          <w:ilvl w:val="0"/>
          <w:numId w:val="10"/>
        </w:numPr>
        <w:ind w:left="425" w:leftChars="0" w:hanging="425" w:firstLineChars="0"/>
        <w:rPr>
          <w:rFonts w:hint="eastAsia" w:cs="Times New Roman"/>
          <w:highlight w:val="none"/>
          <w:lang w:val="en-US" w:eastAsia="zh-CN"/>
        </w:rPr>
      </w:pPr>
      <w:r>
        <w:rPr>
          <w:rFonts w:hint="eastAsia"/>
          <w:b/>
          <w:bCs/>
          <w:lang w:val="en-US" w:eastAsia="zh-CN"/>
        </w:rPr>
        <w:t>项目概况</w:t>
      </w:r>
      <w:r>
        <w:rPr>
          <w:rFonts w:hint="eastAsia"/>
          <w:lang w:val="en-US" w:eastAsia="zh-CN"/>
        </w:rPr>
        <w:t>：依据《锅炉节能环保技术规程》TSG91-2021的5.4.1条定期能效测试要求，对党家庄厂区在用的4台燃气锅炉开展两年一次的定期能效测试，并出具具有法律效力的能效检测报告。</w:t>
      </w:r>
    </w:p>
    <w:p w14:paraId="2A2F2260">
      <w:pPr>
        <w:pStyle w:val="77"/>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03FCD7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278FDC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78D76EC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"mailto:huangjiahao@sinotruk.com" </w:instrText>
      </w:r>
      <w:r>
        <w:rPr>
          <w:rFonts w:hint="eastAsia" w:ascii="宋体" w:hAnsi="Courier New" w:eastAsia="宋体" w:cs="Times New Roman"/>
          <w:kern w:val="2"/>
          <w:sz w:val="21"/>
          <w:lang w:val="en-US" w:eastAsia="zh-CN" w:bidi="ar-SA"/>
        </w:rPr>
        <w:fldChar w:fldCharType="separate"/>
      </w:r>
      <w:r>
        <w:rPr>
          <w:rStyle w:val="39"/>
          <w:rFonts w:hint="eastAsia" w:ascii="宋体" w:hAnsi="Courier New" w:eastAsia="宋体" w:cs="Times New Roman"/>
          <w:kern w:val="2"/>
          <w:sz w:val="21"/>
          <w:lang w:val="en-US" w:eastAsia="zh-CN" w:bidi="ar-SA"/>
        </w:rPr>
        <w:t>huangjiahao@sinotruk.com</w:t>
      </w:r>
      <w:r>
        <w:rPr>
          <w:rFonts w:hint="eastAsia" w:ascii="宋体" w:hAnsi="Courier New" w:eastAsia="宋体" w:cs="Times New Roman"/>
          <w:kern w:val="2"/>
          <w:sz w:val="21"/>
          <w:lang w:val="en-US" w:eastAsia="zh-CN" w:bidi="ar-SA"/>
        </w:rPr>
        <w:fldChar w:fldCharType="end"/>
      </w:r>
    </w:p>
    <w:bookmarkEnd w:id="4"/>
    <w:p w14:paraId="50DC6C75">
      <w:pPr>
        <w:pStyle w:val="73"/>
      </w:pPr>
      <w:bookmarkStart w:id="5" w:name="_Toc47976598"/>
      <w:r>
        <w:rPr>
          <w:rFonts w:hint="eastAsia"/>
        </w:rPr>
        <w:t>投标人</w:t>
      </w:r>
      <w:bookmarkEnd w:id="5"/>
      <w:r>
        <w:rPr>
          <w:rFonts w:hint="eastAsia"/>
          <w:lang w:val="en-US" w:eastAsia="zh-CN"/>
        </w:rPr>
        <w:t>资质要求：</w:t>
      </w:r>
    </w:p>
    <w:p w14:paraId="166DF9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1、必须具有特种设备检验检测技术咨询/服务等相关经营许可资质。 </w:t>
      </w:r>
    </w:p>
    <w:p w14:paraId="4A012FB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2、公司注册资本不少于壹佰万元（人民币）。</w:t>
      </w:r>
    </w:p>
    <w:p w14:paraId="7EED5E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3、在社会上和重汽集团内的其它招标过程中没有不良行为记录。</w:t>
      </w:r>
    </w:p>
    <w:p w14:paraId="6A2EE2E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4、无招标违规、谎报年度报告信息、提供虚假资质资料等行为和行政处罚记录。</w:t>
      </w:r>
    </w:p>
    <w:p w14:paraId="173690C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5、公司财务良好，经营稳定，有全面履约的能力；投标单位之间必须具有充分的竞争关系。</w:t>
      </w:r>
    </w:p>
    <w:p w14:paraId="6BE9182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6 、投标单位应具有良好的商业信誉，没有被处于责令停产、财产被冻结、接管、破产、且财务状况良好。</w:t>
      </w:r>
    </w:p>
    <w:p w14:paraId="7B7BD1C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7、投标单位未在“信用中国”网站（www.creditchina.gov.cn）或各级信用信息共享平台列入失信被执行人名单，信用信息共享平台包括但不限于“国家企业信用信息公示系统”、“中国执行信息公开网”、“天眼查”“裁判文书网”等信息平台。</w:t>
      </w:r>
    </w:p>
    <w:p w14:paraId="5F39066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8、投标单位的直接或间接股东、法定代表人、董事、监事、高管非重汽员工及其亲属。</w:t>
      </w:r>
    </w:p>
    <w:p w14:paraId="2F8A745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9、不接受联合体投标。</w:t>
      </w:r>
    </w:p>
    <w:p w14:paraId="7F50998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10、 必须具有1年以上相关工作经历和成功的类似案例。</w:t>
      </w:r>
    </w:p>
    <w:p w14:paraId="31CA8C38">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：2025年</w:t>
      </w:r>
      <w:r>
        <w:rPr>
          <w:rFonts w:hint="eastAsia" w:cs="Times New Roman"/>
          <w:highlight w:val="none"/>
          <w:lang w:val="en-US" w:eastAsia="zh-CN"/>
        </w:rPr>
        <w:t>10</w:t>
      </w:r>
      <w:r>
        <w:rPr>
          <w:rFonts w:hint="eastAsia" w:ascii="宋体" w:hAnsi="Courier New" w:eastAsia="宋体" w:cs="Times New Roman"/>
          <w:highlight w:val="none"/>
          <w:lang w:val="en-US" w:eastAsia="zh-CN"/>
        </w:rPr>
        <w:t>月</w:t>
      </w:r>
      <w:r>
        <w:rPr>
          <w:rFonts w:hint="eastAsia" w:cs="Times New Roman"/>
          <w:highlight w:val="none"/>
          <w:lang w:val="en-US" w:eastAsia="zh-CN"/>
        </w:rPr>
        <w:t>9</w:t>
      </w:r>
      <w:r>
        <w:rPr>
          <w:rFonts w:hint="eastAsia" w:ascii="宋体" w:hAnsi="Courier New" w:eastAsia="宋体" w:cs="Times New Roman"/>
          <w:highlight w:val="none"/>
          <w:lang w:val="en-US" w:eastAsia="zh-CN"/>
        </w:rPr>
        <w:t>日</w:t>
      </w:r>
    </w:p>
    <w:p w14:paraId="04ACA6F8">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7AB51490">
      <w:pPr>
        <w:pStyle w:val="77"/>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一</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二</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公告中的应标文件编制的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77"/>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lang w:val="en-US" w:eastAsia="zh-CN"/>
        </w:rPr>
        <w:t>10</w:t>
      </w:r>
      <w:r>
        <w:rPr>
          <w:rFonts w:hint="eastAsia" w:eastAsia="宋体" w:cs="宋体"/>
          <w:highlight w:val="none"/>
        </w:rPr>
        <w:t>月</w:t>
      </w:r>
      <w:r>
        <w:rPr>
          <w:rFonts w:hint="eastAsia" w:cs="宋体"/>
          <w:highlight w:val="none"/>
          <w:lang w:val="en-US" w:eastAsia="zh-CN"/>
        </w:rPr>
        <w:t>21</w:t>
      </w:r>
      <w:bookmarkStart w:id="11" w:name="_GoBack"/>
      <w:bookmarkEnd w:id="11"/>
      <w:r>
        <w:rPr>
          <w:rFonts w:hint="eastAsia" w:eastAsia="宋体" w:cs="宋体"/>
          <w:highlight w:val="none"/>
        </w:rPr>
        <w:t>日17时00分00秒</w:t>
      </w:r>
    </w:p>
    <w:p w14:paraId="2521BCA0">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3"/>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5"/>
        <w:numPr>
          <w:ilvl w:val="0"/>
          <w:numId w:val="0"/>
        </w:numPr>
        <w:ind w:leftChars="0"/>
        <w:rPr>
          <w:b w:val="0"/>
          <w:bCs/>
          <w:highlight w:val="none"/>
        </w:rPr>
      </w:pPr>
      <w:r>
        <w:rPr>
          <w:rFonts w:hint="eastAsia"/>
          <w:b/>
          <w:bCs w:val="0"/>
          <w:highlight w:val="none"/>
        </w:rPr>
        <w:t>资质文件</w:t>
      </w:r>
      <w:r>
        <w:rPr>
          <w:rFonts w:hint="eastAsia"/>
          <w:b w:val="0"/>
          <w:bCs/>
          <w:highlight w:val="none"/>
        </w:rPr>
        <w:t>：</w:t>
      </w:r>
    </w:p>
    <w:p w14:paraId="1C166CA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bookmarkStart w:id="6" w:name="_Toc47976601"/>
      <w:r>
        <w:rPr>
          <w:rFonts w:hint="eastAsia" w:ascii="宋体" w:hAnsi="Courier New" w:eastAsia="宋体" w:cs="Times New Roman"/>
          <w:kern w:val="2"/>
          <w:sz w:val="21"/>
          <w:highlight w:val="none"/>
          <w:lang w:val="en-US" w:eastAsia="zh-CN" w:bidi="ar-SA"/>
        </w:rPr>
        <w:t>1、法定代表人身份证明</w:t>
      </w:r>
    </w:p>
    <w:p w14:paraId="091B3F1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2、法人授权委托书及身份证复印件；</w:t>
      </w:r>
    </w:p>
    <w:p w14:paraId="150CC562">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3、营业执照副本复印件；</w:t>
      </w:r>
    </w:p>
    <w:p w14:paraId="30643B9F">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4</w:t>
      </w:r>
      <w:r>
        <w:rPr>
          <w:rFonts w:hint="eastAsia" w:ascii="宋体" w:hAnsi="Courier New" w:eastAsia="宋体" w:cs="Times New Roman"/>
          <w:kern w:val="2"/>
          <w:sz w:val="21"/>
          <w:highlight w:val="none"/>
          <w:lang w:val="en-US" w:eastAsia="zh-CN" w:bidi="ar-SA"/>
        </w:rPr>
        <w:t>、证明投标人满足投标资料表中列出的业绩要求的文件：近三年（2022年1月1日至今）类似项目业绩及合同复印件（加盖公章，须有客户联系方式及联系人以供招标人核实确认）。</w:t>
      </w:r>
    </w:p>
    <w:p w14:paraId="11306B6B">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5</w:t>
      </w:r>
      <w:r>
        <w:rPr>
          <w:rFonts w:hint="eastAsia" w:ascii="宋体" w:hAnsi="Courier New" w:eastAsia="宋体" w:cs="Times New Roman"/>
          <w:kern w:val="2"/>
          <w:sz w:val="21"/>
          <w:highlight w:val="none"/>
          <w:lang w:val="en-US" w:eastAsia="zh-CN" w:bidi="ar-SA"/>
        </w:rPr>
        <w:t>、近三年财务报表（资产负债表、损益表、现金流量表）等；企业最近半年完税证明、信用证明材料（中国人民银行信用代码证+征信报告）；年度纳税信用评价信息（可从电子税务局查询截图，需加盖公章）；企业对外担保说明（写明贵单位对外有无对外担保和质押业务，需加盖公章）。</w:t>
      </w:r>
    </w:p>
    <w:p w14:paraId="2B193811">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6</w:t>
      </w:r>
      <w:r>
        <w:rPr>
          <w:rFonts w:hint="eastAsia" w:ascii="宋体" w:hAnsi="Courier New" w:eastAsia="宋体" w:cs="Times New Roman"/>
          <w:kern w:val="2"/>
          <w:sz w:val="21"/>
          <w:highlight w:val="none"/>
          <w:lang w:val="en-US" w:eastAsia="zh-CN" w:bidi="ar-SA"/>
        </w:rPr>
        <w:t>、招标文件中要求的其它资格证明文件。</w:t>
      </w:r>
    </w:p>
    <w:p w14:paraId="588ACDE0">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7</w:t>
      </w:r>
      <w:r>
        <w:rPr>
          <w:rFonts w:hint="eastAsia" w:ascii="宋体" w:hAnsi="Courier New" w:eastAsia="宋体" w:cs="Times New Roman"/>
          <w:kern w:val="2"/>
          <w:sz w:val="21"/>
          <w:highlight w:val="none"/>
          <w:lang w:val="en-US" w:eastAsia="zh-CN" w:bidi="ar-SA"/>
        </w:rPr>
        <w:t>、投标人应具有相应生产证明，若为代理商需具备厂家授权。</w:t>
      </w:r>
    </w:p>
    <w:p w14:paraId="05B00D1D">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8</w:t>
      </w:r>
      <w:r>
        <w:rPr>
          <w:rFonts w:hint="eastAsia" w:ascii="宋体" w:hAnsi="Courier New" w:eastAsia="宋体" w:cs="Times New Roman"/>
          <w:kern w:val="2"/>
          <w:sz w:val="21"/>
          <w:highlight w:val="none"/>
          <w:lang w:val="en-US" w:eastAsia="zh-CN" w:bidi="ar-SA"/>
        </w:rPr>
        <w:t>、近三个月依法缴纳税收和社会保障资金的证明材料，近三年内在经营活动中没有违法违纪行为的声明；</w:t>
      </w:r>
    </w:p>
    <w:p w14:paraId="52AB0CF5">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9</w:t>
      </w:r>
      <w:r>
        <w:rPr>
          <w:rFonts w:hint="eastAsia" w:ascii="宋体" w:hAnsi="Courier New" w:eastAsia="宋体" w:cs="Times New Roman"/>
          <w:kern w:val="2"/>
          <w:sz w:val="21"/>
          <w:highlight w:val="none"/>
          <w:lang w:val="en-US" w:eastAsia="zh-CN" w:bidi="ar-SA"/>
        </w:rPr>
        <w:t>、投标单位在国家企业信用信息公示系统中无与本投标项目有关的行政处罚、经营异常或失信信息或上述信息已被移除的声明。</w:t>
      </w:r>
    </w:p>
    <w:bookmarkEnd w:id="6"/>
    <w:p w14:paraId="5880241B">
      <w:pPr>
        <w:pStyle w:val="73"/>
        <w:rPr>
          <w:rFonts w:ascii="宋体" w:hAnsi="宋体" w:cs="宋体"/>
          <w:sz w:val="24"/>
          <w:szCs w:val="24"/>
        </w:rPr>
      </w:pPr>
      <w:r>
        <w:rPr>
          <w:rFonts w:hint="eastAsia"/>
          <w:lang w:val="en-US" w:eastAsia="zh-CN"/>
        </w:rPr>
        <w:t>交货及付款</w:t>
      </w:r>
    </w:p>
    <w:p w14:paraId="39DCFAAE">
      <w:pPr>
        <w:keepNext w:val="0"/>
        <w:keepLines w:val="0"/>
        <w:pageBreakBefore w:val="0"/>
        <w:widowControl/>
        <w:numPr>
          <w:ilvl w:val="0"/>
          <w:numId w:val="0"/>
        </w:numPr>
        <w:kinsoku/>
        <w:wordWrap/>
        <w:overflowPunct/>
        <w:topLinePunct w:val="0"/>
        <w:autoSpaceDE/>
        <w:autoSpaceDN/>
        <w:bidi w:val="0"/>
        <w:adjustRightInd/>
        <w:snapToGrid/>
        <w:ind w:firstLine="422" w:firstLineChars="200"/>
        <w:jc w:val="both"/>
        <w:textAlignment w:val="auto"/>
        <w:rPr>
          <w:rFonts w:hint="eastAsia"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1、</w:t>
      </w:r>
      <w:r>
        <w:rPr>
          <w:rFonts w:hint="eastAsia" w:ascii="宋体" w:hAnsi="宋体" w:eastAsia="宋体" w:cs="宋体"/>
          <w:b/>
          <w:bCs/>
          <w:sz w:val="21"/>
          <w:szCs w:val="21"/>
          <w:highlight w:val="none"/>
          <w:lang w:val="en-US" w:eastAsia="zh-CN"/>
        </w:rPr>
        <w:t>交货期：</w:t>
      </w:r>
    </w:p>
    <w:p w14:paraId="4BDAB1D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依据《锅炉节能环保技术规程》要求，针对党家庄厂区在用的4台燃气锅炉，在能效测试完成后，10个工作日内出具具有法律效力、得到特种设备监管部门认可的定期能效测试报告。</w:t>
      </w:r>
    </w:p>
    <w:p w14:paraId="458FC388">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验收通过标准：按规程及时完成招标方党家厂区4台在用燃气锅炉的能效检测服务工作，出具对应的定期能效测试报告等资料，服务良好。检测报告应加盖检测机构专用印章。</w:t>
      </w:r>
    </w:p>
    <w:p w14:paraId="7510F99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总工期为：20天。</w:t>
      </w:r>
    </w:p>
    <w:p w14:paraId="7B8C9C44">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kern w:val="2"/>
          <w:sz w:val="21"/>
          <w:szCs w:val="21"/>
          <w:highlight w:val="none"/>
          <w:lang w:val="en-US" w:eastAsia="zh-CN" w:bidi="ar-SA"/>
        </w:rPr>
        <w:t>2、交货</w:t>
      </w:r>
      <w:r>
        <w:rPr>
          <w:rFonts w:hint="eastAsia" w:ascii="宋体" w:hAnsi="宋体" w:eastAsia="宋体" w:cs="宋体"/>
          <w:b/>
          <w:bCs/>
          <w:sz w:val="21"/>
          <w:szCs w:val="21"/>
          <w:highlight w:val="none"/>
          <w:lang w:val="en-US" w:eastAsia="zh-CN"/>
        </w:rPr>
        <w:t>地点</w:t>
      </w:r>
      <w:r>
        <w:rPr>
          <w:rFonts w:hint="eastAsia" w:ascii="宋体" w:hAnsi="宋体" w:eastAsia="宋体" w:cs="宋体"/>
          <w:b w:val="0"/>
          <w:bCs w:val="0"/>
          <w:sz w:val="21"/>
          <w:szCs w:val="21"/>
          <w:highlight w:val="none"/>
          <w:lang w:val="en-US" w:eastAsia="zh-CN"/>
        </w:rPr>
        <w:t>：济南卡车有限公司党家厂区</w:t>
      </w:r>
    </w:p>
    <w:p w14:paraId="43B83927">
      <w:pPr>
        <w:pStyle w:val="16"/>
        <w:numPr>
          <w:ilvl w:val="0"/>
          <w:numId w:val="0"/>
        </w:numPr>
        <w:spacing w:line="360" w:lineRule="auto"/>
        <w:ind w:firstLine="422" w:firstLineChars="200"/>
        <w:rPr>
          <w:rFonts w:hint="eastAsia" w:ascii="Calibri" w:hAnsi="Calibri"/>
          <w:highlight w:val="none"/>
        </w:rPr>
      </w:pPr>
      <w:r>
        <w:rPr>
          <w:rFonts w:hint="eastAsia" w:hAnsi="宋体" w:cs="宋体"/>
          <w:b/>
          <w:bCs/>
          <w:sz w:val="21"/>
          <w:szCs w:val="21"/>
          <w:highlight w:val="none"/>
          <w:lang w:val="en-US" w:eastAsia="zh-CN"/>
        </w:rPr>
        <w:t>3、</w:t>
      </w: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Calibri" w:hAnsi="Calibri"/>
          <w:b/>
          <w:bCs/>
          <w:highlight w:val="none"/>
        </w:rPr>
        <w:t>付款结算方法：</w:t>
      </w:r>
      <w:r>
        <w:rPr>
          <w:rFonts w:hint="eastAsia" w:ascii="Calibri" w:hAnsi="Calibri"/>
          <w:highlight w:val="none"/>
          <w:u w:val="single"/>
        </w:rPr>
        <w:t>半年期</w:t>
      </w:r>
      <w:r>
        <w:rPr>
          <w:rFonts w:hint="eastAsia" w:ascii="Calibri" w:hAnsi="Calibri"/>
          <w:highlight w:val="none"/>
          <w:u w:val="single"/>
          <w:lang w:val="en-US" w:eastAsia="zh-CN"/>
        </w:rPr>
        <w:t>商业</w:t>
      </w:r>
      <w:r>
        <w:rPr>
          <w:rFonts w:hint="eastAsia" w:ascii="Calibri" w:hAnsi="Calibri"/>
          <w:highlight w:val="none"/>
          <w:u w:val="single"/>
        </w:rPr>
        <w:t>汇票（包括银行承兑汇票和商业承兑汇票）</w:t>
      </w:r>
    </w:p>
    <w:p w14:paraId="7EBC505C">
      <w:pPr>
        <w:pStyle w:val="16"/>
        <w:numPr>
          <w:ilvl w:val="0"/>
          <w:numId w:val="0"/>
        </w:numPr>
        <w:spacing w:line="360" w:lineRule="auto"/>
        <w:ind w:firstLine="420" w:firstLineChars="200"/>
        <w:rPr>
          <w:rFonts w:hint="eastAsia" w:ascii="Calibri" w:hAnsi="Calibri"/>
          <w:highlight w:val="none"/>
        </w:rPr>
      </w:pPr>
      <w:r>
        <w:rPr>
          <w:rFonts w:hint="eastAsia" w:ascii="Calibri" w:hAnsi="Calibri"/>
          <w:highlight w:val="none"/>
        </w:rPr>
        <w:t>①按照要求保质保量完成检验检测服务，出具锅炉能效测试报告，委托方提交下列单据经招标方审核无误后，招标方一次性付给委托方锅炉能效测试检验费</w:t>
      </w:r>
      <w:r>
        <w:rPr>
          <w:rFonts w:hint="eastAsia" w:ascii="Calibri" w:hAnsi="Calibri"/>
          <w:highlight w:val="none"/>
          <w:lang w:eastAsia="zh-CN"/>
        </w:rPr>
        <w:t>，</w:t>
      </w:r>
      <w:r>
        <w:rPr>
          <w:rFonts w:hint="eastAsia" w:ascii="Calibri" w:hAnsi="Calibri"/>
          <w:highlight w:val="none"/>
          <w:lang w:val="en-US" w:eastAsia="zh-CN"/>
        </w:rPr>
        <w:t>账期：30天</w:t>
      </w:r>
      <w:r>
        <w:rPr>
          <w:rFonts w:hint="eastAsia" w:ascii="Calibri" w:hAnsi="Calibri"/>
          <w:highlight w:val="none"/>
        </w:rPr>
        <w:t>。</w:t>
      </w:r>
    </w:p>
    <w:p w14:paraId="0EAABA39">
      <w:pPr>
        <w:pStyle w:val="16"/>
        <w:numPr>
          <w:ilvl w:val="0"/>
          <w:numId w:val="0"/>
        </w:numPr>
        <w:spacing w:line="360" w:lineRule="auto"/>
        <w:ind w:firstLine="420" w:firstLineChars="200"/>
        <w:rPr>
          <w:rFonts w:hint="eastAsia" w:ascii="Calibri" w:hAnsi="Calibri"/>
          <w:highlight w:val="none"/>
        </w:rPr>
      </w:pPr>
      <w:r>
        <w:rPr>
          <w:rFonts w:hint="eastAsia" w:ascii="Calibri" w:hAnsi="Calibri"/>
          <w:highlight w:val="none"/>
        </w:rPr>
        <w:t>A</w:t>
      </w:r>
      <w:r>
        <w:rPr>
          <w:rFonts w:hint="eastAsia" w:ascii="Calibri" w:hAnsi="Calibri"/>
          <w:highlight w:val="none"/>
          <w:lang w:eastAsia="zh-CN"/>
        </w:rPr>
        <w:t>、</w:t>
      </w:r>
      <w:r>
        <w:rPr>
          <w:rFonts w:hint="eastAsia" w:ascii="Calibri" w:hAnsi="Calibri"/>
          <w:highlight w:val="none"/>
        </w:rPr>
        <w:t>金额为合同总额</w:t>
      </w:r>
      <w:r>
        <w:rPr>
          <w:rFonts w:hint="eastAsia" w:ascii="Calibri" w:hAnsi="Calibri"/>
          <w:highlight w:val="none"/>
          <w:u w:val="single"/>
        </w:rPr>
        <w:t xml:space="preserve"> 100%</w:t>
      </w:r>
      <w:r>
        <w:rPr>
          <w:rFonts w:hint="eastAsia" w:ascii="Calibri" w:hAnsi="Calibri"/>
          <w:highlight w:val="none"/>
        </w:rPr>
        <w:t>的增值税专用发票。</w:t>
      </w:r>
    </w:p>
    <w:p w14:paraId="3853AA8B">
      <w:pPr>
        <w:pStyle w:val="16"/>
        <w:numPr>
          <w:ilvl w:val="0"/>
          <w:numId w:val="0"/>
        </w:numPr>
        <w:spacing w:line="360" w:lineRule="auto"/>
        <w:ind w:firstLine="420" w:firstLineChars="200"/>
        <w:rPr>
          <w:rFonts w:hint="eastAsia" w:ascii="Calibri" w:hAnsi="Calibri"/>
          <w:highlight w:val="none"/>
        </w:rPr>
      </w:pPr>
      <w:r>
        <w:rPr>
          <w:rFonts w:hint="eastAsia" w:ascii="Calibri" w:hAnsi="Calibri"/>
          <w:highlight w:val="none"/>
        </w:rPr>
        <w:t>B</w:t>
      </w:r>
      <w:r>
        <w:rPr>
          <w:rFonts w:hint="eastAsia" w:ascii="Calibri" w:hAnsi="Calibri"/>
          <w:highlight w:val="none"/>
          <w:lang w:eastAsia="zh-CN"/>
        </w:rPr>
        <w:t>、</w:t>
      </w:r>
      <w:r>
        <w:rPr>
          <w:rFonts w:hint="eastAsia" w:ascii="Calibri" w:hAnsi="Calibri"/>
          <w:highlight w:val="none"/>
          <w:u w:val="single"/>
          <w:lang w:val="en-US" w:eastAsia="zh-CN"/>
        </w:rPr>
        <w:t>10</w:t>
      </w:r>
      <w:r>
        <w:rPr>
          <w:rFonts w:hint="eastAsia" w:ascii="Calibri" w:hAnsi="Calibri"/>
          <w:highlight w:val="none"/>
          <w:u w:val="single"/>
        </w:rPr>
        <w:t>0%</w:t>
      </w:r>
      <w:r>
        <w:rPr>
          <w:rFonts w:hint="eastAsia" w:ascii="Calibri" w:hAnsi="Calibri"/>
          <w:highlight w:val="none"/>
        </w:rPr>
        <w:t>付款额为财务收据。</w:t>
      </w:r>
    </w:p>
    <w:p w14:paraId="2EC9B5E0">
      <w:pPr>
        <w:pStyle w:val="16"/>
        <w:spacing w:line="360" w:lineRule="auto"/>
        <w:ind w:firstLine="420" w:firstLineChars="200"/>
        <w:rPr>
          <w:rFonts w:hint="eastAsia"/>
        </w:rPr>
      </w:pPr>
      <w:r>
        <w:rPr>
          <w:rFonts w:hint="eastAsia" w:ascii="Calibri" w:hAnsi="Calibri"/>
          <w:highlight w:val="none"/>
        </w:rPr>
        <w:t>C</w:t>
      </w:r>
      <w:r>
        <w:rPr>
          <w:rFonts w:hint="eastAsia" w:ascii="Calibri" w:hAnsi="Calibri"/>
          <w:highlight w:val="none"/>
          <w:lang w:eastAsia="zh-CN"/>
        </w:rPr>
        <w:t>、</w:t>
      </w:r>
      <w:r>
        <w:rPr>
          <w:rFonts w:hint="eastAsia" w:ascii="Calibri" w:hAnsi="Calibri"/>
          <w:highlight w:val="none"/>
        </w:rPr>
        <w:t>财务授权书及相关付款所需资料。</w:t>
      </w:r>
    </w:p>
    <w:p w14:paraId="73D415F5">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6E0D7439">
      <w:pPr>
        <w:pStyle w:val="73"/>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归中国重汽集团济南动力有限公司</w:t>
      </w:r>
      <w:r>
        <w:rPr>
          <w:rFonts w:hint="eastAsia" w:ascii="黑体" w:hAnsi="黑体" w:eastAsia="黑体" w:cs="黑体"/>
          <w:sz w:val="28"/>
          <w:szCs w:val="28"/>
          <w:lang w:val="en-US" w:eastAsia="zh-CN"/>
        </w:rPr>
        <w:t>。</w:t>
      </w:r>
    </w:p>
    <w:p w14:paraId="23E75332">
      <w:pPr>
        <w:rPr>
          <w:rFonts w:hint="default" w:hAnsi="宋体"/>
          <w:sz w:val="24"/>
          <w:lang w:val="en-US"/>
        </w:rPr>
      </w:pPr>
      <w:r>
        <w:rPr>
          <w:rFonts w:hint="default" w:hAnsi="宋体"/>
          <w:sz w:val="24"/>
          <w:lang w:val="en-US"/>
        </w:rPr>
        <w:br w:type="page"/>
      </w:r>
    </w:p>
    <w:p w14:paraId="56A6E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7" w:name="_Toc639004"/>
      <w:bookmarkStart w:id="8" w:name="_Toc353881012"/>
      <w:bookmarkStart w:id="9" w:name="_Toc25811"/>
      <w:bookmarkStart w:id="10"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7"/>
      <w:bookmarkEnd w:id="8"/>
      <w:bookmarkEnd w:id="9"/>
      <w:bookmarkEnd w:id="10"/>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党家厂区锅炉能效检测项目（2025年）</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hint="eastAsia" w:ascii="宋体" w:hAnsi="宋体" w:cs="Times New Roman"/>
          <w:bCs/>
          <w:snapToGrid w:val="0"/>
          <w:color w:val="000000"/>
          <w:kern w:val="0"/>
          <w:sz w:val="24"/>
          <w:szCs w:val="24"/>
          <w:u w:val="single"/>
          <w:lang w:val="en-US" w:eastAsia="zh-CN"/>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16"/>
        <w:rPr>
          <w:rFonts w:ascii="黑体" w:hAnsi="Calibri" w:eastAsia="黑体" w:cs="Times New Roman"/>
          <w:color w:val="000000"/>
          <w:sz w:val="24"/>
          <w:szCs w:val="24"/>
        </w:rPr>
      </w:pPr>
    </w:p>
    <w:p w14:paraId="4CA7A370">
      <w:pPr>
        <w:pStyle w:val="16"/>
        <w:rPr>
          <w:rFonts w:ascii="黑体" w:hAnsi="Calibri" w:eastAsia="黑体" w:cs="Times New Roman"/>
          <w:color w:val="000000"/>
          <w:sz w:val="24"/>
          <w:szCs w:val="24"/>
        </w:rPr>
      </w:pPr>
    </w:p>
    <w:p w14:paraId="28AE6C52">
      <w:pPr>
        <w:pStyle w:val="16"/>
        <w:rPr>
          <w:rFonts w:ascii="黑体" w:hAnsi="Calibri" w:eastAsia="黑体" w:cs="Times New Roman"/>
          <w:color w:val="000000"/>
          <w:sz w:val="24"/>
          <w:szCs w:val="24"/>
        </w:rPr>
      </w:pPr>
    </w:p>
    <w:p w14:paraId="44A19F45">
      <w:pPr>
        <w:pStyle w:val="16"/>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b/>
          <w:bCs/>
          <w:sz w:val="24"/>
          <w:szCs w:val="24"/>
          <w:highlight w:val="none"/>
          <w:u w:val="single"/>
          <w:lang w:val="en-US" w:eastAsia="zh-CN"/>
        </w:rPr>
        <w:t>党家厂区锅炉能效检测项目（2025年）</w:t>
      </w:r>
      <w:r>
        <w:rPr>
          <w:rFonts w:hint="eastAsia" w:ascii="宋体" w:hAnsi="宋体" w:eastAsia="宋体" w:cs="Times New Roman"/>
          <w:b/>
          <w:bCs/>
          <w:color w:val="000000"/>
          <w:sz w:val="24"/>
          <w:szCs w:val="24"/>
          <w:u w:val="single"/>
          <w:lang w:eastAsia="zh-CN"/>
        </w:rPr>
        <w:t>（</w:t>
      </w:r>
      <w:r>
        <w:rPr>
          <w:rFonts w:hint="eastAsia" w:ascii="宋体" w:hAnsi="宋体" w:eastAsia="宋体" w:cs="宋体"/>
          <w:b/>
          <w:bCs/>
          <w:sz w:val="24"/>
          <w:szCs w:val="24"/>
          <w:highlight w:val="none"/>
          <w:lang w:val="en-US" w:eastAsia="zh-CN"/>
        </w:rPr>
        <w:t>FSCZB2025090185</w:t>
      </w:r>
      <w:r>
        <w:rPr>
          <w:rFonts w:hint="eastAsia" w:ascii="宋体" w:hAnsi="宋体" w:eastAsia="宋体" w:cs="Times New Roman"/>
          <w:b/>
          <w:bCs/>
          <w:color w:val="000000"/>
          <w:sz w:val="24"/>
          <w:szCs w:val="24"/>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1D8F4DE9">
      <w:pPr>
        <w:pStyle w:val="16"/>
        <w:rPr>
          <w:rFonts w:ascii="Calibri" w:hAnsi="Calibri" w:eastAsia="黑体" w:cs="Times New Roman"/>
          <w:b/>
          <w:bCs/>
          <w:color w:val="000000"/>
          <w:sz w:val="28"/>
          <w:szCs w:val="20"/>
        </w:rPr>
        <w:sectPr>
          <w:footerReference r:id="rId8" w:type="first"/>
          <w:headerReference r:id="rId6" w:type="default"/>
          <w:footerReference r:id="rId7" w:type="default"/>
          <w:pgSz w:w="11906" w:h="16838"/>
          <w:pgMar w:top="1588" w:right="1418" w:bottom="1134" w:left="1418" w:header="851" w:footer="992" w:gutter="0"/>
          <w:cols w:space="720" w:num="1"/>
          <w:titlePg/>
          <w:docGrid w:type="lines" w:linePitch="312" w:charSpace="0"/>
        </w:sectPr>
      </w:pPr>
    </w:p>
    <w:p w14:paraId="396A5D81">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3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b w:val="0"/>
          <w:bCs w:val="0"/>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b w:val="0"/>
          <w:bCs w:val="0"/>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b w:val="0"/>
          <w:bCs w:val="0"/>
          <w:spacing w:val="7"/>
          <w:sz w:val="24"/>
          <w:szCs w:val="24"/>
          <w14:textOutline w14:w="4356" w14:cap="sq" w14:cmpd="sng">
            <w14:solidFill>
              <w14:srgbClr w14:val="000000"/>
            </w14:solidFill>
            <w14:prstDash w14:val="solid"/>
            <w14:bevel/>
          </w14:textOutline>
        </w:rPr>
        <w:t>表</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2"/>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2"/>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2"/>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2"/>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2"/>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2"/>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2"/>
              <w:spacing w:before="111"/>
              <w:ind w:left="509"/>
              <w:rPr>
                <w:highlight w:val="yellow"/>
              </w:rPr>
            </w:pPr>
            <w:r>
              <w:t xml:space="preserve">企业法人代表  </w:t>
            </w:r>
          </w:p>
        </w:tc>
        <w:tc>
          <w:tcPr>
            <w:tcW w:w="4680" w:type="dxa"/>
            <w:gridSpan w:val="4"/>
          </w:tcPr>
          <w:p w14:paraId="4B5F8599">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2"/>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2"/>
              <w:spacing w:before="114"/>
              <w:ind w:left="720"/>
            </w:pPr>
            <w:r>
              <w:t xml:space="preserve">品牌区分 </w:t>
            </w:r>
          </w:p>
        </w:tc>
        <w:tc>
          <w:tcPr>
            <w:tcW w:w="7500" w:type="dxa"/>
            <w:gridSpan w:val="6"/>
          </w:tcPr>
          <w:p w14:paraId="3BAE0FF2">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2"/>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2"/>
              <w:spacing w:before="15"/>
              <w:ind w:left="279"/>
            </w:pPr>
            <w:r>
              <w:rPr>
                <w:spacing w:val="-2"/>
              </w:rPr>
              <w:t>质量</w:t>
            </w:r>
            <w:r>
              <w:t xml:space="preserve"> </w:t>
            </w:r>
          </w:p>
          <w:p w14:paraId="38F7D920">
            <w:pPr>
              <w:pStyle w:val="112"/>
              <w:spacing w:before="30" w:line="277" w:lineRule="exact"/>
              <w:ind w:left="279"/>
            </w:pPr>
            <w:r>
              <w:rPr>
                <w:rFonts w:hint="eastAsia"/>
              </w:rPr>
              <w:t>体系</w:t>
            </w:r>
          </w:p>
        </w:tc>
        <w:tc>
          <w:tcPr>
            <w:tcW w:w="2820" w:type="dxa"/>
            <w:gridSpan w:val="2"/>
          </w:tcPr>
          <w:p w14:paraId="53E9DAB1">
            <w:pPr>
              <w:pStyle w:val="112"/>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2"/>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6"/>
        <w:rPr>
          <w:rFonts w:ascii="Times New Roman" w:hAnsi="Times New Roman" w:eastAsia="宋体" w:cs="Times New Roman"/>
          <w:b/>
          <w:bCs/>
          <w:color w:val="000000"/>
          <w:sz w:val="24"/>
          <w:szCs w:val="24"/>
        </w:rPr>
      </w:pPr>
    </w:p>
    <w:p w14:paraId="37100778">
      <w:pPr>
        <w:pStyle w:val="16"/>
        <w:rPr>
          <w:rFonts w:ascii="Times New Roman" w:hAnsi="Times New Roman" w:eastAsia="宋体" w:cs="Times New Roman"/>
          <w:b/>
          <w:bCs/>
          <w:color w:val="000000"/>
          <w:sz w:val="24"/>
          <w:szCs w:val="24"/>
        </w:rPr>
      </w:pPr>
    </w:p>
    <w:p w14:paraId="39756F36">
      <w:pPr>
        <w:pStyle w:val="16"/>
        <w:rPr>
          <w:rFonts w:ascii="Times New Roman" w:hAnsi="Times New Roman" w:eastAsia="宋体" w:cs="Times New Roman"/>
          <w:b/>
          <w:bCs/>
          <w:color w:val="000000"/>
          <w:sz w:val="24"/>
          <w:szCs w:val="24"/>
        </w:rPr>
      </w:pPr>
    </w:p>
    <w:p w14:paraId="73D8D3DE">
      <w:pPr>
        <w:pStyle w:val="16"/>
        <w:rPr>
          <w:rFonts w:ascii="Times New Roman" w:hAnsi="Times New Roman" w:eastAsia="宋体" w:cs="Times New Roman"/>
          <w:b/>
          <w:bCs/>
          <w:color w:val="000000"/>
          <w:sz w:val="24"/>
          <w:szCs w:val="24"/>
        </w:rPr>
      </w:pPr>
    </w:p>
    <w:p w14:paraId="527F4C72">
      <w:pPr>
        <w:pStyle w:val="16"/>
        <w:rPr>
          <w:rFonts w:ascii="Times New Roman" w:hAnsi="Times New Roman" w:eastAsia="宋体" w:cs="Times New Roman"/>
          <w:b/>
          <w:bCs/>
          <w:color w:val="000000"/>
          <w:sz w:val="24"/>
          <w:szCs w:val="24"/>
        </w:rPr>
      </w:pPr>
    </w:p>
    <w:p w14:paraId="792B9788">
      <w:pPr>
        <w:pStyle w:val="16"/>
        <w:rPr>
          <w:rFonts w:ascii="Times New Roman" w:hAnsi="Times New Roman" w:eastAsia="宋体" w:cs="Times New Roman"/>
          <w:b/>
          <w:bCs/>
          <w:color w:val="000000"/>
          <w:sz w:val="24"/>
          <w:szCs w:val="24"/>
        </w:rPr>
      </w:pPr>
    </w:p>
    <w:p w14:paraId="0561AF60">
      <w:pPr>
        <w:pStyle w:val="16"/>
        <w:rPr>
          <w:rFonts w:ascii="Times New Roman" w:hAnsi="Times New Roman" w:eastAsia="宋体" w:cs="Times New Roman"/>
          <w:b/>
          <w:bCs/>
          <w:color w:val="000000"/>
          <w:sz w:val="24"/>
          <w:szCs w:val="24"/>
        </w:rPr>
      </w:pPr>
    </w:p>
    <w:p w14:paraId="78F0A321">
      <w:pPr>
        <w:pStyle w:val="16"/>
        <w:rPr>
          <w:rFonts w:ascii="Times New Roman" w:hAnsi="Times New Roman" w:eastAsia="宋体" w:cs="Times New Roman"/>
          <w:b/>
          <w:bCs/>
          <w:color w:val="000000"/>
          <w:sz w:val="24"/>
          <w:szCs w:val="24"/>
        </w:rPr>
      </w:pPr>
    </w:p>
    <w:p w14:paraId="54D6387F">
      <w:pPr>
        <w:pStyle w:val="16"/>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16"/>
        <w:outlineLvl w:val="3"/>
        <w:rPr>
          <w:rFonts w:hint="eastAsia" w:ascii="Times New Roman" w:hAnsi="Times New Roman" w:eastAsia="宋体" w:cs="Times New Roman"/>
          <w:b/>
          <w:bCs/>
          <w:color w:val="000000"/>
          <w:sz w:val="24"/>
          <w:szCs w:val="24"/>
        </w:r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ABC744E">
      <w:pPr>
        <w:rPr>
          <w:rFonts w:ascii="宋体" w:hAnsi="Calibri" w:eastAsia="宋体" w:cs="宋体"/>
          <w:b/>
          <w:bCs/>
          <w:color w:val="000000"/>
          <w:sz w:val="28"/>
          <w:szCs w:val="20"/>
        </w:rPr>
        <w:sectPr>
          <w:footerReference r:id="rId10" w:type="first"/>
          <w:footerReference r:id="rId9" w:type="default"/>
          <w:pgSz w:w="11906" w:h="16838"/>
          <w:pgMar w:top="1588" w:right="1418" w:bottom="1134" w:left="1418" w:header="851" w:footer="992" w:gutter="0"/>
          <w:cols w:space="720" w:num="1"/>
          <w:titlePg/>
          <w:docGrid w:type="lines" w:linePitch="312" w:charSpace="0"/>
        </w:sectPr>
      </w:pPr>
    </w:p>
    <w:p w14:paraId="7F7233A4">
      <w:pPr>
        <w:pStyle w:val="16"/>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17346439">
      <w:pPr>
        <w:numPr>
          <w:ilvl w:val="0"/>
          <w:numId w:val="1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6"/>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5F803865">
      <w:pPr>
        <w:pStyle w:val="16"/>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2" cstate="print"/>
                    <a:srcRect/>
                    <a:stretch>
                      <a:fillRect/>
                    </a:stretch>
                  </pic:blipFill>
                  <pic:spPr>
                    <a:xfrm>
                      <a:off x="0" y="0"/>
                      <a:ext cx="5760085" cy="2820035"/>
                    </a:xfrm>
                    <a:prstGeom prst="rect">
                      <a:avLst/>
                    </a:prstGeom>
                  </pic:spPr>
                </pic:pic>
              </a:graphicData>
            </a:graphic>
          </wp:inline>
        </w:drawing>
      </w:r>
    </w:p>
    <w:p w14:paraId="1B088E0A">
      <w:pPr>
        <w:pStyle w:val="16"/>
      </w:pPr>
    </w:p>
    <w:p w14:paraId="7AAAB53F">
      <w:pPr>
        <w:pStyle w:val="16"/>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16"/>
        <w:rPr>
          <w:highlight w:val="none"/>
        </w:rPr>
      </w:pPr>
      <w:r>
        <w:rPr>
          <w:rFonts w:hint="eastAsia" w:hAnsi="宋体" w:eastAsia="宋体" w:cs="宋体"/>
          <w:b/>
          <w:bCs/>
          <w:color w:val="000000"/>
          <w:sz w:val="24"/>
          <w:szCs w:val="28"/>
          <w:highlight w:val="none"/>
        </w:rPr>
        <w:t>2.配套能力“供货类别”填“直管单位非生产招标 / 服务 / 安全消防”，业务主管部门选择“安全环保部”。</w:t>
      </w:r>
    </w:p>
    <w:p w14:paraId="59A6552B">
      <w:pPr>
        <w:pStyle w:val="16"/>
        <w:sectPr>
          <w:headerReference r:id="rId12" w:type="first"/>
          <w:footerReference r:id="rId14" w:type="first"/>
          <w:headerReference r:id="rId11" w:type="default"/>
          <w:footerReference r:id="rId13" w:type="default"/>
          <w:pgSz w:w="11906" w:h="16838"/>
          <w:pgMar w:top="1588" w:right="1418" w:bottom="1134" w:left="1418" w:header="851" w:footer="992" w:gutter="0"/>
          <w:cols w:space="720" w:num="1"/>
          <w:titlePg/>
          <w:docGrid w:type="lines" w:linePitch="312" w:charSpace="0"/>
        </w:sectPr>
      </w:pPr>
    </w:p>
    <w:p w14:paraId="75321FE7">
      <w:pPr>
        <w:pStyle w:val="16"/>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eastAsia="宋体" w:cs="宋体"/>
          <w:sz w:val="24"/>
          <w:szCs w:val="24"/>
        </w:rPr>
        <w:t>http</w:t>
      </w:r>
      <w:r>
        <w:rPr>
          <w:rStyle w:val="39"/>
          <w:rFonts w:hint="eastAsia" w:ascii="宋体" w:hAnsi="宋体" w:eastAsia="宋体" w:cs="宋体"/>
          <w:sz w:val="24"/>
          <w:szCs w:val="24"/>
          <w:lang w:val="en-US" w:eastAsia="zh-CN"/>
        </w:rPr>
        <w:t>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3"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4"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5"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7F6E8ED1">
      <w:pPr>
        <w:spacing w:line="360" w:lineRule="auto"/>
        <w:rPr>
          <w:rFonts w:hint="eastAsia" w:ascii="宋体" w:hAnsi="宋体" w:eastAsia="宋体" w:cs="宋体"/>
          <w:color w:val="000000"/>
          <w:sz w:val="24"/>
          <w:szCs w:val="24"/>
          <w:lang w:eastAsia="zh-CN"/>
        </w:rPr>
      </w:pPr>
      <w:r>
        <w:rPr>
          <w:rFonts w:ascii="宋体" w:hAnsi="宋体" w:eastAsia="宋体" w:cs="宋体"/>
          <w:color w:val="000000"/>
          <w:sz w:val="24"/>
          <w:szCs w:val="24"/>
        </w:rPr>
        <w:t>开标之后所有投标的供应商都可编辑提交，技术标入围之后都不可编辑</w:t>
      </w:r>
      <w:r>
        <w:rPr>
          <w:rFonts w:hint="eastAsia" w:ascii="宋体" w:hAnsi="宋体" w:cs="宋体"/>
          <w:color w:val="000000"/>
          <w:sz w:val="24"/>
          <w:szCs w:val="24"/>
          <w:lang w:eastAsia="zh-CN"/>
        </w:rPr>
        <w:t>。</w:t>
      </w:r>
    </w:p>
    <w:p w14:paraId="5D4411EA">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6"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7"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8" cstate="print"/>
                    <a:srcRect/>
                    <a:stretch>
                      <a:fillRect/>
                    </a:stretch>
                  </pic:blipFill>
                  <pic:spPr>
                    <a:xfrm>
                      <a:off x="0" y="0"/>
                      <a:ext cx="5760085" cy="1956435"/>
                    </a:xfrm>
                    <a:prstGeom prst="rect">
                      <a:avLst/>
                    </a:prstGeom>
                  </pic:spPr>
                </pic:pic>
              </a:graphicData>
            </a:graphic>
          </wp:inline>
        </w:drawing>
      </w:r>
    </w:p>
    <w:p w14:paraId="1BA320C9">
      <w:pPr>
        <w:pStyle w:val="16"/>
        <w:rPr>
          <w:rFonts w:hAnsi="宋体" w:eastAsia="宋体" w:cs="Times New Roman"/>
          <w:b/>
          <w:color w:val="000000"/>
          <w:sz w:val="24"/>
          <w:szCs w:val="24"/>
        </w:rPr>
      </w:pPr>
    </w:p>
    <w:p w14:paraId="380218D1">
      <w:pPr>
        <w:pStyle w:val="16"/>
        <w:rPr>
          <w:rFonts w:hAnsi="宋体" w:eastAsia="宋体" w:cs="Times New Roman"/>
          <w:b/>
          <w:color w:val="000000"/>
          <w:sz w:val="24"/>
          <w:szCs w:val="24"/>
        </w:rPr>
      </w:pPr>
    </w:p>
    <w:p w14:paraId="66308F9E">
      <w:pPr>
        <w:pStyle w:val="77"/>
        <w:rPr>
          <w:rFonts w:hint="default" w:hAnsi="宋体"/>
          <w:sz w:val="24"/>
          <w:lang w:val="en-US"/>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2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2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2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2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2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1"/>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1"/>
    </w:pPr>
  </w:p>
  <w:p w14:paraId="3AC74D7F">
    <w:pPr>
      <w:pStyle w:val="2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1">
    <w:nsid w:val="BD4C6742"/>
    <w:multiLevelType w:val="singleLevel"/>
    <w:tmpl w:val="BD4C6742"/>
    <w:lvl w:ilvl="0" w:tentative="0">
      <w:start w:val="1"/>
      <w:numFmt w:val="decimal"/>
      <w:lvlText w:val="%1."/>
      <w:lvlJc w:val="left"/>
      <w:pPr>
        <w:ind w:left="425" w:hanging="425"/>
      </w:pPr>
      <w:rPr>
        <w:rFonts w:hint="default"/>
      </w:r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5">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6">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8">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9">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6"/>
  </w:num>
  <w:num w:numId="2">
    <w:abstractNumId w:val="10"/>
  </w:num>
  <w:num w:numId="3">
    <w:abstractNumId w:val="9"/>
  </w:num>
  <w:num w:numId="4">
    <w:abstractNumId w:val="7"/>
  </w:num>
  <w:num w:numId="5">
    <w:abstractNumId w:val="3"/>
  </w:num>
  <w:num w:numId="6">
    <w:abstractNumId w:val="4"/>
  </w:num>
  <w:num w:numId="7">
    <w:abstractNumId w:val="5"/>
  </w:num>
  <w:num w:numId="8">
    <w:abstractNumId w:val="8"/>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0A23"/>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10D421FF"/>
    <w:rsid w:val="10DC2AA3"/>
    <w:rsid w:val="10FA7C8C"/>
    <w:rsid w:val="118045F5"/>
    <w:rsid w:val="130B198F"/>
    <w:rsid w:val="16A918E4"/>
    <w:rsid w:val="17D966D6"/>
    <w:rsid w:val="189044AC"/>
    <w:rsid w:val="1BBB0B95"/>
    <w:rsid w:val="1BC71D3B"/>
    <w:rsid w:val="1C59115B"/>
    <w:rsid w:val="1FB23E60"/>
    <w:rsid w:val="221B2F87"/>
    <w:rsid w:val="22C5630B"/>
    <w:rsid w:val="23EC0BA6"/>
    <w:rsid w:val="24701A48"/>
    <w:rsid w:val="268B0052"/>
    <w:rsid w:val="27743C90"/>
    <w:rsid w:val="29CA2459"/>
    <w:rsid w:val="2A434202"/>
    <w:rsid w:val="2B271A58"/>
    <w:rsid w:val="2B6304A7"/>
    <w:rsid w:val="2BAB52D9"/>
    <w:rsid w:val="2BCD1855"/>
    <w:rsid w:val="2CF6734C"/>
    <w:rsid w:val="2D663463"/>
    <w:rsid w:val="2EF96EE4"/>
    <w:rsid w:val="34AD6C9C"/>
    <w:rsid w:val="36254FE4"/>
    <w:rsid w:val="372F61E0"/>
    <w:rsid w:val="379C1C4F"/>
    <w:rsid w:val="39322FCA"/>
    <w:rsid w:val="398C3264"/>
    <w:rsid w:val="3AB90991"/>
    <w:rsid w:val="3B706131"/>
    <w:rsid w:val="3E6F041E"/>
    <w:rsid w:val="4275481E"/>
    <w:rsid w:val="428B617A"/>
    <w:rsid w:val="433D7BDC"/>
    <w:rsid w:val="437E1813"/>
    <w:rsid w:val="45A55BAA"/>
    <w:rsid w:val="45BD47FC"/>
    <w:rsid w:val="45CC5FB2"/>
    <w:rsid w:val="469011FB"/>
    <w:rsid w:val="46B75BA8"/>
    <w:rsid w:val="48C97955"/>
    <w:rsid w:val="49880C8F"/>
    <w:rsid w:val="4A8835F7"/>
    <w:rsid w:val="4B592E71"/>
    <w:rsid w:val="4C1031E2"/>
    <w:rsid w:val="4EFA36BF"/>
    <w:rsid w:val="4FBE01E7"/>
    <w:rsid w:val="514C6556"/>
    <w:rsid w:val="51954F77"/>
    <w:rsid w:val="52B9239A"/>
    <w:rsid w:val="54BD78FD"/>
    <w:rsid w:val="562C3D76"/>
    <w:rsid w:val="58A86DDE"/>
    <w:rsid w:val="59154AD7"/>
    <w:rsid w:val="5ADF548D"/>
    <w:rsid w:val="5D5C60B4"/>
    <w:rsid w:val="63F04A69"/>
    <w:rsid w:val="64DF6B5C"/>
    <w:rsid w:val="66A50B1E"/>
    <w:rsid w:val="67B2063C"/>
    <w:rsid w:val="67C97AC3"/>
    <w:rsid w:val="67E30EC1"/>
    <w:rsid w:val="6A4E3B2B"/>
    <w:rsid w:val="6B481C3B"/>
    <w:rsid w:val="6C1331A3"/>
    <w:rsid w:val="6CA84BC1"/>
    <w:rsid w:val="6D3E4756"/>
    <w:rsid w:val="6DE17DBE"/>
    <w:rsid w:val="6FC523EB"/>
    <w:rsid w:val="72895F2E"/>
    <w:rsid w:val="72C02EBE"/>
    <w:rsid w:val="72C507AD"/>
    <w:rsid w:val="72D028D8"/>
    <w:rsid w:val="745D47C3"/>
    <w:rsid w:val="75D84470"/>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5"/>
    <w:semiHidden/>
    <w:qFormat/>
    <w:uiPriority w:val="0"/>
    <w:pPr>
      <w:keepNext/>
      <w:keepLines/>
      <w:spacing w:line="416" w:lineRule="auto"/>
      <w:outlineLvl w:val="2"/>
    </w:pPr>
    <w:rPr>
      <w:b/>
      <w:bCs/>
      <w:sz w:val="32"/>
      <w:szCs w:val="32"/>
    </w:rPr>
  </w:style>
  <w:style w:type="paragraph" w:styleId="5">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5"/>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7"/>
    <w:qFormat/>
    <w:uiPriority w:val="99"/>
    <w:pPr>
      <w:jc w:val="left"/>
    </w:pPr>
  </w:style>
  <w:style w:type="paragraph" w:styleId="11">
    <w:name w:val="Body Text 3"/>
    <w:basedOn w:val="1"/>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2">
    <w:name w:val="Body Text"/>
    <w:basedOn w:val="1"/>
    <w:next w:val="13"/>
    <w:link w:val="43"/>
    <w:semiHidden/>
    <w:qFormat/>
    <w:uiPriority w:val="98"/>
    <w:rPr>
      <w:rFonts w:ascii="仿宋_GB2312" w:eastAsia="仿宋_GB2312"/>
      <w:sz w:val="32"/>
    </w:rPr>
  </w:style>
  <w:style w:type="paragraph" w:customStyle="1" w:styleId="1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4">
    <w:name w:val="Body Text Indent"/>
    <w:basedOn w:val="1"/>
    <w:next w:val="1"/>
    <w:link w:val="50"/>
    <w:semiHidden/>
    <w:qFormat/>
    <w:uiPriority w:val="0"/>
    <w:pPr>
      <w:spacing w:after="120"/>
      <w:ind w:left="420" w:leftChars="200"/>
    </w:pPr>
    <w:rPr>
      <w:rFonts w:ascii="Calibri" w:hAnsi="Calibri"/>
      <w:szCs w:val="2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2"/>
    <w:qFormat/>
    <w:uiPriority w:val="0"/>
    <w:rPr>
      <w:rFonts w:ascii="宋体" w:hAnsi="Courier New"/>
    </w:rPr>
  </w:style>
  <w:style w:type="paragraph" w:styleId="17">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9"/>
    <w:semiHidden/>
    <w:qFormat/>
    <w:uiPriority w:val="0"/>
    <w:rPr>
      <w:sz w:val="18"/>
      <w:szCs w:val="18"/>
    </w:rPr>
  </w:style>
  <w:style w:type="paragraph" w:styleId="20">
    <w:name w:val="footer"/>
    <w:basedOn w:val="1"/>
    <w:link w:val="44"/>
    <w:semiHidden/>
    <w:qFormat/>
    <w:uiPriority w:val="0"/>
    <w:pPr>
      <w:tabs>
        <w:tab w:val="center" w:pos="4153"/>
        <w:tab w:val="right" w:pos="8306"/>
      </w:tabs>
      <w:snapToGrid w:val="0"/>
      <w:jc w:val="left"/>
    </w:pPr>
    <w:rPr>
      <w:sz w:val="18"/>
      <w:szCs w:val="18"/>
    </w:rPr>
  </w:style>
  <w:style w:type="paragraph" w:styleId="21">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toc 2"/>
    <w:basedOn w:val="1"/>
    <w:next w:val="1"/>
    <w:qFormat/>
    <w:uiPriority w:val="39"/>
    <w:pPr>
      <w:ind w:left="420" w:leftChars="200"/>
    </w:pPr>
  </w:style>
  <w:style w:type="paragraph" w:styleId="27">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8">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9">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30">
    <w:name w:val="annotation subject"/>
    <w:basedOn w:val="10"/>
    <w:next w:val="10"/>
    <w:link w:val="55"/>
    <w:semiHidden/>
    <w:qFormat/>
    <w:uiPriority w:val="98"/>
    <w:rPr>
      <w:b/>
      <w:bCs/>
    </w:rPr>
  </w:style>
  <w:style w:type="paragraph" w:styleId="31">
    <w:name w:val="Body Text First Indent 2"/>
    <w:basedOn w:val="14"/>
    <w:next w:val="26"/>
    <w:qFormat/>
    <w:uiPriority w:val="0"/>
    <w:pPr>
      <w:spacing w:line="276" w:lineRule="auto"/>
      <w:ind w:left="200" w:firstLine="200" w:firstLineChars="200"/>
      <w:jc w:val="left"/>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semiHidden/>
    <w:qFormat/>
    <w:uiPriority w:val="98"/>
    <w:rPr>
      <w:b/>
    </w:rPr>
  </w:style>
  <w:style w:type="character" w:styleId="36">
    <w:name w:val="page number"/>
    <w:basedOn w:val="34"/>
    <w:semiHidden/>
    <w:qFormat/>
    <w:uiPriority w:val="0"/>
  </w:style>
  <w:style w:type="character" w:styleId="37">
    <w:name w:val="FollowedHyperlink"/>
    <w:semiHidden/>
    <w:qFormat/>
    <w:uiPriority w:val="98"/>
    <w:rPr>
      <w:color w:val="800080"/>
      <w:u w:val="single"/>
    </w:rPr>
  </w:style>
  <w:style w:type="character" w:styleId="38">
    <w:name w:val="Emphasis"/>
    <w:semiHidden/>
    <w:qFormat/>
    <w:uiPriority w:val="98"/>
    <w:rPr>
      <w:i/>
      <w:iCs/>
    </w:rPr>
  </w:style>
  <w:style w:type="character" w:styleId="39">
    <w:name w:val="Hyperlink"/>
    <w:basedOn w:val="34"/>
    <w:qFormat/>
    <w:uiPriority w:val="99"/>
    <w:rPr>
      <w:rFonts w:cs="Times New Roman"/>
      <w:color w:val="1F4F88"/>
      <w:u w:val="none"/>
    </w:rPr>
  </w:style>
  <w:style w:type="character" w:styleId="40">
    <w:name w:val="annotation reference"/>
    <w:semiHidden/>
    <w:qFormat/>
    <w:uiPriority w:val="98"/>
    <w:rPr>
      <w:sz w:val="21"/>
      <w:szCs w:val="21"/>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12"/>
    <w:semiHidden/>
    <w:qFormat/>
    <w:uiPriority w:val="98"/>
    <w:rPr>
      <w:rFonts w:ascii="仿宋_GB2312" w:eastAsia="仿宋_GB2312"/>
      <w:kern w:val="2"/>
      <w:sz w:val="32"/>
    </w:rPr>
  </w:style>
  <w:style w:type="character" w:customStyle="1" w:styleId="44">
    <w:name w:val="页脚 字符"/>
    <w:link w:val="20"/>
    <w:semiHidden/>
    <w:qFormat/>
    <w:uiPriority w:val="0"/>
    <w:rPr>
      <w:kern w:val="2"/>
      <w:sz w:val="18"/>
      <w:szCs w:val="18"/>
    </w:rPr>
  </w:style>
  <w:style w:type="character" w:customStyle="1" w:styleId="45">
    <w:name w:val="标题 3 字符"/>
    <w:link w:val="4"/>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0"/>
    <w:qFormat/>
    <w:uiPriority w:val="99"/>
    <w:rPr>
      <w:kern w:val="2"/>
      <w:sz w:val="21"/>
    </w:rPr>
  </w:style>
  <w:style w:type="character" w:customStyle="1" w:styleId="48">
    <w:name w:val="apple-converted-space"/>
    <w:basedOn w:val="34"/>
    <w:semiHidden/>
    <w:qFormat/>
    <w:uiPriority w:val="98"/>
  </w:style>
  <w:style w:type="character" w:customStyle="1" w:styleId="49">
    <w:name w:val="批注框文本 字符"/>
    <w:link w:val="19"/>
    <w:semiHidden/>
    <w:qFormat/>
    <w:uiPriority w:val="98"/>
    <w:rPr>
      <w:kern w:val="2"/>
      <w:sz w:val="18"/>
      <w:szCs w:val="18"/>
    </w:rPr>
  </w:style>
  <w:style w:type="character" w:customStyle="1" w:styleId="50">
    <w:name w:val="正文文本缩进 字符"/>
    <w:link w:val="14"/>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6"/>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1"/>
    <w:semiHidden/>
    <w:qFormat/>
    <w:uiPriority w:val="0"/>
    <w:rPr>
      <w:kern w:val="2"/>
      <w:sz w:val="18"/>
      <w:szCs w:val="18"/>
    </w:rPr>
  </w:style>
  <w:style w:type="character" w:customStyle="1" w:styleId="55">
    <w:name w:val="批注主题 字符"/>
    <w:link w:val="30"/>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4"/>
    <w:link w:val="2"/>
    <w:semiHidden/>
    <w:qFormat/>
    <w:uiPriority w:val="0"/>
    <w:rPr>
      <w:b/>
      <w:bCs/>
      <w:kern w:val="44"/>
      <w:sz w:val="44"/>
      <w:szCs w:val="44"/>
    </w:rPr>
  </w:style>
  <w:style w:type="paragraph" w:customStyle="1" w:styleId="69">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4"/>
    <w:link w:val="3"/>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4"/>
    <w:link w:val="29"/>
    <w:semiHidden/>
    <w:qFormat/>
    <w:uiPriority w:val="0"/>
    <w:rPr>
      <w:rFonts w:eastAsia="黑体" w:asciiTheme="majorHAnsi" w:hAnsiTheme="majorHAnsi" w:cstheme="majorBidi"/>
      <w:b/>
      <w:bCs/>
      <w:kern w:val="2"/>
      <w:sz w:val="36"/>
      <w:szCs w:val="32"/>
    </w:rPr>
  </w:style>
  <w:style w:type="paragraph" w:customStyle="1" w:styleId="72">
    <w:name w:val="章节"/>
    <w:basedOn w:val="16"/>
    <w:qFormat/>
    <w:uiPriority w:val="0"/>
    <w:pPr>
      <w:spacing w:line="360" w:lineRule="auto"/>
      <w:jc w:val="center"/>
      <w:outlineLvl w:val="0"/>
    </w:pPr>
    <w:rPr>
      <w:rFonts w:ascii="黑体" w:eastAsia="黑体"/>
      <w:b/>
      <w:bCs/>
      <w:sz w:val="36"/>
      <w:szCs w:val="36"/>
    </w:rPr>
  </w:style>
  <w:style w:type="paragraph" w:customStyle="1" w:styleId="73">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6"/>
    <w:qFormat/>
    <w:uiPriority w:val="2"/>
    <w:pPr>
      <w:numPr>
        <w:ilvl w:val="0"/>
        <w:numId w:val="3"/>
      </w:numPr>
      <w:spacing w:line="360" w:lineRule="auto"/>
      <w:outlineLvl w:val="2"/>
    </w:pPr>
    <w:rPr>
      <w:b/>
    </w:rPr>
  </w:style>
  <w:style w:type="paragraph" w:customStyle="1" w:styleId="75">
    <w:name w:val="3级标题"/>
    <w:basedOn w:val="16"/>
    <w:link w:val="103"/>
    <w:qFormat/>
    <w:uiPriority w:val="3"/>
    <w:pPr>
      <w:numPr>
        <w:ilvl w:val="0"/>
        <w:numId w:val="4"/>
      </w:numPr>
      <w:spacing w:line="360" w:lineRule="auto"/>
      <w:outlineLvl w:val="3"/>
    </w:pPr>
    <w:rPr>
      <w:b/>
    </w:rPr>
  </w:style>
  <w:style w:type="paragraph" w:customStyle="1" w:styleId="76">
    <w:name w:val="（4）级标题"/>
    <w:basedOn w:val="16"/>
    <w:qFormat/>
    <w:uiPriority w:val="8"/>
    <w:pPr>
      <w:numPr>
        <w:ilvl w:val="0"/>
        <w:numId w:val="5"/>
      </w:numPr>
      <w:spacing w:line="360" w:lineRule="auto"/>
      <w:outlineLvl w:val="4"/>
    </w:pPr>
  </w:style>
  <w:style w:type="paragraph" w:customStyle="1" w:styleId="77">
    <w:name w:val="标书正文"/>
    <w:basedOn w:val="16"/>
    <w:link w:val="98"/>
    <w:qFormat/>
    <w:uiPriority w:val="9"/>
    <w:pPr>
      <w:spacing w:line="360" w:lineRule="auto"/>
      <w:jc w:val="left"/>
    </w:pPr>
  </w:style>
  <w:style w:type="character" w:customStyle="1" w:styleId="78">
    <w:name w:val="标题 4 字符"/>
    <w:basedOn w:val="34"/>
    <w:link w:val="5"/>
    <w:semiHidden/>
    <w:qFormat/>
    <w:uiPriority w:val="0"/>
    <w:rPr>
      <w:rFonts w:ascii="Arial" w:hAnsi="Arial"/>
      <w:b/>
      <w:bCs/>
      <w:kern w:val="2"/>
      <w:sz w:val="21"/>
      <w:szCs w:val="28"/>
    </w:rPr>
  </w:style>
  <w:style w:type="character" w:customStyle="1" w:styleId="79">
    <w:name w:val="标题 5 字符"/>
    <w:basedOn w:val="34"/>
    <w:link w:val="6"/>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4"/>
    <w:link w:val="24"/>
    <w:semiHidden/>
    <w:qFormat/>
    <w:uiPriority w:val="0"/>
    <w:rPr>
      <w:rFonts w:ascii="宋体" w:hAnsi="宋体"/>
      <w:color w:val="FF0000"/>
      <w:kern w:val="2"/>
      <w:sz w:val="24"/>
      <w:szCs w:val="24"/>
    </w:rPr>
  </w:style>
  <w:style w:type="paragraph" w:customStyle="1" w:styleId="85">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4"/>
    <w:link w:val="18"/>
    <w:semiHidden/>
    <w:qFormat/>
    <w:uiPriority w:val="0"/>
    <w:rPr>
      <w:sz w:val="24"/>
    </w:rPr>
  </w:style>
  <w:style w:type="character" w:customStyle="1" w:styleId="88">
    <w:name w:val="日期 字符"/>
    <w:basedOn w:val="34"/>
    <w:link w:val="17"/>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4"/>
    <w:semiHidden/>
    <w:qFormat/>
    <w:uiPriority w:val="98"/>
    <w:rPr>
      <w:rFonts w:ascii="Microsoft YaHei UI" w:eastAsia="Microsoft YaHei UI"/>
      <w:kern w:val="2"/>
      <w:sz w:val="18"/>
      <w:szCs w:val="18"/>
    </w:rPr>
  </w:style>
  <w:style w:type="character" w:customStyle="1" w:styleId="94">
    <w:name w:val="文档结构图 字符1"/>
    <w:basedOn w:val="34"/>
    <w:link w:val="9"/>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4"/>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4"/>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7"/>
    <w:semiHidden/>
    <w:qFormat/>
    <w:locked/>
    <w:uiPriority w:val="99"/>
    <w:rPr>
      <w:sz w:val="21"/>
      <w:szCs w:val="21"/>
    </w:rPr>
  </w:style>
  <w:style w:type="character" w:customStyle="1" w:styleId="106">
    <w:name w:val="电子邮件签名 字符1"/>
    <w:basedOn w:val="34"/>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7"/>
    <w:semiHidden/>
    <w:qFormat/>
    <w:locked/>
    <w:uiPriority w:val="99"/>
    <w:rPr>
      <w:rFonts w:ascii="Cambria" w:hAnsi="Cambria" w:cs="Cambria"/>
      <w:sz w:val="24"/>
      <w:szCs w:val="24"/>
      <w:shd w:val="pct20" w:color="auto" w:fill="auto"/>
    </w:rPr>
  </w:style>
  <w:style w:type="character" w:customStyle="1" w:styleId="110">
    <w:name w:val="信息标题 字符1"/>
    <w:basedOn w:val="34"/>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14</Pages>
  <Words>2545</Words>
  <Characters>2712</Characters>
  <Lines>127</Lines>
  <Paragraphs>35</Paragraphs>
  <TotalTime>4</TotalTime>
  <ScaleCrop>false</ScaleCrop>
  <LinksUpToDate>false</LinksUpToDate>
  <CharactersWithSpaces>3036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2025-10-16T00:37:27Z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