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中国重汽集团济南</w:t>
      </w:r>
      <w:r>
        <w:rPr>
          <w:rFonts w:hint="eastAsia" w:ascii="楷体_GB2312" w:hAnsi="宋体" w:eastAsia="楷体_GB2312"/>
          <w:b w:val="0"/>
          <w:bCs w:val="0"/>
          <w:sz w:val="52"/>
          <w:szCs w:val="52"/>
          <w:highlight w:val="none"/>
          <w:lang w:eastAsia="zh-CN"/>
        </w:rPr>
        <w:t>卡车公司党家厂区锅炉能效检测项目（2025年）</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FSCZB2025090185</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9</w:t>
      </w:r>
      <w:r>
        <w:rPr>
          <w:rFonts w:hint="eastAsia" w:ascii="宋体" w:hAnsi="宋体"/>
          <w:b/>
          <w:bCs/>
          <w:sz w:val="28"/>
          <w:szCs w:val="28"/>
          <w:u w:val="single"/>
        </w:rPr>
        <w:t>月</w:t>
      </w:r>
    </w:p>
    <w:p w14:paraId="582BF911">
      <w:pPr>
        <w:pStyle w:val="16"/>
        <w:tabs>
          <w:tab w:val="left" w:pos="2940"/>
        </w:tabs>
        <w:spacing w:line="360" w:lineRule="auto"/>
      </w:pPr>
      <w:r>
        <w:tab/>
      </w:r>
    </w:p>
    <w:p w14:paraId="29FEE1FC">
      <w:pPr>
        <w:pStyle w:val="16"/>
        <w:spacing w:line="360" w:lineRule="auto"/>
        <w:jc w:val="center"/>
      </w:pPr>
    </w:p>
    <w:p w14:paraId="5B3316FD">
      <w:pPr>
        <w:pStyle w:val="16"/>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rPr>
          <w:rFonts w:hint="default" w:eastAsia="黑体"/>
          <w:lang w:val="en-US" w:eastAsia="zh-CN"/>
        </w:rPr>
      </w:pPr>
      <w:bookmarkStart w:id="0" w:name="_Toc7104"/>
      <w:bookmarkStart w:id="1" w:name="_Toc47976587"/>
      <w:r>
        <w:rPr>
          <w:rFonts w:hint="eastAsia"/>
        </w:rPr>
        <w:t>招标公告</w:t>
      </w:r>
      <w:bookmarkEnd w:id="0"/>
      <w:bookmarkEnd w:id="1"/>
      <w:r>
        <w:rPr>
          <w:rFonts w:hint="eastAsia"/>
          <w:lang w:eastAsia="zh-CN"/>
        </w:rPr>
        <w:t>（</w:t>
      </w:r>
      <w:r>
        <w:rPr>
          <w:rFonts w:hint="eastAsia"/>
          <w:lang w:val="en-US" w:eastAsia="zh-CN"/>
        </w:rPr>
        <w:t>二次公告）</w:t>
      </w:r>
    </w:p>
    <w:p w14:paraId="22C6BEDA">
      <w:pPr>
        <w:pStyle w:val="72"/>
        <w:rPr>
          <w:rFonts w:hint="eastAsia"/>
          <w:highlight w:val="cyan"/>
          <w:u w:val="single"/>
          <w:lang w:val="en-US" w:eastAsia="zh-CN"/>
        </w:rPr>
      </w:pPr>
      <w:bookmarkStart w:id="2" w:name="_Toc32474"/>
      <w:r>
        <w:rPr>
          <w:rFonts w:hint="eastAsia"/>
          <w:sz w:val="28"/>
          <w:lang w:val="en-US" w:eastAsia="zh-CN"/>
        </w:rPr>
        <w:t>中国重汽集团</w:t>
      </w:r>
      <w:r>
        <w:rPr>
          <w:rFonts w:hint="eastAsia"/>
          <w:sz w:val="28"/>
        </w:rPr>
        <w:t>党家厂区锅炉能效检测项目（2025年）公告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val="en-US" w:eastAsia="zh-CN"/>
        </w:rPr>
        <w:t>济南</w:t>
      </w:r>
      <w:r>
        <w:rPr>
          <w:rFonts w:hint="eastAsia"/>
          <w:lang w:eastAsia="zh-CN"/>
        </w:rPr>
        <w:t>卡车公司党家厂区锅炉能效检测项目（2025年）</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FSCZB2025090185</w:t>
      </w:r>
    </w:p>
    <w:p w14:paraId="09C2DB2D">
      <w:pPr>
        <w:pStyle w:val="77"/>
        <w:numPr>
          <w:ilvl w:val="0"/>
          <w:numId w:val="10"/>
        </w:numPr>
        <w:ind w:left="425" w:leftChars="0" w:hanging="425" w:firstLineChars="0"/>
        <w:rPr>
          <w:rFonts w:hint="eastAsia" w:cs="Times New Roman"/>
          <w:highlight w:val="none"/>
          <w:lang w:val="en-US" w:eastAsia="zh-CN"/>
        </w:rPr>
      </w:pPr>
      <w:r>
        <w:rPr>
          <w:rFonts w:hint="eastAsia"/>
          <w:b/>
          <w:bCs/>
        </w:rPr>
        <w:t>招标形式</w:t>
      </w:r>
      <w:r>
        <w:rPr>
          <w:rFonts w:hint="eastAsia"/>
        </w:rPr>
        <w:t>：</w:t>
      </w:r>
      <w:bookmarkStart w:id="4" w:name="_Toc47112482"/>
      <w:r>
        <w:rPr>
          <w:rFonts w:hint="eastAsia"/>
          <w:lang w:val="en-US" w:eastAsia="zh-CN"/>
        </w:rPr>
        <w:t>公开招标</w:t>
      </w:r>
    </w:p>
    <w:p w14:paraId="218D8651">
      <w:pPr>
        <w:pStyle w:val="77"/>
        <w:numPr>
          <w:ilvl w:val="0"/>
          <w:numId w:val="10"/>
        </w:numPr>
        <w:ind w:left="425" w:leftChars="0" w:hanging="425" w:firstLineChars="0"/>
        <w:rPr>
          <w:rFonts w:hint="eastAsia" w:cs="Times New Roman"/>
          <w:highlight w:val="none"/>
          <w:lang w:val="en-US" w:eastAsia="zh-CN"/>
        </w:rPr>
      </w:pPr>
      <w:r>
        <w:rPr>
          <w:rFonts w:hint="eastAsia"/>
          <w:b/>
          <w:bCs/>
          <w:lang w:val="en-US" w:eastAsia="zh-CN"/>
        </w:rPr>
        <w:t>项目概况</w:t>
      </w:r>
      <w:r>
        <w:rPr>
          <w:rFonts w:hint="eastAsia"/>
          <w:lang w:val="en-US" w:eastAsia="zh-CN"/>
        </w:rPr>
        <w:t>：依据《锅炉节能环保技术规程》TSG91-2021的5.4.1条定期能效测试要求，对党家庄厂区在用的4台燃气锅炉开展两年一次的定期能效测试，并出具具有法律效力的能效检测报告。</w:t>
      </w: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78D76EC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9"/>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bookmarkEnd w:id="4"/>
    <w:p w14:paraId="50DC6C75">
      <w:pPr>
        <w:pStyle w:val="73"/>
      </w:pPr>
      <w:bookmarkStart w:id="5" w:name="_Toc47976598"/>
      <w:r>
        <w:rPr>
          <w:rFonts w:hint="eastAsia"/>
        </w:rPr>
        <w:t>投标人</w:t>
      </w:r>
      <w:bookmarkEnd w:id="5"/>
      <w:r>
        <w:rPr>
          <w:rFonts w:hint="eastAsia"/>
          <w:lang w:val="en-US" w:eastAsia="zh-CN"/>
        </w:rPr>
        <w:t>资质要求：</w:t>
      </w:r>
    </w:p>
    <w:p w14:paraId="166DF94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1、必须具有特种设备检验检测技术咨询/服务等相关经营许可资质。 </w:t>
      </w:r>
    </w:p>
    <w:p w14:paraId="4A012FB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2、公司注册资本不少于壹佰万元（人民币）。</w:t>
      </w:r>
    </w:p>
    <w:p w14:paraId="7EED5ED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3、在社会上和重汽集团内的其它招标过程中没有不良行为记录。</w:t>
      </w:r>
    </w:p>
    <w:p w14:paraId="6A2EE2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4、无招标违规、谎报年度报告信息、提供虚假资质资料等行为和行政处罚记录。</w:t>
      </w:r>
    </w:p>
    <w:p w14:paraId="173690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5、公司财务良好，经营稳定，有全面履约的能力；投标单位之间必须具有充分的竞争关系。</w:t>
      </w:r>
    </w:p>
    <w:p w14:paraId="6BE9182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6 、投标单位应具有良好的商业信誉，没有被处于责令停产、财产被冻结、接管、破产、且财务状况良好。</w:t>
      </w:r>
    </w:p>
    <w:p w14:paraId="7B7BD1C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7、投标单位未在“信用中国”网站（www.creditchina.gov.cn）或各级信用信息共享平台列入失信被执行人名单，信用信息共享平台包括但不限于“国家企业信用信息公示系统”、“中国执行信息公开网”、“天眼查”“裁判文书网”等信息平台。</w:t>
      </w:r>
    </w:p>
    <w:p w14:paraId="5F39066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8、投标单位的直接或间接股东、法定代表人、董事、监事、高管非重汽员工及其亲属。</w:t>
      </w:r>
    </w:p>
    <w:p w14:paraId="2F8A745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9、不接受联合体投标。</w:t>
      </w:r>
    </w:p>
    <w:p w14:paraId="7F5099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10、 必须具有1年以上相关工作经历和成功的类似案例。</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9</w:t>
      </w:r>
      <w:r>
        <w:rPr>
          <w:rFonts w:hint="eastAsia" w:ascii="宋体" w:hAnsi="Courier New" w:eastAsia="宋体" w:cs="Times New Roman"/>
          <w:highlight w:val="none"/>
          <w:lang w:val="en-US" w:eastAsia="zh-CN"/>
        </w:rPr>
        <w:t>日</w:t>
      </w:r>
    </w:p>
    <w:p w14:paraId="04ACA6F8">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7"/>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21</w:t>
      </w:r>
      <w:bookmarkStart w:id="11" w:name="_GoBack"/>
      <w:bookmarkEnd w:id="11"/>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0"/>
        </w:numPr>
        <w:ind w:leftChars="0"/>
        <w:rPr>
          <w:b w:val="0"/>
          <w:bCs/>
          <w:highlight w:val="none"/>
        </w:rPr>
      </w:pPr>
      <w:r>
        <w:rPr>
          <w:rFonts w:hint="eastAsia"/>
          <w:b/>
          <w:bCs w:val="0"/>
          <w:highlight w:val="none"/>
        </w:rPr>
        <w:t>资质文件</w:t>
      </w:r>
      <w:r>
        <w:rPr>
          <w:rFonts w:hint="eastAsia"/>
          <w:b w:val="0"/>
          <w:bCs/>
          <w:highlight w:val="none"/>
        </w:rPr>
        <w:t>：</w:t>
      </w:r>
    </w:p>
    <w:p w14:paraId="1C166CA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bookmarkStart w:id="6" w:name="_Toc47976601"/>
      <w:r>
        <w:rPr>
          <w:rFonts w:hint="eastAsia" w:ascii="宋体" w:hAnsi="Courier New" w:eastAsia="宋体" w:cs="Times New Roman"/>
          <w:kern w:val="2"/>
          <w:sz w:val="21"/>
          <w:highlight w:val="none"/>
          <w:lang w:val="en-US" w:eastAsia="zh-CN" w:bidi="ar-SA"/>
        </w:rPr>
        <w:t>1、法定代表人身份证明</w:t>
      </w:r>
    </w:p>
    <w:p w14:paraId="091B3F1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150CC562">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30643B9F">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、证明投标人满足投标资料表中列出的业绩要求的文件：近三年（2022年1月1日至今）类似项目业绩及合同复印件（加盖公章，须有客户联系方式及联系人以供招标人核实确认）。</w:t>
      </w:r>
    </w:p>
    <w:p w14:paraId="11306B6B">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、招标文件中要求的其它资格证明文件。</w:t>
      </w:r>
    </w:p>
    <w:p w14:paraId="588ACDE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7</w:t>
      </w:r>
      <w:r>
        <w:rPr>
          <w:rFonts w:hint="eastAsia" w:ascii="宋体" w:hAnsi="Courier New" w:eastAsia="宋体" w:cs="Times New Roman"/>
          <w:kern w:val="2"/>
          <w:sz w:val="21"/>
          <w:highlight w:val="none"/>
          <w:lang w:val="en-US" w:eastAsia="zh-CN" w:bidi="ar-SA"/>
        </w:rPr>
        <w:t>、投标人应具有相应生产证明，若为代理商需具备厂家授权。</w:t>
      </w:r>
    </w:p>
    <w:p w14:paraId="05B00D1D">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8</w:t>
      </w:r>
      <w:r>
        <w:rPr>
          <w:rFonts w:hint="eastAsia" w:ascii="宋体" w:hAnsi="Courier New" w:eastAsia="宋体" w:cs="Times New Roman"/>
          <w:kern w:val="2"/>
          <w:sz w:val="21"/>
          <w:highlight w:val="none"/>
          <w:lang w:val="en-US" w:eastAsia="zh-CN" w:bidi="ar-SA"/>
        </w:rPr>
        <w:t>、近三个月依法缴纳税收和社会保障资金的证明材料，近三年内在经营活动中没有违法违纪行为的声明；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9</w:t>
      </w:r>
      <w:r>
        <w:rPr>
          <w:rFonts w:hint="eastAsia" w:ascii="宋体" w:hAnsi="Courier New" w:eastAsia="宋体" w:cs="Times New Roman"/>
          <w:kern w:val="2"/>
          <w:sz w:val="21"/>
          <w:highlight w:val="none"/>
          <w:lang w:val="en-US" w:eastAsia="zh-CN" w:bidi="ar-SA"/>
        </w:rPr>
        <w:t>、投标单位在国家企业信用信息公示系统中无与本投标项目有关的行政处罚、经营异常或失信信息或上述信息已被移除的声明。</w:t>
      </w:r>
    </w:p>
    <w:bookmarkEnd w:id="6"/>
    <w:p w14:paraId="5880241B">
      <w:pPr>
        <w:pStyle w:val="73"/>
        <w:rPr>
          <w:rFonts w:ascii="宋体" w:hAnsi="宋体" w:cs="宋体"/>
          <w:sz w:val="24"/>
          <w:szCs w:val="24"/>
        </w:rPr>
      </w:pPr>
      <w:r>
        <w:rPr>
          <w:rFonts w:hint="eastAsia"/>
          <w:lang w:val="en-US" w:eastAsia="zh-CN"/>
        </w:rPr>
        <w:t>交货及付款</w:t>
      </w:r>
    </w:p>
    <w:p w14:paraId="39DCFAAE">
      <w:pPr>
        <w:keepNext w:val="0"/>
        <w:keepLines w:val="0"/>
        <w:pageBreakBefore w:val="0"/>
        <w:widowControl/>
        <w:numPr>
          <w:ilvl w:val="0"/>
          <w:numId w:val="0"/>
        </w:numPr>
        <w:kinsoku/>
        <w:wordWrap/>
        <w:overflowPunct/>
        <w:topLinePunct w:val="0"/>
        <w:autoSpaceDE/>
        <w:autoSpaceDN/>
        <w:bidi w:val="0"/>
        <w:adjustRightInd/>
        <w:snapToGrid/>
        <w:ind w:firstLine="422" w:firstLineChars="200"/>
        <w:jc w:val="both"/>
        <w:textAlignment w:val="auto"/>
        <w:rPr>
          <w:rFonts w:hint="eastAsia"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p>
    <w:p w14:paraId="4BDAB1D7">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依据《锅炉节能环保技术规程》要求，针对党家庄厂区在用的4台燃气锅炉，在能效测试完成后，10个工作日内出具具有法律效力、得到特种设备监管部门认可的定期能效测试报告。</w:t>
      </w:r>
    </w:p>
    <w:p w14:paraId="458FC388">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验收通过标准：按规程及时完成招标方党家厂区4台在用燃气锅炉的能效检测服务工作，出具对应的定期能效测试报告等资料，服务良好。检测报告应加盖检测机构专用印章。</w:t>
      </w:r>
    </w:p>
    <w:p w14:paraId="7510F9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总工期为：20天。</w:t>
      </w:r>
    </w:p>
    <w:p w14:paraId="7B8C9C44">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：济南卡车有限公司党家厂区</w:t>
      </w:r>
    </w:p>
    <w:p w14:paraId="43B83927">
      <w:pPr>
        <w:pStyle w:val="16"/>
        <w:numPr>
          <w:ilvl w:val="0"/>
          <w:numId w:val="0"/>
        </w:numPr>
        <w:spacing w:line="360" w:lineRule="auto"/>
        <w:ind w:firstLine="422" w:firstLineChars="200"/>
        <w:rPr>
          <w:rFonts w:hint="eastAsia" w:ascii="Calibri" w:hAnsi="Calibri"/>
          <w:highlight w:val="none"/>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7EBC505C">
      <w:pPr>
        <w:pStyle w:val="1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①按照要求保质保量完成检验检测服务，出具锅炉能效测试报告，委托方提交下列单据经招标方审核无误后，招标方一次性付给委托方锅炉能效测试检验费</w:t>
      </w:r>
      <w:r>
        <w:rPr>
          <w:rFonts w:hint="eastAsia" w:ascii="Calibri" w:hAnsi="Calibri"/>
          <w:highlight w:val="none"/>
          <w:lang w:eastAsia="zh-CN"/>
        </w:rPr>
        <w:t>，</w:t>
      </w:r>
      <w:r>
        <w:rPr>
          <w:rFonts w:hint="eastAsia" w:ascii="Calibri" w:hAnsi="Calibri"/>
          <w:highlight w:val="none"/>
          <w:lang w:val="en-US" w:eastAsia="zh-CN"/>
        </w:rPr>
        <w:t>账期：30天</w:t>
      </w:r>
      <w:r>
        <w:rPr>
          <w:rFonts w:hint="eastAsia" w:ascii="Calibri" w:hAnsi="Calibri"/>
          <w:highlight w:val="none"/>
        </w:rPr>
        <w:t>。</w:t>
      </w:r>
    </w:p>
    <w:p w14:paraId="0EAABA39">
      <w:pPr>
        <w:pStyle w:val="1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A</w:t>
      </w:r>
      <w:r>
        <w:rPr>
          <w:rFonts w:hint="eastAsia" w:ascii="Calibri" w:hAnsi="Calibri"/>
          <w:highlight w:val="none"/>
          <w:lang w:eastAsia="zh-CN"/>
        </w:rPr>
        <w:t>、</w:t>
      </w:r>
      <w:r>
        <w:rPr>
          <w:rFonts w:hint="eastAsia" w:ascii="Calibri" w:hAnsi="Calibri"/>
          <w:highlight w:val="none"/>
        </w:rPr>
        <w:t>金额为合同总额</w:t>
      </w:r>
      <w:r>
        <w:rPr>
          <w:rFonts w:hint="eastAsia" w:ascii="Calibri" w:hAnsi="Calibri"/>
          <w:highlight w:val="none"/>
          <w:u w:val="single"/>
        </w:rPr>
        <w:t xml:space="preserve"> 100%</w:t>
      </w:r>
      <w:r>
        <w:rPr>
          <w:rFonts w:hint="eastAsia" w:ascii="Calibri" w:hAnsi="Calibri"/>
          <w:highlight w:val="none"/>
        </w:rPr>
        <w:t>的增值税专用发票。</w:t>
      </w:r>
    </w:p>
    <w:p w14:paraId="3853AA8B">
      <w:pPr>
        <w:pStyle w:val="1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B</w:t>
      </w:r>
      <w:r>
        <w:rPr>
          <w:rFonts w:hint="eastAsia" w:ascii="Calibri" w:hAnsi="Calibri"/>
          <w:highlight w:val="none"/>
          <w:lang w:eastAsia="zh-CN"/>
        </w:rPr>
        <w:t>、</w:t>
      </w:r>
      <w:r>
        <w:rPr>
          <w:rFonts w:hint="eastAsia" w:ascii="Calibri" w:hAnsi="Calibri"/>
          <w:highlight w:val="none"/>
          <w:u w:val="single"/>
          <w:lang w:val="en-US" w:eastAsia="zh-CN"/>
        </w:rPr>
        <w:t>10</w:t>
      </w:r>
      <w:r>
        <w:rPr>
          <w:rFonts w:hint="eastAsia" w:ascii="Calibri" w:hAnsi="Calibri"/>
          <w:highlight w:val="none"/>
          <w:u w:val="single"/>
        </w:rPr>
        <w:t>0%</w:t>
      </w:r>
      <w:r>
        <w:rPr>
          <w:rFonts w:hint="eastAsia" w:ascii="Calibri" w:hAnsi="Calibri"/>
          <w:highlight w:val="none"/>
        </w:rPr>
        <w:t>付款额为财务收据。</w:t>
      </w:r>
    </w:p>
    <w:p w14:paraId="2EC9B5E0">
      <w:pPr>
        <w:pStyle w:val="16"/>
        <w:spacing w:line="360" w:lineRule="auto"/>
        <w:ind w:firstLine="420" w:firstLineChars="200"/>
        <w:rPr>
          <w:rFonts w:hint="eastAsia"/>
        </w:rPr>
      </w:pPr>
      <w:r>
        <w:rPr>
          <w:rFonts w:hint="eastAsia" w:ascii="Calibri" w:hAnsi="Calibri"/>
          <w:highlight w:val="none"/>
        </w:rPr>
        <w:t>C</w:t>
      </w:r>
      <w:r>
        <w:rPr>
          <w:rFonts w:hint="eastAsia" w:ascii="Calibri" w:hAnsi="Calibri"/>
          <w:highlight w:val="none"/>
          <w:lang w:eastAsia="zh-CN"/>
        </w:rPr>
        <w:t>、</w:t>
      </w:r>
      <w:r>
        <w:rPr>
          <w:rFonts w:hint="eastAsia" w:ascii="Calibri" w:hAnsi="Calibri"/>
          <w:highlight w:val="none"/>
        </w:rPr>
        <w:t>财务授权书及相关付款所需资料。</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7" w:name="_Toc639004"/>
      <w:bookmarkStart w:id="8" w:name="_Toc353881012"/>
      <w:bookmarkStart w:id="9" w:name="_Toc25811"/>
      <w:bookmarkStart w:id="10"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7"/>
      <w:bookmarkEnd w:id="8"/>
      <w:bookmarkEnd w:id="9"/>
      <w:bookmarkEnd w:id="10"/>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党家厂区锅炉能效检测项目（2025年）</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6"/>
        <w:rPr>
          <w:rFonts w:ascii="黑体" w:hAnsi="Calibri" w:eastAsia="黑体" w:cs="Times New Roman"/>
          <w:color w:val="000000"/>
          <w:sz w:val="24"/>
          <w:szCs w:val="24"/>
        </w:rPr>
      </w:pPr>
    </w:p>
    <w:p w14:paraId="4CA7A370">
      <w:pPr>
        <w:pStyle w:val="16"/>
        <w:rPr>
          <w:rFonts w:ascii="黑体" w:hAnsi="Calibri" w:eastAsia="黑体" w:cs="Times New Roman"/>
          <w:color w:val="000000"/>
          <w:sz w:val="24"/>
          <w:szCs w:val="24"/>
        </w:rPr>
      </w:pPr>
    </w:p>
    <w:p w14:paraId="28AE6C52">
      <w:pPr>
        <w:pStyle w:val="16"/>
        <w:rPr>
          <w:rFonts w:ascii="黑体" w:hAnsi="Calibri" w:eastAsia="黑体" w:cs="Times New Roman"/>
          <w:color w:val="000000"/>
          <w:sz w:val="24"/>
          <w:szCs w:val="24"/>
        </w:rPr>
      </w:pPr>
    </w:p>
    <w:p w14:paraId="44A19F45">
      <w:pPr>
        <w:pStyle w:val="16"/>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bCs/>
          <w:sz w:val="24"/>
          <w:szCs w:val="24"/>
          <w:highlight w:val="none"/>
          <w:u w:val="single"/>
          <w:lang w:val="en-US" w:eastAsia="zh-CN"/>
        </w:rPr>
        <w:t>党家厂区锅炉能效检测项目（2025年）</w:t>
      </w:r>
      <w:r>
        <w:rPr>
          <w:rFonts w:hint="eastAsia" w:ascii="宋体" w:hAnsi="宋体" w:eastAsia="宋体" w:cs="Times New Roman"/>
          <w:b/>
          <w:bCs/>
          <w:color w:val="000000"/>
          <w:sz w:val="24"/>
          <w:szCs w:val="24"/>
          <w:u w:val="single"/>
          <w:lang w:eastAsia="zh-CN"/>
        </w:rPr>
        <w:t>（</w:t>
      </w:r>
      <w:r>
        <w:rPr>
          <w:rFonts w:hint="eastAsia" w:ascii="宋体" w:hAnsi="宋体" w:eastAsia="宋体" w:cs="宋体"/>
          <w:b/>
          <w:bCs/>
          <w:sz w:val="24"/>
          <w:szCs w:val="24"/>
          <w:highlight w:val="none"/>
          <w:lang w:val="en-US" w:eastAsia="zh-CN"/>
        </w:rPr>
        <w:t>FSCZB2025090185</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1D8F4DE9">
      <w:pPr>
        <w:pStyle w:val="16"/>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6"/>
        <w:rPr>
          <w:rFonts w:ascii="Times New Roman" w:hAnsi="Times New Roman" w:eastAsia="宋体" w:cs="Times New Roman"/>
          <w:b/>
          <w:bCs/>
          <w:color w:val="000000"/>
          <w:sz w:val="24"/>
          <w:szCs w:val="24"/>
        </w:rPr>
      </w:pPr>
    </w:p>
    <w:p w14:paraId="37100778">
      <w:pPr>
        <w:pStyle w:val="16"/>
        <w:rPr>
          <w:rFonts w:ascii="Times New Roman" w:hAnsi="Times New Roman" w:eastAsia="宋体" w:cs="Times New Roman"/>
          <w:b/>
          <w:bCs/>
          <w:color w:val="000000"/>
          <w:sz w:val="24"/>
          <w:szCs w:val="24"/>
        </w:rPr>
      </w:pPr>
    </w:p>
    <w:p w14:paraId="39756F36">
      <w:pPr>
        <w:pStyle w:val="16"/>
        <w:rPr>
          <w:rFonts w:ascii="Times New Roman" w:hAnsi="Times New Roman" w:eastAsia="宋体" w:cs="Times New Roman"/>
          <w:b/>
          <w:bCs/>
          <w:color w:val="000000"/>
          <w:sz w:val="24"/>
          <w:szCs w:val="24"/>
        </w:rPr>
      </w:pPr>
    </w:p>
    <w:p w14:paraId="73D8D3DE">
      <w:pPr>
        <w:pStyle w:val="16"/>
        <w:rPr>
          <w:rFonts w:ascii="Times New Roman" w:hAnsi="Times New Roman" w:eastAsia="宋体" w:cs="Times New Roman"/>
          <w:b/>
          <w:bCs/>
          <w:color w:val="000000"/>
          <w:sz w:val="24"/>
          <w:szCs w:val="24"/>
        </w:rPr>
      </w:pPr>
    </w:p>
    <w:p w14:paraId="527F4C72">
      <w:pPr>
        <w:pStyle w:val="16"/>
        <w:rPr>
          <w:rFonts w:ascii="Times New Roman" w:hAnsi="Times New Roman" w:eastAsia="宋体" w:cs="Times New Roman"/>
          <w:b/>
          <w:bCs/>
          <w:color w:val="000000"/>
          <w:sz w:val="24"/>
          <w:szCs w:val="24"/>
        </w:rPr>
      </w:pPr>
    </w:p>
    <w:p w14:paraId="792B9788">
      <w:pPr>
        <w:pStyle w:val="16"/>
        <w:rPr>
          <w:rFonts w:ascii="Times New Roman" w:hAnsi="Times New Roman" w:eastAsia="宋体" w:cs="Times New Roman"/>
          <w:b/>
          <w:bCs/>
          <w:color w:val="000000"/>
          <w:sz w:val="24"/>
          <w:szCs w:val="24"/>
        </w:rPr>
      </w:pPr>
    </w:p>
    <w:p w14:paraId="0561AF60">
      <w:pPr>
        <w:pStyle w:val="16"/>
        <w:rPr>
          <w:rFonts w:ascii="Times New Roman" w:hAnsi="Times New Roman" w:eastAsia="宋体" w:cs="Times New Roman"/>
          <w:b/>
          <w:bCs/>
          <w:color w:val="000000"/>
          <w:sz w:val="24"/>
          <w:szCs w:val="24"/>
        </w:rPr>
      </w:pPr>
    </w:p>
    <w:p w14:paraId="78F0A321">
      <w:pPr>
        <w:pStyle w:val="16"/>
        <w:rPr>
          <w:rFonts w:ascii="Times New Roman" w:hAnsi="Times New Roman" w:eastAsia="宋体" w:cs="Times New Roman"/>
          <w:b/>
          <w:bCs/>
          <w:color w:val="000000"/>
          <w:sz w:val="24"/>
          <w:szCs w:val="24"/>
        </w:rPr>
      </w:pPr>
    </w:p>
    <w:p w14:paraId="54D6387F">
      <w:pPr>
        <w:pStyle w:val="16"/>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6"/>
        <w:outlineLvl w:val="3"/>
        <w:rPr>
          <w:rFonts w:hint="eastAsia" w:ascii="Times New Roman" w:hAnsi="Times New Roman" w:eastAsia="宋体" w:cs="Times New Roman"/>
          <w:b/>
          <w:bCs/>
          <w:color w:val="000000"/>
          <w:sz w:val="24"/>
          <w:szCs w:val="24"/>
        </w:rPr>
      </w:pP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ABC744E">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7F7233A4">
      <w:pPr>
        <w:pStyle w:val="1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1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6"/>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1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16"/>
      </w:pPr>
    </w:p>
    <w:p w14:paraId="7AAAB53F">
      <w:pPr>
        <w:pStyle w:val="16"/>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6"/>
        <w:rPr>
          <w:highlight w:val="none"/>
        </w:rPr>
      </w:pPr>
      <w:r>
        <w:rPr>
          <w:rFonts w:hint="eastAsia" w:hAnsi="宋体" w:eastAsia="宋体" w:cs="宋体"/>
          <w:b/>
          <w:bCs/>
          <w:color w:val="000000"/>
          <w:sz w:val="24"/>
          <w:szCs w:val="28"/>
          <w:highlight w:val="none"/>
        </w:rPr>
        <w:t>2.配套能力“供货类别”填“直管单位非生产招标 / 服务 / 安全消防”，业务主管部门选择“安全环保部”。</w:t>
      </w:r>
    </w:p>
    <w:p w14:paraId="59A6552B">
      <w:pPr>
        <w:pStyle w:val="16"/>
        <w:sectPr>
          <w:headerReference r:id="rId12" w:type="first"/>
          <w:footerReference r:id="rId14" w:type="first"/>
          <w:headerReference r:id="rId11" w:type="default"/>
          <w:footerReference r:id="rId13" w:type="default"/>
          <w:pgSz w:w="11906" w:h="16838"/>
          <w:pgMar w:top="1588" w:right="1418" w:bottom="1134" w:left="1418" w:header="851" w:footer="992" w:gutter="0"/>
          <w:cols w:space="720" w:num="1"/>
          <w:titlePg/>
          <w:docGrid w:type="lines" w:linePitch="312" w:charSpace="0"/>
        </w:sectPr>
      </w:pPr>
    </w:p>
    <w:p w14:paraId="75321FE7">
      <w:pPr>
        <w:pStyle w:val="1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w:t>
      </w:r>
      <w:r>
        <w:rPr>
          <w:rStyle w:val="39"/>
          <w:rFonts w:hint="eastAsia" w:ascii="宋体" w:hAnsi="宋体" w:eastAsia="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5D4411EA">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1BA320C9">
      <w:pPr>
        <w:pStyle w:val="16"/>
        <w:rPr>
          <w:rFonts w:hAnsi="宋体" w:eastAsia="宋体" w:cs="Times New Roman"/>
          <w:b/>
          <w:color w:val="000000"/>
          <w:sz w:val="24"/>
          <w:szCs w:val="24"/>
        </w:rPr>
      </w:pPr>
    </w:p>
    <w:p w14:paraId="380218D1">
      <w:pPr>
        <w:pStyle w:val="16"/>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1">
    <w:nsid w:val="BD4C6742"/>
    <w:multiLevelType w:val="singleLevel"/>
    <w:tmpl w:val="BD4C6742"/>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8">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6"/>
  </w:num>
  <w:num w:numId="2">
    <w:abstractNumId w:val="10"/>
  </w:num>
  <w:num w:numId="3">
    <w:abstractNumId w:val="9"/>
  </w:num>
  <w:num w:numId="4">
    <w:abstractNumId w:val="7"/>
  </w:num>
  <w:num w:numId="5">
    <w:abstractNumId w:val="3"/>
  </w:num>
  <w:num w:numId="6">
    <w:abstractNumId w:val="4"/>
  </w:num>
  <w:num w:numId="7">
    <w:abstractNumId w:val="5"/>
  </w:num>
  <w:num w:numId="8">
    <w:abstractNumId w:val="8"/>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0A23"/>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421FF"/>
    <w:rsid w:val="10DC2AA3"/>
    <w:rsid w:val="10FA7C8C"/>
    <w:rsid w:val="118045F5"/>
    <w:rsid w:val="130B198F"/>
    <w:rsid w:val="16A918E4"/>
    <w:rsid w:val="17D966D6"/>
    <w:rsid w:val="189044AC"/>
    <w:rsid w:val="1BBB0B95"/>
    <w:rsid w:val="1BC71D3B"/>
    <w:rsid w:val="1C59115B"/>
    <w:rsid w:val="1FB23E60"/>
    <w:rsid w:val="221B2F87"/>
    <w:rsid w:val="22C5630B"/>
    <w:rsid w:val="23EC0BA6"/>
    <w:rsid w:val="24701A48"/>
    <w:rsid w:val="268B0052"/>
    <w:rsid w:val="27743C90"/>
    <w:rsid w:val="29CA2459"/>
    <w:rsid w:val="2A434202"/>
    <w:rsid w:val="2B271A58"/>
    <w:rsid w:val="2B6304A7"/>
    <w:rsid w:val="2BAB52D9"/>
    <w:rsid w:val="2BCD1855"/>
    <w:rsid w:val="2CF6734C"/>
    <w:rsid w:val="2D663463"/>
    <w:rsid w:val="2EF96EE4"/>
    <w:rsid w:val="34AD6C9C"/>
    <w:rsid w:val="36254FE4"/>
    <w:rsid w:val="372F61E0"/>
    <w:rsid w:val="379C1C4F"/>
    <w:rsid w:val="39322FCA"/>
    <w:rsid w:val="398C3264"/>
    <w:rsid w:val="3AB90991"/>
    <w:rsid w:val="3B706131"/>
    <w:rsid w:val="3E6F041E"/>
    <w:rsid w:val="4275481E"/>
    <w:rsid w:val="428B617A"/>
    <w:rsid w:val="433D7BDC"/>
    <w:rsid w:val="437E1813"/>
    <w:rsid w:val="45A55BAA"/>
    <w:rsid w:val="45BD47FC"/>
    <w:rsid w:val="45CC5FB2"/>
    <w:rsid w:val="469011FB"/>
    <w:rsid w:val="46B75BA8"/>
    <w:rsid w:val="48C97955"/>
    <w:rsid w:val="49880C8F"/>
    <w:rsid w:val="4A8835F7"/>
    <w:rsid w:val="4B592E71"/>
    <w:rsid w:val="4C1031E2"/>
    <w:rsid w:val="4EFA36BF"/>
    <w:rsid w:val="4FBE01E7"/>
    <w:rsid w:val="514C6556"/>
    <w:rsid w:val="51954F77"/>
    <w:rsid w:val="52B9239A"/>
    <w:rsid w:val="54BD78FD"/>
    <w:rsid w:val="562C3D76"/>
    <w:rsid w:val="58A86DDE"/>
    <w:rsid w:val="59154AD7"/>
    <w:rsid w:val="5ADF548D"/>
    <w:rsid w:val="5D5C60B4"/>
    <w:rsid w:val="63F04A69"/>
    <w:rsid w:val="64DF6B5C"/>
    <w:rsid w:val="66A50B1E"/>
    <w:rsid w:val="67B2063C"/>
    <w:rsid w:val="67C97AC3"/>
    <w:rsid w:val="67E30EC1"/>
    <w:rsid w:val="6A4E3B2B"/>
    <w:rsid w:val="6B481C3B"/>
    <w:rsid w:val="6C1331A3"/>
    <w:rsid w:val="6CA84BC1"/>
    <w:rsid w:val="6D3E4756"/>
    <w:rsid w:val="6DE17DBE"/>
    <w:rsid w:val="6FC523E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5"/>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7"/>
    <w:qFormat/>
    <w:uiPriority w:val="99"/>
    <w:pPr>
      <w:jc w:val="left"/>
    </w:pPr>
  </w:style>
  <w:style w:type="paragraph" w:styleId="11">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0"/>
    <w:next w:val="10"/>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basedOn w:val="34"/>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4"/>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0"/>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5"/>
    <w:semiHidden/>
    <w:qFormat/>
    <w:uiPriority w:val="0"/>
    <w:rPr>
      <w:rFonts w:ascii="Arial" w:hAnsi="Arial"/>
      <w:b/>
      <w:bCs/>
      <w:kern w:val="2"/>
      <w:sz w:val="21"/>
      <w:szCs w:val="28"/>
    </w:rPr>
  </w:style>
  <w:style w:type="character" w:customStyle="1" w:styleId="79">
    <w:name w:val="标题 5 字符"/>
    <w:basedOn w:val="34"/>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9"/>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2545</Words>
  <Characters>2712</Characters>
  <Lines>127</Lines>
  <Paragraphs>35</Paragraphs>
  <TotalTime>4</TotalTime>
  <ScaleCrop>false</ScaleCrop>
  <LinksUpToDate>false</LinksUpToDate>
  <CharactersWithSpaces>3036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2025-10-16T00:37:27Z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