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hint="eastAsia"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中国重汽集团建筑消防设施及电气消防安全检测</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lang w:eastAsia="zh-CN"/>
        </w:rPr>
        <w:t>FSCZB2025100049</w:t>
      </w:r>
      <w:r>
        <w:rPr>
          <w:rFonts w:hint="eastAsia" w:ascii="宋体" w:hAnsi="宋体" w:cs="宋体"/>
          <w:b/>
          <w:bCs/>
          <w:kern w:val="0"/>
          <w:sz w:val="32"/>
          <w:szCs w:val="32"/>
          <w:highlight w:val="none"/>
          <w:u w:val="single"/>
          <w:lang w:val="en-US" w:eastAsia="zh-CN"/>
        </w:rPr>
        <w:t xml:space="preserve"> </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b/>
          <w:bCs/>
          <w:color w:val="000000"/>
          <w:sz w:val="28"/>
          <w:szCs w:val="28"/>
        </w:rPr>
      </w:pPr>
      <w:r>
        <w:rPr>
          <w:rFonts w:hint="eastAsia" w:ascii="宋体" w:hAnsi="宋体"/>
          <w:b/>
          <w:bCs/>
          <w:sz w:val="28"/>
          <w:szCs w:val="28"/>
        </w:rPr>
        <w:t>招 标 人：</w:t>
      </w:r>
      <w:r>
        <w:rPr>
          <w:rFonts w:hint="eastAsia" w:ascii="宋体" w:hAnsi="宋体" w:eastAsia="宋体" w:cs="Times New Roman"/>
          <w:b/>
          <w:bCs/>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rPr>
          <w:b/>
          <w:bCs/>
        </w:rPr>
      </w:pPr>
      <w:r>
        <w:rPr>
          <w:rFonts w:hint="eastAsia" w:ascii="宋体" w:hAnsi="宋体"/>
          <w:b/>
          <w:bCs/>
          <w:sz w:val="28"/>
          <w:szCs w:val="28"/>
          <w:u w:val="single"/>
          <w:lang w:val="en-US" w:eastAsia="zh-CN"/>
        </w:rPr>
        <w:t>2025年10</w:t>
      </w:r>
      <w:r>
        <w:rPr>
          <w:rFonts w:hint="eastAsia" w:ascii="宋体" w:hAnsi="宋体"/>
          <w:b/>
          <w:bCs/>
          <w:sz w:val="28"/>
          <w:szCs w:val="28"/>
          <w:u w:val="single"/>
        </w:rPr>
        <w:t>月</w:t>
      </w:r>
    </w:p>
    <w:p w14:paraId="582BF911">
      <w:pPr>
        <w:pStyle w:val="2"/>
        <w:tabs>
          <w:tab w:val="left" w:pos="2940"/>
        </w:tabs>
        <w:spacing w:line="360" w:lineRule="auto"/>
      </w:pPr>
      <w:r>
        <w:tab/>
      </w:r>
    </w:p>
    <w:p w14:paraId="29FEE1FC">
      <w:pPr>
        <w:pStyle w:val="2"/>
        <w:spacing w:line="360" w:lineRule="auto"/>
        <w:jc w:val="center"/>
      </w:pPr>
    </w:p>
    <w:p w14:paraId="13A18E74">
      <w:pPr>
        <w:pStyle w:val="2"/>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2"/>
        <w:rPr>
          <w:rFonts w:hint="default" w:eastAsia="黑体"/>
          <w:lang w:val="en-US" w:eastAsia="zh-CN"/>
        </w:rPr>
      </w:pPr>
      <w:bookmarkStart w:id="0" w:name="_Toc7104"/>
      <w:bookmarkStart w:id="1" w:name="_Toc47976587"/>
      <w:r>
        <w:rPr>
          <w:rFonts w:hint="eastAsia"/>
        </w:rPr>
        <w:t>招标公告</w:t>
      </w:r>
      <w:bookmarkEnd w:id="0"/>
      <w:bookmarkEnd w:id="1"/>
    </w:p>
    <w:p w14:paraId="22C6BEDA">
      <w:pPr>
        <w:pStyle w:val="72"/>
        <w:rPr>
          <w:rFonts w:hint="eastAsia"/>
          <w:highlight w:val="cyan"/>
          <w:u w:val="single"/>
          <w:lang w:val="en-US" w:eastAsia="zh-CN"/>
        </w:rPr>
      </w:pPr>
      <w:bookmarkStart w:id="2" w:name="_Toc32474"/>
      <w:r>
        <w:rPr>
          <w:rFonts w:hint="eastAsia"/>
          <w:sz w:val="28"/>
          <w:lang w:val="en-US" w:eastAsia="zh-CN"/>
        </w:rPr>
        <w:t>中国重汽集团</w:t>
      </w:r>
      <w:r>
        <w:rPr>
          <w:rFonts w:hint="eastAsia"/>
          <w:sz w:val="28"/>
          <w:lang w:eastAsia="zh-CN"/>
        </w:rPr>
        <w:t>建筑消防设施及电气消防安全检测项目</w:t>
      </w:r>
      <w:r>
        <w:rPr>
          <w:rFonts w:hint="eastAsia"/>
          <w:sz w:val="28"/>
        </w:rPr>
        <w:t>公告</w:t>
      </w:r>
      <w:bookmarkEnd w:id="2"/>
    </w:p>
    <w:p w14:paraId="418340FC">
      <w:pPr>
        <w:pStyle w:val="73"/>
        <w:numPr>
          <w:ilvl w:val="0"/>
          <w:numId w:val="9"/>
        </w:numPr>
        <w:ind w:left="420"/>
        <w:jc w:val="left"/>
      </w:pPr>
      <w:bookmarkStart w:id="3" w:name="_Toc47976596"/>
      <w:r>
        <w:rPr>
          <w:rFonts w:hint="eastAsia"/>
        </w:rPr>
        <w:t>项目介绍</w:t>
      </w:r>
      <w:bookmarkEnd w:id="3"/>
    </w:p>
    <w:p w14:paraId="75577100">
      <w:pPr>
        <w:pStyle w:val="77"/>
        <w:numPr>
          <w:ilvl w:val="0"/>
          <w:numId w:val="10"/>
        </w:numPr>
        <w:ind w:left="425" w:leftChars="0" w:hanging="425" w:firstLineChars="0"/>
      </w:pPr>
      <w:r>
        <w:rPr>
          <w:rFonts w:hint="eastAsia"/>
          <w:b/>
          <w:bCs/>
        </w:rPr>
        <w:t>项目名称</w:t>
      </w:r>
      <w:r>
        <w:rPr>
          <w:rFonts w:hint="eastAsia"/>
        </w:rPr>
        <w:t>：</w:t>
      </w:r>
      <w:r>
        <w:rPr>
          <w:rFonts w:hint="eastAsia"/>
          <w:lang w:val="en-US" w:eastAsia="zh-CN"/>
        </w:rPr>
        <w:t>建筑消防设施及电气消防安全检测项目</w:t>
      </w:r>
    </w:p>
    <w:p w14:paraId="17A97EAA">
      <w:pPr>
        <w:pStyle w:val="77"/>
        <w:numPr>
          <w:ilvl w:val="0"/>
          <w:numId w:val="10"/>
        </w:numPr>
        <w:ind w:left="425" w:leftChars="0" w:hanging="425" w:firstLineChars="0"/>
      </w:pPr>
      <w:r>
        <w:rPr>
          <w:rFonts w:hint="eastAsia"/>
          <w:b/>
          <w:bCs/>
        </w:rPr>
        <w:t>项目编号</w:t>
      </w:r>
      <w:r>
        <w:rPr>
          <w:rFonts w:hint="eastAsia"/>
        </w:rPr>
        <w:t>：</w:t>
      </w:r>
      <w:r>
        <w:rPr>
          <w:rFonts w:hint="eastAsia"/>
          <w:highlight w:val="none"/>
          <w:lang w:eastAsia="zh-CN"/>
        </w:rPr>
        <w:t>FSCZB2025100049</w:t>
      </w:r>
    </w:p>
    <w:p w14:paraId="09C2DB2D">
      <w:pPr>
        <w:pStyle w:val="77"/>
        <w:numPr>
          <w:ilvl w:val="0"/>
          <w:numId w:val="10"/>
        </w:numPr>
        <w:ind w:left="425" w:leftChars="0" w:hanging="425" w:firstLineChars="0"/>
        <w:rPr>
          <w:rFonts w:hint="eastAsia" w:cs="Times New Roman"/>
          <w:highlight w:val="none"/>
          <w:lang w:val="en-US" w:eastAsia="zh-CN"/>
        </w:rPr>
      </w:pPr>
      <w:r>
        <w:rPr>
          <w:rFonts w:hint="eastAsia"/>
          <w:b/>
          <w:bCs/>
        </w:rPr>
        <w:t>招标形式</w:t>
      </w:r>
      <w:r>
        <w:rPr>
          <w:rFonts w:hint="eastAsia"/>
        </w:rPr>
        <w:t>：</w:t>
      </w:r>
      <w:bookmarkStart w:id="4" w:name="_Toc47112482"/>
      <w:r>
        <w:rPr>
          <w:rFonts w:hint="eastAsia"/>
          <w:lang w:val="en-US" w:eastAsia="zh-CN"/>
        </w:rPr>
        <w:t>公开招标</w:t>
      </w:r>
    </w:p>
    <w:p w14:paraId="44377DBE">
      <w:pPr>
        <w:pStyle w:val="77"/>
        <w:numPr>
          <w:ilvl w:val="0"/>
          <w:numId w:val="10"/>
        </w:numPr>
        <w:ind w:left="425" w:leftChars="0" w:hanging="425" w:firstLineChars="0"/>
        <w:rPr>
          <w:rFonts w:hint="eastAsia" w:cs="Times New Roman"/>
          <w:highlight w:val="none"/>
          <w:lang w:val="en-US" w:eastAsia="zh-CN"/>
        </w:rPr>
      </w:pPr>
      <w:r>
        <w:rPr>
          <w:rFonts w:hint="eastAsia"/>
          <w:b/>
          <w:bCs/>
          <w:lang w:val="en-US" w:eastAsia="zh-CN"/>
        </w:rPr>
        <w:t>项目概况</w:t>
      </w:r>
      <w:r>
        <w:rPr>
          <w:rFonts w:hint="eastAsia"/>
          <w:lang w:val="en-US" w:eastAsia="zh-CN"/>
        </w:rPr>
        <w:t>：</w:t>
      </w:r>
      <w:r>
        <w:rPr>
          <w:rFonts w:hint="eastAsia"/>
        </w:rPr>
        <w:t>根据《中华人民共和国消防法》、《浙江省实施（消防法）办法》和《消防监督检查规定》的有关规定：“对建筑消防设施每年至少进行一次全面检测，确保完好有效，检测记录应当完整准确，存档备查”。建筑、电气消防检测项目依据GA503-2004《建筑消防设施检测技术规程》、GB50016-2006《建筑设计防火规范》实施，并出具检测报告。检测内容有：消防供配电装置、火灾自动报警系统、自动喷水灭火系统、消火栓给水系统、防排烟系统、气体灭火系统、泡沫灭火系统、防火门、防火卷帘、电梯的消防功能、火灾应急广播、火灾应急照明疏散指示标志、消防专用电话、供配电装置、室内低压配电线路、低压用电设备、接地和等电位联结等。</w:t>
      </w:r>
    </w:p>
    <w:p w14:paraId="2A2F2260">
      <w:pPr>
        <w:pStyle w:val="77"/>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278FDC7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w:t>
      </w:r>
    </w:p>
    <w:p w14:paraId="54DB9C3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电话：17860606327</w:t>
      </w:r>
    </w:p>
    <w:p w14:paraId="134C18F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"mailto:huangjiahao@sinotruk.com" </w:instrText>
      </w:r>
      <w:r>
        <w:rPr>
          <w:rFonts w:hint="eastAsia" w:ascii="宋体" w:hAnsi="Courier New" w:eastAsia="宋体" w:cs="Times New Roman"/>
          <w:kern w:val="2"/>
          <w:sz w:val="21"/>
          <w:lang w:val="en-US" w:eastAsia="zh-CN" w:bidi="ar-SA"/>
        </w:rPr>
        <w:fldChar w:fldCharType="separate"/>
      </w:r>
      <w:r>
        <w:rPr>
          <w:rStyle w:val="39"/>
          <w:rFonts w:hint="eastAsia" w:ascii="宋体" w:hAnsi="Courier New" w:eastAsia="宋体" w:cs="Times New Roman"/>
          <w:kern w:val="2"/>
          <w:sz w:val="21"/>
          <w:lang w:val="en-US" w:eastAsia="zh-CN" w:bidi="ar-SA"/>
        </w:rPr>
        <w:t>huangjiahao@sinotruk.com</w:t>
      </w:r>
      <w:r>
        <w:rPr>
          <w:rFonts w:hint="eastAsia" w:ascii="宋体" w:hAnsi="Courier New" w:eastAsia="宋体" w:cs="Times New Roman"/>
          <w:kern w:val="2"/>
          <w:sz w:val="21"/>
          <w:lang w:val="en-US" w:eastAsia="zh-CN" w:bidi="ar-SA"/>
        </w:rPr>
        <w:fldChar w:fldCharType="end"/>
      </w:r>
    </w:p>
    <w:p w14:paraId="764EB159">
      <w:pPr>
        <w:pStyle w:val="73"/>
        <w:numPr>
          <w:ilvl w:val="0"/>
          <w:numId w:val="0"/>
        </w:numPr>
        <w:ind w:left="420" w:firstLine="6"/>
        <w:rPr>
          <w:rFonts w:ascii="宋体" w:eastAsia="宋体"/>
          <w:b w:val="0"/>
          <w:bCs w:val="0"/>
          <w:sz w:val="21"/>
        </w:rPr>
      </w:pPr>
      <w:r>
        <w:rPr>
          <w:rFonts w:hint="eastAsia" w:ascii="宋体" w:eastAsia="宋体"/>
          <w:b w:val="0"/>
          <w:bCs w:val="0"/>
          <w:sz w:val="21"/>
          <w:lang w:val="en-US" w:eastAsia="zh-CN"/>
        </w:rPr>
        <w:t>技术</w:t>
      </w:r>
      <w:r>
        <w:rPr>
          <w:rFonts w:hint="eastAsia" w:ascii="宋体" w:eastAsia="宋体"/>
          <w:b w:val="0"/>
          <w:bCs w:val="0"/>
          <w:sz w:val="21"/>
        </w:rPr>
        <w:t>联系人：汪先生</w:t>
      </w:r>
    </w:p>
    <w:p w14:paraId="7A2AC9E0">
      <w:pPr>
        <w:pStyle w:val="73"/>
        <w:numPr>
          <w:ilvl w:val="0"/>
          <w:numId w:val="0"/>
        </w:numPr>
        <w:ind w:left="420" w:firstLine="6"/>
        <w:rPr>
          <w:rFonts w:ascii="宋体" w:eastAsia="宋体"/>
          <w:b w:val="0"/>
          <w:bCs w:val="0"/>
          <w:sz w:val="21"/>
        </w:rPr>
      </w:pPr>
      <w:r>
        <w:rPr>
          <w:rFonts w:hint="eastAsia" w:ascii="宋体" w:eastAsia="宋体"/>
          <w:b w:val="0"/>
          <w:bCs w:val="0"/>
          <w:sz w:val="21"/>
        </w:rPr>
        <w:t>联系电话：</w:t>
      </w:r>
      <w:r>
        <w:rPr>
          <w:rFonts w:ascii="宋体" w:eastAsia="宋体"/>
          <w:b w:val="0"/>
          <w:bCs w:val="0"/>
          <w:sz w:val="21"/>
        </w:rPr>
        <w:t>15868813004</w:t>
      </w:r>
    </w:p>
    <w:p w14:paraId="3E341AFB">
      <w:pPr>
        <w:pStyle w:val="73"/>
        <w:numPr>
          <w:ilvl w:val="0"/>
          <w:numId w:val="0"/>
        </w:numPr>
        <w:ind w:left="420" w:firstLine="6"/>
        <w:rPr>
          <w:rFonts w:ascii="宋体" w:eastAsia="宋体"/>
          <w:b w:val="0"/>
          <w:bCs w:val="0"/>
          <w:sz w:val="21"/>
        </w:rPr>
      </w:pPr>
      <w:r>
        <w:rPr>
          <w:rFonts w:hint="eastAsia" w:ascii="宋体" w:eastAsia="宋体"/>
          <w:b w:val="0"/>
          <w:bCs w:val="0"/>
          <w:sz w:val="21"/>
        </w:rPr>
        <w:t>邮    箱：38529412@qq.com</w:t>
      </w:r>
    </w:p>
    <w:bookmarkEnd w:id="4"/>
    <w:p w14:paraId="50DC6C75">
      <w:pPr>
        <w:pStyle w:val="73"/>
      </w:pPr>
      <w:bookmarkStart w:id="5" w:name="_Toc47976598"/>
      <w:r>
        <w:rPr>
          <w:rFonts w:hint="eastAsia"/>
        </w:rPr>
        <w:t>投标人</w:t>
      </w:r>
      <w:bookmarkEnd w:id="5"/>
      <w:r>
        <w:rPr>
          <w:rFonts w:hint="eastAsia"/>
          <w:lang w:val="en-US" w:eastAsia="zh-CN"/>
        </w:rPr>
        <w:t>资质要求：</w:t>
      </w:r>
    </w:p>
    <w:p w14:paraId="51680085">
      <w:pPr>
        <w:pStyle w:val="74"/>
        <w:numPr>
          <w:ilvl w:val="0"/>
          <w:numId w:val="11"/>
        </w:numPr>
        <w:ind w:left="0" w:firstLine="424" w:firstLineChars="202"/>
        <w:rPr>
          <w:b w:val="0"/>
          <w:bCs/>
        </w:rPr>
      </w:pPr>
      <w:r>
        <w:rPr>
          <w:rFonts w:hint="eastAsia" w:ascii="宋体" w:eastAsia="宋体"/>
          <w:b w:val="0"/>
          <w:bCs w:val="0"/>
          <w:sz w:val="21"/>
        </w:rPr>
        <w:t>1</w:t>
      </w:r>
      <w:r>
        <w:rPr>
          <w:rFonts w:hint="eastAsia"/>
          <w:b w:val="0"/>
          <w:bCs/>
        </w:rPr>
        <w:t>投标人须遵守《中华人民共和国招标投标法》及其它有关的法律和法规；为中华人民共和国境内注册的独立法人机构，具有独立承担民事责任能力；</w:t>
      </w:r>
    </w:p>
    <w:p w14:paraId="02826FF9">
      <w:pPr>
        <w:pStyle w:val="74"/>
        <w:numPr>
          <w:ilvl w:val="0"/>
          <w:numId w:val="11"/>
        </w:numPr>
        <w:ind w:left="0" w:firstLine="424" w:firstLineChars="202"/>
        <w:rPr>
          <w:b w:val="0"/>
          <w:bCs/>
        </w:rPr>
      </w:pPr>
      <w:r>
        <w:rPr>
          <w:rFonts w:hint="eastAsia"/>
          <w:b w:val="0"/>
          <w:bCs/>
        </w:rPr>
        <w:t>注册资金不少于</w:t>
      </w:r>
      <w:r>
        <w:rPr>
          <w:b w:val="0"/>
          <w:bCs/>
          <w:u w:val="single"/>
        </w:rPr>
        <w:t>300</w:t>
      </w:r>
      <w:r>
        <w:rPr>
          <w:rFonts w:hint="eastAsia"/>
          <w:b w:val="0"/>
          <w:bCs/>
        </w:rPr>
        <w:t>万人民币（或等值其他货币）；公司成立三年以上（以营业执照成立日期到开标当日满三年为准），且经营范围满足招标人需求；并在人员、设备、资金等方面具有承担本项目的能力；</w:t>
      </w:r>
    </w:p>
    <w:p w14:paraId="54C8E52E">
      <w:pPr>
        <w:pStyle w:val="74"/>
        <w:numPr>
          <w:ilvl w:val="0"/>
          <w:numId w:val="11"/>
        </w:numPr>
        <w:ind w:left="0" w:firstLine="424" w:firstLineChars="202"/>
        <w:rPr>
          <w:b w:val="0"/>
          <w:bCs/>
        </w:rPr>
      </w:pPr>
      <w:r>
        <w:rPr>
          <w:rFonts w:hint="eastAsia"/>
          <w:b w:val="0"/>
          <w:bCs/>
        </w:rPr>
        <w:t>投标人须具有良好的商业信誉和健全的财务会计制度，财务状况和市场行为良好。没有处于被有权机关吊销营业执照、吊销资质、停业整顿、取消投标资格以及财产被接管、冻结或进入破产程序等；</w:t>
      </w:r>
    </w:p>
    <w:p w14:paraId="22549F72">
      <w:pPr>
        <w:pStyle w:val="74"/>
        <w:numPr>
          <w:ilvl w:val="0"/>
          <w:numId w:val="11"/>
        </w:numPr>
        <w:ind w:left="0" w:firstLine="424" w:firstLineChars="202"/>
        <w:rPr>
          <w:b w:val="0"/>
          <w:bCs/>
        </w:rPr>
      </w:pPr>
      <w:r>
        <w:rPr>
          <w:rFonts w:hint="eastAsia"/>
          <w:b w:val="0"/>
          <w:bCs/>
        </w:rPr>
        <w:t>投标人在“信用中国”中未列入联合惩戒失信人名单，且工商行政管理局的《国家企业信用信息公示系统》中查询不存在不良记录；</w:t>
      </w:r>
    </w:p>
    <w:p w14:paraId="71AC29F8">
      <w:pPr>
        <w:pStyle w:val="74"/>
        <w:numPr>
          <w:ilvl w:val="0"/>
          <w:numId w:val="11"/>
        </w:numPr>
        <w:ind w:left="0" w:firstLine="424" w:firstLineChars="202"/>
        <w:rPr>
          <w:b w:val="0"/>
          <w:bCs/>
        </w:rPr>
      </w:pPr>
      <w:r>
        <w:rPr>
          <w:rFonts w:hint="eastAsia"/>
          <w:b w:val="0"/>
          <w:bCs/>
        </w:rPr>
        <w:t>无招标违规、谎报年度报告信息、提供虚假资质资料等行为或其他行政处罚记录；</w:t>
      </w:r>
    </w:p>
    <w:p w14:paraId="0361D53A">
      <w:pPr>
        <w:pStyle w:val="74"/>
        <w:numPr>
          <w:ilvl w:val="0"/>
          <w:numId w:val="11"/>
        </w:numPr>
        <w:ind w:left="0" w:firstLine="424" w:firstLineChars="202"/>
        <w:rPr>
          <w:b w:val="0"/>
          <w:bCs/>
        </w:rPr>
      </w:pPr>
      <w:r>
        <w:rPr>
          <w:rFonts w:hint="eastAsia"/>
          <w:b w:val="0"/>
          <w:bCs/>
        </w:rPr>
        <w:t>近三年内在经营活动中无与本项目有关的违法及重大违规情况；</w:t>
      </w:r>
    </w:p>
    <w:p w14:paraId="67602259">
      <w:pPr>
        <w:pStyle w:val="74"/>
        <w:numPr>
          <w:ilvl w:val="0"/>
          <w:numId w:val="11"/>
        </w:numPr>
        <w:ind w:left="0" w:firstLine="424" w:firstLineChars="202"/>
        <w:rPr>
          <w:b w:val="0"/>
          <w:bCs/>
        </w:rPr>
      </w:pPr>
      <w:r>
        <w:rPr>
          <w:rFonts w:hint="eastAsia"/>
          <w:b w:val="0"/>
          <w:bCs/>
        </w:rPr>
        <w:t>投标人没有被列入招标人处《黑名单》（《黑名单》指投标人与招标人在以往或正在进行的合作中，存在招标人认为的违反合同约定或违反法律法规等的失信行为）的；</w:t>
      </w:r>
    </w:p>
    <w:p w14:paraId="69E92335">
      <w:pPr>
        <w:pStyle w:val="74"/>
        <w:numPr>
          <w:ilvl w:val="0"/>
          <w:numId w:val="11"/>
        </w:numPr>
        <w:ind w:left="0" w:firstLine="424" w:firstLineChars="202"/>
        <w:rPr>
          <w:b w:val="0"/>
          <w:bCs/>
        </w:rPr>
      </w:pPr>
      <w:r>
        <w:rPr>
          <w:rFonts w:hint="eastAsia"/>
          <w:b w:val="0"/>
          <w:bCs/>
        </w:rPr>
        <w:t>公司经营范围满足招标项目需求；</w:t>
      </w:r>
    </w:p>
    <w:p w14:paraId="0207BC11">
      <w:pPr>
        <w:pStyle w:val="74"/>
        <w:numPr>
          <w:ilvl w:val="0"/>
          <w:numId w:val="11"/>
        </w:numPr>
        <w:ind w:left="0" w:firstLine="424" w:firstLineChars="202"/>
        <w:rPr>
          <w:b w:val="0"/>
          <w:bCs/>
        </w:rPr>
      </w:pPr>
      <w:r>
        <w:rPr>
          <w:rFonts w:hint="eastAsia"/>
          <w:b w:val="0"/>
          <w:bCs/>
        </w:rPr>
        <w:t>投标人须具有履行招标文件所有设备、专业技术等要求的能力；</w:t>
      </w:r>
    </w:p>
    <w:p w14:paraId="5D12C44E">
      <w:pPr>
        <w:pStyle w:val="74"/>
        <w:numPr>
          <w:ilvl w:val="0"/>
          <w:numId w:val="11"/>
        </w:numPr>
        <w:ind w:left="0" w:firstLine="424" w:firstLineChars="202"/>
        <w:rPr>
          <w:b w:val="0"/>
          <w:bCs/>
        </w:rPr>
      </w:pPr>
      <w:r>
        <w:rPr>
          <w:rFonts w:hint="eastAsia"/>
          <w:b w:val="0"/>
          <w:bCs/>
        </w:rPr>
        <w:t>投标人须有依法缴纳税收和社会保障资金的良好记录；</w:t>
      </w:r>
    </w:p>
    <w:p w14:paraId="159DB760">
      <w:pPr>
        <w:pStyle w:val="74"/>
        <w:numPr>
          <w:ilvl w:val="0"/>
          <w:numId w:val="11"/>
        </w:numPr>
        <w:ind w:left="0" w:firstLine="424" w:firstLineChars="202"/>
        <w:rPr>
          <w:b w:val="0"/>
          <w:bCs/>
        </w:rPr>
      </w:pPr>
      <w:r>
        <w:rPr>
          <w:rFonts w:hint="eastAsia"/>
          <w:b w:val="0"/>
          <w:bCs/>
        </w:rPr>
        <w:t>具有本次招标货物的供货、安装、售后服务等的相应资质；</w:t>
      </w:r>
    </w:p>
    <w:p w14:paraId="045E1BB2">
      <w:pPr>
        <w:pStyle w:val="74"/>
        <w:numPr>
          <w:ilvl w:val="0"/>
          <w:numId w:val="11"/>
        </w:numPr>
        <w:ind w:left="0" w:firstLine="424" w:firstLineChars="202"/>
        <w:rPr>
          <w:b w:val="0"/>
          <w:bCs/>
        </w:rPr>
      </w:pPr>
      <w:r>
        <w:rPr>
          <w:rFonts w:hint="eastAsia"/>
          <w:b w:val="0"/>
          <w:bCs/>
        </w:rPr>
        <w:t>投标人须负责提供合理的便于运输的包装物，并承担相关费用；</w:t>
      </w:r>
    </w:p>
    <w:p w14:paraId="74BB7165">
      <w:pPr>
        <w:pStyle w:val="74"/>
        <w:numPr>
          <w:ilvl w:val="0"/>
          <w:numId w:val="11"/>
        </w:numPr>
        <w:ind w:left="0" w:firstLine="424" w:firstLineChars="202"/>
        <w:rPr>
          <w:b w:val="0"/>
          <w:bCs/>
        </w:rPr>
      </w:pPr>
      <w:r>
        <w:rPr>
          <w:rFonts w:hint="eastAsia"/>
          <w:b w:val="0"/>
          <w:bCs/>
        </w:rPr>
        <w:t>投标人须认可招标人的工作指令，包括节、假日能正常开展工作的要求。</w:t>
      </w:r>
    </w:p>
    <w:p w14:paraId="63E5FE27">
      <w:pPr>
        <w:pStyle w:val="74"/>
        <w:numPr>
          <w:ilvl w:val="0"/>
          <w:numId w:val="11"/>
        </w:numPr>
        <w:ind w:left="0" w:firstLine="424" w:firstLineChars="202"/>
        <w:rPr>
          <w:b w:val="0"/>
          <w:bCs/>
        </w:rPr>
      </w:pPr>
      <w:r>
        <w:rPr>
          <w:rFonts w:hint="eastAsia"/>
          <w:b w:val="0"/>
          <w:bCs/>
        </w:rPr>
        <w:t>拟投标人的直接或间接股东、法定代表人、董事、监事、高管非重汽员工及其亲属；</w:t>
      </w:r>
    </w:p>
    <w:p w14:paraId="42972205">
      <w:pPr>
        <w:pStyle w:val="74"/>
        <w:numPr>
          <w:ilvl w:val="0"/>
          <w:numId w:val="11"/>
        </w:numPr>
        <w:ind w:left="0" w:firstLine="424" w:firstLineChars="202"/>
        <w:rPr>
          <w:b w:val="0"/>
          <w:bCs/>
        </w:rPr>
      </w:pPr>
      <w:r>
        <w:rPr>
          <w:rFonts w:hint="eastAsia"/>
          <w:b w:val="0"/>
          <w:bCs/>
        </w:rPr>
        <w:t>投标人必须是最终投标、签订合同的单位，不得以任何理由将已中标项目以任何形式转包或者分包给其他单位；</w:t>
      </w:r>
    </w:p>
    <w:p w14:paraId="733035CD">
      <w:pPr>
        <w:pStyle w:val="74"/>
        <w:numPr>
          <w:ilvl w:val="0"/>
          <w:numId w:val="11"/>
        </w:numPr>
        <w:ind w:left="0" w:firstLine="424" w:firstLineChars="202"/>
        <w:rPr>
          <w:color w:val="FF0000"/>
        </w:rPr>
      </w:pPr>
      <w:r>
        <w:rPr>
          <w:rFonts w:hint="eastAsia"/>
          <w:b w:val="0"/>
          <w:bCs/>
        </w:rPr>
        <w:t>本次招标项目（不接受）联合体投标；</w:t>
      </w:r>
      <w:r>
        <w:rPr>
          <w:color w:val="FF0000"/>
        </w:rPr>
        <w:t xml:space="preserve"> </w:t>
      </w:r>
    </w:p>
    <w:p w14:paraId="45B7A418">
      <w:pPr>
        <w:pStyle w:val="74"/>
        <w:numPr>
          <w:ilvl w:val="0"/>
          <w:numId w:val="11"/>
        </w:numPr>
        <w:ind w:left="0" w:firstLine="424" w:firstLineChars="202"/>
        <w:rPr>
          <w:b w:val="0"/>
          <w:bCs/>
        </w:rPr>
      </w:pPr>
      <w:r>
        <w:rPr>
          <w:rFonts w:hint="eastAsia"/>
          <w:b w:val="0"/>
          <w:bCs/>
        </w:rPr>
        <w:t>法律、行政法规规定的其他条件。</w:t>
      </w:r>
    </w:p>
    <w:p w14:paraId="31CA8C38">
      <w:pPr>
        <w:pStyle w:val="73"/>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7"/>
        <w:numPr>
          <w:ilvl w:val="0"/>
          <w:numId w:val="12"/>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w:t>
      </w:r>
      <w:r>
        <w:rPr>
          <w:rFonts w:hint="eastAsia" w:cs="Times New Roman"/>
          <w:highlight w:val="none"/>
          <w:lang w:val="en-US" w:eastAsia="zh-CN"/>
        </w:rPr>
        <w:t>10月16</w:t>
      </w:r>
      <w:r>
        <w:rPr>
          <w:rFonts w:hint="eastAsia" w:ascii="宋体" w:hAnsi="Courier New" w:eastAsia="宋体" w:cs="Times New Roman"/>
          <w:highlight w:val="none"/>
          <w:lang w:val="en-US" w:eastAsia="zh-CN"/>
        </w:rPr>
        <w:t>日</w:t>
      </w:r>
    </w:p>
    <w:p w14:paraId="04ACA6F8">
      <w:pPr>
        <w:pStyle w:val="77"/>
        <w:numPr>
          <w:ilvl w:val="0"/>
          <w:numId w:val="12"/>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r>
        <w:rPr>
          <w:rFonts w:hint="eastAsia" w:cs="Times New Roman"/>
          <w:highlight w:val="none"/>
          <w:lang w:val="en-US" w:eastAsia="zh-CN"/>
        </w:rPr>
        <w:t>（</w:t>
      </w:r>
      <w:r>
        <w:rPr>
          <w:rFonts w:ascii="宋体" w:hAnsi="宋体" w:eastAsia="宋体" w:cs="宋体"/>
          <w:sz w:val="24"/>
          <w:szCs w:val="24"/>
        </w:rPr>
        <w:fldChar w:fldCharType="begin"/>
      </w:r>
      <w:r>
        <w:rPr>
          <w:rFonts w:ascii="宋体" w:hAnsi="宋体" w:eastAsia="宋体" w:cs="宋体"/>
          <w:sz w:val="24"/>
          <w:szCs w:val="24"/>
        </w:rPr>
        <w:instrText xml:space="preserve"> HYPERLINK "https://www.cnhtc.com.cn/sinotruk/xwzx/tzgg/index.html" </w:instrText>
      </w:r>
      <w:r>
        <w:rPr>
          <w:rFonts w:ascii="宋体" w:hAnsi="宋体" w:eastAsia="宋体" w:cs="宋体"/>
          <w:sz w:val="24"/>
          <w:szCs w:val="24"/>
        </w:rPr>
        <w:fldChar w:fldCharType="separate"/>
      </w:r>
      <w:r>
        <w:rPr>
          <w:rStyle w:val="39"/>
          <w:rFonts w:ascii="宋体" w:hAnsi="宋体" w:eastAsia="宋体" w:cs="宋体"/>
          <w:sz w:val="24"/>
          <w:szCs w:val="24"/>
        </w:rPr>
        <w:t>通知公告</w:t>
      </w:r>
      <w:r>
        <w:rPr>
          <w:rFonts w:ascii="宋体" w:hAnsi="宋体" w:eastAsia="宋体" w:cs="宋体"/>
          <w:sz w:val="24"/>
          <w:szCs w:val="24"/>
        </w:rPr>
        <w:fldChar w:fldCharType="end"/>
      </w:r>
      <w:r>
        <w:rPr>
          <w:rFonts w:hint="eastAsia" w:ascii="宋体" w:hAnsi="宋体" w:eastAsia="宋体" w:cs="宋体"/>
          <w:sz w:val="24"/>
          <w:szCs w:val="24"/>
          <w:lang w:eastAsia="zh-CN"/>
        </w:rPr>
        <w:t>）</w:t>
      </w:r>
    </w:p>
    <w:p w14:paraId="7AB51490">
      <w:pPr>
        <w:pStyle w:val="77"/>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cs="宋体"/>
          <w:sz w:val="21"/>
          <w:szCs w:val="21"/>
          <w:highlight w:val="none"/>
          <w:lang w:eastAsia="zh-CN"/>
        </w:rPr>
        <w:t>（</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39"/>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eastAsia="zh-CN"/>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一</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二</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7"/>
        <w:numPr>
          <w:ilvl w:val="0"/>
          <w:numId w:val="12"/>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21</w:t>
      </w:r>
      <w:r>
        <w:rPr>
          <w:rFonts w:hint="eastAsia" w:eastAsia="宋体" w:cs="宋体"/>
          <w:highlight w:val="none"/>
        </w:rPr>
        <w:t>日17时00分00秒</w:t>
      </w:r>
    </w:p>
    <w:p w14:paraId="2521BCA0">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3"/>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5"/>
        <w:numPr>
          <w:ilvl w:val="0"/>
          <w:numId w:val="0"/>
        </w:numPr>
        <w:ind w:leftChars="0"/>
        <w:rPr>
          <w:rFonts w:hint="default" w:eastAsia="宋体"/>
          <w:b w:val="0"/>
          <w:bCs/>
          <w:highlight w:val="none"/>
          <w:lang w:val="en-US" w:eastAsia="zh-CN"/>
        </w:rPr>
      </w:pPr>
      <w:r>
        <w:rPr>
          <w:rFonts w:hint="eastAsia"/>
          <w:b/>
          <w:bCs w:val="0"/>
          <w:highlight w:val="none"/>
        </w:rPr>
        <w:t>资质文件</w:t>
      </w:r>
      <w:r>
        <w:rPr>
          <w:rFonts w:hint="eastAsia"/>
          <w:b w:val="0"/>
          <w:bCs/>
          <w:highlight w:val="none"/>
        </w:rPr>
        <w:t>：</w:t>
      </w:r>
      <w:r>
        <w:rPr>
          <w:rFonts w:hint="eastAsia"/>
          <w:b w:val="0"/>
          <w:bCs/>
          <w:highlight w:val="none"/>
          <w:lang w:eastAsia="zh-CN"/>
        </w:rPr>
        <w:t>（</w:t>
      </w:r>
      <w:r>
        <w:rPr>
          <w:rFonts w:hint="eastAsia"/>
          <w:b w:val="0"/>
          <w:bCs/>
          <w:highlight w:val="none"/>
          <w:lang w:val="en-US" w:eastAsia="zh-CN"/>
        </w:rPr>
        <w:t>所有文件均需加盖公章）</w:t>
      </w:r>
    </w:p>
    <w:p w14:paraId="08418DE3">
      <w:pPr>
        <w:pStyle w:val="76"/>
        <w:numPr>
          <w:ilvl w:val="0"/>
          <w:numId w:val="13"/>
        </w:numPr>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法定代表人身份证明；</w:t>
      </w:r>
    </w:p>
    <w:p w14:paraId="70747475">
      <w:pPr>
        <w:pStyle w:val="76"/>
        <w:numPr>
          <w:ilvl w:val="0"/>
          <w:numId w:val="13"/>
        </w:numPr>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法定代表人授权委托书（授权人需带身份证原件）；</w:t>
      </w:r>
    </w:p>
    <w:p w14:paraId="395C208B">
      <w:pPr>
        <w:pStyle w:val="76"/>
        <w:numPr>
          <w:ilvl w:val="0"/>
          <w:numId w:val="13"/>
        </w:numPr>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营业执照副本原件或复印件并加盖公章</w:t>
      </w:r>
      <w:r>
        <w:rPr>
          <w:rFonts w:hint="eastAsia" w:cs="Times New Roman"/>
          <w:kern w:val="2"/>
          <w:sz w:val="21"/>
          <w:highlight w:val="none"/>
          <w:lang w:val="en-US" w:eastAsia="zh-CN" w:bidi="ar-SA"/>
        </w:rPr>
        <w:t>、</w:t>
      </w:r>
      <w:r>
        <w:rPr>
          <w:rFonts w:hint="eastAsia"/>
        </w:rPr>
        <w:t>消防检测服务资质</w:t>
      </w:r>
      <w:r>
        <w:rPr>
          <w:rFonts w:hint="eastAsia" w:ascii="宋体" w:hAnsi="Courier New" w:eastAsia="宋体" w:cs="Times New Roman"/>
          <w:kern w:val="2"/>
          <w:sz w:val="21"/>
          <w:highlight w:val="none"/>
          <w:lang w:val="en-US" w:eastAsia="zh-CN" w:bidi="ar-SA"/>
        </w:rPr>
        <w:t>；</w:t>
      </w:r>
    </w:p>
    <w:p w14:paraId="213A654A">
      <w:pPr>
        <w:pStyle w:val="76"/>
        <w:numPr>
          <w:ilvl w:val="0"/>
          <w:numId w:val="13"/>
        </w:numPr>
        <w:ind w:left="0" w:firstLine="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投标人应具有相应生产证明，若非原厂商需提供原厂商授权书（原件或加盖投标单位公章的彩色打印件）；</w:t>
      </w:r>
    </w:p>
    <w:p w14:paraId="5F2C36A4">
      <w:pPr>
        <w:pStyle w:val="76"/>
        <w:numPr>
          <w:ilvl w:val="0"/>
          <w:numId w:val="13"/>
        </w:numPr>
        <w:ind w:left="0" w:firstLine="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证明投标人满足投标资料表中列出的业绩要求的文件；</w:t>
      </w:r>
    </w:p>
    <w:p w14:paraId="1B72FFCB">
      <w:pPr>
        <w:pStyle w:val="76"/>
        <w:numPr>
          <w:ilvl w:val="0"/>
          <w:numId w:val="13"/>
        </w:numPr>
        <w:ind w:left="0" w:firstLine="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0E9B57DE">
      <w:pPr>
        <w:pStyle w:val="76"/>
        <w:numPr>
          <w:ilvl w:val="0"/>
          <w:numId w:val="13"/>
        </w:numPr>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企业最近半年完税证明、信用证明材料（征信报告）；</w:t>
      </w:r>
    </w:p>
    <w:p w14:paraId="4F164CC1">
      <w:pPr>
        <w:pStyle w:val="76"/>
        <w:numPr>
          <w:ilvl w:val="0"/>
          <w:numId w:val="13"/>
        </w:numPr>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年度纳税信用评价信息（可从电子税务局查询截图，需加盖公章）；</w:t>
      </w:r>
    </w:p>
    <w:p w14:paraId="2067D965">
      <w:pPr>
        <w:pStyle w:val="76"/>
        <w:numPr>
          <w:ilvl w:val="0"/>
          <w:numId w:val="13"/>
        </w:numPr>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企业对外担保说明（写明贵单位对外有无对外担保和质押业务，需加盖公章）。</w:t>
      </w:r>
    </w:p>
    <w:p w14:paraId="0EE4156A">
      <w:pPr>
        <w:pStyle w:val="76"/>
        <w:numPr>
          <w:ilvl w:val="0"/>
          <w:numId w:val="13"/>
        </w:numPr>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信用中国截图或国家企业信用信息公示系统截图；</w:t>
      </w:r>
    </w:p>
    <w:p w14:paraId="705E31BD">
      <w:pPr>
        <w:pStyle w:val="76"/>
        <w:numPr>
          <w:ilvl w:val="0"/>
          <w:numId w:val="13"/>
        </w:numPr>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招标文件中要求的其它资格证明文件。</w:t>
      </w:r>
    </w:p>
    <w:p w14:paraId="5880241B">
      <w:pPr>
        <w:pStyle w:val="73"/>
        <w:rPr>
          <w:rFonts w:ascii="宋体" w:hAnsi="宋体" w:cs="宋体"/>
          <w:sz w:val="24"/>
          <w:szCs w:val="24"/>
        </w:rPr>
      </w:pPr>
      <w:r>
        <w:rPr>
          <w:rFonts w:hint="eastAsia"/>
          <w:lang w:val="en-US" w:eastAsia="zh-CN"/>
        </w:rPr>
        <w:t>交货及付款</w:t>
      </w:r>
    </w:p>
    <w:p w14:paraId="5E7A94D0">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22" w:firstLineChars="200"/>
        <w:jc w:val="both"/>
        <w:textAlignment w:val="auto"/>
        <w:rPr>
          <w:rFonts w:ascii="宋体" w:hAnsi="宋体" w:eastAsia="宋体" w:cs="宋体"/>
          <w:b w:val="0"/>
          <w:bCs w:val="0"/>
          <w:sz w:val="21"/>
          <w:szCs w:val="21"/>
        </w:rPr>
      </w:pPr>
      <w:r>
        <w:rPr>
          <w:rFonts w:hint="eastAsia" w:ascii="宋体" w:hAnsi="宋体" w:cs="宋体"/>
          <w:b/>
          <w:bCs/>
          <w:sz w:val="21"/>
          <w:szCs w:val="21"/>
          <w:highlight w:val="none"/>
          <w:lang w:val="en-US" w:eastAsia="zh-CN"/>
        </w:rPr>
        <w:t>1、</w:t>
      </w:r>
      <w:r>
        <w:rPr>
          <w:rFonts w:hint="eastAsia" w:ascii="宋体" w:hAnsi="宋体" w:eastAsia="宋体" w:cs="宋体"/>
          <w:b/>
          <w:bCs/>
          <w:sz w:val="21"/>
          <w:szCs w:val="21"/>
          <w:highlight w:val="none"/>
          <w:lang w:val="en-US" w:eastAsia="zh-CN"/>
        </w:rPr>
        <w:t>交货期：</w:t>
      </w:r>
      <w:r>
        <w:rPr>
          <w:rFonts w:hint="eastAsia" w:ascii="宋体" w:hAnsi="宋体" w:eastAsia="宋体" w:cs="宋体"/>
          <w:b w:val="0"/>
          <w:bCs w:val="0"/>
          <w:sz w:val="21"/>
          <w:szCs w:val="21"/>
        </w:rPr>
        <w:t>合同签订后</w:t>
      </w:r>
      <w:r>
        <w:rPr>
          <w:rFonts w:ascii="宋体" w:hAnsi="宋体" w:eastAsia="宋体" w:cs="宋体"/>
          <w:b w:val="0"/>
          <w:bCs w:val="0"/>
          <w:sz w:val="21"/>
          <w:szCs w:val="21"/>
        </w:rPr>
        <w:t>20</w:t>
      </w:r>
      <w:r>
        <w:rPr>
          <w:rFonts w:hint="eastAsia" w:ascii="宋体" w:hAnsi="宋体" w:eastAsia="宋体" w:cs="宋体"/>
          <w:b w:val="0"/>
          <w:bCs w:val="0"/>
          <w:sz w:val="21"/>
          <w:szCs w:val="21"/>
        </w:rPr>
        <w:t>个日历日</w:t>
      </w:r>
    </w:p>
    <w:p w14:paraId="7B8C9C44">
      <w:pPr>
        <w:pStyle w:val="73"/>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2" w:firstLineChars="200"/>
        <w:textAlignment w:val="auto"/>
        <w:rPr>
          <w:rFonts w:hint="eastAsia" w:ascii="宋体" w:hAnsi="宋体" w:eastAsia="宋体" w:cs="宋体"/>
          <w:b w:val="0"/>
          <w:bCs w:val="0"/>
          <w:kern w:val="2"/>
          <w:sz w:val="21"/>
          <w:szCs w:val="21"/>
          <w:lang w:val="en-US" w:eastAsia="zh-CN" w:bidi="ar-SA"/>
        </w:rPr>
      </w:pPr>
      <w:r>
        <w:rPr>
          <w:rFonts w:hint="eastAsia" w:ascii="宋体" w:hAnsi="宋体" w:eastAsia="宋体" w:cs="宋体"/>
          <w:b/>
          <w:bCs/>
          <w:kern w:val="2"/>
          <w:sz w:val="21"/>
          <w:szCs w:val="21"/>
          <w:highlight w:val="none"/>
          <w:lang w:val="en-US" w:eastAsia="zh-CN" w:bidi="ar-SA"/>
        </w:rPr>
        <w:t>2、交货</w:t>
      </w:r>
      <w:r>
        <w:rPr>
          <w:rFonts w:hint="eastAsia" w:ascii="宋体" w:hAnsi="宋体" w:eastAsia="宋体" w:cs="宋体"/>
          <w:b/>
          <w:bCs/>
          <w:sz w:val="21"/>
          <w:szCs w:val="21"/>
          <w:highlight w:val="none"/>
          <w:lang w:val="en-US" w:eastAsia="zh-CN"/>
        </w:rPr>
        <w:t>地点</w:t>
      </w:r>
      <w:r>
        <w:rPr>
          <w:rFonts w:hint="eastAsia" w:ascii="宋体" w:hAnsi="宋体" w:eastAsia="宋体" w:cs="宋体"/>
          <w:b w:val="0"/>
          <w:bCs w:val="0"/>
          <w:sz w:val="21"/>
          <w:szCs w:val="21"/>
          <w:highlight w:val="none"/>
          <w:lang w:val="en-US" w:eastAsia="zh-CN"/>
        </w:rPr>
        <w:t>：</w:t>
      </w:r>
      <w:r>
        <w:rPr>
          <w:rFonts w:hint="eastAsia" w:ascii="宋体" w:hAnsi="宋体" w:eastAsia="宋体" w:cs="宋体"/>
          <w:b w:val="0"/>
          <w:bCs w:val="0"/>
          <w:kern w:val="2"/>
          <w:sz w:val="21"/>
          <w:szCs w:val="21"/>
          <w:lang w:val="en-US" w:eastAsia="zh-CN" w:bidi="ar-SA"/>
        </w:rPr>
        <w:t>中国重汽集团杭州发动机有限公司（萧山区萧山经济技术开发区红垦农场红泰六路699号）</w:t>
      </w:r>
      <w:bookmarkStart w:id="10" w:name="_GoBack"/>
      <w:bookmarkEnd w:id="10"/>
    </w:p>
    <w:p w14:paraId="43804BBA">
      <w:pPr>
        <w:pStyle w:val="73"/>
        <w:keepNext w:val="0"/>
        <w:keepLines w:val="0"/>
        <w:pageBreakBefore w:val="0"/>
        <w:numPr>
          <w:numId w:val="0"/>
        </w:numPr>
        <w:kinsoku/>
        <w:wordWrap/>
        <w:overflowPunct/>
        <w:topLinePunct w:val="0"/>
        <w:autoSpaceDE/>
        <w:autoSpaceDN/>
        <w:bidi w:val="0"/>
        <w:adjustRightInd/>
        <w:snapToGrid/>
        <w:spacing w:line="360" w:lineRule="auto"/>
        <w:ind w:leftChars="0" w:firstLine="422" w:firstLineChars="200"/>
        <w:textAlignment w:val="auto"/>
        <w:rPr>
          <w:rFonts w:ascii="宋体" w:hAnsi="宋体" w:eastAsia="宋体" w:cs="宋体"/>
          <w:b w:val="0"/>
          <w:bCs w:val="0"/>
          <w:sz w:val="21"/>
          <w:szCs w:val="21"/>
        </w:rPr>
      </w:pPr>
      <w:r>
        <w:rPr>
          <w:rFonts w:hint="eastAsia" w:ascii="宋体" w:hAnsi="宋体" w:eastAsia="宋体" w:cs="宋体"/>
          <w:b/>
          <w:bCs/>
          <w:sz w:val="21"/>
          <w:szCs w:val="21"/>
          <w:lang w:val="en-US" w:eastAsia="zh-CN"/>
        </w:rPr>
        <w:t>3、</w:t>
      </w:r>
      <w:r>
        <w:rPr>
          <w:rFonts w:hint="eastAsia" w:ascii="宋体" w:hAnsi="宋体" w:eastAsia="宋体" w:cs="宋体"/>
          <w:b/>
          <w:bCs/>
          <w:sz w:val="21"/>
          <w:szCs w:val="21"/>
        </w:rPr>
        <w:t>交货方式</w:t>
      </w:r>
      <w:r>
        <w:rPr>
          <w:rFonts w:hint="eastAsia" w:ascii="宋体" w:hAnsi="宋体" w:eastAsia="宋体" w:cs="宋体"/>
          <w:b w:val="0"/>
          <w:bCs w:val="0"/>
          <w:sz w:val="21"/>
          <w:szCs w:val="21"/>
        </w:rPr>
        <w:t>：提供符合法规要求的检测报告</w:t>
      </w:r>
    </w:p>
    <w:p w14:paraId="43B83927">
      <w:pPr>
        <w:pStyle w:val="2"/>
        <w:keepNext w:val="0"/>
        <w:keepLines w:val="0"/>
        <w:pageBreakBefore w:val="0"/>
        <w:numPr>
          <w:ilvl w:val="0"/>
          <w:numId w:val="0"/>
        </w:numPr>
        <w:kinsoku/>
        <w:wordWrap/>
        <w:overflowPunct/>
        <w:topLinePunct w:val="0"/>
        <w:autoSpaceDE/>
        <w:autoSpaceDN/>
        <w:bidi w:val="0"/>
        <w:adjustRightInd/>
        <w:snapToGrid/>
        <w:spacing w:line="360" w:lineRule="auto"/>
        <w:ind w:firstLine="422" w:firstLineChars="200"/>
        <w:textAlignment w:val="auto"/>
        <w:rPr>
          <w:rFonts w:hint="eastAsia" w:ascii="Calibri" w:hAnsi="Calibri"/>
          <w:highlight w:val="none"/>
        </w:rPr>
      </w:pPr>
      <w:r>
        <w:rPr>
          <w:rFonts w:hint="eastAsia" w:hAnsi="宋体" w:cs="宋体"/>
          <w:b/>
          <w:bCs/>
          <w:sz w:val="21"/>
          <w:szCs w:val="21"/>
          <w:highlight w:val="none"/>
          <w:lang w:val="en-US" w:eastAsia="zh-CN"/>
        </w:rPr>
        <w:t>4、</w:t>
      </w: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Calibri" w:hAnsi="Calibri"/>
          <w:b/>
          <w:bCs/>
          <w:highlight w:val="none"/>
        </w:rPr>
        <w:t>付款结算方法：</w:t>
      </w:r>
      <w:r>
        <w:rPr>
          <w:rFonts w:hint="eastAsia" w:ascii="Calibri" w:hAnsi="Calibri"/>
          <w:highlight w:val="none"/>
          <w:u w:val="single"/>
        </w:rPr>
        <w:t>半年期</w:t>
      </w:r>
      <w:r>
        <w:rPr>
          <w:rFonts w:hint="eastAsia" w:ascii="Calibri" w:hAnsi="Calibri"/>
          <w:highlight w:val="none"/>
          <w:u w:val="single"/>
          <w:lang w:val="en-US" w:eastAsia="zh-CN"/>
        </w:rPr>
        <w:t>商业</w:t>
      </w:r>
      <w:r>
        <w:rPr>
          <w:rFonts w:hint="eastAsia" w:ascii="Calibri" w:hAnsi="Calibri"/>
          <w:highlight w:val="none"/>
          <w:u w:val="single"/>
        </w:rPr>
        <w:t>汇票（包括银行承兑汇票和商业承兑汇票）</w:t>
      </w:r>
    </w:p>
    <w:p w14:paraId="7EBC505C">
      <w:pPr>
        <w:pStyle w:val="2"/>
        <w:keepNext w:val="0"/>
        <w:keepLines w:val="0"/>
        <w:pageBreakBefore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Calibri" w:hAnsi="Calibri"/>
          <w:highlight w:val="none"/>
        </w:rPr>
      </w:pPr>
      <w:r>
        <w:rPr>
          <w:rFonts w:hint="eastAsia" w:ascii="Calibri" w:hAnsi="Calibri"/>
          <w:highlight w:val="none"/>
        </w:rPr>
        <w:t>①</w:t>
      </w:r>
      <w:r>
        <w:rPr>
          <w:rFonts w:hint="eastAsia" w:ascii="宋体" w:hAnsi="宋体" w:eastAsia="宋体" w:cs="宋体"/>
          <w:b w:val="0"/>
          <w:bCs w:val="0"/>
          <w:sz w:val="21"/>
          <w:szCs w:val="21"/>
        </w:rPr>
        <w:t>付款节点：乙方完成甲方的需求，乙方开具合同价款100%的增值税专用发票，经甲方核对无误后支付。</w:t>
      </w:r>
    </w:p>
    <w:p w14:paraId="73D415F5">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3"/>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56A6EB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6" w:name="_Toc25811"/>
      <w:bookmarkStart w:id="7" w:name="_Toc639004"/>
      <w:bookmarkStart w:id="8" w:name="_Toc353881012"/>
      <w:bookmarkStart w:id="9"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6"/>
      <w:bookmarkEnd w:id="7"/>
      <w:bookmarkEnd w:id="8"/>
      <w:bookmarkEnd w:id="9"/>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295EF46">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ascii="宋体" w:hAnsi="宋体" w:cs="宋体"/>
          <w:b/>
          <w:bCs/>
          <w:sz w:val="24"/>
          <w:szCs w:val="24"/>
          <w:highlight w:val="none"/>
          <w:u w:val="single"/>
          <w:lang w:val="en-US" w:eastAsia="zh-CN"/>
        </w:rPr>
        <w:t>建筑消防设施及电气消防安全检测项目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hint="eastAsia" w:ascii="宋体" w:hAnsi="宋体" w:cs="Times New Roman"/>
          <w:bCs/>
          <w:snapToGrid w:val="0"/>
          <w:color w:val="000000"/>
          <w:kern w:val="0"/>
          <w:sz w:val="24"/>
          <w:szCs w:val="24"/>
          <w:u w:val="single"/>
          <w:lang w:val="en-US" w:eastAsia="zh-CN"/>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7CADBD8E">
      <w:pPr>
        <w:pStyle w:val="2"/>
        <w:rPr>
          <w:rFonts w:ascii="黑体" w:hAnsi="Calibri" w:eastAsia="黑体" w:cs="Times New Roman"/>
          <w:color w:val="000000"/>
          <w:sz w:val="24"/>
          <w:szCs w:val="24"/>
        </w:rPr>
      </w:pPr>
    </w:p>
    <w:p w14:paraId="4CA7A370">
      <w:pPr>
        <w:pStyle w:val="2"/>
        <w:rPr>
          <w:rFonts w:ascii="黑体" w:hAnsi="Calibri" w:eastAsia="黑体" w:cs="Times New Roman"/>
          <w:color w:val="000000"/>
          <w:sz w:val="24"/>
          <w:szCs w:val="24"/>
        </w:rPr>
      </w:pPr>
    </w:p>
    <w:p w14:paraId="28AE6C52">
      <w:pPr>
        <w:pStyle w:val="2"/>
        <w:rPr>
          <w:rFonts w:ascii="黑体" w:hAnsi="Calibri" w:eastAsia="黑体" w:cs="Times New Roman"/>
          <w:color w:val="000000"/>
          <w:sz w:val="24"/>
          <w:szCs w:val="24"/>
        </w:rPr>
      </w:pPr>
    </w:p>
    <w:p w14:paraId="44A19F45">
      <w:pPr>
        <w:pStyle w:val="2"/>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D1A60D8">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宋体"/>
          <w:b/>
          <w:bCs/>
          <w:sz w:val="24"/>
          <w:szCs w:val="24"/>
          <w:highlight w:val="none"/>
          <w:u w:val="single"/>
          <w:lang w:val="en-US" w:eastAsia="zh-CN"/>
        </w:rPr>
        <w:t>建筑消防设施及电气消防安全检测项目</w:t>
      </w:r>
      <w:r>
        <w:rPr>
          <w:rFonts w:hint="eastAsia" w:ascii="宋体" w:hAnsi="宋体" w:eastAsia="宋体" w:cs="Times New Roman"/>
          <w:b/>
          <w:bCs/>
          <w:color w:val="000000"/>
          <w:sz w:val="24"/>
          <w:szCs w:val="24"/>
          <w:u w:val="single"/>
          <w:lang w:eastAsia="zh-CN"/>
        </w:rPr>
        <w:t>（</w:t>
      </w:r>
      <w:r>
        <w:rPr>
          <w:rFonts w:hint="eastAsia" w:ascii="宋体" w:hAnsi="宋体" w:cs="宋体"/>
          <w:b/>
          <w:bCs/>
          <w:sz w:val="24"/>
          <w:szCs w:val="24"/>
          <w:highlight w:val="none"/>
          <w:lang w:val="en-US" w:eastAsia="zh-CN"/>
        </w:rPr>
        <w:t>FSCZB2025100049</w:t>
      </w:r>
      <w:r>
        <w:rPr>
          <w:rFonts w:hint="eastAsia" w:ascii="宋体" w:hAnsi="宋体" w:eastAsia="宋体" w:cs="Times New Roman"/>
          <w:b/>
          <w:bCs/>
          <w:color w:val="000000"/>
          <w:sz w:val="24"/>
          <w:szCs w:val="24"/>
          <w:u w:val="single"/>
          <w:lang w:eastAsia="zh-CN"/>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6DB774">
      <w:pPr>
        <w:rPr>
          <w:rFonts w:ascii="Calibri" w:hAnsi="Calibri" w:eastAsia="黑体" w:cs="Times New Roman"/>
          <w:b/>
          <w:bCs/>
          <w:color w:val="000000"/>
          <w:sz w:val="28"/>
          <w:szCs w:val="20"/>
        </w:rPr>
      </w:pPr>
    </w:p>
    <w:p w14:paraId="404EA4FD">
      <w:pPr>
        <w:pStyle w:val="2"/>
        <w:rPr>
          <w:rFonts w:ascii="Calibri" w:hAnsi="Calibri" w:eastAsia="黑体" w:cs="Times New Roman"/>
          <w:b/>
          <w:bCs/>
          <w:color w:val="000000"/>
          <w:sz w:val="28"/>
          <w:szCs w:val="20"/>
        </w:rPr>
        <w:sectPr>
          <w:footerReference r:id="rId8" w:type="first"/>
          <w:headerReference r:id="rId6" w:type="default"/>
          <w:footerReference r:id="rId7" w:type="default"/>
          <w:pgSz w:w="11906" w:h="16838"/>
          <w:pgMar w:top="1588" w:right="1418" w:bottom="1134" w:left="1418" w:header="851" w:footer="992" w:gutter="0"/>
          <w:cols w:space="720" w:num="1"/>
          <w:titlePg/>
          <w:docGrid w:type="lines" w:linePitch="312" w:charSpace="0"/>
        </w:sectPr>
      </w:pPr>
    </w:p>
    <w:p w14:paraId="396A5D81">
      <w:pPr>
        <w:keepNext/>
        <w:keepLines/>
        <w:outlineLvl w:val="2"/>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3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b w:val="0"/>
          <w:bCs w:val="0"/>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b w:val="0"/>
          <w:bCs w:val="0"/>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b w:val="0"/>
          <w:bCs w:val="0"/>
          <w:spacing w:val="7"/>
          <w:sz w:val="24"/>
          <w:szCs w:val="24"/>
          <w14:textOutline w14:w="4356" w14:cap="sq" w14:cmpd="sng">
            <w14:solidFill>
              <w14:srgbClr w14:val="000000"/>
            </w14:solidFill>
            <w14:prstDash w14:val="solid"/>
            <w14:bevel/>
          </w14:textOutline>
        </w:rPr>
        <w:t>表</w:t>
      </w:r>
    </w:p>
    <w:p w14:paraId="0144CA5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1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2"/>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2"/>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2"/>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2"/>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2"/>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2"/>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2"/>
              <w:spacing w:before="111"/>
              <w:ind w:left="509"/>
              <w:rPr>
                <w:highlight w:val="yellow"/>
              </w:rPr>
            </w:pPr>
            <w:r>
              <w:t xml:space="preserve">企业法人代表  </w:t>
            </w:r>
          </w:p>
        </w:tc>
        <w:tc>
          <w:tcPr>
            <w:tcW w:w="4680" w:type="dxa"/>
            <w:gridSpan w:val="4"/>
          </w:tcPr>
          <w:p w14:paraId="4B5F8599">
            <w:pPr>
              <w:pStyle w:val="5"/>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2"/>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2"/>
              <w:spacing w:before="114"/>
              <w:ind w:left="720"/>
            </w:pPr>
            <w:r>
              <w:t xml:space="preserve">品牌区分 </w:t>
            </w:r>
          </w:p>
        </w:tc>
        <w:tc>
          <w:tcPr>
            <w:tcW w:w="7500" w:type="dxa"/>
            <w:gridSpan w:val="6"/>
          </w:tcPr>
          <w:p w14:paraId="3BAE0FF2">
            <w:pPr>
              <w:pStyle w:val="112"/>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2"/>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2"/>
              <w:spacing w:before="15"/>
              <w:ind w:left="279"/>
            </w:pPr>
            <w:r>
              <w:rPr>
                <w:spacing w:val="-2"/>
              </w:rPr>
              <w:t>质量</w:t>
            </w:r>
            <w:r>
              <w:t xml:space="preserve"> </w:t>
            </w:r>
          </w:p>
          <w:p w14:paraId="38F7D920">
            <w:pPr>
              <w:pStyle w:val="112"/>
              <w:spacing w:before="30" w:line="277" w:lineRule="exact"/>
              <w:ind w:left="279"/>
            </w:pPr>
            <w:r>
              <w:rPr>
                <w:rFonts w:hint="eastAsia"/>
              </w:rPr>
              <w:t>体系</w:t>
            </w:r>
          </w:p>
        </w:tc>
        <w:tc>
          <w:tcPr>
            <w:tcW w:w="2820" w:type="dxa"/>
            <w:gridSpan w:val="2"/>
          </w:tcPr>
          <w:p w14:paraId="53E9DAB1">
            <w:pPr>
              <w:pStyle w:val="112"/>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2"/>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2"/>
        <w:rPr>
          <w:rFonts w:ascii="Times New Roman" w:hAnsi="Times New Roman" w:eastAsia="宋体" w:cs="Times New Roman"/>
          <w:b/>
          <w:bCs/>
          <w:color w:val="000000"/>
          <w:sz w:val="24"/>
          <w:szCs w:val="24"/>
        </w:rPr>
      </w:pPr>
    </w:p>
    <w:p w14:paraId="37100778">
      <w:pPr>
        <w:pStyle w:val="2"/>
        <w:rPr>
          <w:rFonts w:ascii="Times New Roman" w:hAnsi="Times New Roman" w:eastAsia="宋体" w:cs="Times New Roman"/>
          <w:b/>
          <w:bCs/>
          <w:color w:val="000000"/>
          <w:sz w:val="24"/>
          <w:szCs w:val="24"/>
        </w:rPr>
      </w:pPr>
    </w:p>
    <w:p w14:paraId="39756F36">
      <w:pPr>
        <w:pStyle w:val="2"/>
        <w:rPr>
          <w:rFonts w:ascii="Times New Roman" w:hAnsi="Times New Roman" w:eastAsia="宋体" w:cs="Times New Roman"/>
          <w:b/>
          <w:bCs/>
          <w:color w:val="000000"/>
          <w:sz w:val="24"/>
          <w:szCs w:val="24"/>
        </w:rPr>
      </w:pPr>
    </w:p>
    <w:p w14:paraId="73D8D3DE">
      <w:pPr>
        <w:pStyle w:val="2"/>
        <w:rPr>
          <w:rFonts w:ascii="Times New Roman" w:hAnsi="Times New Roman" w:eastAsia="宋体" w:cs="Times New Roman"/>
          <w:b/>
          <w:bCs/>
          <w:color w:val="000000"/>
          <w:sz w:val="24"/>
          <w:szCs w:val="24"/>
        </w:rPr>
      </w:pPr>
    </w:p>
    <w:p w14:paraId="527F4C72">
      <w:pPr>
        <w:pStyle w:val="2"/>
        <w:rPr>
          <w:rFonts w:ascii="Times New Roman" w:hAnsi="Times New Roman" w:eastAsia="宋体" w:cs="Times New Roman"/>
          <w:b/>
          <w:bCs/>
          <w:color w:val="000000"/>
          <w:sz w:val="24"/>
          <w:szCs w:val="24"/>
        </w:rPr>
      </w:pPr>
    </w:p>
    <w:p w14:paraId="792B9788">
      <w:pPr>
        <w:pStyle w:val="2"/>
        <w:rPr>
          <w:rFonts w:ascii="Times New Roman" w:hAnsi="Times New Roman" w:eastAsia="宋体" w:cs="Times New Roman"/>
          <w:b/>
          <w:bCs/>
          <w:color w:val="000000"/>
          <w:sz w:val="24"/>
          <w:szCs w:val="24"/>
        </w:rPr>
      </w:pPr>
    </w:p>
    <w:p w14:paraId="0561AF60">
      <w:pPr>
        <w:pStyle w:val="2"/>
        <w:rPr>
          <w:rFonts w:ascii="Times New Roman" w:hAnsi="Times New Roman" w:eastAsia="宋体" w:cs="Times New Roman"/>
          <w:b/>
          <w:bCs/>
          <w:color w:val="000000"/>
          <w:sz w:val="24"/>
          <w:szCs w:val="24"/>
        </w:rPr>
      </w:pPr>
    </w:p>
    <w:p w14:paraId="78F0A321">
      <w:pPr>
        <w:pStyle w:val="2"/>
        <w:rPr>
          <w:rFonts w:ascii="Times New Roman" w:hAnsi="Times New Roman" w:eastAsia="宋体" w:cs="Times New Roman"/>
          <w:b/>
          <w:bCs/>
          <w:color w:val="000000"/>
          <w:sz w:val="24"/>
          <w:szCs w:val="24"/>
        </w:rPr>
      </w:pPr>
    </w:p>
    <w:p w14:paraId="54D6387F">
      <w:pPr>
        <w:pStyle w:val="2"/>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4935736">
      <w:pPr>
        <w:pStyle w:val="2"/>
        <w:outlineLvl w:val="3"/>
        <w:rPr>
          <w:rFonts w:hint="eastAsia" w:ascii="Times New Roman" w:hAnsi="Times New Roman" w:eastAsia="宋体" w:cs="Times New Roman"/>
          <w:b/>
          <w:bCs/>
          <w:color w:val="000000"/>
          <w:sz w:val="24"/>
          <w:szCs w:val="24"/>
        </w:rPr>
      </w:pP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C2DAA73">
      <w:pPr>
        <w:rPr>
          <w:rFonts w:ascii="宋体" w:hAnsi="Calibri" w:eastAsia="宋体" w:cs="宋体"/>
          <w:b/>
          <w:bCs/>
          <w:color w:val="000000"/>
          <w:sz w:val="28"/>
          <w:szCs w:val="20"/>
        </w:rPr>
        <w:sectPr>
          <w:footerReference r:id="rId10" w:type="first"/>
          <w:footerReference r:id="rId9" w:type="default"/>
          <w:pgSz w:w="11906" w:h="16838"/>
          <w:pgMar w:top="1588" w:right="1418" w:bottom="1134" w:left="1418" w:header="851" w:footer="992" w:gutter="0"/>
          <w:cols w:space="720" w:num="1"/>
          <w:titlePg/>
          <w:docGrid w:type="lines" w:linePitch="312" w:charSpace="0"/>
        </w:sectPr>
      </w:pPr>
    </w:p>
    <w:p w14:paraId="7F7233A4">
      <w:pPr>
        <w:pStyle w:val="2"/>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17346439">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2"/>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5F803865">
      <w:pPr>
        <w:pStyle w:val="2"/>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2" cstate="print"/>
                    <a:srcRect/>
                    <a:stretch>
                      <a:fillRect/>
                    </a:stretch>
                  </pic:blipFill>
                  <pic:spPr>
                    <a:xfrm>
                      <a:off x="0" y="0"/>
                      <a:ext cx="5760085" cy="2820035"/>
                    </a:xfrm>
                    <a:prstGeom prst="rect">
                      <a:avLst/>
                    </a:prstGeom>
                  </pic:spPr>
                </pic:pic>
              </a:graphicData>
            </a:graphic>
          </wp:inline>
        </w:drawing>
      </w:r>
    </w:p>
    <w:p w14:paraId="1B088E0A">
      <w:pPr>
        <w:pStyle w:val="2"/>
      </w:pPr>
    </w:p>
    <w:p w14:paraId="7AAAB53F">
      <w:pPr>
        <w:pStyle w:val="2"/>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2"/>
        <w:rPr>
          <w:highlight w:val="none"/>
        </w:rPr>
      </w:pPr>
      <w:r>
        <w:rPr>
          <w:rFonts w:hint="eastAsia" w:hAnsi="宋体" w:eastAsia="宋体" w:cs="宋体"/>
          <w:b/>
          <w:bCs/>
          <w:color w:val="000000"/>
          <w:sz w:val="24"/>
          <w:szCs w:val="28"/>
          <w:highlight w:val="none"/>
        </w:rPr>
        <w:t>2.配套能力“供货类别”填“直管单位非生产招标 / 服务 / 安全消防”，业务主管部门选择“安全环保部”。</w:t>
      </w:r>
    </w:p>
    <w:p w14:paraId="3FCEF865">
      <w:pPr>
        <w:pStyle w:val="2"/>
        <w:sectPr>
          <w:headerReference r:id="rId12" w:type="first"/>
          <w:footerReference r:id="rId14" w:type="first"/>
          <w:headerReference r:id="rId11" w:type="default"/>
          <w:footerReference r:id="rId13" w:type="default"/>
          <w:pgSz w:w="11906" w:h="16838"/>
          <w:pgMar w:top="1588" w:right="1418" w:bottom="1134" w:left="1418" w:header="851" w:footer="992" w:gutter="0"/>
          <w:cols w:space="720" w:num="1"/>
          <w:titlePg/>
          <w:docGrid w:type="lines" w:linePitch="312" w:charSpace="0"/>
        </w:sectPr>
      </w:pPr>
    </w:p>
    <w:p w14:paraId="75321FE7">
      <w:pPr>
        <w:pStyle w:val="2"/>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9"/>
          <w:rFonts w:hint="eastAsia" w:ascii="宋体" w:hAnsi="宋体" w:eastAsia="宋体" w:cs="宋体"/>
          <w:sz w:val="24"/>
          <w:szCs w:val="24"/>
        </w:rPr>
        <w:t>http</w:t>
      </w:r>
      <w:r>
        <w:rPr>
          <w:rStyle w:val="39"/>
          <w:rFonts w:hint="eastAsia" w:ascii="宋体" w:hAnsi="宋体" w:eastAsia="宋体" w:cs="宋体"/>
          <w:sz w:val="24"/>
          <w:szCs w:val="24"/>
          <w:lang w:val="en-US" w:eastAsia="zh-CN"/>
        </w:rPr>
        <w:t>s</w:t>
      </w:r>
      <w:r>
        <w:rPr>
          <w:rStyle w:val="39"/>
          <w:rFonts w:hint="eastAsia" w:ascii="宋体" w:hAnsi="宋体" w:eastAsia="宋体" w:cs="宋体"/>
          <w:sz w:val="24"/>
          <w:szCs w:val="24"/>
        </w:rPr>
        <w:t>://ecaitong.sinotruk.com:8012/</w:t>
      </w:r>
      <w:r>
        <w:rPr>
          <w:rStyle w:val="39"/>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3"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4"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2"/>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5"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7F6E8ED1">
      <w:pPr>
        <w:spacing w:line="360" w:lineRule="auto"/>
        <w:rPr>
          <w:rFonts w:hint="eastAsia" w:ascii="宋体" w:hAnsi="宋体" w:eastAsia="宋体" w:cs="宋体"/>
          <w:color w:val="000000"/>
          <w:sz w:val="24"/>
          <w:szCs w:val="24"/>
          <w:lang w:eastAsia="zh-CN"/>
        </w:rPr>
      </w:pPr>
      <w:r>
        <w:rPr>
          <w:rFonts w:ascii="宋体" w:hAnsi="宋体" w:eastAsia="宋体" w:cs="宋体"/>
          <w:color w:val="000000"/>
          <w:sz w:val="24"/>
          <w:szCs w:val="24"/>
        </w:rPr>
        <w:t>开标之后所有投标的供应商都可编辑提交，技术标入围之后都不可编辑</w:t>
      </w:r>
      <w:r>
        <w:rPr>
          <w:rFonts w:hint="eastAsia" w:ascii="宋体" w:hAnsi="宋体" w:cs="宋体"/>
          <w:color w:val="000000"/>
          <w:sz w:val="24"/>
          <w:szCs w:val="24"/>
          <w:lang w:eastAsia="zh-CN"/>
        </w:rPr>
        <w:t>。</w:t>
      </w:r>
    </w:p>
    <w:p w14:paraId="5D4411EA">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6"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7"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8" cstate="print"/>
                    <a:srcRect/>
                    <a:stretch>
                      <a:fillRect/>
                    </a:stretch>
                  </pic:blipFill>
                  <pic:spPr>
                    <a:xfrm>
                      <a:off x="0" y="0"/>
                      <a:ext cx="5760085" cy="1956435"/>
                    </a:xfrm>
                    <a:prstGeom prst="rect">
                      <a:avLst/>
                    </a:prstGeom>
                  </pic:spPr>
                </pic:pic>
              </a:graphicData>
            </a:graphic>
          </wp:inline>
        </w:drawing>
      </w:r>
    </w:p>
    <w:p w14:paraId="1BA320C9">
      <w:pPr>
        <w:pStyle w:val="2"/>
        <w:rPr>
          <w:rFonts w:hAnsi="宋体" w:eastAsia="宋体" w:cs="Times New Roman"/>
          <w:b/>
          <w:color w:val="000000"/>
          <w:sz w:val="24"/>
          <w:szCs w:val="24"/>
        </w:rPr>
      </w:pPr>
    </w:p>
    <w:p w14:paraId="380218D1">
      <w:pPr>
        <w:pStyle w:val="2"/>
        <w:rPr>
          <w:rFonts w:hAnsi="宋体" w:eastAsia="宋体" w:cs="Times New Roman"/>
          <w:b/>
          <w:color w:val="000000"/>
          <w:sz w:val="24"/>
          <w:szCs w:val="24"/>
        </w:rPr>
      </w:pPr>
    </w:p>
    <w:p w14:paraId="66308F9E">
      <w:pPr>
        <w:pStyle w:val="77"/>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20"/>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20"/>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20"/>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20"/>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2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1"/>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1"/>
    </w:pPr>
  </w:p>
  <w:p w14:paraId="3AC74D7F">
    <w:pPr>
      <w:pStyle w:val="2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1">
    <w:nsid w:val="BD4C6742"/>
    <w:multiLevelType w:val="singleLevel"/>
    <w:tmpl w:val="BD4C6742"/>
    <w:lvl w:ilvl="0" w:tentative="0">
      <w:start w:val="1"/>
      <w:numFmt w:val="decimal"/>
      <w:lvlText w:val="%1."/>
      <w:lvlJc w:val="left"/>
      <w:pPr>
        <w:ind w:left="425" w:hanging="425"/>
      </w:pPr>
      <w:rPr>
        <w:rFonts w:hint="default"/>
      </w:r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5">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6">
    <w:nsid w:val="3D2537F8"/>
    <w:multiLevelType w:val="singleLevel"/>
    <w:tmpl w:val="3D2537F8"/>
    <w:lvl w:ilvl="0" w:tentative="0">
      <w:start w:val="1"/>
      <w:numFmt w:val="decimal"/>
      <w:lvlText w:val="%1."/>
      <w:lvlJc w:val="left"/>
      <w:pPr>
        <w:ind w:left="567" w:hanging="425"/>
      </w:pPr>
      <w:rPr>
        <w:rFonts w:hint="default"/>
        <w:b w:val="0"/>
        <w:color w:val="auto"/>
      </w:rPr>
    </w:lvl>
  </w:abstractNum>
  <w:abstractNum w:abstractNumId="7">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9">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1">
    <w:nsid w:val="5983D379"/>
    <w:multiLevelType w:val="singleLevel"/>
    <w:tmpl w:val="5983D379"/>
    <w:lvl w:ilvl="0" w:tentative="0">
      <w:start w:val="1"/>
      <w:numFmt w:val="decimal"/>
      <w:lvlText w:val="(%1)"/>
      <w:lvlJc w:val="left"/>
      <w:pPr>
        <w:ind w:left="425" w:hanging="425"/>
      </w:pPr>
      <w:rPr>
        <w:rFonts w:hint="default"/>
      </w:rPr>
    </w:lvl>
  </w:abstractNum>
  <w:abstractNum w:abstractNumId="12">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7"/>
  </w:num>
  <w:num w:numId="2">
    <w:abstractNumId w:val="12"/>
  </w:num>
  <w:num w:numId="3">
    <w:abstractNumId w:val="10"/>
  </w:num>
  <w:num w:numId="4">
    <w:abstractNumId w:val="8"/>
  </w:num>
  <w:num w:numId="5">
    <w:abstractNumId w:val="3"/>
  </w:num>
  <w:num w:numId="6">
    <w:abstractNumId w:val="4"/>
  </w:num>
  <w:num w:numId="7">
    <w:abstractNumId w:val="5"/>
  </w:num>
  <w:num w:numId="8">
    <w:abstractNumId w:val="9"/>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6"/>
  </w:num>
  <w:num w:numId="12">
    <w:abstractNumId w:val="0"/>
  </w:num>
  <w:num w:numId="13">
    <w:abstractNumId w:val="11"/>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0A23"/>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421FF"/>
    <w:rsid w:val="10DC2AA3"/>
    <w:rsid w:val="10FA7C8C"/>
    <w:rsid w:val="118045F5"/>
    <w:rsid w:val="130B198F"/>
    <w:rsid w:val="16A918E4"/>
    <w:rsid w:val="17D966D6"/>
    <w:rsid w:val="189044AC"/>
    <w:rsid w:val="1BBB0B95"/>
    <w:rsid w:val="1BC71D3B"/>
    <w:rsid w:val="1C59115B"/>
    <w:rsid w:val="1FB23E60"/>
    <w:rsid w:val="221B2F87"/>
    <w:rsid w:val="22C5630B"/>
    <w:rsid w:val="23EC0BA6"/>
    <w:rsid w:val="24701A48"/>
    <w:rsid w:val="268B0052"/>
    <w:rsid w:val="27743C90"/>
    <w:rsid w:val="29CA2459"/>
    <w:rsid w:val="2A434202"/>
    <w:rsid w:val="2B271A58"/>
    <w:rsid w:val="2B6304A7"/>
    <w:rsid w:val="2BAB52D9"/>
    <w:rsid w:val="2BCD1855"/>
    <w:rsid w:val="2CF6734C"/>
    <w:rsid w:val="2D663463"/>
    <w:rsid w:val="2EF96EE4"/>
    <w:rsid w:val="34AD6C9C"/>
    <w:rsid w:val="36254FE4"/>
    <w:rsid w:val="372F61E0"/>
    <w:rsid w:val="379C1C4F"/>
    <w:rsid w:val="39322FCA"/>
    <w:rsid w:val="398C3264"/>
    <w:rsid w:val="3AB90991"/>
    <w:rsid w:val="3AFC56FE"/>
    <w:rsid w:val="3B706131"/>
    <w:rsid w:val="3E6F041E"/>
    <w:rsid w:val="4275481E"/>
    <w:rsid w:val="428B617A"/>
    <w:rsid w:val="433D7BDC"/>
    <w:rsid w:val="437E1813"/>
    <w:rsid w:val="45A55BAA"/>
    <w:rsid w:val="45BD47FC"/>
    <w:rsid w:val="45CC5FB2"/>
    <w:rsid w:val="469011FB"/>
    <w:rsid w:val="46B75BA8"/>
    <w:rsid w:val="48C97955"/>
    <w:rsid w:val="49880C8F"/>
    <w:rsid w:val="4A8835F7"/>
    <w:rsid w:val="4B592E71"/>
    <w:rsid w:val="4C1031E2"/>
    <w:rsid w:val="4EFA36BF"/>
    <w:rsid w:val="4FBE01E7"/>
    <w:rsid w:val="514C6556"/>
    <w:rsid w:val="51954F77"/>
    <w:rsid w:val="52B9239A"/>
    <w:rsid w:val="54BD78FD"/>
    <w:rsid w:val="562C3D76"/>
    <w:rsid w:val="58A86DDE"/>
    <w:rsid w:val="59154AD7"/>
    <w:rsid w:val="5A085B50"/>
    <w:rsid w:val="5ADF548D"/>
    <w:rsid w:val="5D5C60B4"/>
    <w:rsid w:val="63F04A69"/>
    <w:rsid w:val="64DF6B5C"/>
    <w:rsid w:val="66A50B1E"/>
    <w:rsid w:val="67B2063C"/>
    <w:rsid w:val="67C97AC3"/>
    <w:rsid w:val="67E30EC1"/>
    <w:rsid w:val="6A4E3B2B"/>
    <w:rsid w:val="6AC96D1E"/>
    <w:rsid w:val="6B481C3B"/>
    <w:rsid w:val="6B802A3F"/>
    <w:rsid w:val="6C1331A3"/>
    <w:rsid w:val="6CA84BC1"/>
    <w:rsid w:val="6D3E4756"/>
    <w:rsid w:val="6DE17DBE"/>
    <w:rsid w:val="6FC523EB"/>
    <w:rsid w:val="72895F2E"/>
    <w:rsid w:val="72C02EBE"/>
    <w:rsid w:val="72C507AD"/>
    <w:rsid w:val="72D028D8"/>
    <w:rsid w:val="745D47C3"/>
    <w:rsid w:val="75D84470"/>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0"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5"/>
    <w:semiHidden/>
    <w:qFormat/>
    <w:uiPriority w:val="0"/>
    <w:pPr>
      <w:keepNext/>
      <w:keepLines/>
      <w:spacing w:line="416" w:lineRule="auto"/>
      <w:outlineLvl w:val="2"/>
    </w:pPr>
    <w:rPr>
      <w:b/>
      <w:bCs/>
      <w:sz w:val="32"/>
      <w:szCs w:val="32"/>
    </w:rPr>
  </w:style>
  <w:style w:type="paragraph" w:styleId="6">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2"/>
    <w:qFormat/>
    <w:uiPriority w:val="0"/>
    <w:rPr>
      <w:rFonts w:ascii="宋体" w:hAnsi="Courier New"/>
    </w:rPr>
  </w:style>
  <w:style w:type="paragraph" w:styleId="8">
    <w:name w:val="E-mail Signature"/>
    <w:basedOn w:val="1"/>
    <w:link w:val="105"/>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7"/>
    <w:qFormat/>
    <w:uiPriority w:val="99"/>
    <w:pPr>
      <w:jc w:val="left"/>
    </w:pPr>
  </w:style>
  <w:style w:type="paragraph" w:styleId="12">
    <w:name w:val="Body Text 3"/>
    <w:basedOn w:val="1"/>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3">
    <w:name w:val="Body Text"/>
    <w:basedOn w:val="1"/>
    <w:next w:val="14"/>
    <w:link w:val="43"/>
    <w:semiHidden/>
    <w:qFormat/>
    <w:uiPriority w:val="98"/>
    <w:rPr>
      <w:rFonts w:ascii="仿宋_GB2312" w:eastAsia="仿宋_GB2312"/>
      <w:sz w:val="32"/>
    </w:rPr>
  </w:style>
  <w:style w:type="paragraph" w:customStyle="1" w:styleId="14">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5">
    <w:name w:val="Body Text Indent"/>
    <w:basedOn w:val="1"/>
    <w:next w:val="1"/>
    <w:link w:val="50"/>
    <w:semiHidden/>
    <w:qFormat/>
    <w:uiPriority w:val="0"/>
    <w:pPr>
      <w:spacing w:after="120"/>
      <w:ind w:left="420" w:leftChars="200"/>
    </w:pPr>
    <w:rPr>
      <w:rFonts w:ascii="Calibri" w:hAnsi="Calibri"/>
      <w:szCs w:val="22"/>
    </w:rPr>
  </w:style>
  <w:style w:type="paragraph" w:styleId="16">
    <w:name w:val="toc 3"/>
    <w:basedOn w:val="1"/>
    <w:next w:val="1"/>
    <w:semiHidden/>
    <w:qFormat/>
    <w:uiPriority w:val="39"/>
    <w:pPr>
      <w:adjustRightInd w:val="0"/>
      <w:spacing w:line="312" w:lineRule="atLeast"/>
      <w:ind w:left="840" w:leftChars="400"/>
      <w:textAlignment w:val="baseline"/>
    </w:pPr>
    <w:rPr>
      <w:kern w:val="0"/>
      <w:sz w:val="24"/>
    </w:rPr>
  </w:style>
  <w:style w:type="paragraph" w:styleId="17">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9"/>
    <w:semiHidden/>
    <w:qFormat/>
    <w:uiPriority w:val="0"/>
    <w:rPr>
      <w:sz w:val="18"/>
      <w:szCs w:val="18"/>
    </w:rPr>
  </w:style>
  <w:style w:type="paragraph" w:styleId="20">
    <w:name w:val="footer"/>
    <w:basedOn w:val="1"/>
    <w:link w:val="44"/>
    <w:semiHidden/>
    <w:qFormat/>
    <w:uiPriority w:val="0"/>
    <w:pPr>
      <w:tabs>
        <w:tab w:val="center" w:pos="4153"/>
        <w:tab w:val="right" w:pos="8306"/>
      </w:tabs>
      <w:snapToGrid w:val="0"/>
      <w:jc w:val="left"/>
    </w:pPr>
    <w:rPr>
      <w:sz w:val="18"/>
      <w:szCs w:val="18"/>
    </w:rPr>
  </w:style>
  <w:style w:type="paragraph" w:styleId="21">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1"/>
    <w:next w:val="11"/>
    <w:link w:val="55"/>
    <w:semiHidden/>
    <w:qFormat/>
    <w:uiPriority w:val="98"/>
    <w:rPr>
      <w:b/>
      <w:bCs/>
    </w:rPr>
  </w:style>
  <w:style w:type="paragraph" w:styleId="31">
    <w:name w:val="Body Text First Indent 2"/>
    <w:basedOn w:val="15"/>
    <w:next w:val="26"/>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basedOn w:val="34"/>
    <w:qFormat/>
    <w:uiPriority w:val="99"/>
    <w:rPr>
      <w:rFonts w:cs="Times New Roman"/>
      <w:color w:val="1F4F88"/>
      <w:u w:val="none"/>
    </w:rPr>
  </w:style>
  <w:style w:type="character" w:styleId="40">
    <w:name w:val="annotation reference"/>
    <w:semiHidden/>
    <w:qFormat/>
    <w:uiPriority w:val="98"/>
    <w:rPr>
      <w:sz w:val="21"/>
      <w:szCs w:val="21"/>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3"/>
    <w:semiHidden/>
    <w:qFormat/>
    <w:uiPriority w:val="98"/>
    <w:rPr>
      <w:rFonts w:ascii="仿宋_GB2312" w:eastAsia="仿宋_GB2312"/>
      <w:kern w:val="2"/>
      <w:sz w:val="32"/>
    </w:rPr>
  </w:style>
  <w:style w:type="character" w:customStyle="1" w:styleId="44">
    <w:name w:val="页脚 字符"/>
    <w:link w:val="20"/>
    <w:semiHidden/>
    <w:qFormat/>
    <w:uiPriority w:val="0"/>
    <w:rPr>
      <w:kern w:val="2"/>
      <w:sz w:val="18"/>
      <w:szCs w:val="18"/>
    </w:rPr>
  </w:style>
  <w:style w:type="character" w:customStyle="1" w:styleId="45">
    <w:name w:val="标题 3 字符"/>
    <w:link w:val="5"/>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1"/>
    <w:qFormat/>
    <w:uiPriority w:val="99"/>
    <w:rPr>
      <w:kern w:val="2"/>
      <w:sz w:val="21"/>
    </w:rPr>
  </w:style>
  <w:style w:type="character" w:customStyle="1" w:styleId="48">
    <w:name w:val="apple-converted-space"/>
    <w:basedOn w:val="34"/>
    <w:semiHidden/>
    <w:qFormat/>
    <w:uiPriority w:val="98"/>
  </w:style>
  <w:style w:type="character" w:customStyle="1" w:styleId="49">
    <w:name w:val="批注框文本 字符"/>
    <w:link w:val="19"/>
    <w:semiHidden/>
    <w:qFormat/>
    <w:uiPriority w:val="98"/>
    <w:rPr>
      <w:kern w:val="2"/>
      <w:sz w:val="18"/>
      <w:szCs w:val="18"/>
    </w:rPr>
  </w:style>
  <w:style w:type="character" w:customStyle="1" w:styleId="50">
    <w:name w:val="正文文本缩进 字符"/>
    <w:link w:val="15"/>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2"/>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1"/>
    <w:semiHidden/>
    <w:qFormat/>
    <w:uiPriority w:val="0"/>
    <w:rPr>
      <w:kern w:val="2"/>
      <w:sz w:val="18"/>
      <w:szCs w:val="18"/>
    </w:rPr>
  </w:style>
  <w:style w:type="character" w:customStyle="1" w:styleId="55">
    <w:name w:val="批注主题 字符"/>
    <w:link w:val="30"/>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4"/>
    <w:link w:val="3"/>
    <w:semiHidden/>
    <w:qFormat/>
    <w:uiPriority w:val="0"/>
    <w:rPr>
      <w:b/>
      <w:bCs/>
      <w:kern w:val="44"/>
      <w:sz w:val="44"/>
      <w:szCs w:val="44"/>
    </w:rPr>
  </w:style>
  <w:style w:type="paragraph" w:customStyle="1" w:styleId="69">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4"/>
    <w:link w:val="4"/>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4"/>
    <w:link w:val="29"/>
    <w:semiHidden/>
    <w:qFormat/>
    <w:uiPriority w:val="0"/>
    <w:rPr>
      <w:rFonts w:eastAsia="黑体" w:asciiTheme="majorHAnsi" w:hAnsiTheme="majorHAnsi" w:cstheme="majorBidi"/>
      <w:b/>
      <w:bCs/>
      <w:kern w:val="2"/>
      <w:sz w:val="36"/>
      <w:szCs w:val="32"/>
    </w:rPr>
  </w:style>
  <w:style w:type="paragraph" w:customStyle="1" w:styleId="72">
    <w:name w:val="章节"/>
    <w:basedOn w:val="2"/>
    <w:qFormat/>
    <w:uiPriority w:val="0"/>
    <w:pPr>
      <w:spacing w:line="360" w:lineRule="auto"/>
      <w:jc w:val="center"/>
      <w:outlineLvl w:val="0"/>
    </w:pPr>
    <w:rPr>
      <w:rFonts w:ascii="黑体" w:eastAsia="黑体"/>
      <w:b/>
      <w:bCs/>
      <w:sz w:val="36"/>
      <w:szCs w:val="36"/>
    </w:rPr>
  </w:style>
  <w:style w:type="paragraph" w:customStyle="1" w:styleId="73">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2"/>
    <w:qFormat/>
    <w:uiPriority w:val="2"/>
    <w:pPr>
      <w:numPr>
        <w:ilvl w:val="0"/>
        <w:numId w:val="3"/>
      </w:numPr>
      <w:spacing w:line="360" w:lineRule="auto"/>
      <w:outlineLvl w:val="2"/>
    </w:pPr>
    <w:rPr>
      <w:b/>
    </w:rPr>
  </w:style>
  <w:style w:type="paragraph" w:customStyle="1" w:styleId="75">
    <w:name w:val="3级标题"/>
    <w:basedOn w:val="2"/>
    <w:link w:val="103"/>
    <w:qFormat/>
    <w:uiPriority w:val="3"/>
    <w:pPr>
      <w:numPr>
        <w:ilvl w:val="0"/>
        <w:numId w:val="4"/>
      </w:numPr>
      <w:spacing w:line="360" w:lineRule="auto"/>
      <w:outlineLvl w:val="3"/>
    </w:pPr>
    <w:rPr>
      <w:b/>
    </w:rPr>
  </w:style>
  <w:style w:type="paragraph" w:customStyle="1" w:styleId="76">
    <w:name w:val="（4）级标题"/>
    <w:basedOn w:val="2"/>
    <w:qFormat/>
    <w:uiPriority w:val="8"/>
    <w:pPr>
      <w:numPr>
        <w:ilvl w:val="0"/>
        <w:numId w:val="5"/>
      </w:numPr>
      <w:spacing w:line="360" w:lineRule="auto"/>
      <w:outlineLvl w:val="4"/>
    </w:pPr>
  </w:style>
  <w:style w:type="paragraph" w:customStyle="1" w:styleId="77">
    <w:name w:val="标书正文"/>
    <w:basedOn w:val="2"/>
    <w:link w:val="98"/>
    <w:qFormat/>
    <w:uiPriority w:val="9"/>
    <w:pPr>
      <w:spacing w:line="360" w:lineRule="auto"/>
      <w:jc w:val="left"/>
    </w:pPr>
  </w:style>
  <w:style w:type="character" w:customStyle="1" w:styleId="78">
    <w:name w:val="标题 4 字符"/>
    <w:basedOn w:val="34"/>
    <w:link w:val="6"/>
    <w:semiHidden/>
    <w:qFormat/>
    <w:uiPriority w:val="0"/>
    <w:rPr>
      <w:rFonts w:ascii="Arial" w:hAnsi="Arial"/>
      <w:b/>
      <w:bCs/>
      <w:kern w:val="2"/>
      <w:sz w:val="21"/>
      <w:szCs w:val="28"/>
    </w:rPr>
  </w:style>
  <w:style w:type="character" w:customStyle="1" w:styleId="79">
    <w:name w:val="标题 5 字符"/>
    <w:basedOn w:val="34"/>
    <w:link w:val="7"/>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4"/>
    <w:link w:val="24"/>
    <w:semiHidden/>
    <w:qFormat/>
    <w:uiPriority w:val="0"/>
    <w:rPr>
      <w:rFonts w:ascii="宋体" w:hAnsi="宋体"/>
      <w:color w:val="FF0000"/>
      <w:kern w:val="2"/>
      <w:sz w:val="24"/>
      <w:szCs w:val="24"/>
    </w:rPr>
  </w:style>
  <w:style w:type="paragraph" w:customStyle="1" w:styleId="85">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4"/>
    <w:link w:val="18"/>
    <w:semiHidden/>
    <w:qFormat/>
    <w:uiPriority w:val="0"/>
    <w:rPr>
      <w:sz w:val="24"/>
    </w:rPr>
  </w:style>
  <w:style w:type="character" w:customStyle="1" w:styleId="88">
    <w:name w:val="日期 字符"/>
    <w:basedOn w:val="34"/>
    <w:link w:val="17"/>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4"/>
    <w:semiHidden/>
    <w:qFormat/>
    <w:uiPriority w:val="98"/>
    <w:rPr>
      <w:rFonts w:ascii="Microsoft YaHei UI" w:eastAsia="Microsoft YaHei UI"/>
      <w:kern w:val="2"/>
      <w:sz w:val="18"/>
      <w:szCs w:val="18"/>
    </w:rPr>
  </w:style>
  <w:style w:type="character" w:customStyle="1" w:styleId="94">
    <w:name w:val="文档结构图 字符1"/>
    <w:basedOn w:val="34"/>
    <w:link w:val="10"/>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4"/>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4"/>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8"/>
    <w:semiHidden/>
    <w:qFormat/>
    <w:locked/>
    <w:uiPriority w:val="99"/>
    <w:rPr>
      <w:sz w:val="21"/>
      <w:szCs w:val="21"/>
    </w:rPr>
  </w:style>
  <w:style w:type="character" w:customStyle="1" w:styleId="106">
    <w:name w:val="电子邮件签名 字符1"/>
    <w:basedOn w:val="34"/>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7"/>
    <w:semiHidden/>
    <w:qFormat/>
    <w:locked/>
    <w:uiPriority w:val="99"/>
    <w:rPr>
      <w:rFonts w:ascii="Cambria" w:hAnsi="Cambria" w:cs="Cambria"/>
      <w:sz w:val="24"/>
      <w:szCs w:val="24"/>
      <w:shd w:val="pct20" w:color="auto" w:fill="auto"/>
    </w:rPr>
  </w:style>
  <w:style w:type="character" w:customStyle="1" w:styleId="110">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3.png"/><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15</Pages>
  <Words>3611</Words>
  <Characters>3890</Characters>
  <Lines>127</Lines>
  <Paragraphs>35</Paragraphs>
  <TotalTime>0</TotalTime>
  <ScaleCrop>false</ScaleCrop>
  <LinksUpToDate>false</LinksUpToDate>
  <CharactersWithSpaces>4288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年少轻狂</cp:lastModifiedBy>
  <cp:lastPrinted>2020-06-28T02:28:00Z</cp:lastPrinted>
  <dcterms:modified xsi:type="dcterms:W3CDTF">2025-10-16T02:51:22Z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