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hint="eastAsia" w:ascii="楷体_GB2312" w:hAnsi="宋体" w:eastAsia="楷体_GB2312"/>
          <w:b w:val="0"/>
          <w:bCs w:val="0"/>
          <w:sz w:val="52"/>
          <w:szCs w:val="52"/>
          <w:highlight w:val="none"/>
          <w:lang w:val="en-US" w:eastAsia="zh-CN"/>
        </w:rPr>
      </w:pPr>
      <w:r>
        <w:rPr>
          <w:rFonts w:hint="eastAsia" w:ascii="楷体_GB2312" w:hAnsi="宋体" w:eastAsia="楷体_GB2312"/>
          <w:b w:val="0"/>
          <w:bCs w:val="0"/>
          <w:sz w:val="52"/>
          <w:szCs w:val="52"/>
          <w:highlight w:val="none"/>
          <w:lang w:val="en-US" w:eastAsia="zh-CN"/>
        </w:rPr>
        <w:t>中国重汽集团危废库新增废气治理和消防报警设施项目</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lang w:eastAsia="zh-CN"/>
        </w:rPr>
        <w:t>FSCZB2025100027</w:t>
      </w:r>
      <w:r>
        <w:rPr>
          <w:rFonts w:hint="eastAsia" w:ascii="宋体" w:hAnsi="宋体" w:cs="宋体"/>
          <w:b/>
          <w:bCs/>
          <w:kern w:val="0"/>
          <w:sz w:val="32"/>
          <w:szCs w:val="32"/>
          <w:highlight w:val="none"/>
          <w:u w:val="single"/>
          <w:lang w:val="en-US" w:eastAsia="zh-CN"/>
        </w:rPr>
        <w:t xml:space="preserve"> </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b/>
          <w:bCs/>
          <w:color w:val="000000"/>
          <w:sz w:val="28"/>
          <w:szCs w:val="28"/>
        </w:rPr>
      </w:pPr>
      <w:r>
        <w:rPr>
          <w:rFonts w:hint="eastAsia" w:ascii="宋体" w:hAnsi="宋体"/>
          <w:b/>
          <w:bCs/>
          <w:sz w:val="28"/>
          <w:szCs w:val="28"/>
        </w:rPr>
        <w:t>招 标 人：</w:t>
      </w:r>
      <w:r>
        <w:rPr>
          <w:rFonts w:hint="eastAsia" w:ascii="宋体" w:hAnsi="宋体" w:eastAsia="宋体" w:cs="Times New Roman"/>
          <w:b/>
          <w:bCs/>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rPr>
          <w:b/>
          <w:bCs/>
        </w:rPr>
      </w:pPr>
      <w:r>
        <w:rPr>
          <w:rFonts w:hint="eastAsia" w:ascii="宋体" w:hAnsi="宋体"/>
          <w:b/>
          <w:bCs/>
          <w:sz w:val="28"/>
          <w:szCs w:val="28"/>
          <w:u w:val="single"/>
          <w:lang w:val="en-US" w:eastAsia="zh-CN"/>
        </w:rPr>
        <w:t>2025</w:t>
      </w:r>
      <w:r>
        <w:rPr>
          <w:rFonts w:hint="eastAsia" w:ascii="宋体" w:hAnsi="宋体"/>
          <w:b/>
          <w:bCs/>
          <w:sz w:val="28"/>
          <w:szCs w:val="28"/>
          <w:u w:val="single"/>
        </w:rPr>
        <w:t>年</w:t>
      </w:r>
      <w:r>
        <w:rPr>
          <w:rFonts w:hint="eastAsia" w:ascii="宋体" w:hAnsi="宋体"/>
          <w:b/>
          <w:bCs/>
          <w:sz w:val="28"/>
          <w:szCs w:val="28"/>
          <w:u w:val="single"/>
          <w:lang w:val="en-US" w:eastAsia="zh-CN"/>
        </w:rPr>
        <w:t>10</w:t>
      </w:r>
      <w:r>
        <w:rPr>
          <w:rFonts w:hint="eastAsia" w:ascii="宋体" w:hAnsi="宋体"/>
          <w:b/>
          <w:bCs/>
          <w:sz w:val="28"/>
          <w:szCs w:val="28"/>
          <w:u w:val="single"/>
        </w:rPr>
        <w:t>月</w:t>
      </w:r>
    </w:p>
    <w:p w14:paraId="582BF911">
      <w:pPr>
        <w:pStyle w:val="2"/>
        <w:tabs>
          <w:tab w:val="left" w:pos="2940"/>
        </w:tabs>
        <w:spacing w:line="360" w:lineRule="auto"/>
      </w:pPr>
      <w:r>
        <w:tab/>
      </w:r>
    </w:p>
    <w:p w14:paraId="29FEE1FC">
      <w:pPr>
        <w:pStyle w:val="2"/>
        <w:spacing w:line="360" w:lineRule="auto"/>
        <w:jc w:val="center"/>
      </w:pPr>
    </w:p>
    <w:p w14:paraId="153B80DD">
      <w:pPr>
        <w:pStyle w:val="2"/>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2"/>
      </w:pPr>
      <w:bookmarkStart w:id="0" w:name="_Toc47976587"/>
      <w:bookmarkStart w:id="1" w:name="_Toc7104"/>
      <w:r>
        <w:rPr>
          <w:rFonts w:hint="eastAsia"/>
        </w:rPr>
        <w:t>招标公告</w:t>
      </w:r>
      <w:bookmarkEnd w:id="0"/>
      <w:bookmarkEnd w:id="1"/>
    </w:p>
    <w:p w14:paraId="22C6BEDA">
      <w:pPr>
        <w:pStyle w:val="72"/>
        <w:rPr>
          <w:rFonts w:hint="eastAsia"/>
          <w:highlight w:val="cyan"/>
          <w:u w:val="single"/>
          <w:lang w:val="en-US" w:eastAsia="zh-CN"/>
        </w:rPr>
      </w:pPr>
      <w:bookmarkStart w:id="2" w:name="_Toc32474"/>
      <w:r>
        <w:rPr>
          <w:rFonts w:hint="eastAsia"/>
          <w:sz w:val="28"/>
          <w:lang w:eastAsia="zh-CN"/>
        </w:rPr>
        <w:t>中国重汽集团危废库新增废气治理和消防报警设施项目</w:t>
      </w:r>
      <w:r>
        <w:rPr>
          <w:rFonts w:hint="eastAsia"/>
          <w:sz w:val="28"/>
        </w:rPr>
        <w:t>公告</w:t>
      </w:r>
      <w:bookmarkEnd w:id="2"/>
    </w:p>
    <w:p w14:paraId="418340FC">
      <w:pPr>
        <w:pStyle w:val="73"/>
        <w:numPr>
          <w:ilvl w:val="0"/>
          <w:numId w:val="9"/>
        </w:numPr>
        <w:ind w:left="420"/>
        <w:jc w:val="left"/>
      </w:pPr>
      <w:bookmarkStart w:id="3" w:name="_Toc47976596"/>
      <w:r>
        <w:rPr>
          <w:rFonts w:hint="eastAsia"/>
        </w:rPr>
        <w:t>项目介绍</w:t>
      </w:r>
      <w:bookmarkEnd w:id="3"/>
    </w:p>
    <w:p w14:paraId="75577100">
      <w:pPr>
        <w:pStyle w:val="77"/>
        <w:numPr>
          <w:ilvl w:val="0"/>
          <w:numId w:val="10"/>
        </w:numPr>
        <w:ind w:left="425" w:leftChars="0" w:hanging="425" w:firstLineChars="0"/>
      </w:pPr>
      <w:r>
        <w:rPr>
          <w:rFonts w:hint="eastAsia"/>
          <w:b/>
          <w:bCs/>
        </w:rPr>
        <w:t>项目名称</w:t>
      </w:r>
      <w:r>
        <w:rPr>
          <w:rFonts w:hint="eastAsia"/>
        </w:rPr>
        <w:t>：</w:t>
      </w:r>
      <w:r>
        <w:rPr>
          <w:rFonts w:hint="eastAsia"/>
          <w:lang w:val="en-US" w:eastAsia="zh-CN"/>
        </w:rPr>
        <w:t>中国重汽集团危废库新增废气治理和消防报警设施项目</w:t>
      </w:r>
    </w:p>
    <w:p w14:paraId="17A97EAA">
      <w:pPr>
        <w:pStyle w:val="77"/>
        <w:numPr>
          <w:ilvl w:val="0"/>
          <w:numId w:val="10"/>
        </w:numPr>
        <w:ind w:left="425" w:leftChars="0" w:hanging="425" w:firstLineChars="0"/>
      </w:pPr>
      <w:r>
        <w:rPr>
          <w:rFonts w:hint="eastAsia"/>
          <w:b/>
          <w:bCs/>
        </w:rPr>
        <w:t>项目编号</w:t>
      </w:r>
      <w:r>
        <w:rPr>
          <w:rFonts w:hint="eastAsia"/>
        </w:rPr>
        <w:t>：</w:t>
      </w:r>
      <w:r>
        <w:rPr>
          <w:rFonts w:hint="eastAsia"/>
          <w:highlight w:val="none"/>
          <w:lang w:eastAsia="zh-CN"/>
        </w:rPr>
        <w:t>FSCZB2025100027</w:t>
      </w:r>
    </w:p>
    <w:p w14:paraId="09C2DB2D">
      <w:pPr>
        <w:pStyle w:val="77"/>
        <w:numPr>
          <w:ilvl w:val="0"/>
          <w:numId w:val="10"/>
        </w:numPr>
        <w:ind w:left="425" w:leftChars="0" w:hanging="425" w:firstLineChars="0"/>
        <w:rPr>
          <w:rFonts w:hint="eastAsia" w:cs="Times New Roman"/>
          <w:highlight w:val="none"/>
          <w:lang w:val="en-US" w:eastAsia="zh-CN"/>
        </w:rPr>
      </w:pPr>
      <w:r>
        <w:rPr>
          <w:rFonts w:hint="eastAsia"/>
          <w:b/>
          <w:bCs/>
        </w:rPr>
        <w:t>招标形式</w:t>
      </w:r>
      <w:r>
        <w:rPr>
          <w:rFonts w:hint="eastAsia"/>
        </w:rPr>
        <w:t>：</w:t>
      </w:r>
      <w:bookmarkStart w:id="4" w:name="_Toc47112482"/>
      <w:r>
        <w:rPr>
          <w:rFonts w:hint="eastAsia"/>
          <w:lang w:val="en-US" w:eastAsia="zh-CN"/>
        </w:rPr>
        <w:t>公开招标</w:t>
      </w:r>
    </w:p>
    <w:p w14:paraId="096F6463">
      <w:pPr>
        <w:pStyle w:val="77"/>
        <w:numPr>
          <w:ilvl w:val="0"/>
          <w:numId w:val="10"/>
        </w:numPr>
        <w:ind w:left="425" w:leftChars="0" w:hanging="425" w:firstLineChars="0"/>
        <w:rPr>
          <w:rFonts w:hint="eastAsia" w:cs="Times New Roman"/>
          <w:highlight w:val="none"/>
          <w:lang w:val="en-US" w:eastAsia="zh-CN"/>
        </w:rPr>
      </w:pPr>
      <w:r>
        <w:rPr>
          <w:rFonts w:hint="eastAsia"/>
          <w:b/>
          <w:bCs/>
          <w:lang w:val="en-US" w:eastAsia="zh-CN"/>
        </w:rPr>
        <w:t>项目概况</w:t>
      </w:r>
      <w:r>
        <w:rPr>
          <w:rFonts w:hint="eastAsia" w:cs="Times New Roman"/>
          <w:lang w:val="en-US" w:eastAsia="zh-CN"/>
        </w:rPr>
        <w:t>：招标方现有危废库350平米，高4米，砖混结构，分5个房间，互为毗邻，每间房宽7米，进深10米。</w:t>
      </w:r>
    </w:p>
    <w:tbl>
      <w:tblPr>
        <w:tblStyle w:val="31"/>
        <w:tblW w:w="8898" w:type="dxa"/>
        <w:tblInd w:w="91" w:type="dxa"/>
        <w:tblLayout w:type="fixed"/>
        <w:tblCellMar>
          <w:top w:w="0" w:type="dxa"/>
          <w:left w:w="108" w:type="dxa"/>
          <w:bottom w:w="0" w:type="dxa"/>
          <w:right w:w="108" w:type="dxa"/>
        </w:tblCellMar>
      </w:tblPr>
      <w:tblGrid>
        <w:gridCol w:w="656"/>
        <w:gridCol w:w="1992"/>
        <w:gridCol w:w="4335"/>
        <w:gridCol w:w="924"/>
        <w:gridCol w:w="991"/>
      </w:tblGrid>
      <w:tr w14:paraId="6C6EE9F1">
        <w:tblPrEx>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single" w:color="000000" w:sz="4" w:space="0"/>
              <w:right w:val="single" w:color="000000" w:sz="4" w:space="0"/>
            </w:tcBorders>
            <w:noWrap w:val="0"/>
            <w:vAlign w:val="center"/>
          </w:tcPr>
          <w:p w14:paraId="6409F5E0">
            <w:pPr>
              <w:widowControl/>
              <w:jc w:val="center"/>
              <w:textAlignment w:val="center"/>
              <w:rPr>
                <w:rFonts w:ascii="等线" w:hAnsi="等线" w:eastAsia="等线" w:cs="等线"/>
                <w:b/>
                <w:bCs/>
                <w:color w:val="000000"/>
                <w:sz w:val="22"/>
                <w:szCs w:val="22"/>
              </w:rPr>
            </w:pPr>
            <w:r>
              <w:rPr>
                <w:rFonts w:hint="eastAsia" w:ascii="等线" w:hAnsi="等线" w:eastAsia="等线" w:cs="等线"/>
                <w:b/>
                <w:bCs/>
                <w:color w:val="000000"/>
                <w:kern w:val="0"/>
                <w:sz w:val="22"/>
                <w:szCs w:val="22"/>
                <w:lang w:bidi="ar"/>
              </w:rPr>
              <w:t>序号</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482B57F2">
            <w:pPr>
              <w:widowControl/>
              <w:jc w:val="center"/>
              <w:textAlignment w:val="center"/>
              <w:rPr>
                <w:rFonts w:ascii="等线" w:hAnsi="等线" w:eastAsia="等线" w:cs="等线"/>
                <w:b/>
                <w:bCs/>
                <w:color w:val="000000"/>
                <w:sz w:val="22"/>
                <w:szCs w:val="22"/>
              </w:rPr>
            </w:pPr>
            <w:r>
              <w:rPr>
                <w:rFonts w:hint="eastAsia" w:ascii="等线" w:hAnsi="等线" w:eastAsia="等线" w:cs="等线"/>
                <w:b/>
                <w:bCs/>
                <w:color w:val="000000"/>
                <w:kern w:val="0"/>
                <w:sz w:val="22"/>
                <w:szCs w:val="22"/>
                <w:lang w:bidi="ar"/>
              </w:rPr>
              <w:t>材料名称</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2B1AEB0A">
            <w:pPr>
              <w:widowControl/>
              <w:jc w:val="center"/>
              <w:textAlignment w:val="center"/>
              <w:rPr>
                <w:rFonts w:hint="default" w:ascii="等线" w:hAnsi="等线" w:eastAsia="等线" w:cs="等线"/>
                <w:b/>
                <w:bCs/>
                <w:color w:val="000000"/>
                <w:sz w:val="22"/>
                <w:szCs w:val="22"/>
                <w:lang w:val="en-US" w:eastAsia="zh-CN"/>
              </w:rPr>
            </w:pPr>
            <w:r>
              <w:rPr>
                <w:rFonts w:hint="eastAsia" w:ascii="等线" w:hAnsi="等线" w:eastAsia="等线" w:cs="等线"/>
                <w:b/>
                <w:bCs/>
                <w:color w:val="000000"/>
                <w:kern w:val="0"/>
                <w:sz w:val="22"/>
                <w:szCs w:val="22"/>
                <w:lang w:bidi="ar"/>
              </w:rPr>
              <w:t>规格型号</w:t>
            </w:r>
            <w:r>
              <w:rPr>
                <w:rFonts w:hint="eastAsia" w:ascii="等线" w:hAnsi="等线" w:eastAsia="等线" w:cs="等线"/>
                <w:b/>
                <w:bCs/>
                <w:color w:val="000000"/>
                <w:kern w:val="0"/>
                <w:sz w:val="22"/>
                <w:szCs w:val="22"/>
                <w:lang w:val="en-US" w:eastAsia="zh-CN" w:bidi="ar"/>
              </w:rPr>
              <w:t>及要求</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29A0597A">
            <w:pPr>
              <w:widowControl/>
              <w:jc w:val="center"/>
              <w:textAlignment w:val="center"/>
              <w:rPr>
                <w:rFonts w:ascii="等线" w:hAnsi="等线" w:eastAsia="等线" w:cs="等线"/>
                <w:b/>
                <w:bCs/>
                <w:color w:val="000000"/>
                <w:sz w:val="22"/>
                <w:szCs w:val="22"/>
              </w:rPr>
            </w:pPr>
            <w:r>
              <w:rPr>
                <w:rFonts w:hint="eastAsia" w:ascii="等线" w:hAnsi="等线" w:eastAsia="等线" w:cs="等线"/>
                <w:b/>
                <w:bCs/>
                <w:color w:val="000000"/>
                <w:kern w:val="0"/>
                <w:sz w:val="22"/>
                <w:szCs w:val="22"/>
                <w:lang w:bidi="ar"/>
              </w:rPr>
              <w:t>数量</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58DE9DEF">
            <w:pPr>
              <w:widowControl/>
              <w:jc w:val="center"/>
              <w:textAlignment w:val="center"/>
              <w:rPr>
                <w:rFonts w:ascii="等线" w:hAnsi="等线" w:eastAsia="等线" w:cs="等线"/>
                <w:b/>
                <w:bCs/>
                <w:color w:val="000000"/>
                <w:sz w:val="22"/>
                <w:szCs w:val="22"/>
              </w:rPr>
            </w:pPr>
            <w:r>
              <w:rPr>
                <w:rFonts w:hint="eastAsia" w:ascii="等线" w:hAnsi="等线" w:eastAsia="等线" w:cs="等线"/>
                <w:b/>
                <w:bCs/>
                <w:color w:val="000000"/>
                <w:kern w:val="0"/>
                <w:sz w:val="22"/>
                <w:szCs w:val="22"/>
                <w:lang w:bidi="ar"/>
              </w:rPr>
              <w:t>单位</w:t>
            </w:r>
          </w:p>
        </w:tc>
      </w:tr>
      <w:tr w14:paraId="6298C50B">
        <w:tblPrEx>
          <w:tblCellMar>
            <w:top w:w="0" w:type="dxa"/>
            <w:left w:w="108" w:type="dxa"/>
            <w:bottom w:w="0" w:type="dxa"/>
            <w:right w:w="108" w:type="dxa"/>
          </w:tblCellMar>
        </w:tblPrEx>
        <w:trPr>
          <w:trHeight w:val="345" w:hRule="atLeast"/>
        </w:trPr>
        <w:tc>
          <w:tcPr>
            <w:tcW w:w="656" w:type="dxa"/>
            <w:tcBorders>
              <w:top w:val="single" w:color="000000" w:sz="4" w:space="0"/>
              <w:left w:val="single" w:color="000000" w:sz="4" w:space="0"/>
              <w:bottom w:val="single" w:color="000000" w:sz="4" w:space="0"/>
              <w:right w:val="single" w:color="000000" w:sz="4" w:space="0"/>
            </w:tcBorders>
            <w:noWrap w:val="0"/>
            <w:vAlign w:val="center"/>
          </w:tcPr>
          <w:p w14:paraId="4152332D">
            <w:pPr>
              <w:widowControl/>
              <w:jc w:val="center"/>
              <w:textAlignment w:val="center"/>
              <w:rPr>
                <w:rFonts w:ascii="等线" w:hAnsi="等线" w:eastAsia="等线" w:cs="等线"/>
                <w:color w:val="000000"/>
                <w:sz w:val="22"/>
                <w:szCs w:val="22"/>
              </w:rPr>
            </w:pPr>
            <w:r>
              <w:rPr>
                <w:rFonts w:hint="eastAsia" w:ascii="等线" w:hAnsi="等线" w:eastAsia="等线" w:cs="等线"/>
                <w:color w:val="000000"/>
                <w:kern w:val="0"/>
                <w:sz w:val="22"/>
                <w:szCs w:val="22"/>
                <w:lang w:bidi="ar"/>
              </w:rPr>
              <w:t>1</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108D1356">
            <w:pPr>
              <w:rPr>
                <w:rFonts w:hint="eastAsia" w:ascii="宋体" w:hAnsi="宋体" w:eastAsia="宋体" w:cs="宋体"/>
                <w:sz w:val="21"/>
                <w:szCs w:val="21"/>
                <w:lang w:val="en-US" w:eastAsia="zh-CN"/>
              </w:rPr>
            </w:pPr>
            <w:r>
              <w:rPr>
                <w:rFonts w:hint="eastAsia" w:ascii="宋体" w:hAnsi="宋体" w:cs="宋体"/>
                <w:sz w:val="21"/>
                <w:szCs w:val="21"/>
                <w:lang w:val="en-US" w:eastAsia="zh-CN"/>
              </w:rPr>
              <w:t>风机</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5C8DDDF4">
            <w:pPr>
              <w:rPr>
                <w:rFonts w:hint="eastAsia" w:ascii="宋体" w:hAnsi="宋体" w:eastAsia="宋体" w:cs="宋体"/>
                <w:sz w:val="21"/>
                <w:szCs w:val="21"/>
                <w:lang w:eastAsia="zh-CN"/>
              </w:rPr>
            </w:pPr>
            <w:r>
              <w:rPr>
                <w:rFonts w:hint="eastAsia" w:ascii="宋体" w:hAnsi="宋体" w:cs="宋体"/>
                <w:sz w:val="21"/>
                <w:szCs w:val="21"/>
              </w:rPr>
              <w:t>4-72,7.1C，22kw</w:t>
            </w:r>
            <w:r>
              <w:rPr>
                <w:rFonts w:hint="eastAsia" w:ascii="宋体" w:hAnsi="宋体" w:cs="宋体"/>
                <w:sz w:val="21"/>
                <w:szCs w:val="21"/>
                <w:lang w:eastAsia="zh-CN"/>
              </w:rPr>
              <w:t>。流量26140m3/h.全压2650pa，功率22KW</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7789269D">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1</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20B13300">
            <w:pPr>
              <w:jc w:val="center"/>
              <w:rPr>
                <w:rFonts w:hint="eastAsia" w:ascii="宋体" w:hAnsi="宋体" w:cs="宋体"/>
                <w:sz w:val="21"/>
                <w:szCs w:val="21"/>
              </w:rPr>
            </w:pPr>
            <w:r>
              <w:rPr>
                <w:rFonts w:hint="eastAsia" w:ascii="宋体" w:hAnsi="宋体" w:cs="宋体"/>
                <w:sz w:val="21"/>
                <w:szCs w:val="21"/>
              </w:rPr>
              <w:t>台</w:t>
            </w:r>
          </w:p>
        </w:tc>
      </w:tr>
      <w:tr w14:paraId="318A17FA">
        <w:tblPrEx>
          <w:tblCellMar>
            <w:top w:w="0" w:type="dxa"/>
            <w:left w:w="108" w:type="dxa"/>
            <w:bottom w:w="0" w:type="dxa"/>
            <w:right w:w="108" w:type="dxa"/>
          </w:tblCellMar>
        </w:tblPrEx>
        <w:tc>
          <w:tcPr>
            <w:tcW w:w="656" w:type="dxa"/>
            <w:tcBorders>
              <w:top w:val="single" w:color="000000" w:sz="4" w:space="0"/>
              <w:left w:val="single" w:color="000000" w:sz="4" w:space="0"/>
              <w:bottom w:val="single" w:color="000000" w:sz="4" w:space="0"/>
              <w:right w:val="single" w:color="000000" w:sz="4" w:space="0"/>
            </w:tcBorders>
            <w:noWrap w:val="0"/>
            <w:vAlign w:val="center"/>
          </w:tcPr>
          <w:p w14:paraId="462A8F38">
            <w:pPr>
              <w:widowControl/>
              <w:jc w:val="center"/>
              <w:textAlignment w:val="center"/>
              <w:rPr>
                <w:rFonts w:ascii="等线" w:hAnsi="等线" w:eastAsia="等线" w:cs="等线"/>
                <w:color w:val="000000"/>
                <w:sz w:val="22"/>
                <w:szCs w:val="22"/>
              </w:rPr>
            </w:pPr>
            <w:r>
              <w:rPr>
                <w:rFonts w:hint="eastAsia" w:ascii="等线" w:hAnsi="等线" w:eastAsia="等线" w:cs="等线"/>
                <w:color w:val="000000"/>
                <w:kern w:val="0"/>
                <w:sz w:val="22"/>
                <w:szCs w:val="22"/>
                <w:lang w:bidi="ar"/>
              </w:rPr>
              <w:t>2</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7A7DF239">
            <w:pPr>
              <w:rPr>
                <w:rFonts w:hint="eastAsia" w:ascii="宋体" w:hAnsi="宋体" w:cs="宋体"/>
                <w:sz w:val="21"/>
                <w:szCs w:val="21"/>
              </w:rPr>
            </w:pPr>
            <w:r>
              <w:rPr>
                <w:rFonts w:hint="eastAsia" w:ascii="宋体" w:hAnsi="宋体" w:cs="宋体"/>
                <w:sz w:val="21"/>
                <w:szCs w:val="21"/>
              </w:rPr>
              <w:t>吸附箱</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4310466E">
            <w:pPr>
              <w:rPr>
                <w:rFonts w:hint="default" w:ascii="宋体" w:hAnsi="宋体" w:eastAsia="宋体" w:cs="宋体"/>
                <w:sz w:val="21"/>
                <w:szCs w:val="21"/>
                <w:lang w:val="en-US" w:eastAsia="zh-CN"/>
              </w:rPr>
            </w:pPr>
            <w:r>
              <w:rPr>
                <w:rFonts w:hint="eastAsia" w:ascii="宋体" w:hAnsi="宋体" w:cs="宋体"/>
                <w:sz w:val="21"/>
                <w:szCs w:val="21"/>
                <w:lang w:val="en-US" w:eastAsia="zh-CN"/>
              </w:rPr>
              <w:t>非标自制件，尺寸2300×2800×1580㎜。吸附床采用2.0mm的Q235A钢板制作。</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0804095E">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2</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5FF40213">
            <w:pPr>
              <w:jc w:val="center"/>
              <w:rPr>
                <w:rFonts w:hint="eastAsia" w:ascii="宋体" w:hAnsi="宋体" w:cs="宋体"/>
                <w:sz w:val="21"/>
                <w:szCs w:val="21"/>
              </w:rPr>
            </w:pPr>
            <w:r>
              <w:rPr>
                <w:rFonts w:hint="eastAsia" w:ascii="宋体" w:hAnsi="宋体" w:cs="宋体"/>
                <w:sz w:val="21"/>
                <w:szCs w:val="21"/>
              </w:rPr>
              <w:t>个</w:t>
            </w:r>
          </w:p>
        </w:tc>
      </w:tr>
      <w:tr w14:paraId="6B4C520B">
        <w:tblPrEx>
          <w:tblCellMar>
            <w:top w:w="0" w:type="dxa"/>
            <w:left w:w="108" w:type="dxa"/>
            <w:bottom w:w="0" w:type="dxa"/>
            <w:right w:w="108" w:type="dxa"/>
          </w:tblCellMar>
        </w:tblPrEx>
        <w:trPr>
          <w:trHeight w:val="570" w:hRule="atLeast"/>
        </w:trPr>
        <w:tc>
          <w:tcPr>
            <w:tcW w:w="656" w:type="dxa"/>
            <w:tcBorders>
              <w:top w:val="single" w:color="000000" w:sz="4" w:space="0"/>
              <w:left w:val="single" w:color="000000" w:sz="4" w:space="0"/>
              <w:bottom w:val="single" w:color="000000" w:sz="4" w:space="0"/>
              <w:right w:val="single" w:color="000000" w:sz="4" w:space="0"/>
            </w:tcBorders>
            <w:noWrap w:val="0"/>
            <w:vAlign w:val="center"/>
          </w:tcPr>
          <w:p w14:paraId="41B06B07">
            <w:pPr>
              <w:widowControl/>
              <w:jc w:val="center"/>
              <w:textAlignment w:val="center"/>
              <w:rPr>
                <w:rFonts w:ascii="等线" w:hAnsi="等线" w:eastAsia="等线" w:cs="等线"/>
                <w:color w:val="000000"/>
                <w:sz w:val="22"/>
                <w:szCs w:val="22"/>
              </w:rPr>
            </w:pPr>
            <w:r>
              <w:rPr>
                <w:rFonts w:hint="eastAsia" w:ascii="等线" w:hAnsi="等线" w:eastAsia="等线" w:cs="等线"/>
                <w:color w:val="000000"/>
                <w:kern w:val="0"/>
                <w:sz w:val="22"/>
                <w:szCs w:val="22"/>
                <w:lang w:bidi="ar"/>
              </w:rPr>
              <w:t>3</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3342B46D">
            <w:pPr>
              <w:rPr>
                <w:rFonts w:hint="eastAsia" w:ascii="宋体" w:hAnsi="宋体" w:cs="宋体"/>
                <w:sz w:val="21"/>
                <w:szCs w:val="21"/>
              </w:rPr>
            </w:pPr>
            <w:r>
              <w:rPr>
                <w:rFonts w:hint="eastAsia" w:ascii="宋体" w:hAnsi="宋体" w:cs="宋体"/>
                <w:sz w:val="21"/>
                <w:szCs w:val="21"/>
              </w:rPr>
              <w:t>过滤箱</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545ADC39">
            <w:pPr>
              <w:rPr>
                <w:rFonts w:hint="eastAsia" w:ascii="宋体" w:hAnsi="宋体" w:eastAsia="宋体" w:cs="宋体"/>
                <w:sz w:val="21"/>
                <w:szCs w:val="21"/>
                <w:lang w:val="en-US" w:eastAsia="zh-CN"/>
              </w:rPr>
            </w:pPr>
            <w:r>
              <w:rPr>
                <w:rFonts w:hint="eastAsia" w:ascii="宋体" w:hAnsi="宋体" w:cs="宋体"/>
                <w:sz w:val="21"/>
                <w:szCs w:val="21"/>
                <w:lang w:val="en-US" w:eastAsia="zh-CN"/>
              </w:rPr>
              <w:t>非标自制件，尺寸</w:t>
            </w:r>
            <w:r>
              <w:rPr>
                <w:rFonts w:hint="eastAsia" w:ascii="宋体" w:hAnsi="宋体" w:cs="宋体"/>
                <w:sz w:val="21"/>
                <w:szCs w:val="21"/>
              </w:rPr>
              <w:t>2300×1850×2200</w:t>
            </w:r>
            <w:r>
              <w:rPr>
                <w:rFonts w:hint="eastAsia" w:ascii="宋体" w:hAnsi="宋体" w:cs="宋体"/>
                <w:sz w:val="21"/>
                <w:szCs w:val="21"/>
                <w:lang w:val="en-US" w:eastAsia="zh-CN"/>
              </w:rPr>
              <w:t>㎜。二级过滤器分别为F7和F9。过滤箱采用50×50×3的方管和外0.6彩板、内0.6镀锌板中间填充50mm的岩棉夹芯板制作；</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5FD6C60F">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1</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084B929D">
            <w:pPr>
              <w:jc w:val="center"/>
              <w:rPr>
                <w:rFonts w:hint="eastAsia" w:ascii="宋体" w:hAnsi="宋体" w:cs="宋体"/>
                <w:sz w:val="21"/>
                <w:szCs w:val="21"/>
              </w:rPr>
            </w:pPr>
            <w:r>
              <w:rPr>
                <w:rFonts w:hint="eastAsia" w:ascii="宋体" w:hAnsi="宋体" w:cs="宋体"/>
                <w:sz w:val="21"/>
                <w:szCs w:val="21"/>
              </w:rPr>
              <w:t>个</w:t>
            </w:r>
          </w:p>
        </w:tc>
      </w:tr>
      <w:tr w14:paraId="34060B38">
        <w:tblPrEx>
          <w:tblCellMar>
            <w:top w:w="0" w:type="dxa"/>
            <w:left w:w="108" w:type="dxa"/>
            <w:bottom w:w="0" w:type="dxa"/>
            <w:right w:w="108" w:type="dxa"/>
          </w:tblCellMar>
        </w:tblPrEx>
        <w:trPr>
          <w:trHeight w:val="570" w:hRule="atLeast"/>
        </w:trPr>
        <w:tc>
          <w:tcPr>
            <w:tcW w:w="656" w:type="dxa"/>
            <w:tcBorders>
              <w:top w:val="single" w:color="000000" w:sz="4" w:space="0"/>
              <w:left w:val="single" w:color="000000" w:sz="4" w:space="0"/>
              <w:bottom w:val="single" w:color="000000" w:sz="4" w:space="0"/>
              <w:right w:val="single" w:color="000000" w:sz="4" w:space="0"/>
            </w:tcBorders>
            <w:noWrap w:val="0"/>
            <w:vAlign w:val="center"/>
          </w:tcPr>
          <w:p w14:paraId="6E45566B">
            <w:pPr>
              <w:widowControl/>
              <w:jc w:val="center"/>
              <w:textAlignment w:val="center"/>
              <w:rPr>
                <w:rFonts w:ascii="等线" w:hAnsi="等线" w:eastAsia="等线" w:cs="等线"/>
                <w:color w:val="000000"/>
                <w:sz w:val="22"/>
                <w:szCs w:val="22"/>
              </w:rPr>
            </w:pPr>
            <w:r>
              <w:rPr>
                <w:rFonts w:hint="eastAsia" w:ascii="等线" w:hAnsi="等线" w:eastAsia="等线" w:cs="等线"/>
                <w:color w:val="000000"/>
                <w:kern w:val="0"/>
                <w:sz w:val="22"/>
                <w:szCs w:val="22"/>
                <w:lang w:bidi="ar"/>
              </w:rPr>
              <w:t>4</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49CDAAF9">
            <w:pPr>
              <w:rPr>
                <w:rFonts w:hint="eastAsia" w:ascii="宋体" w:hAnsi="宋体" w:eastAsia="宋体" w:cs="宋体"/>
                <w:sz w:val="21"/>
                <w:szCs w:val="21"/>
                <w:lang w:val="en-US" w:eastAsia="zh-CN"/>
              </w:rPr>
            </w:pPr>
            <w:r>
              <w:rPr>
                <w:rFonts w:hint="eastAsia" w:ascii="宋体" w:hAnsi="宋体" w:cs="宋体"/>
                <w:sz w:val="21"/>
                <w:szCs w:val="21"/>
                <w:lang w:val="en-US" w:eastAsia="zh-CN"/>
              </w:rPr>
              <w:t>活性炭</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15796BBA">
            <w:pPr>
              <w:rPr>
                <w:rFonts w:hint="default" w:ascii="宋体" w:hAnsi="宋体" w:eastAsia="宋体" w:cs="宋体"/>
                <w:sz w:val="21"/>
                <w:szCs w:val="21"/>
                <w:lang w:val="en-US" w:eastAsia="zh-CN"/>
              </w:rPr>
            </w:pPr>
            <w:r>
              <w:rPr>
                <w:rFonts w:hint="eastAsia" w:ascii="宋体" w:hAnsi="宋体" w:cs="宋体"/>
                <w:sz w:val="21"/>
                <w:szCs w:val="21"/>
                <w:lang w:val="en-US" w:eastAsia="zh-CN"/>
              </w:rPr>
              <w:t>蜂窝型，单个尺寸100*100*100㎜，碘值850，四氯化碳吸附率大于50%</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3632013F">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4</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157C86F4">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m³</w:t>
            </w:r>
          </w:p>
        </w:tc>
      </w:tr>
      <w:tr w14:paraId="507F85D7">
        <w:tblPrEx>
          <w:tblCellMar>
            <w:top w:w="0" w:type="dxa"/>
            <w:left w:w="108" w:type="dxa"/>
            <w:bottom w:w="0" w:type="dxa"/>
            <w:right w:w="108" w:type="dxa"/>
          </w:tblCellMar>
        </w:tblPrEx>
        <w:trPr>
          <w:trHeight w:val="480" w:hRule="atLeast"/>
        </w:trPr>
        <w:tc>
          <w:tcPr>
            <w:tcW w:w="656" w:type="dxa"/>
            <w:tcBorders>
              <w:top w:val="single" w:color="000000" w:sz="4" w:space="0"/>
              <w:left w:val="single" w:color="000000" w:sz="4" w:space="0"/>
              <w:bottom w:val="single" w:color="000000" w:sz="4" w:space="0"/>
              <w:right w:val="single" w:color="000000" w:sz="4" w:space="0"/>
            </w:tcBorders>
            <w:noWrap w:val="0"/>
            <w:vAlign w:val="center"/>
          </w:tcPr>
          <w:p w14:paraId="66C2B0FE">
            <w:pPr>
              <w:widowControl/>
              <w:jc w:val="center"/>
              <w:textAlignment w:val="center"/>
              <w:rPr>
                <w:rFonts w:ascii="等线" w:hAnsi="等线" w:eastAsia="等线" w:cs="等线"/>
                <w:color w:val="000000"/>
                <w:sz w:val="22"/>
                <w:szCs w:val="22"/>
              </w:rPr>
            </w:pPr>
            <w:r>
              <w:rPr>
                <w:rFonts w:hint="eastAsia" w:ascii="等线" w:hAnsi="等线" w:eastAsia="等线" w:cs="等线"/>
                <w:color w:val="000000"/>
                <w:kern w:val="0"/>
                <w:sz w:val="22"/>
                <w:szCs w:val="22"/>
                <w:lang w:bidi="ar"/>
              </w:rPr>
              <w:t>5</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1F936FF3">
            <w:pPr>
              <w:rPr>
                <w:rFonts w:hint="eastAsia" w:ascii="宋体" w:hAnsi="宋体" w:eastAsia="宋体" w:cs="宋体"/>
                <w:sz w:val="21"/>
                <w:szCs w:val="21"/>
                <w:lang w:val="en-US" w:eastAsia="zh-CN"/>
              </w:rPr>
            </w:pPr>
            <w:r>
              <w:rPr>
                <w:rFonts w:hint="eastAsia" w:ascii="宋体" w:hAnsi="宋体" w:cs="宋体"/>
                <w:sz w:val="21"/>
                <w:szCs w:val="21"/>
                <w:lang w:val="en-US" w:eastAsia="zh-CN"/>
              </w:rPr>
              <w:t>电气柜</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198A021A">
            <w:pPr>
              <w:rPr>
                <w:rFonts w:hint="default" w:ascii="宋体" w:hAnsi="宋体" w:eastAsia="宋体" w:cs="宋体"/>
                <w:sz w:val="21"/>
                <w:szCs w:val="21"/>
                <w:lang w:val="en-US" w:eastAsia="zh-CN"/>
              </w:rPr>
            </w:pPr>
            <w:r>
              <w:rPr>
                <w:rFonts w:hint="eastAsia" w:ascii="宋体" w:hAnsi="宋体" w:cs="宋体"/>
                <w:sz w:val="21"/>
                <w:szCs w:val="21"/>
              </w:rPr>
              <w:t>仿威图柜</w:t>
            </w:r>
            <w:r>
              <w:rPr>
                <w:rFonts w:hint="eastAsia" w:ascii="宋体" w:hAnsi="宋体" w:cs="宋体"/>
                <w:sz w:val="21"/>
                <w:szCs w:val="21"/>
                <w:lang w:eastAsia="zh-CN"/>
              </w:rPr>
              <w:t>，主要电气为施耐德</w:t>
            </w:r>
            <w:r>
              <w:rPr>
                <w:rFonts w:hint="eastAsia" w:ascii="宋体" w:hAnsi="宋体" w:cs="宋体"/>
                <w:sz w:val="21"/>
                <w:szCs w:val="21"/>
                <w:lang w:val="en-US" w:eastAsia="zh-CN"/>
              </w:rPr>
              <w:t>尺寸</w:t>
            </w:r>
            <w:r>
              <w:rPr>
                <w:rFonts w:hint="eastAsia" w:ascii="宋体" w:hAnsi="宋体" w:cs="宋体"/>
                <w:sz w:val="21"/>
                <w:szCs w:val="21"/>
                <w:lang w:eastAsia="zh-CN"/>
              </w:rPr>
              <w:t>1000×800×2000</w:t>
            </w:r>
            <w:r>
              <w:rPr>
                <w:rFonts w:hint="eastAsia" w:ascii="宋体" w:hAnsi="宋体" w:cs="宋体"/>
                <w:sz w:val="21"/>
                <w:szCs w:val="21"/>
                <w:lang w:val="en-US" w:eastAsia="zh-CN"/>
              </w:rPr>
              <w:t>㎜</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7909B220">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1</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04857B92">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台</w:t>
            </w:r>
          </w:p>
        </w:tc>
      </w:tr>
      <w:tr w14:paraId="7B75704B">
        <w:tblPrEx>
          <w:tblCellMar>
            <w:top w:w="0" w:type="dxa"/>
            <w:left w:w="108" w:type="dxa"/>
            <w:bottom w:w="0" w:type="dxa"/>
            <w:right w:w="108" w:type="dxa"/>
          </w:tblCellMar>
        </w:tblPrEx>
        <w:trPr>
          <w:trHeight w:val="870" w:hRule="atLeast"/>
        </w:trPr>
        <w:tc>
          <w:tcPr>
            <w:tcW w:w="656" w:type="dxa"/>
            <w:tcBorders>
              <w:top w:val="single" w:color="000000" w:sz="4" w:space="0"/>
              <w:left w:val="single" w:color="000000" w:sz="4" w:space="0"/>
              <w:bottom w:val="single" w:color="000000" w:sz="4" w:space="0"/>
              <w:right w:val="single" w:color="000000" w:sz="4" w:space="0"/>
            </w:tcBorders>
            <w:noWrap w:val="0"/>
            <w:vAlign w:val="center"/>
          </w:tcPr>
          <w:p w14:paraId="672E2EA8">
            <w:pPr>
              <w:widowControl/>
              <w:jc w:val="center"/>
              <w:textAlignment w:val="center"/>
              <w:rPr>
                <w:rFonts w:ascii="等线" w:hAnsi="等线" w:eastAsia="等线" w:cs="等线"/>
                <w:color w:val="000000"/>
                <w:sz w:val="22"/>
                <w:szCs w:val="22"/>
              </w:rPr>
            </w:pPr>
            <w:r>
              <w:rPr>
                <w:rFonts w:hint="eastAsia" w:ascii="等线" w:hAnsi="等线" w:eastAsia="等线" w:cs="等线"/>
                <w:color w:val="000000"/>
                <w:kern w:val="0"/>
                <w:sz w:val="22"/>
                <w:szCs w:val="22"/>
                <w:lang w:bidi="ar"/>
              </w:rPr>
              <w:t>6</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39E171D1">
            <w:pPr>
              <w:rPr>
                <w:rFonts w:hint="eastAsia" w:ascii="宋体" w:hAnsi="宋体" w:eastAsia="宋体" w:cs="宋体"/>
                <w:sz w:val="21"/>
                <w:szCs w:val="21"/>
                <w:lang w:val="en-US" w:eastAsia="zh-CN"/>
              </w:rPr>
            </w:pPr>
            <w:r>
              <w:rPr>
                <w:rFonts w:hint="eastAsia" w:ascii="宋体" w:hAnsi="宋体" w:cs="宋体"/>
                <w:sz w:val="21"/>
                <w:szCs w:val="21"/>
                <w:lang w:val="en-US" w:eastAsia="zh-CN"/>
              </w:rPr>
              <w:t>变频器</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51F5CA69">
            <w:pPr>
              <w:rPr>
                <w:rFonts w:hint="default" w:ascii="宋体" w:hAnsi="宋体" w:eastAsia="宋体" w:cs="宋体"/>
                <w:sz w:val="21"/>
                <w:szCs w:val="21"/>
                <w:lang w:val="en-US" w:eastAsia="zh-CN"/>
              </w:rPr>
            </w:pPr>
            <w:r>
              <w:rPr>
                <w:rFonts w:hint="eastAsia" w:ascii="宋体" w:hAnsi="宋体" w:cs="宋体"/>
                <w:sz w:val="21"/>
                <w:szCs w:val="21"/>
                <w:lang w:val="en-US" w:eastAsia="zh-CN"/>
              </w:rPr>
              <w:t>22KW</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5CE2C112">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19D036D2">
            <w:pPr>
              <w:jc w:val="center"/>
              <w:rPr>
                <w:rFonts w:hint="eastAsia" w:ascii="宋体" w:hAnsi="宋体" w:cs="宋体"/>
                <w:sz w:val="21"/>
                <w:szCs w:val="21"/>
              </w:rPr>
            </w:pPr>
            <w:r>
              <w:rPr>
                <w:rFonts w:hint="eastAsia" w:ascii="宋体" w:hAnsi="宋体" w:cs="宋体"/>
                <w:sz w:val="21"/>
                <w:szCs w:val="21"/>
              </w:rPr>
              <w:t>台</w:t>
            </w:r>
          </w:p>
        </w:tc>
      </w:tr>
      <w:tr w14:paraId="68756CA8">
        <w:tblPrEx>
          <w:tblCellMar>
            <w:top w:w="0" w:type="dxa"/>
            <w:left w:w="108" w:type="dxa"/>
            <w:bottom w:w="0" w:type="dxa"/>
            <w:right w:w="108" w:type="dxa"/>
          </w:tblCellMar>
        </w:tblPrEx>
        <w:trPr>
          <w:trHeight w:val="725" w:hRule="atLeast"/>
        </w:trPr>
        <w:tc>
          <w:tcPr>
            <w:tcW w:w="656" w:type="dxa"/>
            <w:tcBorders>
              <w:top w:val="single" w:color="000000" w:sz="4" w:space="0"/>
              <w:left w:val="single" w:color="000000" w:sz="4" w:space="0"/>
              <w:bottom w:val="single" w:color="000000" w:sz="4" w:space="0"/>
              <w:right w:val="single" w:color="000000" w:sz="4" w:space="0"/>
            </w:tcBorders>
            <w:noWrap w:val="0"/>
            <w:vAlign w:val="center"/>
          </w:tcPr>
          <w:p w14:paraId="5E64ACF9">
            <w:pPr>
              <w:widowControl/>
              <w:jc w:val="center"/>
              <w:textAlignment w:val="center"/>
              <w:rPr>
                <w:rFonts w:ascii="等线" w:hAnsi="等线" w:eastAsia="等线" w:cs="等线"/>
                <w:color w:val="000000"/>
                <w:kern w:val="0"/>
                <w:sz w:val="22"/>
                <w:szCs w:val="22"/>
                <w:lang w:bidi="ar"/>
              </w:rPr>
            </w:pPr>
            <w:r>
              <w:rPr>
                <w:rFonts w:hint="eastAsia" w:ascii="等线" w:hAnsi="等线" w:eastAsia="等线" w:cs="等线"/>
                <w:color w:val="000000"/>
                <w:kern w:val="0"/>
                <w:sz w:val="22"/>
                <w:szCs w:val="22"/>
                <w:lang w:bidi="ar"/>
              </w:rPr>
              <w:t>7</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2DE50018">
            <w:pPr>
              <w:rPr>
                <w:rFonts w:hint="default" w:ascii="宋体" w:hAnsi="宋体" w:eastAsia="宋体" w:cs="宋体"/>
                <w:sz w:val="21"/>
                <w:szCs w:val="21"/>
                <w:lang w:val="en-US" w:eastAsia="zh-CN"/>
              </w:rPr>
            </w:pPr>
            <w:r>
              <w:rPr>
                <w:rFonts w:hint="eastAsia" w:ascii="宋体" w:hAnsi="宋体" w:cs="宋体"/>
                <w:sz w:val="21"/>
                <w:szCs w:val="21"/>
                <w:lang w:val="en-US" w:eastAsia="zh-CN"/>
              </w:rPr>
              <w:t>设备附属电线电缆</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6D18EB16">
            <w:pPr>
              <w:rPr>
                <w:rFonts w:hint="default" w:ascii="宋体" w:hAnsi="宋体" w:eastAsia="宋体" w:cs="宋体"/>
                <w:sz w:val="21"/>
                <w:szCs w:val="21"/>
                <w:lang w:val="en-US" w:eastAsia="zh-CN"/>
              </w:rPr>
            </w:pPr>
            <w:r>
              <w:rPr>
                <w:rFonts w:hint="eastAsia" w:ascii="宋体" w:hAnsi="宋体" w:cs="宋体"/>
                <w:sz w:val="21"/>
                <w:szCs w:val="21"/>
                <w:lang w:val="en-US" w:eastAsia="zh-CN"/>
              </w:rPr>
              <w:t>规格不一，须投标方现场查看后自己确定。</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608797E7">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1</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5D26ACF4">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批</w:t>
            </w:r>
          </w:p>
        </w:tc>
      </w:tr>
      <w:tr w14:paraId="026810A6">
        <w:tblPrEx>
          <w:tblCellMar>
            <w:top w:w="0" w:type="dxa"/>
            <w:left w:w="108" w:type="dxa"/>
            <w:bottom w:w="0" w:type="dxa"/>
            <w:right w:w="108" w:type="dxa"/>
          </w:tblCellMar>
        </w:tblPrEx>
        <w:trPr>
          <w:trHeight w:val="770" w:hRule="atLeast"/>
        </w:trPr>
        <w:tc>
          <w:tcPr>
            <w:tcW w:w="656" w:type="dxa"/>
            <w:tcBorders>
              <w:top w:val="single" w:color="000000" w:sz="4" w:space="0"/>
              <w:left w:val="single" w:color="000000" w:sz="4" w:space="0"/>
              <w:bottom w:val="single" w:color="000000" w:sz="4" w:space="0"/>
              <w:right w:val="single" w:color="000000" w:sz="4" w:space="0"/>
            </w:tcBorders>
            <w:noWrap w:val="0"/>
            <w:vAlign w:val="center"/>
          </w:tcPr>
          <w:p w14:paraId="5F9A071C">
            <w:pPr>
              <w:widowControl/>
              <w:jc w:val="center"/>
              <w:textAlignment w:val="center"/>
              <w:rPr>
                <w:rFonts w:ascii="等线" w:hAnsi="等线" w:eastAsia="等线" w:cs="等线"/>
                <w:color w:val="000000"/>
                <w:kern w:val="0"/>
                <w:sz w:val="22"/>
                <w:szCs w:val="22"/>
                <w:lang w:bidi="ar"/>
              </w:rPr>
            </w:pPr>
            <w:r>
              <w:rPr>
                <w:rFonts w:hint="eastAsia" w:ascii="等线" w:hAnsi="等线" w:eastAsia="等线" w:cs="等线"/>
                <w:color w:val="000000"/>
                <w:kern w:val="0"/>
                <w:sz w:val="22"/>
                <w:szCs w:val="22"/>
                <w:lang w:bidi="ar"/>
              </w:rPr>
              <w:t>8</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3030BFA6">
            <w:pPr>
              <w:rPr>
                <w:rFonts w:hint="eastAsia" w:ascii="宋体" w:hAnsi="宋体" w:eastAsia="宋体" w:cs="宋体"/>
                <w:sz w:val="21"/>
                <w:szCs w:val="21"/>
                <w:lang w:val="en-US" w:eastAsia="zh-CN"/>
              </w:rPr>
            </w:pPr>
            <w:r>
              <w:rPr>
                <w:rFonts w:hint="eastAsia" w:ascii="宋体" w:hAnsi="宋体" w:cs="宋体"/>
                <w:sz w:val="21"/>
                <w:szCs w:val="21"/>
                <w:lang w:val="en-US" w:eastAsia="zh-CN"/>
              </w:rPr>
              <w:t>烟筒</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6C20717F">
            <w:pPr>
              <w:rPr>
                <w:rFonts w:hint="eastAsia" w:ascii="宋体" w:hAnsi="宋体" w:eastAsia="宋体" w:cs="宋体"/>
                <w:sz w:val="21"/>
                <w:szCs w:val="21"/>
                <w:lang w:eastAsia="zh-CN"/>
              </w:rPr>
            </w:pPr>
            <w:r>
              <w:rPr>
                <w:rFonts w:hint="eastAsia" w:ascii="宋体" w:hAnsi="宋体" w:cs="宋体"/>
                <w:sz w:val="21"/>
                <w:szCs w:val="21"/>
                <w:lang w:val="en-US" w:eastAsia="zh-CN"/>
              </w:rPr>
              <w:t>非标自制件，</w:t>
            </w:r>
            <w:r>
              <w:rPr>
                <w:rFonts w:hint="eastAsia" w:ascii="宋体" w:hAnsi="宋体" w:cs="宋体"/>
                <w:sz w:val="21"/>
                <w:szCs w:val="21"/>
              </w:rPr>
              <w:t>Φ800，高15米，含检测平台</w:t>
            </w:r>
            <w:r>
              <w:rPr>
                <w:rFonts w:hint="eastAsia" w:ascii="宋体" w:hAnsi="宋体" w:cs="宋体"/>
                <w:sz w:val="21"/>
                <w:szCs w:val="21"/>
                <w:lang w:eastAsia="zh-CN"/>
              </w:rPr>
              <w:t>，</w:t>
            </w:r>
            <w:r>
              <w:rPr>
                <w:rFonts w:hint="eastAsia" w:ascii="宋体" w:hAnsi="宋体" w:cs="宋体"/>
                <w:sz w:val="21"/>
                <w:szCs w:val="21"/>
                <w:lang w:val="en-US" w:eastAsia="zh-CN"/>
              </w:rPr>
              <w:t>材料</w:t>
            </w:r>
            <w:r>
              <w:rPr>
                <w:rFonts w:hint="eastAsia" w:ascii="宋体" w:hAnsi="宋体" w:cs="宋体"/>
                <w:sz w:val="21"/>
                <w:szCs w:val="21"/>
                <w:lang w:eastAsia="zh-CN"/>
              </w:rPr>
              <w:t>Q235A</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6ECF557D">
            <w:pPr>
              <w:jc w:val="center"/>
              <w:rPr>
                <w:rFonts w:hint="eastAsia" w:ascii="宋体" w:hAnsi="宋体" w:cs="宋体"/>
                <w:sz w:val="21"/>
                <w:szCs w:val="21"/>
              </w:rPr>
            </w:pPr>
            <w:r>
              <w:rPr>
                <w:rFonts w:hint="eastAsia" w:ascii="宋体" w:hAnsi="宋体" w:cs="宋体"/>
                <w:sz w:val="21"/>
                <w:szCs w:val="21"/>
              </w:rPr>
              <w:t>1</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5410499E">
            <w:pPr>
              <w:jc w:val="center"/>
              <w:rPr>
                <w:rFonts w:hint="eastAsia" w:ascii="宋体" w:hAnsi="宋体" w:cs="宋体"/>
                <w:sz w:val="21"/>
                <w:szCs w:val="21"/>
              </w:rPr>
            </w:pPr>
            <w:r>
              <w:rPr>
                <w:rFonts w:hint="eastAsia" w:ascii="宋体" w:hAnsi="宋体" w:cs="宋体"/>
                <w:sz w:val="21"/>
                <w:szCs w:val="21"/>
              </w:rPr>
              <w:t>座</w:t>
            </w:r>
          </w:p>
        </w:tc>
      </w:tr>
      <w:tr w14:paraId="10A24E0D">
        <w:tblPrEx>
          <w:tblCellMar>
            <w:top w:w="0" w:type="dxa"/>
            <w:left w:w="108" w:type="dxa"/>
            <w:bottom w:w="0" w:type="dxa"/>
            <w:right w:w="108" w:type="dxa"/>
          </w:tblCellMar>
        </w:tblPrEx>
        <w:trPr>
          <w:trHeight w:val="770" w:hRule="atLeast"/>
        </w:trPr>
        <w:tc>
          <w:tcPr>
            <w:tcW w:w="656" w:type="dxa"/>
            <w:tcBorders>
              <w:top w:val="single" w:color="000000" w:sz="4" w:space="0"/>
              <w:left w:val="single" w:color="000000" w:sz="4" w:space="0"/>
              <w:bottom w:val="single" w:color="000000" w:sz="4" w:space="0"/>
              <w:right w:val="single" w:color="000000" w:sz="4" w:space="0"/>
            </w:tcBorders>
            <w:noWrap w:val="0"/>
            <w:vAlign w:val="center"/>
          </w:tcPr>
          <w:p w14:paraId="0D9A4F34">
            <w:pPr>
              <w:widowControl/>
              <w:jc w:val="center"/>
              <w:textAlignment w:val="center"/>
              <w:rPr>
                <w:rFonts w:hint="eastAsia" w:ascii="等线" w:hAnsi="等线" w:eastAsia="等线" w:cs="等线"/>
                <w:color w:val="000000"/>
                <w:kern w:val="0"/>
                <w:sz w:val="22"/>
                <w:szCs w:val="22"/>
                <w:lang w:bidi="ar"/>
              </w:rPr>
            </w:pPr>
            <w:r>
              <w:rPr>
                <w:rFonts w:hint="eastAsia" w:ascii="等线" w:hAnsi="等线" w:eastAsia="等线" w:cs="等线"/>
                <w:color w:val="000000"/>
                <w:kern w:val="0"/>
                <w:sz w:val="22"/>
                <w:szCs w:val="22"/>
                <w:lang w:bidi="ar"/>
              </w:rPr>
              <w:t>9</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65F61120">
            <w:pPr>
              <w:rPr>
                <w:rFonts w:hint="eastAsia" w:ascii="宋体" w:hAnsi="宋体" w:eastAsia="宋体" w:cs="宋体"/>
                <w:sz w:val="21"/>
                <w:szCs w:val="21"/>
                <w:lang w:val="en-US" w:eastAsia="zh-CN"/>
              </w:rPr>
            </w:pPr>
            <w:r>
              <w:rPr>
                <w:rFonts w:hint="eastAsia" w:ascii="宋体" w:hAnsi="宋体" w:cs="宋体"/>
                <w:sz w:val="21"/>
                <w:szCs w:val="21"/>
                <w:lang w:val="en-US" w:eastAsia="zh-CN"/>
              </w:rPr>
              <w:t>辅材</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3597D555">
            <w:pPr>
              <w:rPr>
                <w:rFonts w:hint="default" w:ascii="宋体" w:hAnsi="宋体" w:eastAsia="宋体" w:cs="宋体"/>
                <w:sz w:val="21"/>
                <w:szCs w:val="21"/>
                <w:lang w:val="en-US" w:eastAsia="zh-CN"/>
              </w:rPr>
            </w:pPr>
            <w:r>
              <w:rPr>
                <w:rFonts w:hint="eastAsia" w:ascii="宋体" w:hAnsi="宋体" w:cs="宋体"/>
                <w:sz w:val="21"/>
                <w:szCs w:val="21"/>
                <w:lang w:val="en-US" w:eastAsia="zh-CN"/>
              </w:rPr>
              <w:t>仪器仪表、排风管、风阀、角钢、方钢、百叶窗、焊条等，具体由投标方根据实际确定规格数量</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645ED866">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18DDBAC2">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批</w:t>
            </w:r>
          </w:p>
        </w:tc>
      </w:tr>
      <w:tr w14:paraId="7230B546">
        <w:tblPrEx>
          <w:tblCellMar>
            <w:top w:w="0" w:type="dxa"/>
            <w:left w:w="108" w:type="dxa"/>
            <w:bottom w:w="0" w:type="dxa"/>
            <w:right w:w="108" w:type="dxa"/>
          </w:tblCellMar>
        </w:tblPrEx>
        <w:trPr>
          <w:trHeight w:val="575" w:hRule="atLeast"/>
        </w:trPr>
        <w:tc>
          <w:tcPr>
            <w:tcW w:w="656" w:type="dxa"/>
            <w:tcBorders>
              <w:top w:val="single" w:color="000000" w:sz="4" w:space="0"/>
              <w:left w:val="single" w:color="000000" w:sz="4" w:space="0"/>
              <w:bottom w:val="single" w:color="000000" w:sz="4" w:space="0"/>
              <w:right w:val="single" w:color="000000" w:sz="4" w:space="0"/>
            </w:tcBorders>
            <w:noWrap w:val="0"/>
            <w:vAlign w:val="center"/>
          </w:tcPr>
          <w:p w14:paraId="03CB3A8B">
            <w:pPr>
              <w:widowControl/>
              <w:jc w:val="center"/>
              <w:textAlignment w:val="center"/>
              <w:rPr>
                <w:rFonts w:ascii="等线" w:hAnsi="等线" w:eastAsia="等线" w:cs="等线"/>
                <w:color w:val="000000"/>
                <w:kern w:val="0"/>
                <w:sz w:val="22"/>
                <w:szCs w:val="22"/>
                <w:lang w:bidi="ar"/>
              </w:rPr>
            </w:pPr>
            <w:r>
              <w:rPr>
                <w:rFonts w:hint="eastAsia" w:ascii="等线" w:hAnsi="等线" w:eastAsia="等线" w:cs="等线"/>
                <w:color w:val="000000"/>
                <w:kern w:val="0"/>
                <w:sz w:val="22"/>
                <w:szCs w:val="22"/>
                <w:lang w:bidi="ar"/>
              </w:rPr>
              <w:t>10</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4F577B89">
            <w:pPr>
              <w:rPr>
                <w:rFonts w:hint="default" w:ascii="宋体" w:hAnsi="宋体" w:eastAsia="宋体" w:cs="宋体"/>
                <w:sz w:val="21"/>
                <w:szCs w:val="21"/>
                <w:lang w:val="en-US" w:eastAsia="zh-CN"/>
              </w:rPr>
            </w:pPr>
            <w:r>
              <w:rPr>
                <w:rFonts w:hint="eastAsia" w:ascii="宋体" w:hAnsi="宋体" w:cs="宋体"/>
                <w:sz w:val="21"/>
                <w:szCs w:val="21"/>
                <w:lang w:val="en-US" w:eastAsia="zh-CN"/>
              </w:rPr>
              <w:t>拆除旧有杂物</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546EA508">
            <w:pPr>
              <w:rPr>
                <w:rFonts w:hint="default" w:ascii="宋体" w:hAnsi="宋体" w:eastAsia="宋体" w:cs="宋体"/>
                <w:sz w:val="21"/>
                <w:szCs w:val="21"/>
                <w:lang w:val="en-US" w:eastAsia="zh-CN"/>
              </w:rPr>
            </w:pPr>
            <w:r>
              <w:rPr>
                <w:rFonts w:hint="eastAsia" w:ascii="宋体" w:hAnsi="宋体" w:cs="宋体"/>
                <w:sz w:val="21"/>
                <w:szCs w:val="21"/>
              </w:rPr>
              <w:t>危废库北墙外原有地面管道、小型建筑、沟渠</w:t>
            </w:r>
            <w:r>
              <w:rPr>
                <w:rFonts w:hint="eastAsia" w:ascii="宋体" w:hAnsi="宋体" w:cs="宋体"/>
                <w:sz w:val="21"/>
                <w:szCs w:val="21"/>
                <w:lang w:eastAsia="zh-CN"/>
              </w:rPr>
              <w:t>，</w:t>
            </w:r>
            <w:r>
              <w:rPr>
                <w:rFonts w:hint="eastAsia" w:ascii="宋体" w:hAnsi="宋体" w:cs="宋体"/>
                <w:sz w:val="21"/>
                <w:szCs w:val="21"/>
                <w:lang w:val="en-US" w:eastAsia="zh-CN"/>
              </w:rPr>
              <w:t>约20平米</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7EA3CB3D">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2CD6399D">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项</w:t>
            </w:r>
          </w:p>
        </w:tc>
      </w:tr>
      <w:tr w14:paraId="42DA18C3">
        <w:tblPrEx>
          <w:tblCellMar>
            <w:top w:w="0" w:type="dxa"/>
            <w:left w:w="108" w:type="dxa"/>
            <w:bottom w:w="0" w:type="dxa"/>
            <w:right w:w="108" w:type="dxa"/>
          </w:tblCellMar>
        </w:tblPrEx>
        <w:trPr>
          <w:trHeight w:val="645" w:hRule="atLeast"/>
        </w:trPr>
        <w:tc>
          <w:tcPr>
            <w:tcW w:w="656" w:type="dxa"/>
            <w:tcBorders>
              <w:top w:val="single" w:color="000000" w:sz="4" w:space="0"/>
              <w:left w:val="single" w:color="000000" w:sz="4" w:space="0"/>
              <w:bottom w:val="single" w:color="000000" w:sz="4" w:space="0"/>
              <w:right w:val="single" w:color="000000" w:sz="4" w:space="0"/>
            </w:tcBorders>
            <w:noWrap w:val="0"/>
            <w:vAlign w:val="center"/>
          </w:tcPr>
          <w:p w14:paraId="17F1694D">
            <w:pPr>
              <w:widowControl/>
              <w:jc w:val="center"/>
              <w:textAlignment w:val="center"/>
              <w:rPr>
                <w:rFonts w:hint="eastAsia" w:ascii="等线" w:hAnsi="等线" w:eastAsia="等线" w:cs="等线"/>
                <w:color w:val="000000"/>
                <w:kern w:val="0"/>
                <w:sz w:val="22"/>
                <w:szCs w:val="22"/>
                <w:lang w:bidi="ar"/>
              </w:rPr>
            </w:pPr>
            <w:r>
              <w:rPr>
                <w:rFonts w:hint="eastAsia" w:ascii="等线" w:hAnsi="等线" w:eastAsia="等线" w:cs="等线"/>
                <w:color w:val="000000"/>
                <w:kern w:val="0"/>
                <w:sz w:val="22"/>
                <w:szCs w:val="22"/>
                <w:lang w:bidi="ar"/>
              </w:rPr>
              <w:t>11</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746EC033">
            <w:pPr>
              <w:rPr>
                <w:rFonts w:hint="default" w:ascii="宋体" w:hAnsi="宋体" w:eastAsia="宋体" w:cs="宋体"/>
                <w:sz w:val="21"/>
                <w:szCs w:val="21"/>
                <w:lang w:val="en-US" w:eastAsia="zh-CN"/>
              </w:rPr>
            </w:pPr>
            <w:r>
              <w:rPr>
                <w:rFonts w:hint="eastAsia" w:ascii="宋体" w:hAnsi="宋体" w:cs="宋体"/>
                <w:sz w:val="21"/>
                <w:szCs w:val="21"/>
                <w:lang w:val="en-US" w:eastAsia="zh-CN"/>
              </w:rPr>
              <w:t>烟筒基础制作</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1DE38AA9">
            <w:pPr>
              <w:rPr>
                <w:rFonts w:ascii="宋体" w:hAnsi="宋体" w:cs="宋体"/>
                <w:sz w:val="21"/>
                <w:szCs w:val="21"/>
              </w:rPr>
            </w:pPr>
            <w:r>
              <w:rPr>
                <w:rFonts w:hint="eastAsia" w:ascii="宋体" w:hAnsi="宋体" w:cs="宋体"/>
                <w:sz w:val="21"/>
                <w:szCs w:val="21"/>
              </w:rPr>
              <w:t>4*4*3米</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5A26151D">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6CCBE3C9">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项</w:t>
            </w:r>
          </w:p>
        </w:tc>
      </w:tr>
      <w:tr w14:paraId="7FBBC37A">
        <w:tblPrEx>
          <w:tblCellMar>
            <w:top w:w="0" w:type="dxa"/>
            <w:left w:w="108" w:type="dxa"/>
            <w:bottom w:w="0" w:type="dxa"/>
            <w:right w:w="108" w:type="dxa"/>
          </w:tblCellMar>
        </w:tblPrEx>
        <w:trPr>
          <w:trHeight w:val="645" w:hRule="atLeast"/>
        </w:trPr>
        <w:tc>
          <w:tcPr>
            <w:tcW w:w="656" w:type="dxa"/>
            <w:tcBorders>
              <w:top w:val="single" w:color="000000" w:sz="4" w:space="0"/>
              <w:left w:val="single" w:color="000000" w:sz="4" w:space="0"/>
              <w:bottom w:val="single" w:color="000000" w:sz="4" w:space="0"/>
              <w:right w:val="single" w:color="000000" w:sz="4" w:space="0"/>
            </w:tcBorders>
            <w:noWrap w:val="0"/>
            <w:vAlign w:val="center"/>
          </w:tcPr>
          <w:p w14:paraId="1C4BD5A9">
            <w:pPr>
              <w:widowControl/>
              <w:jc w:val="center"/>
              <w:textAlignment w:val="center"/>
              <w:rPr>
                <w:rFonts w:hint="default" w:ascii="等线" w:hAnsi="等线" w:eastAsia="等线" w:cs="等线"/>
                <w:color w:val="000000"/>
                <w:kern w:val="0"/>
                <w:sz w:val="22"/>
                <w:szCs w:val="22"/>
                <w:lang w:val="en-US" w:eastAsia="zh-CN" w:bidi="ar"/>
              </w:rPr>
            </w:pPr>
            <w:r>
              <w:rPr>
                <w:rFonts w:hint="eastAsia" w:ascii="等线" w:hAnsi="等线" w:eastAsia="等线" w:cs="等线"/>
                <w:color w:val="000000"/>
                <w:kern w:val="0"/>
                <w:sz w:val="22"/>
                <w:szCs w:val="22"/>
                <w:lang w:val="en-US" w:eastAsia="zh-CN" w:bidi="ar"/>
              </w:rPr>
              <w:t>12</w:t>
            </w:r>
          </w:p>
        </w:tc>
        <w:tc>
          <w:tcPr>
            <w:tcW w:w="1992" w:type="dxa"/>
            <w:tcBorders>
              <w:top w:val="single" w:color="000000" w:sz="4" w:space="0"/>
              <w:left w:val="single" w:color="000000" w:sz="4" w:space="0"/>
              <w:bottom w:val="single" w:color="000000" w:sz="4" w:space="0"/>
              <w:right w:val="single" w:color="000000" w:sz="4" w:space="0"/>
            </w:tcBorders>
            <w:noWrap w:val="0"/>
            <w:vAlign w:val="center"/>
          </w:tcPr>
          <w:p w14:paraId="236B5A9E">
            <w:pPr>
              <w:rPr>
                <w:rFonts w:hint="default" w:ascii="宋体" w:hAnsi="宋体" w:cs="宋体"/>
                <w:sz w:val="21"/>
                <w:szCs w:val="21"/>
                <w:lang w:val="en-US" w:eastAsia="zh-CN"/>
              </w:rPr>
            </w:pPr>
            <w:r>
              <w:rPr>
                <w:rFonts w:hint="eastAsia" w:ascii="宋体" w:hAnsi="宋体" w:cs="宋体"/>
                <w:sz w:val="21"/>
                <w:szCs w:val="21"/>
                <w:lang w:val="en-US" w:eastAsia="zh-CN"/>
              </w:rPr>
              <w:t>外部供电线路</w:t>
            </w:r>
          </w:p>
        </w:tc>
        <w:tc>
          <w:tcPr>
            <w:tcW w:w="4335" w:type="dxa"/>
            <w:tcBorders>
              <w:top w:val="single" w:color="000000" w:sz="4" w:space="0"/>
              <w:left w:val="single" w:color="000000" w:sz="4" w:space="0"/>
              <w:bottom w:val="single" w:color="000000" w:sz="4" w:space="0"/>
              <w:right w:val="single" w:color="000000" w:sz="4" w:space="0"/>
            </w:tcBorders>
            <w:noWrap w:val="0"/>
            <w:vAlign w:val="center"/>
          </w:tcPr>
          <w:p w14:paraId="3977EFD2">
            <w:pPr>
              <w:rPr>
                <w:rFonts w:hint="default" w:ascii="宋体" w:hAnsi="宋体" w:eastAsia="宋体" w:cs="宋体"/>
                <w:sz w:val="21"/>
                <w:szCs w:val="21"/>
                <w:lang w:val="en-US" w:eastAsia="zh-CN"/>
              </w:rPr>
            </w:pPr>
            <w:r>
              <w:rPr>
                <w:rFonts w:hint="eastAsia" w:ascii="宋体" w:hAnsi="宋体" w:cs="宋体"/>
                <w:sz w:val="21"/>
                <w:szCs w:val="21"/>
                <w:lang w:val="en-US" w:eastAsia="zh-CN"/>
              </w:rPr>
              <w:t>120铝芯电缆，长度450米，须根据实际地形挖沟或架设，末端须安装配电柜，内含断路器、接触器、分项开关灯</w:t>
            </w:r>
          </w:p>
        </w:tc>
        <w:tc>
          <w:tcPr>
            <w:tcW w:w="924" w:type="dxa"/>
            <w:tcBorders>
              <w:top w:val="single" w:color="000000" w:sz="4" w:space="0"/>
              <w:left w:val="single" w:color="000000" w:sz="4" w:space="0"/>
              <w:bottom w:val="single" w:color="000000" w:sz="4" w:space="0"/>
              <w:right w:val="single" w:color="000000" w:sz="4" w:space="0"/>
            </w:tcBorders>
            <w:noWrap w:val="0"/>
            <w:vAlign w:val="center"/>
          </w:tcPr>
          <w:p w14:paraId="1AF9D8D7">
            <w:pPr>
              <w:jc w:val="center"/>
              <w:rPr>
                <w:rFonts w:hint="default" w:ascii="宋体" w:hAnsi="宋体" w:cs="宋体"/>
                <w:sz w:val="21"/>
                <w:szCs w:val="21"/>
                <w:lang w:val="en-US" w:eastAsia="zh-CN"/>
              </w:rPr>
            </w:pPr>
            <w:r>
              <w:rPr>
                <w:rFonts w:hint="eastAsia" w:ascii="宋体" w:hAnsi="宋体" w:cs="宋体"/>
                <w:sz w:val="21"/>
                <w:szCs w:val="21"/>
                <w:lang w:val="en-US" w:eastAsia="zh-CN"/>
              </w:rPr>
              <w:t>1</w:t>
            </w:r>
          </w:p>
        </w:tc>
        <w:tc>
          <w:tcPr>
            <w:tcW w:w="991" w:type="dxa"/>
            <w:tcBorders>
              <w:top w:val="single" w:color="000000" w:sz="4" w:space="0"/>
              <w:left w:val="single" w:color="000000" w:sz="4" w:space="0"/>
              <w:bottom w:val="single" w:color="000000" w:sz="4" w:space="0"/>
              <w:right w:val="single" w:color="000000" w:sz="4" w:space="0"/>
            </w:tcBorders>
            <w:noWrap w:val="0"/>
            <w:vAlign w:val="center"/>
          </w:tcPr>
          <w:p w14:paraId="7867EB3F">
            <w:pPr>
              <w:jc w:val="center"/>
              <w:rPr>
                <w:rFonts w:hint="default" w:ascii="宋体" w:hAnsi="宋体" w:cs="宋体"/>
                <w:sz w:val="21"/>
                <w:szCs w:val="21"/>
                <w:lang w:val="en-US" w:eastAsia="zh-CN"/>
              </w:rPr>
            </w:pPr>
            <w:r>
              <w:rPr>
                <w:rFonts w:hint="eastAsia" w:ascii="宋体" w:hAnsi="宋体" w:cs="宋体"/>
                <w:sz w:val="21"/>
                <w:szCs w:val="21"/>
                <w:lang w:val="en-US" w:eastAsia="zh-CN"/>
              </w:rPr>
              <w:t>项</w:t>
            </w:r>
          </w:p>
        </w:tc>
      </w:tr>
    </w:tbl>
    <w:p w14:paraId="53693BC1">
      <w:pPr>
        <w:pStyle w:val="77"/>
        <w:numPr>
          <w:ilvl w:val="0"/>
          <w:numId w:val="0"/>
        </w:numPr>
        <w:ind w:leftChars="0"/>
        <w:rPr>
          <w:rFonts w:hint="eastAsia" w:cs="Times New Roman"/>
          <w:highlight w:val="none"/>
          <w:lang w:val="en-US" w:eastAsia="zh-CN"/>
        </w:rPr>
      </w:pPr>
    </w:p>
    <w:p w14:paraId="2A2F2260">
      <w:pPr>
        <w:pStyle w:val="77"/>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54DB9C3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商务联系人：黄嘉豪17860606327</w:t>
      </w:r>
    </w:p>
    <w:p w14:paraId="62C54F8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技术联系人：</w:t>
      </w:r>
      <w:r>
        <w:rPr>
          <w:rFonts w:hint="eastAsia" w:ascii="宋体" w:hAnsi="Courier New" w:eastAsia="宋体" w:cs="Times New Roman"/>
          <w:color w:val="auto"/>
          <w:kern w:val="2"/>
          <w:sz w:val="21"/>
          <w:highlight w:val="none"/>
          <w:lang w:val="en-US" w:eastAsia="zh-CN" w:bidi="ar-SA"/>
        </w:rPr>
        <w:t>王丹丹</w:t>
      </w:r>
      <w:r>
        <w:rPr>
          <w:rFonts w:hint="eastAsia" w:ascii="宋体" w:hAnsi="Courier New" w:eastAsia="宋体" w:cs="Times New Roman"/>
          <w:kern w:val="2"/>
          <w:sz w:val="21"/>
          <w:lang w:val="en-US" w:eastAsia="zh-CN" w:bidi="ar-SA"/>
        </w:rPr>
        <w:t>15035293052</w:t>
      </w:r>
    </w:p>
    <w:bookmarkEnd w:id="4"/>
    <w:p w14:paraId="50DC6C75">
      <w:pPr>
        <w:pStyle w:val="73"/>
      </w:pPr>
      <w:bookmarkStart w:id="5" w:name="_Toc47976598"/>
      <w:r>
        <w:rPr>
          <w:rFonts w:hint="eastAsia"/>
        </w:rPr>
        <w:t>投标人</w:t>
      </w:r>
      <w:bookmarkEnd w:id="5"/>
      <w:r>
        <w:rPr>
          <w:rFonts w:hint="eastAsia"/>
          <w:lang w:val="en-US" w:eastAsia="zh-CN"/>
        </w:rPr>
        <w:t>资质要求：</w:t>
      </w:r>
    </w:p>
    <w:p w14:paraId="20A1141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a) 投标方公司成立三年以上（以营业执照成立日期到开标当日满三年为准），经营范围必须涵盖本项目内容； </w:t>
      </w:r>
    </w:p>
    <w:p w14:paraId="6063B37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b)注册资本符合本项目要求，注册资金不低于 500万元； </w:t>
      </w:r>
    </w:p>
    <w:p w14:paraId="1D00F04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c)满足技术、质量、资金等要求，财务状况良好、经营稳定，具有全面履约的能力；</w:t>
      </w:r>
    </w:p>
    <w:p w14:paraId="1C72115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d)提供相关信用等级和完税证明； </w:t>
      </w:r>
    </w:p>
    <w:p w14:paraId="565A07E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e)投标方之间必须具有充分的竞争关系； </w:t>
      </w:r>
    </w:p>
    <w:p w14:paraId="4205AF8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f)在“国家企业信用信息公示系统”、“中国执行信息公开网”、“信用中国”、“天眼查”“裁判文书网”等信息平台中，无与本项目有关的行政处罚及失信记录等信息； </w:t>
      </w:r>
    </w:p>
    <w:p w14:paraId="6337C9D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g)无招标违规、谎报年度报告信息、提供虚假资质资料等行为或其他行政处罚记录； 没有被公司列入黑名单； </w:t>
      </w:r>
    </w:p>
    <w:p w14:paraId="1AC96A2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h)供方的直接或间接股东、法定代表人、董事、监事、高管非重汽员工及其亲属。</w:t>
      </w:r>
    </w:p>
    <w:p w14:paraId="61AFFC1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i)投标人近三年内在经营活动中无与本项目有关的违法及重大违规情况。</w:t>
      </w:r>
    </w:p>
    <w:p w14:paraId="31CA8C38">
      <w:pPr>
        <w:pStyle w:val="73"/>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7"/>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16</w:t>
      </w:r>
      <w:r>
        <w:rPr>
          <w:rFonts w:hint="eastAsia" w:ascii="宋体" w:hAnsi="Courier New" w:eastAsia="宋体" w:cs="Times New Roman"/>
          <w:highlight w:val="none"/>
          <w:lang w:val="en-US" w:eastAsia="zh-CN"/>
        </w:rPr>
        <w:t>日</w:t>
      </w:r>
    </w:p>
    <w:p w14:paraId="04ACA6F8">
      <w:pPr>
        <w:pStyle w:val="77"/>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7AB51490">
      <w:pPr>
        <w:pStyle w:val="77"/>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一</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二</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7"/>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22</w:t>
      </w:r>
      <w:r>
        <w:rPr>
          <w:rFonts w:hint="eastAsia" w:eastAsia="宋体" w:cs="宋体"/>
          <w:highlight w:val="none"/>
        </w:rPr>
        <w:t>日17时00分00秒</w:t>
      </w:r>
    </w:p>
    <w:p w14:paraId="2521BCA0">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3"/>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left"/>
        <w:textAlignment w:val="auto"/>
        <w:rPr>
          <w:rFonts w:hint="eastAsia" w:ascii="宋体" w:hAnsi="Courier New" w:eastAsia="宋体" w:cs="Times New Roman"/>
          <w:color w:val="000000"/>
          <w:kern w:val="2"/>
          <w:sz w:val="21"/>
          <w:szCs w:val="21"/>
          <w:highlight w:val="none"/>
          <w:lang w:val="en-US" w:eastAsia="zh-CN" w:bidi="ar-SA"/>
        </w:rPr>
      </w:pPr>
      <w:r>
        <w:rPr>
          <w:rFonts w:hint="eastAsia" w:ascii="宋体" w:hAnsi="Courier New" w:eastAsia="宋体" w:cs="Times New Roman"/>
          <w:b/>
          <w:bCs/>
          <w:color w:val="000000"/>
          <w:kern w:val="2"/>
          <w:sz w:val="21"/>
          <w:szCs w:val="21"/>
          <w:highlight w:val="none"/>
          <w:lang w:val="en-US" w:eastAsia="zh-CN" w:bidi="ar-SA"/>
        </w:rPr>
        <w:t>资质文件</w:t>
      </w:r>
      <w:r>
        <w:rPr>
          <w:rFonts w:hint="eastAsia" w:ascii="宋体" w:hAnsi="Courier New" w:eastAsia="宋体" w:cs="Times New Roman"/>
          <w:color w:val="000000"/>
          <w:kern w:val="2"/>
          <w:sz w:val="21"/>
          <w:szCs w:val="21"/>
          <w:highlight w:val="none"/>
          <w:lang w:val="en-US" w:eastAsia="zh-CN" w:bidi="ar-SA"/>
        </w:rPr>
        <w:t>：</w:t>
      </w:r>
    </w:p>
    <w:p w14:paraId="1F6954DD">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Courier New" w:eastAsia="宋体" w:cs="Times New Roman"/>
          <w:color w:val="000000"/>
          <w:kern w:val="2"/>
          <w:sz w:val="21"/>
          <w:szCs w:val="21"/>
          <w:highlight w:val="none"/>
          <w:lang w:val="en-US" w:eastAsia="zh-CN" w:bidi="ar-SA"/>
        </w:rPr>
      </w:pPr>
      <w:r>
        <w:rPr>
          <w:rFonts w:hint="eastAsia" w:ascii="宋体" w:hAnsi="Courier New" w:eastAsia="宋体" w:cs="Times New Roman"/>
          <w:color w:val="000000"/>
          <w:kern w:val="2"/>
          <w:sz w:val="21"/>
          <w:szCs w:val="21"/>
          <w:highlight w:val="none"/>
          <w:lang w:val="en-US" w:eastAsia="zh-CN" w:bidi="ar-SA"/>
        </w:rPr>
        <w:t>①有统一社会信用代码的新版营业执照复印件；</w:t>
      </w:r>
    </w:p>
    <w:p w14:paraId="0DDE7024">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Courier New" w:eastAsia="宋体" w:cs="Times New Roman"/>
          <w:color w:val="000000"/>
          <w:kern w:val="2"/>
          <w:sz w:val="21"/>
          <w:szCs w:val="21"/>
          <w:highlight w:val="none"/>
          <w:lang w:val="en-US" w:eastAsia="zh-CN" w:bidi="ar-SA"/>
        </w:rPr>
      </w:pPr>
      <w:r>
        <w:rPr>
          <w:rFonts w:hint="eastAsia" w:ascii="宋体" w:hAnsi="Courier New" w:eastAsia="宋体" w:cs="Times New Roman"/>
          <w:color w:val="000000"/>
          <w:kern w:val="2"/>
          <w:sz w:val="21"/>
          <w:szCs w:val="21"/>
          <w:highlight w:val="none"/>
          <w:lang w:val="en-US" w:eastAsia="zh-CN" w:bidi="ar-SA"/>
        </w:rPr>
        <w:t>②相关资质复印件；</w:t>
      </w:r>
    </w:p>
    <w:p w14:paraId="3FF5C1E5">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Courier New" w:eastAsia="宋体" w:cs="Times New Roman"/>
          <w:color w:val="000000"/>
          <w:kern w:val="2"/>
          <w:sz w:val="21"/>
          <w:szCs w:val="21"/>
          <w:highlight w:val="none"/>
          <w:lang w:val="en-US" w:eastAsia="zh-CN" w:bidi="ar-SA"/>
        </w:rPr>
      </w:pPr>
      <w:r>
        <w:rPr>
          <w:rFonts w:hint="eastAsia" w:ascii="宋体" w:hAnsi="Courier New" w:eastAsia="宋体" w:cs="Times New Roman"/>
          <w:color w:val="000000"/>
          <w:kern w:val="2"/>
          <w:sz w:val="21"/>
          <w:szCs w:val="21"/>
          <w:highlight w:val="none"/>
          <w:lang w:val="en-US" w:eastAsia="zh-CN" w:bidi="ar-SA"/>
        </w:rPr>
        <w:t>③法定代表人参加投标的，需提供法人身份证复印件；派授权人参加投标的，需提供法定代表人授权委托书及法人、被授权人身份证复印件；</w:t>
      </w:r>
    </w:p>
    <w:p w14:paraId="050D7A08">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Courier New" w:eastAsia="宋体" w:cs="Times New Roman"/>
          <w:color w:val="000000"/>
          <w:kern w:val="2"/>
          <w:sz w:val="21"/>
          <w:szCs w:val="21"/>
          <w:highlight w:val="none"/>
          <w:lang w:val="en-US" w:eastAsia="zh-CN" w:bidi="ar-SA"/>
        </w:rPr>
      </w:pPr>
      <w:r>
        <w:rPr>
          <w:rFonts w:hint="eastAsia" w:ascii="宋体" w:hAnsi="Courier New" w:eastAsia="宋体" w:cs="Times New Roman"/>
          <w:color w:val="000000"/>
          <w:kern w:val="2"/>
          <w:sz w:val="21"/>
          <w:szCs w:val="21"/>
          <w:highlight w:val="none"/>
          <w:lang w:val="en-US" w:eastAsia="zh-CN" w:bidi="ar-SA"/>
        </w:rPr>
        <w:t>④近三年内在经营活动中没有违法违纪行为的声明；</w:t>
      </w:r>
    </w:p>
    <w:p w14:paraId="37ECCE2D">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Courier New" w:eastAsia="宋体" w:cs="Times New Roman"/>
          <w:color w:val="000000"/>
          <w:kern w:val="2"/>
          <w:sz w:val="21"/>
          <w:szCs w:val="21"/>
          <w:highlight w:val="none"/>
          <w:lang w:val="en-US" w:eastAsia="zh-CN" w:bidi="ar-SA"/>
        </w:rPr>
      </w:pPr>
      <w:r>
        <w:rPr>
          <w:rFonts w:hint="eastAsia" w:ascii="宋体" w:hAnsi="Courier New" w:eastAsia="宋体" w:cs="Times New Roman"/>
          <w:color w:val="000000"/>
          <w:kern w:val="2"/>
          <w:sz w:val="21"/>
          <w:szCs w:val="21"/>
          <w:highlight w:val="none"/>
          <w:lang w:val="en-US" w:eastAsia="zh-CN" w:bidi="ar-SA"/>
        </w:rPr>
        <w:t>⑤投标单位在国家企业信用信息公示系统中无行政处罚、经营异常或失信信息或上述信息已被移除的声明。</w:t>
      </w:r>
    </w:p>
    <w:p w14:paraId="059F1C69">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Courier New" w:eastAsia="宋体" w:cs="Times New Roman"/>
          <w:color w:val="000000"/>
          <w:kern w:val="2"/>
          <w:sz w:val="21"/>
          <w:szCs w:val="21"/>
          <w:highlight w:val="none"/>
          <w:lang w:val="en-US" w:eastAsia="zh-CN" w:bidi="ar-SA"/>
        </w:rPr>
      </w:pPr>
      <w:r>
        <w:rPr>
          <w:rFonts w:hint="eastAsia" w:ascii="宋体" w:hAnsi="Courier New" w:eastAsia="宋体" w:cs="Times New Roman"/>
          <w:color w:val="000000"/>
          <w:kern w:val="2"/>
          <w:sz w:val="21"/>
          <w:szCs w:val="21"/>
          <w:highlight w:val="none"/>
          <w:lang w:val="en-US" w:eastAsia="zh-CN" w:bidi="ar-SA"/>
        </w:rPr>
        <w:t>⑥经会计师事务所审计且出具无保留意见的近三年（2022年至今）的财务审计报告原件，并加盖公章，包括但不限于报告页、经审计的资产负债表、利润表、现金流量表及报表附注。如投标方公司没有经审计的财务报告，可提供</w:t>
      </w:r>
      <w:bookmarkStart w:id="12" w:name="_GoBack"/>
      <w:bookmarkEnd w:id="12"/>
      <w:r>
        <w:rPr>
          <w:rFonts w:hint="eastAsia" w:ascii="宋体" w:hAnsi="Courier New" w:eastAsia="宋体" w:cs="Times New Roman"/>
          <w:color w:val="000000"/>
          <w:kern w:val="2"/>
          <w:sz w:val="21"/>
          <w:szCs w:val="21"/>
          <w:highlight w:val="none"/>
          <w:lang w:val="en-US" w:eastAsia="zh-CN" w:bidi="ar-SA"/>
        </w:rPr>
        <w:t>加盖公章的近三年财务报表，包括但不限于资产负债表、利润表、现金流量表。 应提供中文版本的审计报告或财务报表；b.企业最近半年完税证明、信用证明材料（征信报告）；c.年度纳税信用评价信息（可从电子税务局查询截图，需加盖公章）；d.企业对外担保说明（写明贵单位对外有无对外担保和质押业务，需加盖公章）。</w:t>
      </w:r>
    </w:p>
    <w:p w14:paraId="3C3355DD">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Courier New" w:eastAsia="宋体" w:cs="Times New Roman"/>
          <w:color w:val="000000"/>
          <w:kern w:val="2"/>
          <w:sz w:val="21"/>
          <w:szCs w:val="21"/>
          <w:highlight w:val="none"/>
          <w:lang w:val="en-US" w:eastAsia="zh-CN" w:bidi="ar-SA"/>
        </w:rPr>
      </w:pPr>
      <w:r>
        <w:rPr>
          <w:rFonts w:hint="eastAsia" w:ascii="宋体" w:hAnsi="Courier New" w:eastAsia="宋体" w:cs="Times New Roman"/>
          <w:color w:val="000000"/>
          <w:kern w:val="2"/>
          <w:sz w:val="21"/>
          <w:szCs w:val="21"/>
          <w:highlight w:val="none"/>
          <w:lang w:val="en-US" w:eastAsia="zh-CN" w:bidi="ar-SA"/>
        </w:rPr>
        <w:t>⑦提供近三年的同类工作业绩。</w:t>
      </w:r>
    </w:p>
    <w:p w14:paraId="5880241B">
      <w:pPr>
        <w:pStyle w:val="73"/>
        <w:rPr>
          <w:rFonts w:ascii="宋体" w:hAnsi="宋体" w:cs="宋体"/>
          <w:sz w:val="24"/>
          <w:szCs w:val="24"/>
        </w:rPr>
      </w:pPr>
      <w:r>
        <w:rPr>
          <w:rFonts w:hint="eastAsia"/>
          <w:lang w:val="en-US" w:eastAsia="zh-CN"/>
        </w:rPr>
        <w:t>交货及付款</w:t>
      </w:r>
    </w:p>
    <w:p w14:paraId="39DCFAAE">
      <w:pPr>
        <w:keepNext w:val="0"/>
        <w:keepLines w:val="0"/>
        <w:pageBreakBefore w:val="0"/>
        <w:widowControl/>
        <w:numPr>
          <w:ilvl w:val="0"/>
          <w:numId w:val="0"/>
        </w:numPr>
        <w:kinsoku/>
        <w:wordWrap/>
        <w:overflowPunct/>
        <w:topLinePunct w:val="0"/>
        <w:autoSpaceDE/>
        <w:autoSpaceDN/>
        <w:bidi w:val="0"/>
        <w:adjustRightInd/>
        <w:snapToGrid/>
        <w:ind w:firstLine="422" w:firstLineChars="200"/>
        <w:jc w:val="both"/>
        <w:textAlignment w:val="auto"/>
        <w:rPr>
          <w:rFonts w:hint="eastAsia" w:ascii="宋体" w:hAnsi="宋体" w:eastAsia="宋体" w:cs="宋体"/>
          <w:b/>
          <w:bCs/>
          <w:sz w:val="21"/>
          <w:szCs w:val="21"/>
          <w:highlight w:val="none"/>
          <w:lang w:val="en-US" w:eastAsia="zh-CN"/>
        </w:rPr>
      </w:pPr>
      <w:r>
        <w:rPr>
          <w:rFonts w:hint="eastAsia" w:ascii="宋体" w:hAnsi="宋体" w:cs="宋体"/>
          <w:b/>
          <w:bCs/>
          <w:sz w:val="21"/>
          <w:szCs w:val="21"/>
          <w:highlight w:val="none"/>
          <w:lang w:val="en-US" w:eastAsia="zh-CN"/>
        </w:rPr>
        <w:t>1、</w:t>
      </w:r>
      <w:r>
        <w:rPr>
          <w:rFonts w:hint="eastAsia" w:ascii="宋体" w:hAnsi="宋体" w:eastAsia="宋体" w:cs="宋体"/>
          <w:b/>
          <w:bCs/>
          <w:sz w:val="21"/>
          <w:szCs w:val="21"/>
          <w:highlight w:val="none"/>
          <w:lang w:val="en-US" w:eastAsia="zh-CN"/>
        </w:rPr>
        <w:t>交货期：</w:t>
      </w:r>
    </w:p>
    <w:p w14:paraId="317EA625">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Courier New" w:eastAsia="宋体" w:cs="Times New Roman"/>
          <w:color w:val="000000"/>
          <w:kern w:val="2"/>
          <w:sz w:val="21"/>
          <w:szCs w:val="21"/>
          <w:highlight w:val="none"/>
          <w:lang w:val="en-US" w:eastAsia="zh-CN" w:bidi="ar-SA"/>
        </w:rPr>
      </w:pPr>
      <w:r>
        <w:rPr>
          <w:rFonts w:hint="eastAsia" w:ascii="宋体" w:hAnsi="Courier New" w:cs="Times New Roman"/>
          <w:color w:val="000000"/>
          <w:kern w:val="2"/>
          <w:sz w:val="21"/>
          <w:szCs w:val="21"/>
          <w:highlight w:val="none"/>
          <w:lang w:val="en-US" w:eastAsia="zh-CN" w:bidi="ar-SA"/>
        </w:rPr>
        <w:t>(</w:t>
      </w:r>
      <w:r>
        <w:rPr>
          <w:rFonts w:hint="eastAsia" w:ascii="宋体" w:hAnsi="Courier New" w:eastAsia="宋体" w:cs="Times New Roman"/>
          <w:color w:val="000000"/>
          <w:kern w:val="2"/>
          <w:sz w:val="21"/>
          <w:szCs w:val="21"/>
          <w:highlight w:val="none"/>
          <w:lang w:val="en-US" w:eastAsia="zh-CN" w:bidi="ar-SA"/>
        </w:rPr>
        <w:t>1</w:t>
      </w:r>
      <w:r>
        <w:rPr>
          <w:rFonts w:hint="eastAsia" w:ascii="宋体" w:hAnsi="Courier New" w:cs="Times New Roman"/>
          <w:color w:val="000000"/>
          <w:kern w:val="2"/>
          <w:sz w:val="21"/>
          <w:szCs w:val="21"/>
          <w:highlight w:val="none"/>
          <w:lang w:val="en-US" w:eastAsia="zh-CN" w:bidi="ar-SA"/>
        </w:rPr>
        <w:t>)</w:t>
      </w:r>
      <w:r>
        <w:rPr>
          <w:rFonts w:hint="eastAsia" w:ascii="宋体" w:hAnsi="Courier New" w:eastAsia="宋体" w:cs="Times New Roman"/>
          <w:color w:val="000000"/>
          <w:kern w:val="2"/>
          <w:sz w:val="21"/>
          <w:szCs w:val="21"/>
          <w:highlight w:val="none"/>
          <w:lang w:val="en-US" w:eastAsia="zh-CN" w:bidi="ar-SA"/>
        </w:rPr>
        <w:t>投标方应自合同签订之日起，35个日历日内交货至甲方使用地点。</w:t>
      </w:r>
    </w:p>
    <w:p w14:paraId="3609CEB8">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Courier New" w:eastAsia="宋体" w:cs="Times New Roman"/>
          <w:color w:val="000000"/>
          <w:kern w:val="2"/>
          <w:sz w:val="21"/>
          <w:szCs w:val="21"/>
          <w:highlight w:val="none"/>
          <w:lang w:val="en-US" w:eastAsia="zh-CN" w:bidi="ar-SA"/>
        </w:rPr>
      </w:pPr>
      <w:r>
        <w:rPr>
          <w:rFonts w:hint="eastAsia" w:ascii="宋体" w:hAnsi="Courier New" w:cs="Times New Roman"/>
          <w:color w:val="000000"/>
          <w:kern w:val="2"/>
          <w:sz w:val="21"/>
          <w:szCs w:val="21"/>
          <w:highlight w:val="none"/>
          <w:lang w:val="en-US" w:eastAsia="zh-CN" w:bidi="ar-SA"/>
        </w:rPr>
        <w:t>(</w:t>
      </w:r>
      <w:r>
        <w:rPr>
          <w:rFonts w:hint="eastAsia" w:ascii="宋体" w:hAnsi="Courier New" w:eastAsia="宋体" w:cs="Times New Roman"/>
          <w:color w:val="000000"/>
          <w:kern w:val="2"/>
          <w:sz w:val="21"/>
          <w:szCs w:val="21"/>
          <w:highlight w:val="none"/>
          <w:lang w:val="en-US" w:eastAsia="zh-CN" w:bidi="ar-SA"/>
        </w:rPr>
        <w:t>2</w:t>
      </w:r>
      <w:r>
        <w:rPr>
          <w:rFonts w:hint="eastAsia" w:ascii="宋体" w:hAnsi="Courier New" w:cs="Times New Roman"/>
          <w:color w:val="000000"/>
          <w:kern w:val="2"/>
          <w:sz w:val="21"/>
          <w:szCs w:val="21"/>
          <w:highlight w:val="none"/>
          <w:lang w:val="en-US" w:eastAsia="zh-CN" w:bidi="ar-SA"/>
        </w:rPr>
        <w:t>)</w:t>
      </w:r>
      <w:r>
        <w:rPr>
          <w:rFonts w:hint="eastAsia" w:ascii="宋体" w:hAnsi="Courier New" w:eastAsia="宋体" w:cs="Times New Roman"/>
          <w:color w:val="000000"/>
          <w:kern w:val="2"/>
          <w:sz w:val="21"/>
          <w:szCs w:val="21"/>
          <w:highlight w:val="none"/>
          <w:lang w:val="en-US" w:eastAsia="zh-CN" w:bidi="ar-SA"/>
        </w:rPr>
        <w:t>接续20个日历日之内安装调试完毕。</w:t>
      </w:r>
    </w:p>
    <w:p w14:paraId="01502BC8">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Courier New" w:eastAsia="宋体" w:cs="Times New Roman"/>
          <w:color w:val="000000"/>
          <w:kern w:val="2"/>
          <w:sz w:val="21"/>
          <w:szCs w:val="21"/>
          <w:highlight w:val="none"/>
          <w:lang w:val="en-US" w:eastAsia="zh-CN" w:bidi="ar-SA"/>
        </w:rPr>
      </w:pPr>
      <w:r>
        <w:rPr>
          <w:rFonts w:hint="eastAsia" w:ascii="宋体" w:hAnsi="Courier New" w:cs="Times New Roman"/>
          <w:color w:val="000000"/>
          <w:kern w:val="2"/>
          <w:sz w:val="21"/>
          <w:szCs w:val="21"/>
          <w:highlight w:val="none"/>
          <w:lang w:val="en-US" w:eastAsia="zh-CN" w:bidi="ar-SA"/>
        </w:rPr>
        <w:t>(</w:t>
      </w:r>
      <w:r>
        <w:rPr>
          <w:rFonts w:hint="eastAsia" w:ascii="宋体" w:hAnsi="Courier New" w:eastAsia="宋体" w:cs="Times New Roman"/>
          <w:color w:val="000000"/>
          <w:kern w:val="2"/>
          <w:sz w:val="21"/>
          <w:szCs w:val="21"/>
          <w:highlight w:val="none"/>
          <w:lang w:val="en-US" w:eastAsia="zh-CN" w:bidi="ar-SA"/>
        </w:rPr>
        <w:t>3</w:t>
      </w:r>
      <w:r>
        <w:rPr>
          <w:rFonts w:hint="eastAsia" w:ascii="宋体" w:hAnsi="Courier New" w:cs="Times New Roman"/>
          <w:color w:val="000000"/>
          <w:kern w:val="2"/>
          <w:sz w:val="21"/>
          <w:szCs w:val="21"/>
          <w:highlight w:val="none"/>
          <w:lang w:val="en-US" w:eastAsia="zh-CN" w:bidi="ar-SA"/>
        </w:rPr>
        <w:t>)</w:t>
      </w:r>
      <w:r>
        <w:rPr>
          <w:rFonts w:hint="eastAsia" w:ascii="宋体" w:hAnsi="Courier New" w:eastAsia="宋体" w:cs="Times New Roman"/>
          <w:color w:val="000000"/>
          <w:kern w:val="2"/>
          <w:sz w:val="21"/>
          <w:szCs w:val="21"/>
          <w:highlight w:val="none"/>
          <w:lang w:val="en-US" w:eastAsia="zh-CN" w:bidi="ar-SA"/>
        </w:rPr>
        <w:t>接续10个日历日之内投入使用。</w:t>
      </w:r>
    </w:p>
    <w:p w14:paraId="7510F99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color w:val="000000"/>
          <w:kern w:val="2"/>
          <w:sz w:val="21"/>
          <w:szCs w:val="21"/>
          <w:highlight w:val="none"/>
          <w:lang w:val="en-US" w:eastAsia="zh-CN" w:bidi="ar-SA"/>
        </w:rPr>
        <w:t>(</w:t>
      </w:r>
      <w:r>
        <w:rPr>
          <w:rFonts w:hint="eastAsia" w:ascii="宋体" w:hAnsi="Courier New" w:eastAsia="宋体" w:cs="Times New Roman"/>
          <w:color w:val="000000"/>
          <w:kern w:val="2"/>
          <w:sz w:val="21"/>
          <w:szCs w:val="21"/>
          <w:highlight w:val="none"/>
          <w:lang w:val="en-US" w:eastAsia="zh-CN" w:bidi="ar-SA"/>
        </w:rPr>
        <w:t>4</w:t>
      </w:r>
      <w:r>
        <w:rPr>
          <w:rFonts w:hint="eastAsia" w:ascii="宋体" w:hAnsi="Courier New" w:cs="Times New Roman"/>
          <w:color w:val="000000"/>
          <w:kern w:val="2"/>
          <w:sz w:val="21"/>
          <w:szCs w:val="21"/>
          <w:highlight w:val="none"/>
          <w:lang w:val="en-US" w:eastAsia="zh-CN" w:bidi="ar-SA"/>
        </w:rPr>
        <w:t>)</w:t>
      </w:r>
      <w:r>
        <w:rPr>
          <w:rFonts w:hint="eastAsia" w:ascii="宋体" w:hAnsi="Courier New" w:eastAsia="宋体" w:cs="Times New Roman"/>
          <w:color w:val="000000"/>
          <w:kern w:val="2"/>
          <w:sz w:val="21"/>
          <w:szCs w:val="21"/>
          <w:highlight w:val="none"/>
          <w:lang w:val="en-US" w:eastAsia="zh-CN" w:bidi="ar-SA"/>
        </w:rPr>
        <w:t>接续15个日历内提供第三方环境检测排放数据。</w:t>
      </w:r>
    </w:p>
    <w:p w14:paraId="078B58F7">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default" w:ascii="宋体" w:hAnsi="宋体" w:eastAsia="宋体" w:cs="宋体"/>
          <w:b/>
          <w:bCs/>
          <w:kern w:val="2"/>
          <w:sz w:val="21"/>
          <w:szCs w:val="21"/>
          <w:highlight w:val="none"/>
          <w:lang w:val="en-US" w:eastAsia="zh-CN" w:bidi="ar-SA"/>
        </w:rPr>
      </w:pPr>
      <w:r>
        <w:rPr>
          <w:rFonts w:hint="eastAsia" w:ascii="宋体" w:hAnsi="宋体" w:eastAsia="宋体" w:cs="宋体"/>
          <w:b/>
          <w:bCs/>
          <w:kern w:val="2"/>
          <w:sz w:val="21"/>
          <w:szCs w:val="21"/>
          <w:highlight w:val="none"/>
          <w:lang w:val="en-US" w:eastAsia="zh-CN" w:bidi="ar-SA"/>
        </w:rPr>
        <w:t>2、交货方式：</w:t>
      </w:r>
      <w:r>
        <w:rPr>
          <w:rFonts w:hint="eastAsia" w:ascii="宋体" w:hAnsi="Courier New" w:eastAsia="宋体" w:cs="Times New Roman"/>
          <w:b w:val="0"/>
          <w:bCs w:val="0"/>
          <w:color w:val="000000"/>
          <w:kern w:val="2"/>
          <w:sz w:val="21"/>
          <w:szCs w:val="21"/>
          <w:highlight w:val="none"/>
          <w:lang w:val="en-US" w:eastAsia="zh-CN" w:bidi="ar-SA"/>
        </w:rPr>
        <w:t>交钥匙方式：卖方负责合同设备的设计、制造、运输、定点卸货、安装、调试、培训及售后服务等所有内容，直至买方验收合格并交付使用。</w:t>
      </w:r>
    </w:p>
    <w:p w14:paraId="7B8C9C44">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bCs/>
          <w:kern w:val="2"/>
          <w:sz w:val="21"/>
          <w:szCs w:val="21"/>
          <w:highlight w:val="none"/>
          <w:lang w:val="en-US" w:eastAsia="zh-CN" w:bidi="ar-SA"/>
        </w:rPr>
        <w:t>交货</w:t>
      </w:r>
      <w:r>
        <w:rPr>
          <w:rFonts w:hint="eastAsia" w:ascii="宋体" w:hAnsi="宋体" w:eastAsia="宋体" w:cs="宋体"/>
          <w:b/>
          <w:bCs/>
          <w:sz w:val="21"/>
          <w:szCs w:val="21"/>
          <w:highlight w:val="none"/>
          <w:lang w:val="en-US" w:eastAsia="zh-CN"/>
        </w:rPr>
        <w:t>地点</w:t>
      </w:r>
      <w:r>
        <w:rPr>
          <w:rFonts w:hint="eastAsia" w:ascii="宋体" w:hAnsi="宋体" w:eastAsia="宋体" w:cs="宋体"/>
          <w:b w:val="0"/>
          <w:bCs w:val="0"/>
          <w:sz w:val="21"/>
          <w:szCs w:val="21"/>
          <w:highlight w:val="none"/>
          <w:lang w:val="en-US" w:eastAsia="zh-CN"/>
        </w:rPr>
        <w:t>：</w:t>
      </w:r>
      <w:r>
        <w:rPr>
          <w:rFonts w:hint="eastAsia" w:ascii="宋体" w:hAnsi="Courier New" w:eastAsia="宋体" w:cs="Times New Roman"/>
          <w:b w:val="0"/>
          <w:bCs w:val="0"/>
          <w:color w:val="000000"/>
          <w:kern w:val="2"/>
          <w:sz w:val="21"/>
          <w:szCs w:val="21"/>
          <w:highlight w:val="none"/>
          <w:lang w:val="en-US" w:eastAsia="zh-CN" w:bidi="ar-SA"/>
        </w:rPr>
        <w:t>大同市云州街99号中国重汽集团大同齿轮有限公司厂区</w:t>
      </w:r>
    </w:p>
    <w:p w14:paraId="7D136E31">
      <w:pPr>
        <w:spacing w:line="360" w:lineRule="auto"/>
        <w:ind w:firstLine="398" w:firstLineChars="189"/>
        <w:rPr>
          <w:rFonts w:hint="eastAsia" w:ascii="宋体" w:hAnsi="宋体" w:cs="宋体"/>
          <w:sz w:val="24"/>
          <w:szCs w:val="24"/>
        </w:rPr>
      </w:pPr>
      <w:r>
        <w:rPr>
          <w:rFonts w:hint="eastAsia" w:hAnsi="宋体" w:cs="宋体"/>
          <w:b/>
          <w:bCs/>
          <w:sz w:val="21"/>
          <w:szCs w:val="21"/>
          <w:highlight w:val="none"/>
          <w:lang w:val="en-US" w:eastAsia="zh-CN"/>
        </w:rPr>
        <w:t>3、</w:t>
      </w: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Courier New" w:eastAsia="宋体" w:cs="Times New Roman"/>
          <w:b w:val="0"/>
          <w:bCs w:val="0"/>
          <w:color w:val="000000"/>
          <w:kern w:val="2"/>
          <w:sz w:val="21"/>
          <w:szCs w:val="21"/>
          <w:highlight w:val="none"/>
          <w:lang w:val="en-US" w:eastAsia="zh-CN" w:bidi="ar-SA"/>
        </w:rPr>
        <w:t>半年期商业汇票（包括银行承兑汇票和商业承兑汇票）</w:t>
      </w:r>
      <w:r>
        <w:rPr>
          <w:rFonts w:hint="eastAsia" w:ascii="宋体" w:hAnsi="宋体" w:cs="宋体"/>
          <w:sz w:val="24"/>
          <w:szCs w:val="24"/>
        </w:rPr>
        <w:t xml:space="preserve">         </w:t>
      </w:r>
    </w:p>
    <w:p w14:paraId="5AA02228">
      <w:pPr>
        <w:spacing w:line="360" w:lineRule="auto"/>
        <w:ind w:firstLine="480" w:firstLineChars="200"/>
        <w:jc w:val="left"/>
        <w:rPr>
          <w:rFonts w:hint="eastAsia" w:ascii="宋体" w:hAnsi="宋体" w:cs="宋体"/>
          <w:sz w:val="24"/>
          <w:szCs w:val="24"/>
        </w:rPr>
      </w:pPr>
      <w:r>
        <w:rPr>
          <w:rFonts w:hint="eastAsia" w:ascii="宋体" w:hAnsi="宋体" w:cs="宋体"/>
          <w:sz w:val="24"/>
          <w:szCs w:val="24"/>
        </w:rPr>
        <w:t>合同价款的支付：3:6:1。全部设备</w:t>
      </w:r>
      <w:r>
        <w:rPr>
          <w:rFonts w:hint="eastAsia" w:ascii="宋体" w:hAnsi="宋体" w:cs="宋体"/>
          <w:sz w:val="24"/>
          <w:szCs w:val="24"/>
          <w:lang w:val="en-US" w:eastAsia="zh-CN"/>
        </w:rPr>
        <w:t>到达甲方现场</w:t>
      </w:r>
      <w:r>
        <w:rPr>
          <w:rFonts w:hint="eastAsia" w:ascii="宋体" w:hAnsi="宋体" w:cs="宋体"/>
          <w:sz w:val="24"/>
          <w:szCs w:val="24"/>
        </w:rPr>
        <w:t>，付30%货款；</w:t>
      </w:r>
      <w:r>
        <w:rPr>
          <w:rFonts w:hint="eastAsia" w:ascii="宋体" w:hAnsi="宋体" w:cs="宋体"/>
          <w:sz w:val="24"/>
          <w:szCs w:val="24"/>
          <w:lang w:val="en-US" w:eastAsia="zh-CN"/>
        </w:rPr>
        <w:t>项目验收合格</w:t>
      </w:r>
      <w:r>
        <w:rPr>
          <w:rFonts w:hint="eastAsia" w:ascii="宋体" w:hAnsi="宋体" w:cs="宋体"/>
          <w:sz w:val="24"/>
          <w:szCs w:val="24"/>
        </w:rPr>
        <w:t>后付款60%，10%为质保金。</w:t>
      </w:r>
    </w:p>
    <w:p w14:paraId="33C20381">
      <w:pPr>
        <w:spacing w:line="360" w:lineRule="auto"/>
        <w:ind w:firstLine="396" w:firstLineChars="189"/>
        <w:rPr>
          <w:rFonts w:hint="eastAsia" w:ascii="宋体" w:hAnsi="Courier New" w:eastAsia="宋体" w:cs="Times New Roman"/>
          <w:b w:val="0"/>
          <w:bCs w:val="0"/>
          <w:color w:val="000000"/>
          <w:kern w:val="2"/>
          <w:sz w:val="21"/>
          <w:szCs w:val="21"/>
          <w:highlight w:val="none"/>
          <w:lang w:val="en-US" w:eastAsia="zh-CN" w:bidi="ar-SA"/>
        </w:rPr>
      </w:pPr>
      <w:r>
        <w:rPr>
          <w:rFonts w:hint="eastAsia" w:ascii="宋体" w:hAnsi="Courier New" w:eastAsia="宋体" w:cs="Times New Roman"/>
          <w:b w:val="0"/>
          <w:bCs w:val="0"/>
          <w:color w:val="000000"/>
          <w:kern w:val="2"/>
          <w:sz w:val="21"/>
          <w:szCs w:val="21"/>
          <w:highlight w:val="none"/>
          <w:lang w:val="en-US" w:eastAsia="zh-CN" w:bidi="ar-SA"/>
        </w:rPr>
        <w:t>A、全部设备到达甲方现场，通过买方初步查验后, 卖方提交金额为合同含税价款30 %的收据（正本一份，复印件二份），经买方依照财务制度审核无误后【30】日后支付。【按照实际业务的SAP付款条件填写】</w:t>
      </w:r>
    </w:p>
    <w:p w14:paraId="24958B4C">
      <w:pPr>
        <w:spacing w:line="360" w:lineRule="auto"/>
        <w:ind w:firstLine="396" w:firstLineChars="189"/>
        <w:rPr>
          <w:rFonts w:hint="eastAsia" w:ascii="宋体" w:hAnsi="Courier New" w:eastAsia="宋体" w:cs="Times New Roman"/>
          <w:b w:val="0"/>
          <w:bCs w:val="0"/>
          <w:color w:val="000000"/>
          <w:kern w:val="2"/>
          <w:sz w:val="21"/>
          <w:szCs w:val="21"/>
          <w:highlight w:val="none"/>
          <w:lang w:val="en-US" w:eastAsia="zh-CN" w:bidi="ar-SA"/>
        </w:rPr>
      </w:pPr>
      <w:r>
        <w:rPr>
          <w:rFonts w:hint="eastAsia" w:ascii="宋体" w:hAnsi="Courier New" w:eastAsia="宋体" w:cs="Times New Roman"/>
          <w:b w:val="0"/>
          <w:bCs w:val="0"/>
          <w:color w:val="000000"/>
          <w:kern w:val="2"/>
          <w:sz w:val="21"/>
          <w:szCs w:val="21"/>
          <w:highlight w:val="none"/>
          <w:lang w:val="en-US" w:eastAsia="zh-CN" w:bidi="ar-SA"/>
        </w:rPr>
        <w:t>B、项目验收合格后，卖方提交金额为合同含税价款60 %的收据及合同全额增值税专用发票（税率为 13   %，正本一份，复印件二份）并附带该套合同设备最终验收报告的原件及其复印件两份，经买方依照财务制度审核无误后【30】日后支付：【按照实际业务的SAP付款条件填写】</w:t>
      </w:r>
    </w:p>
    <w:p w14:paraId="7D6C5E57">
      <w:pPr>
        <w:spacing w:line="360" w:lineRule="auto"/>
        <w:ind w:firstLine="396" w:firstLineChars="189"/>
        <w:rPr>
          <w:rFonts w:hint="eastAsia" w:ascii="宋体" w:hAnsi="Courier New" w:eastAsia="宋体" w:cs="Times New Roman"/>
          <w:b w:val="0"/>
          <w:bCs w:val="0"/>
          <w:color w:val="000000"/>
          <w:kern w:val="2"/>
          <w:sz w:val="21"/>
          <w:szCs w:val="21"/>
          <w:highlight w:val="none"/>
          <w:lang w:val="en-US" w:eastAsia="zh-CN" w:bidi="ar-SA"/>
        </w:rPr>
      </w:pPr>
      <w:bookmarkStart w:id="6" w:name="_Toc14676804"/>
      <w:bookmarkStart w:id="7" w:name="_Toc14531628"/>
      <w:r>
        <w:rPr>
          <w:rFonts w:hint="eastAsia" w:ascii="宋体" w:hAnsi="Courier New" w:eastAsia="宋体" w:cs="Times New Roman"/>
          <w:b w:val="0"/>
          <w:bCs w:val="0"/>
          <w:color w:val="000000"/>
          <w:kern w:val="2"/>
          <w:sz w:val="21"/>
          <w:szCs w:val="21"/>
          <w:highlight w:val="none"/>
          <w:lang w:val="en-US" w:eastAsia="zh-CN" w:bidi="ar-SA"/>
        </w:rPr>
        <w:t>C、合同含税总价款的 10 %作为本合同约定设备的质量保证金，质量保证金在质量保证期内不计利息。待项目质量保证期满后，卖方向买方提交金额为合同价款10%的收据（正本一份，复印件二份）及项目使用单位的使用情况说明，经买方依照财务制度审核无误后【30】日后支付。【按照实际业务的SAP付款条件填写】如有质量问题，质量保证金予以相应扣除。</w:t>
      </w:r>
      <w:bookmarkEnd w:id="6"/>
      <w:bookmarkEnd w:id="7"/>
    </w:p>
    <w:p w14:paraId="73D415F5">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6E0D7439">
      <w:pPr>
        <w:pStyle w:val="73"/>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ascii="黑体" w:hAnsi="黑体" w:eastAsia="黑体" w:cs="黑体"/>
          <w:sz w:val="28"/>
          <w:szCs w:val="28"/>
          <w:lang w:val="en-US" w:eastAsia="zh-CN"/>
        </w:rPr>
        <w:t>。</w:t>
      </w:r>
    </w:p>
    <w:p w14:paraId="23E75332">
      <w:pPr>
        <w:rPr>
          <w:rFonts w:hint="default" w:hAnsi="宋体"/>
          <w:sz w:val="24"/>
          <w:lang w:val="en-US"/>
        </w:rPr>
      </w:pPr>
      <w:r>
        <w:rPr>
          <w:rFonts w:hint="default" w:hAnsi="宋体"/>
          <w:sz w:val="24"/>
          <w:lang w:val="en-US"/>
        </w:rPr>
        <w:br w:type="page"/>
      </w:r>
    </w:p>
    <w:p w14:paraId="56A6EBF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8" w:name="_Toc212369550"/>
      <w:bookmarkStart w:id="9" w:name="_Toc25811"/>
      <w:bookmarkStart w:id="10" w:name="_Toc353881012"/>
      <w:bookmarkStart w:id="11"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8"/>
      <w:bookmarkEnd w:id="9"/>
      <w:bookmarkEnd w:id="10"/>
      <w:bookmarkEnd w:id="11"/>
    </w:p>
    <w:p w14:paraId="6E4810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4295EF46">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根据贵方</w:t>
      </w:r>
      <w:r>
        <w:rPr>
          <w:rFonts w:hint="eastAsia" w:ascii="宋体" w:hAnsi="宋体" w:cs="宋体"/>
          <w:b/>
          <w:bCs/>
          <w:sz w:val="24"/>
          <w:szCs w:val="24"/>
          <w:highlight w:val="none"/>
          <w:u w:val="single"/>
          <w:lang w:val="en-US" w:eastAsia="zh-CN"/>
        </w:rPr>
        <w:t>危废库新增废气治理和消防报警设施项目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hint="eastAsia" w:ascii="宋体" w:hAnsi="宋体" w:cs="Times New Roman"/>
          <w:bCs/>
          <w:snapToGrid w:val="0"/>
          <w:color w:val="000000"/>
          <w:kern w:val="0"/>
          <w:sz w:val="24"/>
          <w:szCs w:val="24"/>
          <w:u w:val="single"/>
          <w:lang w:val="en-US" w:eastAsia="zh-CN"/>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w:t>
      </w:r>
      <w:r>
        <w:rPr>
          <w:rFonts w:hint="eastAsia" w:ascii="宋体" w:hAnsi="宋体" w:eastAsia="宋体" w:cs="Times New Roman"/>
          <w:color w:val="000000"/>
          <w:sz w:val="24"/>
          <w:szCs w:val="24"/>
          <w:lang w:eastAsia="zh-CN"/>
        </w:rPr>
        <w:t>。</w:t>
      </w:r>
    </w:p>
    <w:p w14:paraId="471EB9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DEF39A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D2EEC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0640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46AC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761ED6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9630F8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F4C49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5031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496EB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39A2C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3B7A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3CDA5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9FF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85795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3B963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82FE251">
      <w:pPr>
        <w:rPr>
          <w:rFonts w:ascii="黑体" w:hAnsi="Calibri" w:eastAsia="黑体" w:cs="Times New Roman"/>
          <w:color w:val="000000"/>
          <w:sz w:val="24"/>
          <w:szCs w:val="24"/>
        </w:rPr>
      </w:pPr>
    </w:p>
    <w:p w14:paraId="7CADBD8E">
      <w:pPr>
        <w:pStyle w:val="2"/>
        <w:rPr>
          <w:rFonts w:ascii="黑体" w:hAnsi="Calibri" w:eastAsia="黑体" w:cs="Times New Roman"/>
          <w:color w:val="000000"/>
          <w:sz w:val="24"/>
          <w:szCs w:val="24"/>
        </w:rPr>
      </w:pPr>
    </w:p>
    <w:p w14:paraId="4CA7A370">
      <w:pPr>
        <w:pStyle w:val="2"/>
        <w:rPr>
          <w:rFonts w:ascii="黑体" w:hAnsi="Calibri" w:eastAsia="黑体" w:cs="Times New Roman"/>
          <w:color w:val="000000"/>
          <w:sz w:val="24"/>
          <w:szCs w:val="24"/>
        </w:rPr>
      </w:pPr>
    </w:p>
    <w:p w14:paraId="28AE6C52">
      <w:pPr>
        <w:pStyle w:val="2"/>
        <w:rPr>
          <w:rFonts w:ascii="黑体" w:hAnsi="Calibri" w:eastAsia="黑体" w:cs="Times New Roman"/>
          <w:color w:val="000000"/>
          <w:sz w:val="24"/>
          <w:szCs w:val="24"/>
        </w:rPr>
      </w:pPr>
    </w:p>
    <w:p w14:paraId="44A19F45">
      <w:pPr>
        <w:pStyle w:val="2"/>
        <w:rPr>
          <w:rFonts w:ascii="黑体" w:hAnsi="Calibri" w:eastAsia="黑体" w:cs="Times New Roman"/>
          <w:color w:val="000000"/>
          <w:sz w:val="24"/>
          <w:szCs w:val="24"/>
        </w:rPr>
      </w:pPr>
    </w:p>
    <w:p w14:paraId="7F655D9A">
      <w:pPr>
        <w:rPr>
          <w:rFonts w:ascii="黑体" w:hAnsi="Calibri" w:eastAsia="黑体" w:cs="Times New Roman"/>
          <w:color w:val="000000"/>
          <w:sz w:val="24"/>
          <w:szCs w:val="24"/>
        </w:rPr>
      </w:pPr>
    </w:p>
    <w:p w14:paraId="3C93828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D1A60D8">
      <w:pPr>
        <w:adjustRightInd w:val="0"/>
        <w:snapToGrid w:val="0"/>
        <w:spacing w:before="93" w:beforeLines="30" w:line="240" w:lineRule="exact"/>
        <w:jc w:val="center"/>
        <w:rPr>
          <w:rFonts w:ascii="宋体" w:hAnsi="Calibri" w:eastAsia="宋体" w:cs="Times New Roman"/>
          <w:sz w:val="24"/>
          <w:szCs w:val="20"/>
        </w:rPr>
      </w:pPr>
    </w:p>
    <w:p w14:paraId="430A16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宋体"/>
          <w:b/>
          <w:bCs/>
          <w:sz w:val="24"/>
          <w:szCs w:val="24"/>
          <w:highlight w:val="none"/>
          <w:u w:val="single"/>
          <w:lang w:val="en-US" w:eastAsia="zh-CN"/>
        </w:rPr>
        <w:t>危废库新增废气治理和消防报警设施项目</w:t>
      </w:r>
      <w:r>
        <w:rPr>
          <w:rFonts w:hint="eastAsia" w:ascii="宋体" w:hAnsi="宋体" w:eastAsia="宋体" w:cs="Times New Roman"/>
          <w:b/>
          <w:bCs/>
          <w:color w:val="000000"/>
          <w:sz w:val="24"/>
          <w:szCs w:val="24"/>
          <w:u w:val="single"/>
          <w:lang w:eastAsia="zh-CN"/>
        </w:rPr>
        <w:t>（</w:t>
      </w:r>
      <w:r>
        <w:rPr>
          <w:rFonts w:hint="eastAsia" w:ascii="宋体" w:hAnsi="宋体" w:cs="宋体"/>
          <w:b/>
          <w:bCs/>
          <w:sz w:val="24"/>
          <w:szCs w:val="24"/>
          <w:highlight w:val="none"/>
          <w:lang w:val="en-US" w:eastAsia="zh-CN"/>
        </w:rPr>
        <w:t>FSCZB2025100027</w:t>
      </w:r>
      <w:r>
        <w:rPr>
          <w:rFonts w:hint="eastAsia" w:ascii="宋体" w:hAnsi="宋体" w:eastAsia="宋体" w:cs="Times New Roman"/>
          <w:b/>
          <w:bCs/>
          <w:color w:val="000000"/>
          <w:sz w:val="24"/>
          <w:szCs w:val="24"/>
          <w:u w:val="single"/>
          <w:lang w:eastAsia="zh-CN"/>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4430C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6BED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7E4DF9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3DC1A6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B7E48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14C08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2159C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7C91A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450F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E602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5BA07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6DB774">
      <w:pPr>
        <w:rPr>
          <w:rFonts w:ascii="Calibri" w:hAnsi="Calibri" w:eastAsia="黑体" w:cs="Times New Roman"/>
          <w:b/>
          <w:bCs/>
          <w:color w:val="000000"/>
          <w:sz w:val="28"/>
          <w:szCs w:val="20"/>
        </w:rPr>
      </w:pPr>
    </w:p>
    <w:p w14:paraId="59A499E2">
      <w:pPr>
        <w:pStyle w:val="2"/>
        <w:rPr>
          <w:rFonts w:ascii="Calibri" w:hAnsi="Calibri" w:eastAsia="黑体" w:cs="Times New Roman"/>
          <w:b/>
          <w:bCs/>
          <w:color w:val="000000"/>
          <w:sz w:val="28"/>
          <w:szCs w:val="20"/>
        </w:rPr>
        <w:sectPr>
          <w:footerReference r:id="rId8" w:type="first"/>
          <w:headerReference r:id="rId6" w:type="default"/>
          <w:footerReference r:id="rId7" w:type="default"/>
          <w:pgSz w:w="11906" w:h="16838"/>
          <w:pgMar w:top="1588" w:right="1418" w:bottom="1134" w:left="1418" w:header="851" w:footer="992" w:gutter="0"/>
          <w:cols w:space="720" w:num="1"/>
          <w:titlePg/>
          <w:docGrid w:type="lines" w:linePitch="312" w:charSpace="0"/>
        </w:sectPr>
      </w:pPr>
    </w:p>
    <w:p w14:paraId="396A5D81">
      <w:pPr>
        <w:keepNext/>
        <w:keepLines/>
        <w:outlineLvl w:val="2"/>
        <w:rPr>
          <w:rFonts w:hint="eastAsia" w:ascii="宋体" w:hAnsi="宋体" w:eastAsia="宋体" w:cs="宋体"/>
          <w:b w:val="0"/>
          <w:bCs w:val="0"/>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b w:val="0"/>
          <w:bCs w:val="0"/>
          <w:spacing w:val="-14"/>
          <w:sz w:val="24"/>
          <w:szCs w:val="24"/>
          <w14:textOutline w14:w="4356" w14:cap="sq" w14:cmpd="sng">
            <w14:solidFill>
              <w14:srgbClr w14:val="000000"/>
            </w14:solidFill>
            <w14:prstDash w14:val="solid"/>
            <w14:bevel/>
          </w14:textOutline>
        </w:rPr>
        <w:t>件</w:t>
      </w: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 xml:space="preserve">3 </w:t>
      </w:r>
      <w:r>
        <w:rPr>
          <w:rFonts w:hint="eastAsia" w:ascii="宋体" w:hAnsi="宋体" w:eastAsia="宋体" w:cs="宋体"/>
          <w:b w:val="0"/>
          <w:bCs w:val="0"/>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b w:val="0"/>
          <w:bCs w:val="0"/>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b w:val="0"/>
          <w:bCs w:val="0"/>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b w:val="0"/>
          <w:bCs w:val="0"/>
          <w:spacing w:val="7"/>
          <w:sz w:val="24"/>
          <w:szCs w:val="24"/>
          <w14:textOutline w14:w="4356" w14:cap="sq" w14:cmpd="sng">
            <w14:solidFill>
              <w14:srgbClr w14:val="000000"/>
            </w14:solidFill>
            <w14:prstDash w14:val="solid"/>
            <w14:bevel/>
          </w14:textOutline>
        </w:rPr>
        <w:t>表</w:t>
      </w:r>
    </w:p>
    <w:p w14:paraId="0144CA5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1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2"/>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2"/>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2"/>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2"/>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2"/>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2"/>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2"/>
              <w:spacing w:before="111"/>
              <w:ind w:left="509"/>
              <w:rPr>
                <w:highlight w:val="yellow"/>
              </w:rPr>
            </w:pPr>
            <w:r>
              <w:t xml:space="preserve">企业法人代表  </w:t>
            </w:r>
          </w:p>
        </w:tc>
        <w:tc>
          <w:tcPr>
            <w:tcW w:w="4680" w:type="dxa"/>
            <w:gridSpan w:val="4"/>
          </w:tcPr>
          <w:p w14:paraId="4B5F8599">
            <w:pPr>
              <w:pStyle w:val="5"/>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2"/>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2"/>
              <w:spacing w:before="114"/>
              <w:ind w:left="720"/>
            </w:pPr>
            <w:r>
              <w:t xml:space="preserve">品牌区分 </w:t>
            </w:r>
          </w:p>
        </w:tc>
        <w:tc>
          <w:tcPr>
            <w:tcW w:w="7500" w:type="dxa"/>
            <w:gridSpan w:val="6"/>
          </w:tcPr>
          <w:p w14:paraId="3BAE0FF2">
            <w:pPr>
              <w:pStyle w:val="112"/>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2"/>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2"/>
              <w:spacing w:before="15"/>
              <w:ind w:left="279"/>
            </w:pPr>
            <w:r>
              <w:rPr>
                <w:spacing w:val="-2"/>
              </w:rPr>
              <w:t>质量</w:t>
            </w:r>
            <w:r>
              <w:t xml:space="preserve"> </w:t>
            </w:r>
          </w:p>
          <w:p w14:paraId="38F7D920">
            <w:pPr>
              <w:pStyle w:val="112"/>
              <w:spacing w:before="30" w:line="277" w:lineRule="exact"/>
              <w:ind w:left="279"/>
            </w:pPr>
            <w:r>
              <w:rPr>
                <w:rFonts w:hint="eastAsia"/>
              </w:rPr>
              <w:t>体系</w:t>
            </w:r>
          </w:p>
        </w:tc>
        <w:tc>
          <w:tcPr>
            <w:tcW w:w="2820" w:type="dxa"/>
            <w:gridSpan w:val="2"/>
          </w:tcPr>
          <w:p w14:paraId="53E9DAB1">
            <w:pPr>
              <w:pStyle w:val="112"/>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2"/>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2"/>
        <w:rPr>
          <w:rFonts w:ascii="Times New Roman" w:hAnsi="Times New Roman" w:eastAsia="宋体" w:cs="Times New Roman"/>
          <w:b/>
          <w:bCs/>
          <w:color w:val="000000"/>
          <w:sz w:val="24"/>
          <w:szCs w:val="24"/>
        </w:rPr>
      </w:pPr>
    </w:p>
    <w:p w14:paraId="37100778">
      <w:pPr>
        <w:pStyle w:val="2"/>
        <w:rPr>
          <w:rFonts w:ascii="Times New Roman" w:hAnsi="Times New Roman" w:eastAsia="宋体" w:cs="Times New Roman"/>
          <w:b/>
          <w:bCs/>
          <w:color w:val="000000"/>
          <w:sz w:val="24"/>
          <w:szCs w:val="24"/>
        </w:rPr>
      </w:pPr>
    </w:p>
    <w:p w14:paraId="39756F36">
      <w:pPr>
        <w:pStyle w:val="2"/>
        <w:rPr>
          <w:rFonts w:ascii="Times New Roman" w:hAnsi="Times New Roman" w:eastAsia="宋体" w:cs="Times New Roman"/>
          <w:b/>
          <w:bCs/>
          <w:color w:val="000000"/>
          <w:sz w:val="24"/>
          <w:szCs w:val="24"/>
        </w:rPr>
      </w:pPr>
    </w:p>
    <w:p w14:paraId="73D8D3DE">
      <w:pPr>
        <w:pStyle w:val="2"/>
        <w:rPr>
          <w:rFonts w:ascii="Times New Roman" w:hAnsi="Times New Roman" w:eastAsia="宋体" w:cs="Times New Roman"/>
          <w:b/>
          <w:bCs/>
          <w:color w:val="000000"/>
          <w:sz w:val="24"/>
          <w:szCs w:val="24"/>
        </w:rPr>
      </w:pPr>
    </w:p>
    <w:p w14:paraId="527F4C72">
      <w:pPr>
        <w:pStyle w:val="2"/>
        <w:rPr>
          <w:rFonts w:ascii="Times New Roman" w:hAnsi="Times New Roman" w:eastAsia="宋体" w:cs="Times New Roman"/>
          <w:b/>
          <w:bCs/>
          <w:color w:val="000000"/>
          <w:sz w:val="24"/>
          <w:szCs w:val="24"/>
        </w:rPr>
      </w:pPr>
    </w:p>
    <w:p w14:paraId="792B9788">
      <w:pPr>
        <w:pStyle w:val="2"/>
        <w:rPr>
          <w:rFonts w:ascii="Times New Roman" w:hAnsi="Times New Roman" w:eastAsia="宋体" w:cs="Times New Roman"/>
          <w:b/>
          <w:bCs/>
          <w:color w:val="000000"/>
          <w:sz w:val="24"/>
          <w:szCs w:val="24"/>
        </w:rPr>
      </w:pPr>
    </w:p>
    <w:p w14:paraId="0561AF60">
      <w:pPr>
        <w:pStyle w:val="2"/>
        <w:rPr>
          <w:rFonts w:ascii="Times New Roman" w:hAnsi="Times New Roman" w:eastAsia="宋体" w:cs="Times New Roman"/>
          <w:b/>
          <w:bCs/>
          <w:color w:val="000000"/>
          <w:sz w:val="24"/>
          <w:szCs w:val="24"/>
        </w:rPr>
      </w:pPr>
    </w:p>
    <w:p w14:paraId="78F0A321">
      <w:pPr>
        <w:pStyle w:val="2"/>
        <w:rPr>
          <w:rFonts w:ascii="Times New Roman" w:hAnsi="Times New Roman" w:eastAsia="宋体" w:cs="Times New Roman"/>
          <w:b/>
          <w:bCs/>
          <w:color w:val="000000"/>
          <w:sz w:val="24"/>
          <w:szCs w:val="24"/>
        </w:rPr>
      </w:pPr>
    </w:p>
    <w:p w14:paraId="54D6387F">
      <w:pPr>
        <w:pStyle w:val="2"/>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4935736">
      <w:pPr>
        <w:pStyle w:val="2"/>
        <w:outlineLvl w:val="3"/>
        <w:rPr>
          <w:rFonts w:hint="eastAsia" w:ascii="Times New Roman" w:hAnsi="Times New Roman" w:eastAsia="宋体" w:cs="Times New Roman"/>
          <w:b/>
          <w:bCs/>
          <w:color w:val="000000"/>
          <w:sz w:val="24"/>
          <w:szCs w:val="24"/>
        </w:rPr>
      </w:pP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C7CBDE8">
      <w:pPr>
        <w:rPr>
          <w:rFonts w:ascii="宋体" w:hAnsi="Calibri" w:eastAsia="宋体" w:cs="宋体"/>
          <w:b/>
          <w:bCs/>
          <w:color w:val="000000"/>
          <w:sz w:val="28"/>
          <w:szCs w:val="20"/>
        </w:rPr>
        <w:sectPr>
          <w:footerReference r:id="rId10" w:type="first"/>
          <w:footerReference r:id="rId9" w:type="default"/>
          <w:pgSz w:w="11906" w:h="16838"/>
          <w:pgMar w:top="1588" w:right="1418" w:bottom="1134" w:left="1418" w:header="851" w:footer="992" w:gutter="0"/>
          <w:cols w:space="720" w:num="1"/>
          <w:titlePg/>
          <w:docGrid w:type="lines" w:linePitch="312" w:charSpace="0"/>
        </w:sectPr>
      </w:pPr>
    </w:p>
    <w:p w14:paraId="7F7233A4">
      <w:pPr>
        <w:pStyle w:val="2"/>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14:paraId="17346439">
      <w:pPr>
        <w:numPr>
          <w:ilvl w:val="0"/>
          <w:numId w:val="12"/>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2"/>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5F803865">
      <w:pPr>
        <w:pStyle w:val="2"/>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2" cstate="print"/>
                    <a:srcRect/>
                    <a:stretch>
                      <a:fillRect/>
                    </a:stretch>
                  </pic:blipFill>
                  <pic:spPr>
                    <a:xfrm>
                      <a:off x="0" y="0"/>
                      <a:ext cx="5760085" cy="2820035"/>
                    </a:xfrm>
                    <a:prstGeom prst="rect">
                      <a:avLst/>
                    </a:prstGeom>
                  </pic:spPr>
                </pic:pic>
              </a:graphicData>
            </a:graphic>
          </wp:inline>
        </w:drawing>
      </w:r>
    </w:p>
    <w:p w14:paraId="1B088E0A">
      <w:pPr>
        <w:pStyle w:val="2"/>
      </w:pPr>
    </w:p>
    <w:p w14:paraId="7AAAB53F">
      <w:pPr>
        <w:pStyle w:val="2"/>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2"/>
        <w:rPr>
          <w:highlight w:val="none"/>
        </w:rPr>
      </w:pPr>
      <w:r>
        <w:rPr>
          <w:rFonts w:hint="eastAsia" w:hAnsi="宋体" w:eastAsia="宋体" w:cs="宋体"/>
          <w:b/>
          <w:bCs/>
          <w:color w:val="000000"/>
          <w:sz w:val="24"/>
          <w:szCs w:val="28"/>
          <w:highlight w:val="none"/>
        </w:rPr>
        <w:t>2.配套能力“供货类别”填“直管单位非生产招标 / 货物 / 环保”，业务主管部门选择“安全环保部”。</w:t>
      </w:r>
    </w:p>
    <w:p w14:paraId="58853693">
      <w:pPr>
        <w:pStyle w:val="2"/>
        <w:sectPr>
          <w:headerReference r:id="rId12" w:type="first"/>
          <w:footerReference r:id="rId14" w:type="first"/>
          <w:headerReference r:id="rId11" w:type="default"/>
          <w:footerReference r:id="rId13" w:type="default"/>
          <w:pgSz w:w="11906" w:h="16838"/>
          <w:pgMar w:top="1588" w:right="1418" w:bottom="1134" w:left="1418" w:header="851" w:footer="992" w:gutter="0"/>
          <w:cols w:space="720" w:num="1"/>
          <w:titlePg/>
          <w:docGrid w:type="lines" w:linePitch="312" w:charSpace="0"/>
        </w:sectPr>
      </w:pPr>
    </w:p>
    <w:p w14:paraId="75321FE7">
      <w:pPr>
        <w:pStyle w:val="2"/>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3"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4"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2"/>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5"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7F6E8ED1">
      <w:pPr>
        <w:spacing w:line="360" w:lineRule="auto"/>
        <w:rPr>
          <w:rFonts w:hint="eastAsia" w:ascii="宋体" w:hAnsi="宋体" w:eastAsia="宋体" w:cs="宋体"/>
          <w:color w:val="000000"/>
          <w:sz w:val="24"/>
          <w:szCs w:val="24"/>
          <w:lang w:eastAsia="zh-CN"/>
        </w:rPr>
      </w:pPr>
      <w:r>
        <w:rPr>
          <w:rFonts w:ascii="宋体" w:hAnsi="宋体" w:eastAsia="宋体" w:cs="宋体"/>
          <w:color w:val="000000"/>
          <w:sz w:val="24"/>
          <w:szCs w:val="24"/>
        </w:rPr>
        <w:t>开标之后所有投标的供应商都可编辑提交，技术标入围之后都不可编辑</w:t>
      </w:r>
      <w:r>
        <w:rPr>
          <w:rFonts w:hint="eastAsia" w:ascii="宋体" w:hAnsi="宋体" w:cs="宋体"/>
          <w:color w:val="000000"/>
          <w:sz w:val="24"/>
          <w:szCs w:val="24"/>
          <w:lang w:eastAsia="zh-CN"/>
        </w:rPr>
        <w:t>。</w:t>
      </w:r>
    </w:p>
    <w:p w14:paraId="5D4411EA">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6"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7"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8" cstate="print"/>
                    <a:srcRect/>
                    <a:stretch>
                      <a:fillRect/>
                    </a:stretch>
                  </pic:blipFill>
                  <pic:spPr>
                    <a:xfrm>
                      <a:off x="0" y="0"/>
                      <a:ext cx="5760085" cy="1956435"/>
                    </a:xfrm>
                    <a:prstGeom prst="rect">
                      <a:avLst/>
                    </a:prstGeom>
                  </pic:spPr>
                </pic:pic>
              </a:graphicData>
            </a:graphic>
          </wp:inline>
        </w:drawing>
      </w:r>
    </w:p>
    <w:p w14:paraId="1BA320C9">
      <w:pPr>
        <w:pStyle w:val="2"/>
        <w:rPr>
          <w:rFonts w:hAnsi="宋体" w:eastAsia="宋体" w:cs="Times New Roman"/>
          <w:b/>
          <w:color w:val="000000"/>
          <w:sz w:val="24"/>
          <w:szCs w:val="24"/>
        </w:rPr>
      </w:pPr>
    </w:p>
    <w:p w14:paraId="380218D1">
      <w:pPr>
        <w:pStyle w:val="2"/>
        <w:rPr>
          <w:rFonts w:hAnsi="宋体" w:eastAsia="宋体" w:cs="Times New Roman"/>
          <w:b/>
          <w:color w:val="000000"/>
          <w:sz w:val="24"/>
          <w:szCs w:val="24"/>
        </w:rPr>
      </w:pPr>
    </w:p>
    <w:p w14:paraId="66308F9E">
      <w:pPr>
        <w:pStyle w:val="77"/>
        <w:rPr>
          <w:rFonts w:hint="default" w:hAnsi="宋体"/>
          <w:sz w:val="24"/>
          <w:lang w:val="en-US"/>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Wingdings 2">
    <w:altName w:val="Wingdings"/>
    <w:panose1 w:val="05020102010507070707"/>
    <w:charset w:val="02"/>
    <w:family w:val="roman"/>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9"/>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9"/>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9"/>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9"/>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0"/>
    </w:pPr>
  </w:p>
  <w:p w14:paraId="3AC74D7F">
    <w:pPr>
      <w:pStyle w:val="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1">
    <w:nsid w:val="BD4C6742"/>
    <w:multiLevelType w:val="singleLevel"/>
    <w:tmpl w:val="BD4C6742"/>
    <w:lvl w:ilvl="0" w:tentative="0">
      <w:start w:val="1"/>
      <w:numFmt w:val="decimal"/>
      <w:lvlText w:val="%1."/>
      <w:lvlJc w:val="left"/>
      <w:pPr>
        <w:ind w:left="425" w:hanging="425"/>
      </w:pPr>
      <w:rPr>
        <w:rFonts w:hint="default"/>
      </w:r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5">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6">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8">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9">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0">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6"/>
  </w:num>
  <w:num w:numId="2">
    <w:abstractNumId w:val="10"/>
  </w:num>
  <w:num w:numId="3">
    <w:abstractNumId w:val="9"/>
  </w:num>
  <w:num w:numId="4">
    <w:abstractNumId w:val="7"/>
  </w:num>
  <w:num w:numId="5">
    <w:abstractNumId w:val="3"/>
  </w:num>
  <w:num w:numId="6">
    <w:abstractNumId w:val="4"/>
  </w:num>
  <w:num w:numId="7">
    <w:abstractNumId w:val="5"/>
  </w:num>
  <w:num w:numId="8">
    <w:abstractNumId w:val="8"/>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4315549"/>
    <w:rsid w:val="057C1D39"/>
    <w:rsid w:val="05891259"/>
    <w:rsid w:val="08633479"/>
    <w:rsid w:val="0ACD236E"/>
    <w:rsid w:val="0C136B51"/>
    <w:rsid w:val="0CB51572"/>
    <w:rsid w:val="0E4D31E3"/>
    <w:rsid w:val="0F9B0CA3"/>
    <w:rsid w:val="10D421FF"/>
    <w:rsid w:val="10DC2AA3"/>
    <w:rsid w:val="10FA7C8C"/>
    <w:rsid w:val="118045F5"/>
    <w:rsid w:val="130B198F"/>
    <w:rsid w:val="16A918E4"/>
    <w:rsid w:val="17D966D6"/>
    <w:rsid w:val="189044AC"/>
    <w:rsid w:val="19D57F25"/>
    <w:rsid w:val="1BBB0B95"/>
    <w:rsid w:val="1BC71D3B"/>
    <w:rsid w:val="1C59115B"/>
    <w:rsid w:val="1FB23E60"/>
    <w:rsid w:val="221B2F87"/>
    <w:rsid w:val="22C5630B"/>
    <w:rsid w:val="23EC0BA6"/>
    <w:rsid w:val="24701A48"/>
    <w:rsid w:val="260E1730"/>
    <w:rsid w:val="268B0052"/>
    <w:rsid w:val="27743C90"/>
    <w:rsid w:val="29CA2459"/>
    <w:rsid w:val="2A434202"/>
    <w:rsid w:val="2B271A58"/>
    <w:rsid w:val="2B6304A7"/>
    <w:rsid w:val="2BAB52D9"/>
    <w:rsid w:val="2BCD1855"/>
    <w:rsid w:val="2CF6734C"/>
    <w:rsid w:val="2D663463"/>
    <w:rsid w:val="2EF96EE4"/>
    <w:rsid w:val="34AD6C9C"/>
    <w:rsid w:val="36254FE4"/>
    <w:rsid w:val="372F61E0"/>
    <w:rsid w:val="379C1C4F"/>
    <w:rsid w:val="39322FCA"/>
    <w:rsid w:val="398C3264"/>
    <w:rsid w:val="3AB90991"/>
    <w:rsid w:val="3B706131"/>
    <w:rsid w:val="3E6F041E"/>
    <w:rsid w:val="4275481E"/>
    <w:rsid w:val="428B617A"/>
    <w:rsid w:val="433D7BDC"/>
    <w:rsid w:val="437E1813"/>
    <w:rsid w:val="45A55BAA"/>
    <w:rsid w:val="45BD47FC"/>
    <w:rsid w:val="45CC5FB2"/>
    <w:rsid w:val="469011FB"/>
    <w:rsid w:val="46B75BA8"/>
    <w:rsid w:val="48C97955"/>
    <w:rsid w:val="49880C8F"/>
    <w:rsid w:val="4A8835F7"/>
    <w:rsid w:val="4B592E71"/>
    <w:rsid w:val="4C1031E2"/>
    <w:rsid w:val="4C2D4AE8"/>
    <w:rsid w:val="4EFA36BF"/>
    <w:rsid w:val="4FBE01E7"/>
    <w:rsid w:val="514C6556"/>
    <w:rsid w:val="51954F77"/>
    <w:rsid w:val="52B9239A"/>
    <w:rsid w:val="54BD78FD"/>
    <w:rsid w:val="562C3D76"/>
    <w:rsid w:val="58A86DDE"/>
    <w:rsid w:val="59154AD7"/>
    <w:rsid w:val="5ADF548D"/>
    <w:rsid w:val="5D5C60B4"/>
    <w:rsid w:val="63F04A69"/>
    <w:rsid w:val="64DF6B5C"/>
    <w:rsid w:val="66A50B1E"/>
    <w:rsid w:val="67B2063C"/>
    <w:rsid w:val="67C97AC3"/>
    <w:rsid w:val="67E30EC1"/>
    <w:rsid w:val="683B1ABD"/>
    <w:rsid w:val="6A4E3B2B"/>
    <w:rsid w:val="6B481C3B"/>
    <w:rsid w:val="6C1331A3"/>
    <w:rsid w:val="6CA84BC1"/>
    <w:rsid w:val="6D3E4756"/>
    <w:rsid w:val="6DE17DBE"/>
    <w:rsid w:val="6EA168B2"/>
    <w:rsid w:val="6FC523EB"/>
    <w:rsid w:val="72895F2E"/>
    <w:rsid w:val="72C02EBE"/>
    <w:rsid w:val="72C507AD"/>
    <w:rsid w:val="72D028D8"/>
    <w:rsid w:val="745D47C3"/>
    <w:rsid w:val="75D84470"/>
    <w:rsid w:val="76AC3757"/>
    <w:rsid w:val="7B02692A"/>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0"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5"/>
    <w:semiHidden/>
    <w:qFormat/>
    <w:uiPriority w:val="0"/>
    <w:pPr>
      <w:keepNext/>
      <w:keepLines/>
      <w:spacing w:line="416" w:lineRule="auto"/>
      <w:outlineLvl w:val="2"/>
    </w:pPr>
    <w:rPr>
      <w:b/>
      <w:bCs/>
      <w:sz w:val="32"/>
      <w:szCs w:val="32"/>
    </w:rPr>
  </w:style>
  <w:style w:type="paragraph" w:styleId="6">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2"/>
    <w:qFormat/>
    <w:uiPriority w:val="0"/>
    <w:rPr>
      <w:rFonts w:ascii="宋体" w:hAnsi="Courier New"/>
    </w:rPr>
  </w:style>
  <w:style w:type="paragraph" w:styleId="8">
    <w:name w:val="E-mail Signature"/>
    <w:basedOn w:val="1"/>
    <w:link w:val="105"/>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7"/>
    <w:qFormat/>
    <w:uiPriority w:val="99"/>
    <w:pPr>
      <w:jc w:val="left"/>
    </w:pPr>
  </w:style>
  <w:style w:type="paragraph" w:styleId="12">
    <w:name w:val="Body Text 3"/>
    <w:basedOn w:val="1"/>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3">
    <w:name w:val="Body Text"/>
    <w:basedOn w:val="1"/>
    <w:link w:val="43"/>
    <w:semiHidden/>
    <w:qFormat/>
    <w:uiPriority w:val="98"/>
    <w:rPr>
      <w:rFonts w:ascii="仿宋_GB2312" w:eastAsia="仿宋_GB2312"/>
      <w:sz w:val="32"/>
    </w:rPr>
  </w:style>
  <w:style w:type="paragraph" w:styleId="14">
    <w:name w:val="Body Text Indent"/>
    <w:basedOn w:val="1"/>
    <w:link w:val="50"/>
    <w:semiHidden/>
    <w:qFormat/>
    <w:uiPriority w:val="0"/>
    <w:pPr>
      <w:spacing w:after="120"/>
      <w:ind w:left="420" w:leftChars="200"/>
    </w:pPr>
    <w:rPr>
      <w:rFonts w:ascii="Calibri" w:hAnsi="Calibri"/>
      <w:szCs w:val="2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9"/>
    <w:semiHidden/>
    <w:qFormat/>
    <w:uiPriority w:val="0"/>
    <w:rPr>
      <w:sz w:val="18"/>
      <w:szCs w:val="18"/>
    </w:rPr>
  </w:style>
  <w:style w:type="paragraph" w:styleId="19">
    <w:name w:val="footer"/>
    <w:basedOn w:val="1"/>
    <w:link w:val="44"/>
    <w:semiHidden/>
    <w:qFormat/>
    <w:uiPriority w:val="0"/>
    <w:pPr>
      <w:tabs>
        <w:tab w:val="center" w:pos="4153"/>
        <w:tab w:val="right" w:pos="8306"/>
      </w:tabs>
      <w:snapToGrid w:val="0"/>
      <w:jc w:val="left"/>
    </w:pPr>
    <w:rPr>
      <w:sz w:val="18"/>
      <w:szCs w:val="18"/>
    </w:rPr>
  </w:style>
  <w:style w:type="paragraph" w:styleId="20">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1"/>
    <w:next w:val="11"/>
    <w:link w:val="55"/>
    <w:semiHidden/>
    <w:qFormat/>
    <w:uiPriority w:val="98"/>
    <w:rPr>
      <w:b/>
      <w:bCs/>
    </w:rPr>
  </w:style>
  <w:style w:type="paragraph" w:styleId="30">
    <w:name w:val="Body Text First Indent 2"/>
    <w:basedOn w:val="14"/>
    <w:next w:val="1"/>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paragraph" w:customStyle="1" w:styleId="40">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3"/>
    <w:semiHidden/>
    <w:qFormat/>
    <w:uiPriority w:val="98"/>
    <w:rPr>
      <w:rFonts w:ascii="仿宋_GB2312" w:eastAsia="仿宋_GB2312"/>
      <w:kern w:val="2"/>
      <w:sz w:val="32"/>
    </w:rPr>
  </w:style>
  <w:style w:type="character" w:customStyle="1" w:styleId="44">
    <w:name w:val="页脚 字符"/>
    <w:link w:val="19"/>
    <w:semiHidden/>
    <w:qFormat/>
    <w:uiPriority w:val="0"/>
    <w:rPr>
      <w:kern w:val="2"/>
      <w:sz w:val="18"/>
      <w:szCs w:val="18"/>
    </w:rPr>
  </w:style>
  <w:style w:type="character" w:customStyle="1" w:styleId="45">
    <w:name w:val="标题 3 字符"/>
    <w:link w:val="5"/>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1"/>
    <w:qFormat/>
    <w:uiPriority w:val="99"/>
    <w:rPr>
      <w:kern w:val="2"/>
      <w:sz w:val="21"/>
    </w:rPr>
  </w:style>
  <w:style w:type="character" w:customStyle="1" w:styleId="48">
    <w:name w:val="apple-converted-space"/>
    <w:basedOn w:val="33"/>
    <w:semiHidden/>
    <w:qFormat/>
    <w:uiPriority w:val="98"/>
  </w:style>
  <w:style w:type="character" w:customStyle="1" w:styleId="49">
    <w:name w:val="批注框文本 字符"/>
    <w:link w:val="18"/>
    <w:semiHidden/>
    <w:qFormat/>
    <w:uiPriority w:val="98"/>
    <w:rPr>
      <w:kern w:val="2"/>
      <w:sz w:val="18"/>
      <w:szCs w:val="18"/>
    </w:rPr>
  </w:style>
  <w:style w:type="character" w:customStyle="1" w:styleId="50">
    <w:name w:val="正文文本缩进 字符"/>
    <w:link w:val="14"/>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2"/>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0"/>
    <w:semiHidden/>
    <w:qFormat/>
    <w:uiPriority w:val="0"/>
    <w:rPr>
      <w:kern w:val="2"/>
      <w:sz w:val="18"/>
      <w:szCs w:val="18"/>
    </w:rPr>
  </w:style>
  <w:style w:type="character" w:customStyle="1" w:styleId="55">
    <w:name w:val="批注主题 字符"/>
    <w:link w:val="29"/>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3"/>
    <w:link w:val="3"/>
    <w:semiHidden/>
    <w:qFormat/>
    <w:uiPriority w:val="0"/>
    <w:rPr>
      <w:b/>
      <w:bCs/>
      <w:kern w:val="44"/>
      <w:sz w:val="44"/>
      <w:szCs w:val="44"/>
    </w:rPr>
  </w:style>
  <w:style w:type="paragraph" w:customStyle="1" w:styleId="69">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3"/>
    <w:link w:val="4"/>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2">
    <w:name w:val="章节"/>
    <w:basedOn w:val="2"/>
    <w:qFormat/>
    <w:uiPriority w:val="0"/>
    <w:pPr>
      <w:spacing w:line="360" w:lineRule="auto"/>
      <w:jc w:val="center"/>
      <w:outlineLvl w:val="0"/>
    </w:pPr>
    <w:rPr>
      <w:rFonts w:ascii="黑体" w:eastAsia="黑体"/>
      <w:b/>
      <w:bCs/>
      <w:sz w:val="36"/>
      <w:szCs w:val="36"/>
    </w:rPr>
  </w:style>
  <w:style w:type="paragraph" w:customStyle="1" w:styleId="73">
    <w:name w:val="一级标题"/>
    <w:basedOn w:val="2"/>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2"/>
    <w:qFormat/>
    <w:uiPriority w:val="2"/>
    <w:pPr>
      <w:numPr>
        <w:ilvl w:val="0"/>
        <w:numId w:val="3"/>
      </w:numPr>
      <w:spacing w:line="360" w:lineRule="auto"/>
      <w:outlineLvl w:val="2"/>
    </w:pPr>
    <w:rPr>
      <w:b/>
    </w:rPr>
  </w:style>
  <w:style w:type="paragraph" w:customStyle="1" w:styleId="75">
    <w:name w:val="3级标题"/>
    <w:basedOn w:val="2"/>
    <w:link w:val="103"/>
    <w:qFormat/>
    <w:uiPriority w:val="3"/>
    <w:pPr>
      <w:numPr>
        <w:ilvl w:val="0"/>
        <w:numId w:val="4"/>
      </w:numPr>
      <w:spacing w:line="360" w:lineRule="auto"/>
      <w:outlineLvl w:val="3"/>
    </w:pPr>
    <w:rPr>
      <w:b/>
    </w:rPr>
  </w:style>
  <w:style w:type="paragraph" w:customStyle="1" w:styleId="76">
    <w:name w:val="（4）级标题"/>
    <w:basedOn w:val="2"/>
    <w:qFormat/>
    <w:uiPriority w:val="8"/>
    <w:pPr>
      <w:numPr>
        <w:ilvl w:val="0"/>
        <w:numId w:val="5"/>
      </w:numPr>
      <w:spacing w:line="360" w:lineRule="auto"/>
      <w:outlineLvl w:val="4"/>
    </w:pPr>
  </w:style>
  <w:style w:type="paragraph" w:customStyle="1" w:styleId="77">
    <w:name w:val="标书正文"/>
    <w:basedOn w:val="2"/>
    <w:link w:val="98"/>
    <w:qFormat/>
    <w:uiPriority w:val="9"/>
    <w:pPr>
      <w:spacing w:line="360" w:lineRule="auto"/>
      <w:jc w:val="left"/>
    </w:pPr>
  </w:style>
  <w:style w:type="character" w:customStyle="1" w:styleId="78">
    <w:name w:val="标题 4 字符"/>
    <w:basedOn w:val="33"/>
    <w:link w:val="6"/>
    <w:semiHidden/>
    <w:qFormat/>
    <w:uiPriority w:val="0"/>
    <w:rPr>
      <w:rFonts w:ascii="Arial" w:hAnsi="Arial"/>
      <w:b/>
      <w:bCs/>
      <w:kern w:val="2"/>
      <w:sz w:val="21"/>
      <w:szCs w:val="28"/>
    </w:rPr>
  </w:style>
  <w:style w:type="character" w:customStyle="1" w:styleId="79">
    <w:name w:val="标题 5 字符"/>
    <w:basedOn w:val="33"/>
    <w:link w:val="7"/>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3"/>
    <w:link w:val="23"/>
    <w:semiHidden/>
    <w:qFormat/>
    <w:uiPriority w:val="0"/>
    <w:rPr>
      <w:rFonts w:ascii="宋体" w:hAnsi="宋体"/>
      <w:color w:val="FF0000"/>
      <w:kern w:val="2"/>
      <w:sz w:val="24"/>
      <w:szCs w:val="24"/>
    </w:rPr>
  </w:style>
  <w:style w:type="paragraph" w:customStyle="1" w:styleId="85">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3"/>
    <w:link w:val="17"/>
    <w:semiHidden/>
    <w:qFormat/>
    <w:uiPriority w:val="0"/>
    <w:rPr>
      <w:sz w:val="24"/>
    </w:rPr>
  </w:style>
  <w:style w:type="character" w:customStyle="1" w:styleId="88">
    <w:name w:val="日期 字符"/>
    <w:basedOn w:val="33"/>
    <w:link w:val="16"/>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3"/>
    <w:semiHidden/>
    <w:qFormat/>
    <w:uiPriority w:val="98"/>
    <w:rPr>
      <w:rFonts w:ascii="Microsoft YaHei UI" w:eastAsia="Microsoft YaHei UI"/>
      <w:kern w:val="2"/>
      <w:sz w:val="18"/>
      <w:szCs w:val="18"/>
    </w:rPr>
  </w:style>
  <w:style w:type="character" w:customStyle="1" w:styleId="94">
    <w:name w:val="文档结构图 字符1"/>
    <w:basedOn w:val="33"/>
    <w:link w:val="10"/>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3"/>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3"/>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8"/>
    <w:semiHidden/>
    <w:qFormat/>
    <w:locked/>
    <w:uiPriority w:val="99"/>
    <w:rPr>
      <w:sz w:val="21"/>
      <w:szCs w:val="21"/>
    </w:rPr>
  </w:style>
  <w:style w:type="character" w:customStyle="1" w:styleId="106">
    <w:name w:val="电子邮件签名 字符1"/>
    <w:basedOn w:val="33"/>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6"/>
    <w:semiHidden/>
    <w:qFormat/>
    <w:locked/>
    <w:uiPriority w:val="99"/>
    <w:rPr>
      <w:rFonts w:ascii="Cambria" w:hAnsi="Cambria" w:cs="Cambria"/>
      <w:sz w:val="24"/>
      <w:szCs w:val="24"/>
      <w:shd w:val="pct20" w:color="auto" w:fill="auto"/>
    </w:rPr>
  </w:style>
  <w:style w:type="character" w:customStyle="1" w:styleId="110">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3.png"/><Relationship Id="rId27"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15</Pages>
  <Words>3869</Words>
  <Characters>4247</Characters>
  <Lines>127</Lines>
  <Paragraphs>35</Paragraphs>
  <TotalTime>0</TotalTime>
  <ScaleCrop>false</ScaleCrop>
  <LinksUpToDate>false</LinksUpToDate>
  <CharactersWithSpaces>4668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年少轻狂</cp:lastModifiedBy>
  <cp:lastPrinted>2020-06-28T02:28:00Z</cp:lastPrinted>
  <dcterms:modified xsi:type="dcterms:W3CDTF">2025-10-15T10:13:42Z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eyJoZGlkIjoiZTZkNDE3ZGE4Mjk4YmFlZDAwMWNlODJlYzdjMzk3YmQiLCJ1c2VySWQiOiI4MjIwMDM3MTEifQ==</vt:lpwstr>
  </property>
</Properties>
</file>