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rPr>
        <w:t>济南成型厂锻造一部模箱维修项目</w:t>
      </w:r>
    </w:p>
    <w:p>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pPr>
        <w:pStyle w:val="23"/>
        <w:rPr>
          <w:rFonts w:hint="eastAsia" w:ascii="仿宋_GB2312" w:hAnsi="仿宋_GB2312" w:eastAsia="仿宋_GB2312" w:cs="仿宋_GB2312"/>
        </w:rPr>
      </w:pPr>
    </w:p>
    <w:p>
      <w:pPr>
        <w:pStyle w:val="23"/>
        <w:rPr>
          <w:rFonts w:hint="eastAsia" w:ascii="仿宋_GB2312" w:hAnsi="仿宋_GB2312" w:eastAsia="仿宋_GB2312" w:cs="仿宋_GB2312"/>
        </w:rPr>
      </w:pPr>
    </w:p>
    <w:p>
      <w:pPr>
        <w:pStyle w:val="23"/>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3"/>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招 标 人：中国重汽集团济南动力有限公司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10</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8"/>
            <w:rPr>
              <w:rFonts w:hint="eastAsia"/>
            </w:rPr>
          </w:pPr>
        </w:p>
        <w:p>
          <w:pPr>
            <w:pStyle w:val="30"/>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3"/>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
        <w:jc w:val="both"/>
        <w:rPr>
          <w:rFonts w:hint="eastAsia" w:ascii="仿宋_GB2312" w:hAnsi="仿宋_GB2312" w:eastAsia="仿宋_GB2312" w:cs="仿宋_GB2312"/>
          <w:sz w:val="44"/>
        </w:rPr>
      </w:pPr>
      <w:bookmarkStart w:id="0" w:name="_Toc23693"/>
      <w:bookmarkStart w:id="1" w:name="_Toc15480"/>
      <w:bookmarkStart w:id="2" w:name="_Toc29994"/>
      <w:bookmarkStart w:id="3" w:name="_Toc5202"/>
      <w:bookmarkStart w:id="4" w:name="_Toc22242"/>
    </w:p>
    <w:p>
      <w:pPr>
        <w:pStyle w:val="2"/>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2"/>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项目名称：济南成型厂锻造一部模箱维修项目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项目编号：FSCZB2025100066</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招标内容：成型厂MP8000转向节、曲轴切边下模箱因长期使用，出现安装面变形、螺纹断丝等问题，需外委维修。该项目10月11日经EAM审批备案。拟采用公开招标方式，费用归集入制造费用。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w:t>
            </w:r>
            <w:r>
              <w:rPr>
                <w:rFonts w:hint="eastAsia" w:ascii="仿宋_GB2312" w:hAnsi="仿宋_GB2312" w:eastAsia="仿宋_GB2312" w:cs="仿宋_GB2312"/>
                <w:sz w:val="24"/>
                <w:szCs w:val="24"/>
                <w:u w:val="single"/>
              </w:rPr>
              <w:t>中国重汽集团济南动力有限公司</w:t>
            </w:r>
            <w:r>
              <w:rPr>
                <w:rFonts w:hint="eastAsia" w:ascii="仿宋_GB2312" w:hAnsi="仿宋_GB2312" w:eastAsia="仿宋_GB2312" w:cs="仿宋_GB2312"/>
                <w:bCs/>
                <w:snapToGrid w:val="0"/>
                <w:kern w:val="0"/>
                <w:sz w:val="24"/>
                <w:szCs w:val="24"/>
              </w:rPr>
              <w:t xml:space="preserve"> </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sz w:val="24"/>
                <w:szCs w:val="24"/>
                <w:u w:val="single"/>
              </w:rPr>
              <w:t>济南市历城区华奥路777号</w:t>
            </w:r>
            <w:r>
              <w:rPr>
                <w:rFonts w:hint="eastAsia" w:ascii="仿宋_GB2312" w:hAnsi="仿宋_GB2312" w:eastAsia="仿宋_GB2312" w:cs="仿宋_GB2312"/>
                <w:sz w:val="24"/>
                <w:szCs w:val="24"/>
              </w:rPr>
              <w:t xml:space="preserve"> </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技术联系人：</w:t>
            </w:r>
            <w:r>
              <w:rPr>
                <w:rFonts w:hint="eastAsia" w:ascii="宋体" w:hAnsi="宋体" w:eastAsia="宋体" w:cs="宋体"/>
                <w:b/>
                <w:snapToGrid w:val="0"/>
                <w:kern w:val="0"/>
                <w:sz w:val="24"/>
                <w:szCs w:val="24"/>
                <w:lang w:val="en-US" w:eastAsia="zh-CN"/>
              </w:rPr>
              <w:t>陈学良</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电话：19861834499</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邮箱：chenxueliang@sinotruk.com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4.16</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必须是独立法人机构，具有独立承担民事责任能力，投标人注册资金不低于500万元；公司成立三年以上（以营业执照成立日期到开标当日满三年为准）；且经营范围满足招标人需求；并在人员、设备、资金等方面具有承担本项目的能力。</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2、投标人应具有统一社会信用代码的营业执照副本。</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3、经营资质具有锻造工装制作及维修等相关内容，且有锻造工装焊修制作经验。</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4、投标人应通过GB/ISO9001</w:t>
            </w:r>
            <w:r>
              <w:rPr>
                <w:rFonts w:hint="eastAsia" w:ascii="仿宋_GB2312" w:hAnsi="仿宋_GB2312" w:eastAsia="仿宋_GB2312" w:cs="仿宋_GB2312"/>
                <w:color w:val="000000"/>
                <w:sz w:val="24"/>
                <w:szCs w:val="24"/>
                <w:lang w:val="en-US" w:eastAsia="zh-CN"/>
              </w:rPr>
              <w:t>或IATF16949</w:t>
            </w:r>
            <w:r>
              <w:rPr>
                <w:rFonts w:hint="eastAsia" w:ascii="仿宋_GB2312" w:hAnsi="仿宋_GB2312" w:eastAsia="仿宋_GB2312" w:cs="仿宋_GB2312"/>
                <w:color w:val="000000"/>
                <w:sz w:val="24"/>
                <w:szCs w:val="24"/>
              </w:rPr>
              <w:t>质量体系认证。</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5、投标人在工商行政管理局的《国家企业信用信息公示系统》中查询不存在不良记录。</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6、投标人近三年内在经营活动中无与本项目有关的违法及重大违规情况或被列入招标人“黑名单”。</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w:t>
            </w:r>
            <w:r>
              <w:rPr>
                <w:rFonts w:hint="eastAsia" w:ascii="仿宋_GB2312" w:hAnsi="仿宋_GB2312" w:eastAsia="仿宋_GB2312" w:cs="仿宋_GB2312"/>
                <w:color w:val="000000"/>
                <w:sz w:val="24"/>
                <w:szCs w:val="24"/>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8、本次招标不接受联合体投标，不接受代理商投标。投标方的直接或间接股东、法定代表人、董事、监事、高管非重汽员工及其亲属。</w:t>
            </w:r>
          </w:p>
          <w:p>
            <w:pPr>
              <w:pStyle w:val="23"/>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9、投标人需提供：最近半年完税证明、信用证明材料（中国人民银行信用代码证+征信报告）；年度纳税信用评价信息（可从电子税务局查询截图）；企业对外担保说明（写明投标人单位对外有无对外担保和质押业务）。</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10、</w:t>
            </w:r>
            <w:r>
              <w:rPr>
                <w:rFonts w:hint="eastAsia" w:ascii="仿宋_GB2312" w:hAnsi="仿宋_GB2312" w:eastAsia="仿宋_GB2312" w:cs="仿宋_GB2312"/>
                <w:color w:val="000000"/>
                <w:sz w:val="24"/>
                <w:szCs w:val="24"/>
              </w:rPr>
              <w:t>投标人在向招标人出示投标保证金缴纳凭证后方可进行投标。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2025年10月16日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2025年11月12日17：00前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2025年11月12日17：00前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2025年10月21日17：00前</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rPr>
                <w:rFonts w:hint="eastAsia" w:ascii="仿宋_GB2312" w:hAnsi="仿宋_GB2312" w:eastAsia="仿宋_GB2312" w:cs="仿宋_GB2312"/>
                <w:b/>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2025年11月12日17：00前</w:t>
            </w:r>
          </w:p>
          <w:p>
            <w:pPr>
              <w:pStyle w:val="23"/>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tabs>
                <w:tab w:val="left" w:pos="932"/>
              </w:tabs>
              <w:ind w:firstLine="482" w:firstLineChars="200"/>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b/>
                <w:bCs/>
                <w:color w:val="000000"/>
                <w:kern w:val="0"/>
                <w:sz w:val="24"/>
                <w:szCs w:val="24"/>
              </w:rPr>
              <w:t>开户名称：</w:t>
            </w:r>
            <w:r>
              <w:rPr>
                <w:rFonts w:hint="eastAsia" w:ascii="仿宋_GB2312" w:hAnsi="仿宋_GB2312" w:eastAsia="仿宋_GB2312" w:cs="仿宋_GB2312"/>
                <w:color w:val="000000"/>
                <w:kern w:val="0"/>
                <w:sz w:val="24"/>
                <w:szCs w:val="24"/>
              </w:rPr>
              <w:t>中国重汽集团济南动力有限公司</w:t>
            </w:r>
          </w:p>
          <w:p>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rPr>
              <w:t>开户银行：</w:t>
            </w:r>
            <w:r>
              <w:rPr>
                <w:rFonts w:hint="eastAsia" w:ascii="宋体" w:hAnsi="宋体" w:eastAsia="宋体" w:cs="宋体"/>
                <w:color w:val="000000"/>
                <w:kern w:val="0"/>
                <w:sz w:val="24"/>
                <w:szCs w:val="24"/>
                <w:highlight w:val="none"/>
              </w:rPr>
              <w:t>中国建设银行股份有限公司济南天桥支行</w:t>
            </w:r>
          </w:p>
          <w:p>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hint="eastAsia" w:ascii="仿宋_GB2312" w:hAnsi="仿宋_GB2312" w:eastAsia="仿宋_GB2312" w:cs="仿宋_GB2312"/>
                <w:color w:val="000000"/>
                <w:kern w:val="0"/>
                <w:sz w:val="24"/>
                <w:szCs w:val="24"/>
                <w:highlight w:val="none"/>
              </w:rPr>
              <w:t>37001616508050150300</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rPr>
              <w:t>联行号：</w:t>
            </w:r>
            <w:r>
              <w:rPr>
                <w:rFonts w:hint="eastAsia" w:ascii="仿宋_GB2312" w:hAnsi="仿宋_GB2312" w:eastAsia="仿宋_GB2312" w:cs="仿宋_GB2312"/>
                <w:color w:val="000000"/>
                <w:kern w:val="0"/>
                <w:sz w:val="24"/>
                <w:szCs w:val="24"/>
              </w:rPr>
              <w:t>105451000362</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1"/>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2025年11月12日17：00前</w:t>
            </w:r>
          </w:p>
          <w:p>
            <w:pPr>
              <w:pStyle w:val="41"/>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1"/>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highlight w:val="none"/>
                <w:lang w:val="en-US"/>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2025年11月13日9：00。（暂定）</w:t>
            </w:r>
          </w:p>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线上会议室（暂定）</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green"/>
              </w:rPr>
              <w:t>评标方法：</w:t>
            </w:r>
            <w:r>
              <w:rPr>
                <w:rFonts w:hint="eastAsia" w:ascii="宋体" w:hAnsi="宋体" w:eastAsia="宋体" w:cs="宋体"/>
                <w:b/>
                <w:bCs/>
                <w:sz w:val="24"/>
                <w:szCs w:val="24"/>
                <w:highlight w:val="green"/>
              </w:rPr>
              <w:t>资质标审核→技术标评审→商务标评审。技术标入围后，原则上选取</w:t>
            </w:r>
            <w:r>
              <w:rPr>
                <w:rFonts w:hint="eastAsia" w:ascii="宋体" w:hAnsi="宋体" w:eastAsia="宋体" w:cs="Times New Roman"/>
                <w:b/>
                <w:bCs/>
                <w:color w:val="000000"/>
                <w:sz w:val="24"/>
                <w:szCs w:val="24"/>
                <w:highlight w:val="green"/>
              </w:rPr>
              <w:t>合理最低价中标</w:t>
            </w:r>
            <w:r>
              <w:rPr>
                <w:rFonts w:hint="eastAsia" w:ascii="宋体" w:hAnsi="宋体" w:eastAsia="宋体" w:cs="宋体"/>
                <w:sz w:val="24"/>
                <w:szCs w:val="24"/>
                <w:highlight w:val="green"/>
              </w:rPr>
              <w:t>。</w:t>
            </w:r>
            <w:r>
              <w:rPr>
                <w:rFonts w:hint="eastAsia" w:ascii="仿宋_GB2312" w:hAnsi="仿宋_GB2312" w:eastAsia="仿宋_GB2312" w:cs="仿宋_GB2312"/>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1.自合同生效后180个日历日内，中标人须交付设备到招标人指定的安装和使用的现场，并保证整套测试系统正常进入试运行状态。</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2.接续7个日历日之内安装调试完毕。</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highlight w:val="green"/>
                <w:lang w:val="en-US" w:eastAsia="zh-CN"/>
              </w:rPr>
              <w:t>济南成型厂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b/>
                <w:bCs/>
                <w:color w:val="000000"/>
                <w:sz w:val="24"/>
                <w:szCs w:val="24"/>
              </w:rPr>
              <w:t>付款方式：</w:t>
            </w:r>
            <w:r>
              <w:rPr>
                <w:rFonts w:hint="eastAsia" w:ascii="仿宋_GB2312" w:hAnsi="仿宋_GB2312" w:eastAsia="仿宋_GB2312" w:cs="仿宋_GB2312"/>
                <w:b/>
                <w:bCs/>
                <w:color w:val="000000"/>
                <w:sz w:val="24"/>
                <w:szCs w:val="24"/>
                <w:highlight w:val="green"/>
                <w:u w:val="single"/>
              </w:rPr>
              <w:t>半年期商业汇票（包括银行承兑汇票和商业承兑汇票）</w:t>
            </w:r>
            <w:r>
              <w:rPr>
                <w:rFonts w:hint="eastAsia" w:ascii="仿宋_GB2312" w:hAnsi="仿宋_GB2312" w:eastAsia="仿宋_GB2312" w:cs="仿宋_GB2312"/>
                <w:color w:val="000000"/>
                <w:sz w:val="24"/>
                <w:szCs w:val="24"/>
                <w:highlight w:val="green"/>
              </w:rPr>
              <w:t>：</w:t>
            </w:r>
          </w:p>
          <w:p>
            <w:pPr>
              <w:ind w:firstLine="480" w:firstLineChars="200"/>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采用发票挂账 90 天，半年期商业汇票（商业汇票包括银行承兑汇票和商业承兑汇票）付款。需方不付预付款，产品经需方检验合格后，需方按照约定扣除质量保证金后，供方全额开具税率13%的增值税专用发票，需方依据入库单进行挂账，需方财务流程审核通过后以半年期商业汇票付款据实结算。质量保证期为验收合格后一年，质量保证金在质量保证期满无质量问题后无息返还。</w:t>
            </w:r>
          </w:p>
          <w:p>
            <w:pPr>
              <w:ind w:firstLine="480" w:firstLineChars="200"/>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质量保证金收取：</w:t>
            </w:r>
          </w:p>
          <w:p>
            <w:pPr>
              <w:ind w:firstLine="480" w:firstLineChars="200"/>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年度质保金额度=供方上一年度入账发票（含税）采购额×5%×风险系数，最低1万元，最高200万元（年度合同金额低于1万元的，按合同金额的5%收取，一次性合同质</w:t>
            </w:r>
            <w:bookmarkStart w:id="100" w:name="_GoBack"/>
            <w:bookmarkEnd w:id="100"/>
            <w:r>
              <w:rPr>
                <w:rFonts w:hint="eastAsia" w:ascii="宋体" w:hAnsi="宋体" w:cs="宋体"/>
                <w:sz w:val="24"/>
                <w:szCs w:val="24"/>
                <w:highlight w:val="none"/>
                <w:lang w:val="en-US" w:eastAsia="zh-CN"/>
              </w:rPr>
              <w:t>保金按合同金额的5%收取）。年度质量索赔费用与年度供货额的比率，为质量索赔比率（A）；根据不同的质量索赔比率设定不同的风险系数：A≤2%，风险系数=1； 2%&lt; A≤5%，风险系数=1.2；5%&lt; A≤10%，风险系数=1.5； A&gt;10%，风险系数=2。对于新准入的供方，按照当年度已挂账发票（含税）逐票预留5%（最高200万元），均自甲方应付账款中扣除。</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8"/>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6"/>
    </w:tbl>
    <w:p>
      <w:pPr>
        <w:pStyle w:val="23"/>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7" w:name="_Toc27087"/>
      <w:bookmarkStart w:id="8" w:name="_Toc11216"/>
      <w:bookmarkStart w:id="9" w:name="_Toc6577"/>
      <w:bookmarkStart w:id="10" w:name="_Toc19183"/>
      <w:bookmarkStart w:id="11" w:name="_Toc427"/>
      <w:bookmarkStart w:id="12" w:name="_Toc9448"/>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3"/>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3"/>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3"/>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3"/>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3"/>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3"/>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3"/>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w:t>
      </w:r>
      <w:r>
        <w:rPr>
          <w:rFonts w:hint="eastAsia" w:ascii="仿宋_GB2312" w:hAnsi="仿宋_GB2312" w:eastAsia="仿宋_GB2312" w:cs="仿宋_GB2312"/>
          <w:sz w:val="24"/>
          <w:szCs w:val="24"/>
        </w:rPr>
        <w:t>本次招投标为</w:t>
      </w:r>
      <w:r>
        <w:rPr>
          <w:rFonts w:hint="eastAsia" w:ascii="仿宋_GB2312" w:hAnsi="仿宋_GB2312" w:eastAsia="仿宋_GB2312" w:cs="仿宋_GB2312"/>
          <w:color w:val="000000"/>
          <w:sz w:val="24"/>
          <w:szCs w:val="24"/>
          <w:highlight w:val="green"/>
        </w:rPr>
        <w:t>公开招标</w:t>
      </w:r>
      <w:r>
        <w:rPr>
          <w:rFonts w:hint="eastAsia" w:ascii="仿宋_GB2312" w:hAnsi="仿宋_GB2312" w:eastAsia="仿宋_GB2312" w:cs="仿宋_GB2312"/>
          <w:b/>
          <w:sz w:val="24"/>
          <w:szCs w:val="24"/>
        </w:rPr>
        <w:t>；</w:t>
      </w:r>
      <w:r>
        <w:rPr>
          <w:rFonts w:hint="eastAsia" w:ascii="仿宋_GB2312" w:hAnsi="仿宋_GB2312" w:eastAsia="仿宋_GB2312" w:cs="仿宋_GB2312"/>
          <w:color w:val="000000"/>
          <w:sz w:val="24"/>
          <w:szCs w:val="24"/>
        </w:rPr>
        <w:t>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3"/>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3"/>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3"/>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r>
        <w:rPr>
          <w:rFonts w:hint="eastAsia" w:ascii="仿宋_GB2312" w:hAnsi="仿宋_GB2312" w:eastAsia="仿宋_GB2312" w:cs="仿宋_GB2312"/>
          <w:color w:val="000000"/>
          <w:sz w:val="24"/>
          <w:szCs w:val="24"/>
          <w:highlight w:val="green"/>
        </w:rPr>
        <w:t>。</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r>
        <w:rPr>
          <w:rFonts w:hint="eastAsia" w:ascii="仿宋_GB2312" w:hAnsi="仿宋_GB2312" w:eastAsia="仿宋_GB2312" w:cs="仿宋_GB2312"/>
          <w:color w:val="000000"/>
          <w:sz w:val="24"/>
          <w:szCs w:val="24"/>
        </w:rPr>
        <w:t>。</w:t>
      </w:r>
    </w:p>
    <w:p>
      <w:pPr>
        <w:pStyle w:val="3"/>
        <w:rPr>
          <w:rFonts w:hint="eastAsia" w:ascii="仿宋_GB2312" w:hAnsi="仿宋_GB2312" w:eastAsia="仿宋_GB2312" w:cs="仿宋_GB2312"/>
          <w:sz w:val="36"/>
          <w:szCs w:val="36"/>
        </w:rPr>
      </w:pPr>
      <w:bookmarkStart w:id="19" w:name="_Toc33265653"/>
      <w:bookmarkStart w:id="20" w:name="_Toc33267001"/>
      <w:bookmarkStart w:id="21" w:name="_Toc33266950"/>
      <w:bookmarkStart w:id="22" w:name="_Toc33266627"/>
      <w:bookmarkStart w:id="23" w:name="_Toc33285487"/>
      <w:bookmarkStart w:id="24" w:name="_Toc30534"/>
      <w:bookmarkStart w:id="25" w:name="_Toc33266914"/>
      <w:bookmarkStart w:id="26" w:name="_Toc33265752"/>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5654"/>
      <w:bookmarkStart w:id="29" w:name="_Toc33266951"/>
      <w:bookmarkStart w:id="30" w:name="_Toc33285489"/>
      <w:bookmarkStart w:id="31" w:name="_Toc33266915"/>
      <w:bookmarkStart w:id="32" w:name="_Toc33265753"/>
      <w:bookmarkStart w:id="33" w:name="_Toc33266628"/>
      <w:bookmarkStart w:id="34" w:name="_Toc33267002"/>
      <w:bookmarkStart w:id="35" w:name="_Toc395116634"/>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3"/>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3"/>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7"/>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3"/>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3"/>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3"/>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7"/>
      <w:bookmarkStart w:id="39" w:name="OLE_LINK29"/>
      <w:bookmarkStart w:id="40" w:name="OLE_LINK26"/>
      <w:bookmarkStart w:id="41" w:name="OLE_LINK28"/>
      <w:bookmarkStart w:id="42" w:name="OLE_LINK25"/>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3"/>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3"/>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pPr>
        <w:pStyle w:val="23"/>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44" w:name="_Toc31869"/>
      <w:bookmarkStart w:id="45" w:name="_Toc21022"/>
      <w:bookmarkStart w:id="46" w:name="_Toc13479"/>
      <w:bookmarkStart w:id="47" w:name="_Toc762"/>
      <w:bookmarkStart w:id="48" w:name="_Toc13002"/>
      <w:bookmarkStart w:id="49" w:name="_Toc2363"/>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3"/>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3"/>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3"/>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2.5产品的技术服务和售后服务内容及措施；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2.6交货进度及计划；</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4" w:name="OLE_LINK19"/>
      <w:bookmarkStart w:id="55" w:name="OLE_LINK18"/>
      <w:r>
        <w:rPr>
          <w:rFonts w:hint="eastAsia" w:ascii="仿宋_GB2312" w:hAnsi="仿宋_GB2312" w:eastAsia="仿宋_GB2312" w:cs="仿宋_GB2312"/>
          <w:b/>
          <w:color w:val="000000"/>
          <w:sz w:val="24"/>
          <w:szCs w:val="24"/>
        </w:rPr>
        <w:t>；</w:t>
      </w:r>
      <w:bookmarkEnd w:id="54"/>
      <w:bookmarkEnd w:id="55"/>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pStyle w:val="3"/>
        <w:rPr>
          <w:rFonts w:hint="eastAsia" w:ascii="仿宋_GB2312" w:hAnsi="仿宋_GB2312" w:eastAsia="仿宋_GB2312" w:cs="仿宋_GB2312"/>
          <w:sz w:val="36"/>
          <w:szCs w:val="36"/>
        </w:rPr>
      </w:pPr>
      <w:bookmarkStart w:id="56" w:name="_Toc15748"/>
      <w:r>
        <w:rPr>
          <w:rFonts w:hint="eastAsia" w:ascii="仿宋_GB2312" w:hAnsi="仿宋_GB2312" w:eastAsia="仿宋_GB2312" w:cs="仿宋_GB2312"/>
          <w:sz w:val="36"/>
          <w:szCs w:val="36"/>
        </w:rPr>
        <w:t>四、投标文件格式</w:t>
      </w:r>
      <w:bookmarkEnd w:id="5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bidi w:val="0"/>
        <w:rPr>
          <w:rFonts w:hint="eastAsia"/>
        </w:rPr>
      </w:pPr>
      <w:bookmarkStart w:id="57" w:name="_Toc6346"/>
      <w:bookmarkStart w:id="58" w:name="_Toc28236"/>
      <w:bookmarkStart w:id="59" w:name="_Toc22649"/>
      <w:bookmarkStart w:id="60" w:name="_Toc20272"/>
      <w:bookmarkStart w:id="61" w:name="_Toc14517"/>
      <w:bookmarkStart w:id="62" w:name="_Toc18606"/>
      <w:bookmarkStart w:id="63" w:name="_Toc1884"/>
      <w:bookmarkStart w:id="64" w:name="_Toc3372"/>
      <w:bookmarkStart w:id="65" w:name="_Toc30738"/>
      <w:bookmarkStart w:id="66" w:name="_Toc4483"/>
      <w:bookmarkStart w:id="67" w:name="_Toc24964"/>
      <w:bookmarkStart w:id="68" w:name="_Toc24913"/>
      <w:bookmarkStart w:id="69" w:name="_Toc18182"/>
      <w:bookmarkStart w:id="70" w:name="_Toc13988"/>
      <w:bookmarkStart w:id="71" w:name="_Toc20467"/>
      <w:bookmarkStart w:id="72" w:name="_Toc8202"/>
      <w:bookmarkStart w:id="73" w:name="_Toc18805"/>
      <w:bookmarkStart w:id="74" w:name="_Toc12552"/>
      <w:bookmarkStart w:id="75" w:name="_Toc11355"/>
      <w:bookmarkStart w:id="76" w:name="_Toc7511"/>
      <w:bookmarkStart w:id="77" w:name="_Toc8032"/>
      <w:bookmarkStart w:id="78" w:name="_Toc3565"/>
      <w:bookmarkStart w:id="79" w:name="_Toc4532"/>
      <w:bookmarkStart w:id="80" w:name="_Toc13555"/>
      <w:bookmarkStart w:id="81" w:name="_Toc13562"/>
      <w:bookmarkStart w:id="82" w:name="_Toc32378"/>
      <w:bookmarkStart w:id="83" w:name="_Toc4029"/>
      <w:bookmarkStart w:id="84" w:name="_Toc6957"/>
      <w:bookmarkStart w:id="85" w:name="_Toc16358"/>
      <w:bookmarkStart w:id="86" w:name="_Toc4194"/>
      <w:bookmarkStart w:id="87" w:name="_Toc23870"/>
      <w:bookmarkStart w:id="88" w:name="_Toc12714"/>
      <w:bookmarkStart w:id="89" w:name="_Toc13605"/>
      <w:bookmarkStart w:id="90" w:name="_Toc133783966"/>
      <w:bookmarkStart w:id="91" w:name="_Toc19672"/>
      <w:bookmarkStart w:id="92" w:name="_Toc12563"/>
      <w:bookmarkStart w:id="93" w:name="_Toc21497"/>
      <w:bookmarkStart w:id="94" w:name="_Toc7110"/>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pStyle w:val="2"/>
        <w:numPr>
          <w:ilvl w:val="0"/>
          <w:numId w:val="9"/>
        </w:numPr>
        <w:spacing w:line="360" w:lineRule="auto"/>
        <w:rPr>
          <w:rFonts w:hint="eastAsia" w:ascii="仿宋_GB2312" w:hAnsi="仿宋_GB2312" w:eastAsia="仿宋_GB2312" w:cs="仿宋_GB2312"/>
          <w:sz w:val="44"/>
          <w:highlight w:val="green"/>
        </w:rPr>
      </w:pPr>
      <w:bookmarkStart w:id="95" w:name="_Toc10008"/>
      <w:r>
        <w:rPr>
          <w:rFonts w:hint="eastAsia" w:ascii="仿宋_GB2312" w:hAnsi="仿宋_GB2312" w:eastAsia="仿宋_GB2312" w:cs="仿宋_GB2312"/>
          <w:sz w:val="44"/>
          <w:highlight w:val="green"/>
        </w:rPr>
        <w:t>技术标书</w:t>
      </w:r>
      <w:bookmarkEnd w:id="95"/>
    </w:p>
    <w:p>
      <w:pPr>
        <w:pStyle w:val="23"/>
      </w:pPr>
    </w:p>
    <w:p>
      <w:r>
        <w:br w:type="page"/>
      </w:r>
    </w:p>
    <w:p>
      <w:pPr>
        <w:sectPr>
          <w:headerReference r:id="rId8" w:type="default"/>
          <w:footerReference r:id="rId9" w:type="default"/>
          <w:pgSz w:w="11907" w:h="16840"/>
          <w:pgMar w:top="1304" w:right="1418" w:bottom="1304" w:left="1418" w:header="724" w:footer="851" w:gutter="0"/>
          <w:cols w:space="720" w:num="1"/>
          <w:docGrid w:linePitch="290" w:charSpace="-3931"/>
        </w:sectPr>
      </w:pPr>
    </w:p>
    <w:p>
      <w:pPr>
        <w:keepNext w:val="0"/>
        <w:keepLines w:val="0"/>
        <w:pageBreakBefore w:val="0"/>
        <w:widowControl w:val="0"/>
        <w:tabs>
          <w:tab w:val="left" w:pos="2865"/>
        </w:tabs>
        <w:kinsoku/>
        <w:wordWrap/>
        <w:overflowPunct/>
        <w:topLinePunct w:val="0"/>
        <w:autoSpaceDE/>
        <w:autoSpaceDN/>
        <w:bidi w:val="0"/>
        <w:adjustRightInd/>
        <w:snapToGrid/>
        <w:spacing w:line="360" w:lineRule="auto"/>
        <w:jc w:val="center"/>
        <w:rPr>
          <w:rFonts w:hint="eastAsia" w:ascii="宋体" w:hAnsi="宋体" w:eastAsia="宋体" w:cs="宋体"/>
          <w:b/>
          <w:bCs w:val="0"/>
          <w:sz w:val="30"/>
          <w:szCs w:val="30"/>
          <w:lang w:val="en-US" w:eastAsia="zh-CN"/>
        </w:rPr>
      </w:pPr>
      <w:r>
        <w:rPr>
          <w:rFonts w:hint="eastAsia" w:ascii="宋体" w:hAnsi="宋体" w:eastAsia="宋体" w:cs="宋体"/>
          <w:b/>
          <w:bCs w:val="0"/>
          <w:sz w:val="30"/>
          <w:szCs w:val="30"/>
        </w:rPr>
        <w:t>技术</w:t>
      </w:r>
      <w:r>
        <w:rPr>
          <w:rFonts w:hint="eastAsia" w:ascii="宋体" w:hAnsi="宋体" w:eastAsia="宋体" w:cs="宋体"/>
          <w:b/>
          <w:bCs w:val="0"/>
          <w:sz w:val="30"/>
          <w:szCs w:val="30"/>
          <w:lang w:val="en-US" w:eastAsia="zh-CN"/>
        </w:rPr>
        <w:t>协议</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 xml:space="preserve">总  要  求   </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textAlignment w:val="baseline"/>
        <w:rPr>
          <w:rFonts w:hint="eastAsia" w:ascii="宋体" w:hAnsi="宋体" w:eastAsia="宋体" w:cs="宋体"/>
          <w:sz w:val="24"/>
          <w:szCs w:val="24"/>
          <w:highlight w:val="none"/>
        </w:rPr>
      </w:pPr>
      <w:r>
        <w:rPr>
          <w:rFonts w:hint="eastAsia" w:ascii="宋体" w:hAnsi="宋体" w:cs="宋体"/>
          <w:sz w:val="24"/>
          <w:szCs w:val="24"/>
          <w:lang w:eastAsia="zh-CN"/>
        </w:rPr>
        <w:t>甲方</w:t>
      </w:r>
      <w:r>
        <w:rPr>
          <w:rFonts w:hint="eastAsia" w:ascii="宋体" w:hAnsi="宋体" w:eastAsia="宋体" w:cs="宋体"/>
          <w:sz w:val="24"/>
          <w:szCs w:val="24"/>
        </w:rPr>
        <w:t>：</w:t>
      </w:r>
      <w:r>
        <w:rPr>
          <w:rFonts w:hint="eastAsia" w:ascii="宋体" w:hAnsi="宋体" w:cs="宋体"/>
          <w:sz w:val="24"/>
          <w:szCs w:val="24"/>
          <w:lang w:val="en-US" w:eastAsia="zh-CN"/>
        </w:rPr>
        <w:t xml:space="preserve">                             </w:t>
      </w:r>
      <w:r>
        <w:rPr>
          <w:rFonts w:hint="eastAsia" w:ascii="宋体" w:hAnsi="宋体" w:eastAsia="宋体" w:cs="宋体"/>
          <w:sz w:val="24"/>
          <w:szCs w:val="24"/>
          <w:highlight w:val="none"/>
        </w:rPr>
        <w:t xml:space="preserve">                 （以下简称</w:t>
      </w:r>
      <w:r>
        <w:rPr>
          <w:rFonts w:hint="eastAsia" w:ascii="宋体" w:hAnsi="宋体" w:cs="宋体"/>
          <w:sz w:val="24"/>
          <w:szCs w:val="24"/>
          <w:highlight w:val="none"/>
          <w:lang w:eastAsia="zh-CN"/>
        </w:rPr>
        <w:t>甲方</w:t>
      </w:r>
      <w:r>
        <w:rPr>
          <w:rFonts w:hint="eastAsia" w:ascii="宋体" w:hAnsi="宋体" w:eastAsia="宋体" w:cs="宋体"/>
          <w:sz w:val="24"/>
          <w:szCs w:val="24"/>
          <w:highlight w:val="none"/>
        </w:rPr>
        <w:t>）</w:t>
      </w:r>
    </w:p>
    <w:p>
      <w:pPr>
        <w:keepNext w:val="0"/>
        <w:keepLines w:val="0"/>
        <w:pageBreakBefore w:val="0"/>
        <w:widowControl w:val="0"/>
        <w:kinsoku/>
        <w:wordWrap/>
        <w:overflowPunct/>
        <w:topLinePunct w:val="0"/>
        <w:autoSpaceDE/>
        <w:autoSpaceDN/>
        <w:bidi w:val="0"/>
        <w:adjustRightInd/>
        <w:snapToGrid/>
        <w:spacing w:line="360" w:lineRule="auto"/>
        <w:textAlignment w:val="baseline"/>
        <w:rPr>
          <w:rFonts w:hint="eastAsia" w:ascii="宋体" w:hAnsi="宋体" w:eastAsia="宋体" w:cs="宋体"/>
          <w:sz w:val="24"/>
          <w:szCs w:val="24"/>
          <w:highlight w:val="none"/>
        </w:rPr>
      </w:pPr>
      <w:r>
        <w:rPr>
          <w:rFonts w:hint="eastAsia" w:ascii="宋体" w:hAnsi="宋体" w:cs="宋体"/>
          <w:sz w:val="24"/>
          <w:szCs w:val="24"/>
          <w:highlight w:val="none"/>
          <w:lang w:eastAsia="zh-CN"/>
        </w:rPr>
        <w:t>乙方</w:t>
      </w:r>
      <w:r>
        <w:rPr>
          <w:rFonts w:hint="eastAsia" w:ascii="宋体" w:hAnsi="宋体" w:eastAsia="宋体" w:cs="宋体"/>
          <w:sz w:val="24"/>
          <w:szCs w:val="24"/>
          <w:highlight w:val="none"/>
          <w:lang w:eastAsia="zh-CN"/>
        </w:rPr>
        <w:t>：</w:t>
      </w:r>
      <w:r>
        <w:rPr>
          <w:rFonts w:hint="eastAsia" w:ascii="宋体" w:hAnsi="宋体" w:cs="宋体"/>
          <w:sz w:val="24"/>
          <w:szCs w:val="24"/>
          <w:highlight w:val="none"/>
          <w:lang w:val="en-US" w:eastAsia="zh-CN"/>
        </w:rPr>
        <w:t xml:space="preserve">                             </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 xml:space="preserve">  </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 xml:space="preserve">    </w:t>
      </w:r>
      <w:r>
        <w:rPr>
          <w:rFonts w:hint="eastAsia" w:ascii="宋体" w:hAnsi="宋体" w:eastAsia="宋体" w:cs="宋体"/>
          <w:sz w:val="24"/>
          <w:szCs w:val="24"/>
          <w:highlight w:val="none"/>
          <w:lang w:val="en-US" w:eastAsia="zh-CN"/>
        </w:rPr>
        <w:t xml:space="preserve"> </w:t>
      </w:r>
      <w:r>
        <w:rPr>
          <w:rFonts w:hint="eastAsia" w:ascii="宋体" w:hAnsi="宋体" w:cs="宋体"/>
          <w:sz w:val="24"/>
          <w:szCs w:val="24"/>
          <w:highlight w:val="none"/>
          <w:lang w:val="en-US" w:eastAsia="zh-CN"/>
        </w:rPr>
        <w:t xml:space="preserve">    </w:t>
      </w:r>
      <w:r>
        <w:rPr>
          <w:rFonts w:hint="eastAsia" w:ascii="宋体" w:hAnsi="宋体" w:eastAsia="宋体" w:cs="宋体"/>
          <w:sz w:val="24"/>
          <w:szCs w:val="24"/>
          <w:highlight w:val="none"/>
        </w:rPr>
        <w:t xml:space="preserve">  （以下简称</w:t>
      </w:r>
      <w:r>
        <w:rPr>
          <w:rFonts w:hint="eastAsia" w:ascii="宋体" w:hAnsi="宋体" w:cs="宋体"/>
          <w:sz w:val="24"/>
          <w:szCs w:val="24"/>
          <w:highlight w:val="none"/>
          <w:lang w:eastAsia="zh-CN"/>
        </w:rPr>
        <w:t>乙方</w:t>
      </w:r>
      <w:r>
        <w:rPr>
          <w:rFonts w:hint="eastAsia" w:ascii="宋体" w:hAnsi="宋体" w:eastAsia="宋体" w:cs="宋体"/>
          <w:sz w:val="24"/>
          <w:szCs w:val="24"/>
          <w:highlight w:val="none"/>
        </w:rPr>
        <w:t>）</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cs="宋体"/>
          <w:sz w:val="24"/>
          <w:szCs w:val="24"/>
          <w:highlight w:val="none"/>
          <w:lang w:eastAsia="zh-CN"/>
        </w:rPr>
        <w:t>乙方</w:t>
      </w:r>
      <w:r>
        <w:rPr>
          <w:rFonts w:hint="eastAsia" w:ascii="宋体" w:hAnsi="宋体" w:eastAsia="宋体" w:cs="宋体"/>
          <w:sz w:val="24"/>
          <w:szCs w:val="24"/>
          <w:highlight w:val="none"/>
        </w:rPr>
        <w:t>作为合格</w:t>
      </w:r>
      <w:r>
        <w:rPr>
          <w:rFonts w:hint="eastAsia" w:ascii="宋体" w:hAnsi="宋体" w:cs="宋体"/>
          <w:sz w:val="24"/>
          <w:szCs w:val="24"/>
          <w:highlight w:val="none"/>
          <w:lang w:eastAsia="zh-CN"/>
        </w:rPr>
        <w:t>乙方</w:t>
      </w:r>
      <w:r>
        <w:rPr>
          <w:rFonts w:hint="eastAsia" w:ascii="宋体" w:hAnsi="宋体" w:eastAsia="宋体" w:cs="宋体"/>
          <w:sz w:val="24"/>
          <w:szCs w:val="24"/>
          <w:highlight w:val="none"/>
        </w:rPr>
        <w:t>，其工艺保证能力、生产能力、质量保证能力须经</w:t>
      </w:r>
      <w:r>
        <w:rPr>
          <w:rFonts w:hint="eastAsia" w:ascii="宋体" w:hAnsi="宋体" w:cs="宋体"/>
          <w:sz w:val="24"/>
          <w:szCs w:val="24"/>
          <w:highlight w:val="none"/>
          <w:lang w:eastAsia="zh-CN"/>
        </w:rPr>
        <w:t>甲方</w:t>
      </w:r>
      <w:r>
        <w:rPr>
          <w:rFonts w:hint="eastAsia" w:ascii="宋体" w:hAnsi="宋体" w:eastAsia="宋体" w:cs="宋体"/>
          <w:sz w:val="24"/>
          <w:szCs w:val="24"/>
          <w:highlight w:val="none"/>
        </w:rPr>
        <w:t>技术、生产、质量、采购等部门考察评审，并予以认可。</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highlight w:val="none"/>
        </w:rPr>
        <w:t>为了保证模具外委制作的质量，就</w:t>
      </w:r>
      <w:r>
        <w:rPr>
          <w:rFonts w:hint="eastAsia" w:ascii="宋体" w:hAnsi="宋体" w:cs="宋体"/>
          <w:sz w:val="24"/>
          <w:szCs w:val="24"/>
          <w:highlight w:val="none"/>
          <w:lang w:eastAsia="zh-CN"/>
        </w:rPr>
        <w:t>乙方</w:t>
      </w:r>
      <w:r>
        <w:rPr>
          <w:rFonts w:hint="eastAsia" w:ascii="宋体" w:hAnsi="宋体" w:eastAsia="宋体" w:cs="宋体"/>
          <w:sz w:val="24"/>
          <w:szCs w:val="24"/>
          <w:highlight w:val="none"/>
        </w:rPr>
        <w:t>向</w:t>
      </w:r>
      <w:r>
        <w:rPr>
          <w:rFonts w:hint="eastAsia" w:ascii="宋体" w:hAnsi="宋体" w:cs="宋体"/>
          <w:sz w:val="24"/>
          <w:szCs w:val="24"/>
          <w:highlight w:val="none"/>
          <w:lang w:eastAsia="zh-CN"/>
        </w:rPr>
        <w:t>甲方</w:t>
      </w:r>
      <w:r>
        <w:rPr>
          <w:rFonts w:hint="eastAsia" w:ascii="宋体" w:hAnsi="宋体" w:eastAsia="宋体" w:cs="宋体"/>
          <w:sz w:val="24"/>
          <w:szCs w:val="24"/>
        </w:rPr>
        <w:t>供货的技术要求、产品技术认证、产品质量等事宜经双方充分协商达成以下协议，作为</w:t>
      </w:r>
      <w:r>
        <w:rPr>
          <w:rFonts w:hint="eastAsia" w:ascii="宋体" w:hAnsi="宋体" w:cs="宋体"/>
          <w:sz w:val="24"/>
          <w:szCs w:val="24"/>
          <w:lang w:eastAsia="zh-CN"/>
        </w:rPr>
        <w:t>乙方</w:t>
      </w:r>
      <w:r>
        <w:rPr>
          <w:rFonts w:hint="eastAsia" w:ascii="宋体" w:hAnsi="宋体" w:eastAsia="宋体" w:cs="宋体"/>
          <w:sz w:val="24"/>
          <w:szCs w:val="24"/>
        </w:rPr>
        <w:t>今后供货时，双方共同执行的依据。</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lang w:eastAsia="zh-CN"/>
        </w:rPr>
      </w:pPr>
      <w:r>
        <w:rPr>
          <w:rFonts w:hint="eastAsia" w:ascii="宋体" w:hAnsi="宋体" w:eastAsia="宋体" w:cs="宋体"/>
          <w:b/>
          <w:sz w:val="24"/>
          <w:szCs w:val="24"/>
        </w:rPr>
        <w:t xml:space="preserve">第一条  </w:t>
      </w:r>
      <w:r>
        <w:rPr>
          <w:rFonts w:hint="eastAsia" w:ascii="宋体" w:hAnsi="宋体" w:eastAsia="宋体" w:cs="宋体"/>
          <w:b/>
          <w:sz w:val="24"/>
          <w:szCs w:val="24"/>
          <w:lang w:val="en-US" w:eastAsia="zh-CN"/>
        </w:rPr>
        <w:t>基本要求</w:t>
      </w:r>
    </w:p>
    <w:p>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cs="宋体"/>
          <w:sz w:val="24"/>
          <w:szCs w:val="24"/>
          <w:lang w:val="en-US" w:eastAsia="zh-CN"/>
        </w:rPr>
        <w:t>乙方</w:t>
      </w:r>
      <w:r>
        <w:rPr>
          <w:rFonts w:hint="eastAsia" w:ascii="宋体" w:hAnsi="宋体" w:eastAsia="宋体" w:cs="宋体"/>
          <w:sz w:val="24"/>
          <w:szCs w:val="24"/>
        </w:rPr>
        <w:t>所供的货物，必须符合中国最新版的法律、法规和相关标准、规范的要求，符合项目所在地政府有关特殊要求。</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cs="宋体"/>
          <w:sz w:val="24"/>
          <w:szCs w:val="24"/>
          <w:lang w:val="en-US" w:eastAsia="zh-CN"/>
        </w:rPr>
        <w:t>乙方</w:t>
      </w:r>
      <w:r>
        <w:rPr>
          <w:rFonts w:hint="eastAsia" w:ascii="宋体" w:hAnsi="宋体" w:eastAsia="宋体" w:cs="宋体"/>
          <w:sz w:val="24"/>
          <w:szCs w:val="24"/>
        </w:rPr>
        <w:t>应保证所供货物的完整性</w:t>
      </w:r>
      <w:r>
        <w:rPr>
          <w:rFonts w:hint="eastAsia" w:ascii="宋体" w:hAnsi="宋体" w:eastAsia="宋体" w:cs="宋体"/>
          <w:sz w:val="24"/>
          <w:szCs w:val="24"/>
          <w:lang w:eastAsia="zh-CN"/>
        </w:rPr>
        <w:t>、</w:t>
      </w:r>
      <w:r>
        <w:rPr>
          <w:rFonts w:hint="eastAsia" w:ascii="宋体" w:hAnsi="宋体" w:eastAsia="宋体" w:cs="宋体"/>
          <w:sz w:val="24"/>
          <w:szCs w:val="24"/>
        </w:rPr>
        <w:t>成套性</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全新性</w:t>
      </w:r>
      <w:r>
        <w:rPr>
          <w:rFonts w:hint="eastAsia" w:ascii="宋体" w:hAnsi="宋体" w:eastAsia="宋体" w:cs="宋体"/>
          <w:sz w:val="24"/>
          <w:szCs w:val="24"/>
        </w:rPr>
        <w:t>，能保证货物的正常运行、使用</w:t>
      </w:r>
      <w:r>
        <w:rPr>
          <w:rFonts w:hint="eastAsia" w:ascii="宋体" w:hAnsi="宋体" w:eastAsia="宋体" w:cs="宋体"/>
          <w:sz w:val="24"/>
          <w:szCs w:val="24"/>
          <w:lang w:eastAsia="zh-CN"/>
        </w:rPr>
        <w:t>。</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cs="宋体"/>
          <w:color w:val="000000"/>
          <w:sz w:val="24"/>
          <w:szCs w:val="24"/>
          <w:lang w:eastAsia="zh-CN"/>
        </w:rPr>
        <w:t>甲方</w:t>
      </w:r>
      <w:r>
        <w:rPr>
          <w:rFonts w:hint="eastAsia" w:ascii="宋体" w:hAnsi="宋体" w:eastAsia="宋体" w:cs="宋体"/>
          <w:color w:val="000000"/>
          <w:sz w:val="24"/>
          <w:szCs w:val="24"/>
        </w:rPr>
        <w:t>提供给</w:t>
      </w:r>
      <w:r>
        <w:rPr>
          <w:rFonts w:hint="eastAsia" w:ascii="宋体" w:hAnsi="宋体" w:cs="宋体"/>
          <w:color w:val="000000"/>
          <w:sz w:val="24"/>
          <w:szCs w:val="24"/>
          <w:lang w:eastAsia="zh-CN"/>
        </w:rPr>
        <w:t>乙方</w:t>
      </w:r>
      <w:r>
        <w:rPr>
          <w:rFonts w:hint="eastAsia" w:ascii="宋体" w:hAnsi="宋体" w:eastAsia="宋体" w:cs="宋体"/>
          <w:color w:val="000000"/>
          <w:sz w:val="24"/>
          <w:szCs w:val="24"/>
        </w:rPr>
        <w:t>PDF版图纸</w:t>
      </w:r>
      <w:r>
        <w:rPr>
          <w:rFonts w:hint="eastAsia" w:ascii="宋体" w:hAnsi="宋体" w:eastAsia="宋体" w:cs="宋体"/>
          <w:color w:val="000000"/>
          <w:sz w:val="24"/>
          <w:szCs w:val="24"/>
          <w:lang w:val="en-US" w:eastAsia="zh-CN"/>
        </w:rPr>
        <w:t>或</w:t>
      </w:r>
      <w:r>
        <w:rPr>
          <w:rFonts w:hint="eastAsia" w:ascii="宋体" w:hAnsi="宋体" w:eastAsia="宋体" w:cs="宋体"/>
          <w:color w:val="000000"/>
          <w:sz w:val="24"/>
          <w:szCs w:val="24"/>
        </w:rPr>
        <w:t>模具三维造型</w:t>
      </w:r>
      <w:r>
        <w:rPr>
          <w:rFonts w:hint="eastAsia" w:ascii="宋体" w:hAnsi="宋体" w:eastAsia="宋体" w:cs="宋体"/>
          <w:color w:val="000000"/>
          <w:sz w:val="24"/>
          <w:szCs w:val="24"/>
          <w:lang w:val="en-US" w:eastAsia="zh-CN"/>
        </w:rPr>
        <w:t>等</w:t>
      </w:r>
      <w:r>
        <w:rPr>
          <w:rFonts w:hint="eastAsia" w:ascii="宋体" w:hAnsi="宋体" w:eastAsia="宋体" w:cs="宋体"/>
          <w:color w:val="000000"/>
          <w:sz w:val="24"/>
          <w:szCs w:val="24"/>
        </w:rPr>
        <w:t>，</w:t>
      </w:r>
      <w:r>
        <w:rPr>
          <w:rFonts w:hint="eastAsia" w:ascii="宋体" w:hAnsi="宋体" w:cs="宋体"/>
          <w:color w:val="000000"/>
          <w:sz w:val="24"/>
          <w:szCs w:val="24"/>
          <w:lang w:eastAsia="zh-CN"/>
        </w:rPr>
        <w:t>甲方</w:t>
      </w:r>
      <w:r>
        <w:rPr>
          <w:rFonts w:hint="eastAsia" w:ascii="宋体" w:hAnsi="宋体" w:eastAsia="宋体" w:cs="宋体"/>
          <w:color w:val="000000"/>
          <w:sz w:val="24"/>
          <w:szCs w:val="24"/>
        </w:rPr>
        <w:t>拥有对图纸的知识产权，</w:t>
      </w:r>
      <w:r>
        <w:rPr>
          <w:rFonts w:hint="eastAsia" w:ascii="宋体" w:hAnsi="宋体" w:cs="宋体"/>
          <w:sz w:val="24"/>
          <w:szCs w:val="24"/>
          <w:lang w:eastAsia="zh-CN"/>
        </w:rPr>
        <w:t>乙方</w:t>
      </w:r>
      <w:r>
        <w:rPr>
          <w:rFonts w:hint="eastAsia" w:ascii="宋体" w:hAnsi="宋体" w:eastAsia="宋体" w:cs="宋体"/>
          <w:sz w:val="24"/>
          <w:szCs w:val="24"/>
        </w:rPr>
        <w:t>应对</w:t>
      </w:r>
      <w:r>
        <w:rPr>
          <w:rFonts w:hint="eastAsia" w:ascii="宋体" w:hAnsi="宋体" w:cs="宋体"/>
          <w:sz w:val="24"/>
          <w:szCs w:val="24"/>
          <w:lang w:eastAsia="zh-CN"/>
        </w:rPr>
        <w:t>甲方</w:t>
      </w:r>
      <w:r>
        <w:rPr>
          <w:rFonts w:hint="eastAsia" w:ascii="宋体" w:hAnsi="宋体" w:eastAsia="宋体" w:cs="宋体"/>
          <w:sz w:val="24"/>
          <w:szCs w:val="24"/>
        </w:rPr>
        <w:t>采购的货物所涉及的技术、产能等信息负有保密义务。</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sz w:val="24"/>
          <w:szCs w:val="24"/>
          <w:lang w:val="en-US" w:eastAsia="zh-CN"/>
        </w:rPr>
        <w:t>4、</w:t>
      </w:r>
      <w:r>
        <w:rPr>
          <w:rFonts w:hint="eastAsia" w:ascii="宋体" w:hAnsi="宋体" w:cs="宋体"/>
          <w:color w:val="000000"/>
          <w:sz w:val="24"/>
          <w:szCs w:val="24"/>
          <w:lang w:eastAsia="zh-CN"/>
        </w:rPr>
        <w:t>乙方</w:t>
      </w:r>
      <w:r>
        <w:rPr>
          <w:rFonts w:hint="eastAsia" w:ascii="宋体" w:hAnsi="宋体" w:eastAsia="宋体" w:cs="宋体"/>
          <w:color w:val="000000"/>
          <w:sz w:val="24"/>
          <w:szCs w:val="24"/>
        </w:rPr>
        <w:t>在委托外协加工时，必须征得</w:t>
      </w:r>
      <w:r>
        <w:rPr>
          <w:rFonts w:hint="eastAsia" w:ascii="宋体" w:hAnsi="宋体" w:cs="宋体"/>
          <w:color w:val="000000"/>
          <w:sz w:val="24"/>
          <w:szCs w:val="24"/>
          <w:lang w:eastAsia="zh-CN"/>
        </w:rPr>
        <w:t>甲方</w:t>
      </w:r>
      <w:r>
        <w:rPr>
          <w:rFonts w:hint="eastAsia" w:ascii="宋体" w:hAnsi="宋体" w:eastAsia="宋体" w:cs="宋体"/>
          <w:color w:val="000000"/>
          <w:sz w:val="24"/>
          <w:szCs w:val="24"/>
        </w:rPr>
        <w:t>的书面认可，并对外协方提出技术保密要求，不得将图纸外传，加工完成后，应将外协图纸收回。</w:t>
      </w:r>
    </w:p>
    <w:p>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cs="宋体"/>
          <w:sz w:val="24"/>
          <w:szCs w:val="24"/>
          <w:lang w:eastAsia="zh-CN"/>
        </w:rPr>
        <w:t>乙方</w:t>
      </w:r>
      <w:r>
        <w:rPr>
          <w:rFonts w:hint="eastAsia" w:ascii="宋体" w:hAnsi="宋体" w:eastAsia="宋体" w:cs="宋体"/>
          <w:sz w:val="24"/>
          <w:szCs w:val="24"/>
        </w:rPr>
        <w:t>不得自行改变</w:t>
      </w:r>
      <w:r>
        <w:rPr>
          <w:rFonts w:hint="eastAsia" w:ascii="宋体" w:hAnsi="宋体" w:cs="宋体"/>
          <w:sz w:val="24"/>
          <w:szCs w:val="24"/>
          <w:lang w:eastAsia="zh-CN"/>
        </w:rPr>
        <w:t>甲方</w:t>
      </w:r>
      <w:r>
        <w:rPr>
          <w:rFonts w:hint="eastAsia" w:ascii="宋体" w:hAnsi="宋体" w:eastAsia="宋体" w:cs="宋体"/>
          <w:sz w:val="24"/>
          <w:szCs w:val="24"/>
        </w:rPr>
        <w:t>提供的技术资料和技术质量要求，如确实需要更改，须事先征得</w:t>
      </w:r>
      <w:r>
        <w:rPr>
          <w:rFonts w:hint="eastAsia" w:ascii="宋体" w:hAnsi="宋体" w:cs="宋体"/>
          <w:sz w:val="24"/>
          <w:szCs w:val="24"/>
          <w:lang w:eastAsia="zh-CN"/>
        </w:rPr>
        <w:t>甲方</w:t>
      </w:r>
      <w:r>
        <w:rPr>
          <w:rFonts w:hint="eastAsia" w:ascii="宋体" w:hAnsi="宋体" w:eastAsia="宋体" w:cs="宋体"/>
          <w:sz w:val="24"/>
          <w:szCs w:val="24"/>
        </w:rPr>
        <w:t>的书面同意。</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2" w:firstLineChars="200"/>
        <w:jc w:val="center"/>
        <w:textAlignment w:val="baseline"/>
        <w:rPr>
          <w:rFonts w:hint="eastAsia" w:ascii="宋体" w:hAnsi="宋体" w:eastAsia="宋体" w:cs="宋体"/>
          <w:b/>
          <w:bCs/>
          <w:sz w:val="24"/>
          <w:szCs w:val="24"/>
        </w:rPr>
      </w:pPr>
      <w:r>
        <w:rPr>
          <w:rFonts w:hint="eastAsia" w:ascii="宋体" w:hAnsi="宋体" w:eastAsia="宋体" w:cs="宋体"/>
          <w:b/>
          <w:bCs/>
          <w:sz w:val="24"/>
          <w:szCs w:val="24"/>
        </w:rPr>
        <w:t>第</w:t>
      </w:r>
      <w:r>
        <w:rPr>
          <w:rFonts w:hint="eastAsia" w:ascii="宋体" w:hAnsi="宋体" w:eastAsia="宋体" w:cs="宋体"/>
          <w:b/>
          <w:bCs/>
          <w:sz w:val="24"/>
          <w:szCs w:val="24"/>
          <w:lang w:val="en-US" w:eastAsia="zh-CN"/>
        </w:rPr>
        <w:t>二</w:t>
      </w:r>
      <w:r>
        <w:rPr>
          <w:rFonts w:hint="eastAsia" w:ascii="宋体" w:hAnsi="宋体" w:eastAsia="宋体" w:cs="宋体"/>
          <w:b/>
          <w:bCs/>
          <w:sz w:val="24"/>
          <w:szCs w:val="24"/>
        </w:rPr>
        <w:t>条  技术规范</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rPr>
        <w:t>1、</w:t>
      </w:r>
      <w:r>
        <w:rPr>
          <w:rFonts w:hint="eastAsia" w:ascii="宋体" w:hAnsi="宋体" w:eastAsia="宋体" w:cs="宋体"/>
          <w:sz w:val="24"/>
          <w:szCs w:val="24"/>
          <w:lang w:val="en-US" w:eastAsia="zh-CN"/>
        </w:rPr>
        <w:t>对模箱状态进行确认，并输出检测报告，包括但不限于下述几点：</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1）模箱硬度：模具装配使用面、底面、四个侧面</w:t>
      </w:r>
      <w:r>
        <w:rPr>
          <w:rFonts w:hint="eastAsia" w:ascii="宋体" w:hAnsi="宋体" w:cs="宋体"/>
          <w:sz w:val="24"/>
          <w:szCs w:val="24"/>
          <w:lang w:val="en-US" w:eastAsia="zh-CN"/>
        </w:rPr>
        <w:t>；</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cs="宋体"/>
          <w:sz w:val="24"/>
          <w:szCs w:val="24"/>
          <w:lang w:eastAsia="zh-CN"/>
        </w:rPr>
      </w:pPr>
      <w:r>
        <w:rPr>
          <w:rFonts w:hint="eastAsia" w:ascii="宋体" w:hAnsi="宋体" w:eastAsia="宋体" w:cs="宋体"/>
          <w:sz w:val="24"/>
          <w:szCs w:val="24"/>
          <w:lang w:val="en-US" w:eastAsia="zh-CN"/>
        </w:rPr>
        <w:t>2）裂纹测量评估：</w:t>
      </w:r>
      <w:r>
        <w:rPr>
          <w:rFonts w:hint="eastAsia" w:ascii="宋体" w:hAnsi="宋体" w:eastAsia="宋体" w:cs="宋体"/>
          <w:sz w:val="24"/>
          <w:szCs w:val="24"/>
        </w:rPr>
        <w:t>进行超声波探伤检查，检测方法应符合GB/T6402的相关规定</w:t>
      </w:r>
      <w:r>
        <w:rPr>
          <w:rFonts w:hint="eastAsia" w:ascii="宋体" w:hAnsi="宋体" w:cs="宋体"/>
          <w:sz w:val="24"/>
          <w:szCs w:val="24"/>
          <w:lang w:eastAsia="zh-CN"/>
        </w:rPr>
        <w:t>；</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3）模箱底面以及模具垫板装配面的</w:t>
      </w:r>
      <w:r>
        <w:rPr>
          <w:rFonts w:hint="eastAsia" w:ascii="宋体" w:hAnsi="宋体" w:cs="宋体"/>
          <w:sz w:val="24"/>
          <w:szCs w:val="24"/>
          <w:lang w:val="en-US" w:eastAsia="zh-CN"/>
        </w:rPr>
        <w:t>平行度、平面度；</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default" w:ascii="宋体" w:hAnsi="宋体" w:eastAsia="宋体" w:cs="宋体"/>
          <w:sz w:val="24"/>
          <w:szCs w:val="24"/>
          <w:lang w:val="en-US" w:eastAsia="zh-CN"/>
        </w:rPr>
      </w:pPr>
      <w:r>
        <w:rPr>
          <w:rFonts w:hint="eastAsia" w:ascii="宋体" w:hAnsi="宋体" w:cs="宋体"/>
          <w:sz w:val="24"/>
          <w:szCs w:val="24"/>
          <w:lang w:val="en-US" w:eastAsia="zh-CN"/>
        </w:rPr>
        <w:t>4）装配用键/键槽的尺寸精度。</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cs="宋体"/>
          <w:sz w:val="24"/>
          <w:szCs w:val="24"/>
          <w:lang w:val="en-US" w:eastAsia="zh-CN"/>
        </w:rPr>
        <w:t>根据上述检测结果及维修方案要求，对不符合图纸要求的项目进行修复，</w:t>
      </w:r>
      <w:r>
        <w:rPr>
          <w:rFonts w:hint="eastAsia" w:ascii="宋体" w:hAnsi="宋体" w:eastAsia="宋体" w:cs="宋体"/>
          <w:sz w:val="24"/>
          <w:szCs w:val="24"/>
          <w:lang w:val="en-US" w:eastAsia="zh-CN"/>
        </w:rPr>
        <w:t>采用焊补方式修复，修复位置的各项性能指标不得低于基体要求。</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rPr>
        <w:t>选定</w:t>
      </w:r>
      <w:r>
        <w:rPr>
          <w:rFonts w:hint="eastAsia" w:ascii="宋体" w:hAnsi="宋体" w:eastAsia="宋体" w:cs="宋体"/>
          <w:sz w:val="24"/>
          <w:szCs w:val="24"/>
          <w:lang w:val="en-US" w:eastAsia="zh-CN"/>
        </w:rPr>
        <w:t>合理</w:t>
      </w:r>
      <w:r>
        <w:rPr>
          <w:rFonts w:hint="eastAsia" w:ascii="宋体" w:hAnsi="宋体" w:eastAsia="宋体" w:cs="宋体"/>
          <w:sz w:val="24"/>
          <w:szCs w:val="24"/>
        </w:rPr>
        <w:t>焊材</w:t>
      </w:r>
      <w:r>
        <w:rPr>
          <w:rFonts w:hint="eastAsia" w:ascii="宋体" w:hAnsi="宋体" w:eastAsia="宋体" w:cs="宋体"/>
          <w:sz w:val="24"/>
          <w:szCs w:val="24"/>
          <w:lang w:val="en-US" w:eastAsia="zh-CN"/>
        </w:rPr>
        <w:t>及焊接工艺，焊前模箱进行充分的预热，保证热透，焊接过程中采用保温措施，</w:t>
      </w:r>
      <w:r>
        <w:rPr>
          <w:rFonts w:hint="eastAsia" w:ascii="宋体" w:hAnsi="宋体" w:eastAsia="宋体" w:cs="宋体"/>
          <w:sz w:val="24"/>
          <w:szCs w:val="24"/>
        </w:rPr>
        <w:t>基体温度低于300℃时停止焊接，重新进炉加热</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焊接过程中</w:t>
      </w:r>
      <w:r>
        <w:rPr>
          <w:rFonts w:hint="eastAsia" w:ascii="宋体" w:hAnsi="宋体" w:eastAsia="宋体" w:cs="宋体"/>
          <w:sz w:val="24"/>
          <w:szCs w:val="24"/>
        </w:rPr>
        <w:t>用气铲敲击去除应力</w:t>
      </w:r>
      <w:r>
        <w:rPr>
          <w:rFonts w:hint="eastAsia" w:ascii="宋体" w:hAnsi="宋体" w:cs="宋体"/>
          <w:sz w:val="24"/>
          <w:szCs w:val="24"/>
          <w:lang w:eastAsia="zh-CN"/>
        </w:rPr>
        <w:t>、</w:t>
      </w:r>
      <w:r>
        <w:rPr>
          <w:rFonts w:hint="eastAsia" w:ascii="宋体" w:hAnsi="宋体" w:eastAsia="宋体" w:cs="宋体"/>
          <w:sz w:val="24"/>
          <w:szCs w:val="24"/>
        </w:rPr>
        <w:t>去除氧化皮</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焊后不低于二次回火处理。</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cs="宋体"/>
          <w:sz w:val="24"/>
          <w:szCs w:val="24"/>
          <w:lang w:val="en-US" w:eastAsia="zh-CN"/>
        </w:rPr>
        <w:t>4</w:t>
      </w:r>
      <w:r>
        <w:rPr>
          <w:rFonts w:hint="eastAsia" w:ascii="宋体" w:hAnsi="宋体" w:eastAsia="宋体" w:cs="宋体"/>
          <w:sz w:val="24"/>
          <w:szCs w:val="24"/>
          <w:lang w:val="en-US" w:eastAsia="zh-CN"/>
        </w:rPr>
        <w:t>、采取有效措施降低焊</w:t>
      </w:r>
      <w:r>
        <w:rPr>
          <w:rFonts w:hint="eastAsia" w:ascii="宋体" w:hAnsi="宋体" w:cs="宋体"/>
          <w:sz w:val="24"/>
          <w:szCs w:val="24"/>
          <w:lang w:val="en-US" w:eastAsia="zh-CN"/>
        </w:rPr>
        <w:t>修</w:t>
      </w:r>
      <w:r>
        <w:rPr>
          <w:rFonts w:hint="eastAsia" w:ascii="宋体" w:hAnsi="宋体" w:eastAsia="宋体" w:cs="宋体"/>
          <w:sz w:val="24"/>
          <w:szCs w:val="24"/>
          <w:lang w:val="en-US" w:eastAsia="zh-CN"/>
        </w:rPr>
        <w:t>过程变形，</w:t>
      </w:r>
      <w:r>
        <w:rPr>
          <w:rFonts w:hint="eastAsia" w:ascii="宋体" w:hAnsi="宋体" w:cs="宋体"/>
          <w:sz w:val="24"/>
          <w:szCs w:val="24"/>
          <w:lang w:val="en-US" w:eastAsia="zh-CN"/>
        </w:rPr>
        <w:t>并充分考虑变形的影响制定有效方案</w:t>
      </w:r>
      <w:r>
        <w:rPr>
          <w:rFonts w:hint="eastAsia" w:ascii="宋体" w:hAnsi="宋体" w:eastAsia="宋体" w:cs="宋体"/>
          <w:sz w:val="24"/>
          <w:szCs w:val="24"/>
          <w:lang w:val="en-US" w:eastAsia="zh-CN"/>
        </w:rPr>
        <w:t>，保证修复后模箱各尺寸、平面度、性能要求等均符合图纸要求。</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cs="宋体"/>
          <w:sz w:val="24"/>
          <w:szCs w:val="24"/>
          <w:lang w:val="en-US" w:eastAsia="zh-CN"/>
        </w:rPr>
      </w:pPr>
      <w:r>
        <w:rPr>
          <w:rFonts w:hint="eastAsia" w:ascii="宋体" w:hAnsi="宋体" w:cs="宋体"/>
          <w:sz w:val="24"/>
          <w:szCs w:val="24"/>
          <w:lang w:val="en-US" w:eastAsia="zh-CN"/>
        </w:rPr>
        <w:t>5、如果修复过程中发生上下平面度超差需要加工找平情况，要求上下平面加工量之和≤0.5mm；如果加工量较大，乙方需要向甲方反馈，确认修复方案。</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6、模箱基体非焊修位置，维修前后保证硬度偏差＜2HRC，焊修位置维修后硬度满足图纸要求。</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7、维修后进行尺寸、硬度、超声波探伤等检查，输出检测报告。</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8、其它未尽事宜双方协商处理。</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jc w:val="center"/>
        <w:rPr>
          <w:rFonts w:hint="default" w:ascii="宋体" w:hAnsi="宋体" w:eastAsia="宋体" w:cs="宋体"/>
          <w:b/>
          <w:color w:val="auto"/>
          <w:sz w:val="20"/>
          <w:szCs w:val="20"/>
          <w:lang w:val="en-US" w:eastAsia="zh-CN"/>
        </w:rPr>
      </w:pPr>
      <w:r>
        <w:rPr>
          <w:rFonts w:hint="eastAsia" w:ascii="宋体" w:hAnsi="宋体" w:eastAsia="宋体" w:cs="宋体"/>
          <w:b/>
          <w:bCs/>
          <w:sz w:val="24"/>
          <w:szCs w:val="24"/>
        </w:rPr>
        <w:t>第</w:t>
      </w:r>
      <w:r>
        <w:rPr>
          <w:rFonts w:hint="eastAsia" w:ascii="宋体" w:hAnsi="宋体" w:eastAsia="宋体" w:cs="宋体"/>
          <w:b/>
          <w:bCs/>
          <w:sz w:val="24"/>
          <w:szCs w:val="24"/>
          <w:lang w:val="en-US" w:eastAsia="zh-CN"/>
        </w:rPr>
        <w:t>三</w:t>
      </w:r>
      <w:r>
        <w:rPr>
          <w:rFonts w:hint="eastAsia" w:ascii="宋体" w:hAnsi="宋体" w:eastAsia="宋体" w:cs="宋体"/>
          <w:b/>
          <w:bCs/>
          <w:sz w:val="24"/>
          <w:szCs w:val="24"/>
        </w:rPr>
        <w:t xml:space="preserve">条  </w:t>
      </w:r>
      <w:r>
        <w:rPr>
          <w:rFonts w:hint="eastAsia" w:ascii="宋体" w:hAnsi="宋体" w:eastAsia="宋体" w:cs="宋体"/>
          <w:b/>
          <w:bCs/>
          <w:sz w:val="24"/>
          <w:szCs w:val="24"/>
          <w:lang w:val="en-US" w:eastAsia="zh-CN"/>
        </w:rPr>
        <w:t>技术更改及技术文件</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1、为确保产品质量乙方必须严格执行甲方提供的产品图纸、执行标准、工艺参数等相关的技术要求，并严格执行甲方评审认可的乙方提交的相关的技术文件（表1），加强生产过程中的质量控制。</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2、如在设计过程中遇到设计更改，甲方及时将技术更改通知乙方，乙方应按更改后的技术要求制造模具并负责将更改后的工装图（三维和二维）等技术文件及时提交给甲方。</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3、乙方不得自行改变双方共同确认的本协议附表中技术资料，如确实需要更改，应事先征得甲方同意。</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4、乙方承诺：符合技术要求只是必要条件，满足使用要求和最终用户的要求是最终目的。</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第四条  制造过程变更</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1、乙方必须保证产品在生产制造过程中达到甲方规定的质量要求并检测合格。</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2、甲方根据产品质量升级等方面的要求，可向乙方提出对产品进行重新鉴定或认证的要求，乙方应提供足够的产品样本，并配合甲方共同完成产品的鉴定或认证工作，其结果双方共享。</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3、如果乙方的生产基地、生产工艺、材料或配套厂商发生了改变，则应及时书面报告甲方，重新提供相关资料（表1）并取得甲方评审认可。</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第五条  产品包装</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1、乙方产品包装须严格执行甲方的企业标准或国家标准和行业有关标准及甲方的其它包装要求。</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2、乙方的产品包装必须保证产品质量在运输、储存过程中不降低。</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3、乙方对其供给甲方的产品必须进行可追溯性标识，同时须满足甲方的特定标识要求。</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4、产品标识部位以不影响产品质量为原则，除甲方明确要求的标识部位外，乙方可自行选择部位，并将标识部位传给甲方备案。</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jc w:val="center"/>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rPr>
        <w:t>第</w:t>
      </w:r>
      <w:r>
        <w:rPr>
          <w:rFonts w:hint="eastAsia" w:ascii="宋体" w:hAnsi="宋体" w:eastAsia="宋体" w:cs="宋体"/>
          <w:b/>
          <w:color w:val="auto"/>
          <w:sz w:val="24"/>
          <w:szCs w:val="24"/>
          <w:lang w:val="en-US" w:eastAsia="zh-CN"/>
        </w:rPr>
        <w:t>六</w:t>
      </w:r>
      <w:r>
        <w:rPr>
          <w:rFonts w:hint="eastAsia" w:ascii="宋体" w:hAnsi="宋体" w:eastAsia="宋体" w:cs="宋体"/>
          <w:b/>
          <w:color w:val="auto"/>
          <w:sz w:val="24"/>
          <w:szCs w:val="24"/>
        </w:rPr>
        <w:t xml:space="preserve">条  </w:t>
      </w:r>
      <w:r>
        <w:rPr>
          <w:rFonts w:hint="eastAsia" w:ascii="宋体" w:hAnsi="宋体" w:eastAsia="宋体" w:cs="宋体"/>
          <w:b/>
          <w:color w:val="auto"/>
          <w:sz w:val="24"/>
          <w:szCs w:val="24"/>
          <w:lang w:val="en-US" w:eastAsia="zh-CN"/>
        </w:rPr>
        <w:t>预验收及交货</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1、必要时甲方派专业人员在发货前20天到乙方工厂进行预验收，检查确认模具数量及结构完整，并签署预验收备忘录。</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2、交货地点：济南成型厂。</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3、进厂检验：新工装到厂后，质量部核对乙方提供自检报告（表1），并进行硬度、三维扫描对比/划线等检验。</w:t>
      </w:r>
    </w:p>
    <w:p>
      <w:pPr>
        <w:keepNext w:val="0"/>
        <w:keepLines w:val="0"/>
        <w:pageBreakBefore w:val="0"/>
        <w:widowControl w:val="0"/>
        <w:tabs>
          <w:tab w:val="left" w:pos="2865"/>
        </w:tabs>
        <w:kinsoku/>
        <w:wordWrap/>
        <w:overflowPunct/>
        <w:topLinePunct w:val="0"/>
        <w:autoSpaceDE/>
        <w:autoSpaceDN/>
        <w:bidi w:val="0"/>
        <w:adjustRightInd/>
        <w:snapToGrid/>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4、做防锈处理。</w:t>
      </w:r>
    </w:p>
    <w:p>
      <w:pPr>
        <w:keepNext w:val="0"/>
        <w:keepLines w:val="0"/>
        <w:pageBreakBefore w:val="0"/>
        <w:widowControl w:val="0"/>
        <w:kinsoku/>
        <w:wordWrap/>
        <w:overflowPunct/>
        <w:topLinePunct w:val="0"/>
        <w:autoSpaceDE/>
        <w:autoSpaceDN/>
        <w:bidi w:val="0"/>
        <w:adjustRightInd/>
        <w:snapToGrid/>
        <w:spacing w:line="360" w:lineRule="auto"/>
        <w:ind w:left="402" w:hanging="482" w:hangingChars="200"/>
        <w:jc w:val="center"/>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lang w:val="en-US" w:eastAsia="zh-CN"/>
        </w:rPr>
        <w:t>表1：</w:t>
      </w:r>
      <w:r>
        <w:rPr>
          <w:rFonts w:hint="eastAsia" w:ascii="宋体" w:hAnsi="宋体" w:cs="宋体"/>
          <w:b/>
          <w:color w:val="auto"/>
          <w:sz w:val="24"/>
          <w:szCs w:val="24"/>
          <w:lang w:eastAsia="zh-CN"/>
        </w:rPr>
        <w:t>甲方</w:t>
      </w:r>
      <w:r>
        <w:rPr>
          <w:rFonts w:hint="eastAsia" w:ascii="宋体" w:hAnsi="宋体" w:eastAsia="宋体" w:cs="宋体"/>
          <w:b/>
          <w:color w:val="auto"/>
          <w:sz w:val="24"/>
          <w:szCs w:val="24"/>
        </w:rPr>
        <w:t>要求</w:t>
      </w:r>
      <w:r>
        <w:rPr>
          <w:rFonts w:hint="eastAsia" w:ascii="宋体" w:hAnsi="宋体" w:cs="宋体"/>
          <w:b/>
          <w:color w:val="auto"/>
          <w:sz w:val="24"/>
          <w:szCs w:val="24"/>
          <w:lang w:eastAsia="zh-CN"/>
        </w:rPr>
        <w:t>乙方</w:t>
      </w:r>
      <w:r>
        <w:rPr>
          <w:rFonts w:hint="eastAsia" w:ascii="宋体" w:hAnsi="宋体" w:eastAsia="宋体" w:cs="宋体"/>
          <w:b/>
          <w:color w:val="auto"/>
          <w:sz w:val="24"/>
          <w:szCs w:val="24"/>
        </w:rPr>
        <w:t>提交的</w:t>
      </w:r>
      <w:r>
        <w:rPr>
          <w:rFonts w:hint="eastAsia" w:ascii="宋体" w:hAnsi="宋体" w:eastAsia="宋体" w:cs="宋体"/>
          <w:b/>
          <w:color w:val="auto"/>
          <w:sz w:val="24"/>
          <w:szCs w:val="24"/>
          <w:lang w:val="en-US" w:eastAsia="zh-CN"/>
        </w:rPr>
        <w:t>资料清单</w:t>
      </w:r>
    </w:p>
    <w:tbl>
      <w:tblPr>
        <w:tblStyle w:val="42"/>
        <w:tblpPr w:leftFromText="180" w:rightFromText="180" w:vertAnchor="text" w:horzAnchor="page" w:tblpX="1512" w:tblpY="156"/>
        <w:tblOverlap w:val="never"/>
        <w:tblW w:w="9920"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90"/>
        <w:gridCol w:w="1378"/>
        <w:gridCol w:w="255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599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资料明细</w:t>
            </w:r>
          </w:p>
        </w:tc>
        <w:tc>
          <w:tcPr>
            <w:tcW w:w="137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99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.过程流程图（或工艺卡等相关文件）</w:t>
            </w:r>
          </w:p>
        </w:tc>
        <w:tc>
          <w:tcPr>
            <w:tcW w:w="137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复印件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99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.控制计划（或作业指导文件等相关文件）</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炉温记录</w:t>
            </w:r>
          </w:p>
        </w:tc>
        <w:tc>
          <w:tcPr>
            <w:tcW w:w="137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复印件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99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3.焊接部位的材料成分检测报告</w:t>
            </w:r>
          </w:p>
        </w:tc>
        <w:tc>
          <w:tcPr>
            <w:tcW w:w="137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复印件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99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4</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三维扫描</w:t>
            </w:r>
            <w:r>
              <w:rPr>
                <w:rFonts w:hint="eastAsia" w:ascii="宋体" w:hAnsi="宋体" w:eastAsia="宋体" w:cs="宋体"/>
                <w:color w:val="auto"/>
                <w:sz w:val="24"/>
                <w:szCs w:val="24"/>
              </w:rPr>
              <w:t>测量</w:t>
            </w:r>
            <w:r>
              <w:rPr>
                <w:rFonts w:hint="eastAsia" w:ascii="宋体" w:hAnsi="宋体" w:eastAsia="宋体" w:cs="宋体"/>
                <w:color w:val="auto"/>
                <w:sz w:val="24"/>
                <w:szCs w:val="24"/>
                <w:lang w:val="en-US" w:eastAsia="zh-CN"/>
              </w:rPr>
              <w:t>/划线报告</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包括平面度</w:t>
            </w:r>
            <w:r>
              <w:rPr>
                <w:rFonts w:hint="eastAsia" w:ascii="宋体" w:hAnsi="宋体" w:cs="宋体"/>
                <w:color w:val="auto"/>
                <w:sz w:val="24"/>
                <w:szCs w:val="24"/>
                <w:lang w:val="en-US" w:eastAsia="zh-CN"/>
              </w:rPr>
              <w:t>、平行度</w:t>
            </w:r>
            <w:r>
              <w:rPr>
                <w:rFonts w:hint="eastAsia" w:ascii="宋体" w:hAnsi="宋体" w:eastAsia="宋体" w:cs="宋体"/>
                <w:color w:val="auto"/>
                <w:sz w:val="24"/>
                <w:szCs w:val="24"/>
                <w:lang w:eastAsia="zh-CN"/>
              </w:rPr>
              <w:t>）</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维修前、后</w:t>
            </w:r>
            <w:r>
              <w:rPr>
                <w:rFonts w:hint="eastAsia" w:ascii="宋体" w:hAnsi="宋体" w:cs="宋体"/>
                <w:color w:val="auto"/>
                <w:sz w:val="24"/>
                <w:szCs w:val="24"/>
                <w:lang w:eastAsia="zh-CN"/>
              </w:rPr>
              <w:t>）</w:t>
            </w:r>
          </w:p>
        </w:tc>
        <w:tc>
          <w:tcPr>
            <w:tcW w:w="137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复印件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99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基体以及维修部位</w:t>
            </w:r>
            <w:r>
              <w:rPr>
                <w:rFonts w:hint="eastAsia" w:ascii="宋体" w:hAnsi="宋体" w:cs="宋体"/>
                <w:color w:val="auto"/>
                <w:sz w:val="24"/>
                <w:szCs w:val="24"/>
                <w:lang w:val="en-US" w:eastAsia="zh-CN"/>
              </w:rPr>
              <w:t>硬度</w:t>
            </w:r>
            <w:r>
              <w:rPr>
                <w:rFonts w:hint="eastAsia" w:ascii="宋体" w:hAnsi="宋体" w:eastAsia="宋体" w:cs="宋体"/>
                <w:color w:val="auto"/>
                <w:sz w:val="24"/>
                <w:szCs w:val="24"/>
                <w:highlight w:val="none"/>
                <w:lang w:val="en-US" w:eastAsia="zh-CN"/>
              </w:rPr>
              <w:t>检</w:t>
            </w:r>
            <w:r>
              <w:rPr>
                <w:rFonts w:hint="eastAsia" w:ascii="宋体" w:hAnsi="宋体" w:eastAsia="宋体" w:cs="宋体"/>
                <w:color w:val="auto"/>
                <w:sz w:val="24"/>
                <w:szCs w:val="24"/>
                <w:lang w:val="en-US" w:eastAsia="zh-CN"/>
              </w:rPr>
              <w:t>测</w:t>
            </w:r>
            <w:r>
              <w:rPr>
                <w:rFonts w:hint="eastAsia" w:ascii="宋体" w:hAnsi="宋体" w:eastAsia="宋体" w:cs="宋体"/>
                <w:color w:val="auto"/>
                <w:sz w:val="24"/>
                <w:szCs w:val="24"/>
              </w:rPr>
              <w:t>结果</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维修前、后</w:t>
            </w:r>
            <w:r>
              <w:rPr>
                <w:rFonts w:hint="eastAsia" w:ascii="宋体" w:hAnsi="宋体" w:cs="宋体"/>
                <w:color w:val="auto"/>
                <w:sz w:val="24"/>
                <w:szCs w:val="24"/>
                <w:lang w:eastAsia="zh-CN"/>
              </w:rPr>
              <w:t>）</w:t>
            </w:r>
          </w:p>
        </w:tc>
        <w:tc>
          <w:tcPr>
            <w:tcW w:w="137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复印件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99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6</w:t>
            </w:r>
            <w:r>
              <w:rPr>
                <w:rFonts w:hint="eastAsia" w:ascii="宋体" w:hAnsi="宋体" w:eastAsia="宋体" w:cs="宋体"/>
                <w:color w:val="auto"/>
                <w:sz w:val="24"/>
                <w:szCs w:val="24"/>
              </w:rPr>
              <w:t>.超声波探伤结果报告</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维修前、后</w:t>
            </w:r>
            <w:r>
              <w:rPr>
                <w:rFonts w:hint="eastAsia" w:ascii="宋体" w:hAnsi="宋体" w:cs="宋体"/>
                <w:color w:val="auto"/>
                <w:sz w:val="24"/>
                <w:szCs w:val="24"/>
                <w:lang w:eastAsia="zh-CN"/>
              </w:rPr>
              <w:t>）</w:t>
            </w:r>
          </w:p>
        </w:tc>
        <w:tc>
          <w:tcPr>
            <w:tcW w:w="137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复印件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599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7</w:t>
            </w:r>
            <w:r>
              <w:rPr>
                <w:rFonts w:hint="eastAsia" w:ascii="宋体" w:hAnsi="宋体" w:eastAsia="宋体" w:cs="宋体"/>
                <w:color w:val="auto"/>
                <w:sz w:val="24"/>
                <w:szCs w:val="24"/>
              </w:rPr>
              <w:t>.工程变更文件，如果有</w:t>
            </w:r>
          </w:p>
        </w:tc>
        <w:tc>
          <w:tcPr>
            <w:tcW w:w="137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复印件</w:t>
            </w:r>
          </w:p>
        </w:tc>
      </w:tr>
    </w:tbl>
    <w:p>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上表中“ √”表示</w:t>
      </w:r>
      <w:r>
        <w:rPr>
          <w:rFonts w:hint="eastAsia" w:ascii="宋体" w:hAnsi="宋体" w:cs="宋体"/>
          <w:sz w:val="24"/>
          <w:szCs w:val="24"/>
          <w:lang w:eastAsia="zh-CN"/>
        </w:rPr>
        <w:t>乙方</w:t>
      </w:r>
      <w:r>
        <w:rPr>
          <w:rFonts w:hint="eastAsia" w:ascii="宋体" w:hAnsi="宋体" w:eastAsia="宋体" w:cs="宋体"/>
          <w:sz w:val="24"/>
          <w:szCs w:val="24"/>
          <w:lang w:val="en-US" w:eastAsia="zh-CN"/>
        </w:rPr>
        <w:t>必须</w:t>
      </w:r>
      <w:r>
        <w:rPr>
          <w:rFonts w:hint="eastAsia" w:ascii="宋体" w:hAnsi="宋体" w:eastAsia="宋体" w:cs="宋体"/>
          <w:sz w:val="24"/>
          <w:szCs w:val="24"/>
        </w:rPr>
        <w:t>提交的资料</w:t>
      </w:r>
      <w:r>
        <w:rPr>
          <w:rFonts w:hint="eastAsia" w:ascii="宋体" w:hAnsi="宋体" w:eastAsia="宋体" w:cs="宋体"/>
          <w:sz w:val="24"/>
          <w:szCs w:val="24"/>
          <w:lang w:eastAsia="zh-CN"/>
        </w:rPr>
        <w:t>，</w:t>
      </w:r>
      <w:r>
        <w:rPr>
          <w:rFonts w:hint="eastAsia" w:ascii="宋体" w:hAnsi="宋体" w:eastAsia="宋体" w:cs="宋体"/>
          <w:sz w:val="24"/>
          <w:szCs w:val="24"/>
        </w:rPr>
        <w:t>备注中填写数量、原件、复印件等说明。</w:t>
      </w:r>
    </w:p>
    <w:p>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协  议  签  署</w:t>
      </w:r>
    </w:p>
    <w:p>
      <w:pPr>
        <w:keepNext w:val="0"/>
        <w:keepLines w:val="0"/>
        <w:pageBreakBefore w:val="0"/>
        <w:widowControl w:val="0"/>
        <w:kinsoku/>
        <w:wordWrap/>
        <w:overflowPunct/>
        <w:topLinePunct w:val="0"/>
        <w:autoSpaceDE/>
        <w:autoSpaceDN/>
        <w:bidi w:val="0"/>
        <w:adjustRightInd/>
        <w:snapToGrid/>
        <w:spacing w:line="360" w:lineRule="auto"/>
        <w:ind w:left="400" w:hanging="480" w:hangingChars="200"/>
        <w:jc w:val="center"/>
        <w:rPr>
          <w:rFonts w:hint="eastAsia"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本协议一经双方认可签字盖章后，立即生效。</w:t>
      </w:r>
    </w:p>
    <w:p>
      <w:pPr>
        <w:keepNext w:val="0"/>
        <w:keepLines w:val="0"/>
        <w:pageBreakBefore w:val="0"/>
        <w:widowControl w:val="0"/>
        <w:kinsoku/>
        <w:wordWrap/>
        <w:overflowPunct/>
        <w:topLinePunct w:val="0"/>
        <w:autoSpaceDE/>
        <w:autoSpaceDN/>
        <w:bidi w:val="0"/>
        <w:adjustRightInd/>
        <w:snapToGrid/>
        <w:spacing w:line="360" w:lineRule="auto"/>
        <w:ind w:left="400" w:hanging="480" w:hangingChars="200"/>
        <w:rPr>
          <w:rFonts w:hint="eastAsia" w:ascii="宋体" w:hAnsi="宋体" w:eastAsia="宋体" w:cs="宋体"/>
          <w:sz w:val="24"/>
          <w:szCs w:val="24"/>
        </w:rPr>
      </w:pPr>
      <w:r>
        <w:rPr>
          <w:rFonts w:hint="eastAsia" w:ascii="宋体" w:hAnsi="宋体" w:eastAsia="宋体" w:cs="宋体"/>
          <w:sz w:val="24"/>
          <w:szCs w:val="24"/>
        </w:rPr>
        <w:t>本协议引起或与本协议有关的争议均应通过双方协商解决。</w:t>
      </w:r>
    </w:p>
    <w:p>
      <w:pPr>
        <w:keepNext w:val="0"/>
        <w:keepLines w:val="0"/>
        <w:pageBreakBefore w:val="0"/>
        <w:widowControl w:val="0"/>
        <w:kinsoku/>
        <w:wordWrap/>
        <w:overflowPunct/>
        <w:topLinePunct w:val="0"/>
        <w:autoSpaceDE/>
        <w:autoSpaceDN/>
        <w:bidi w:val="0"/>
        <w:adjustRightInd/>
        <w:snapToGrid/>
        <w:spacing w:line="360" w:lineRule="auto"/>
        <w:ind w:left="400" w:hanging="480" w:hangingChars="200"/>
        <w:rPr>
          <w:rFonts w:hint="eastAsia"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b/>
          <w:sz w:val="24"/>
          <w:szCs w:val="24"/>
        </w:rPr>
      </w:pP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b/>
          <w:sz w:val="24"/>
          <w:szCs w:val="24"/>
        </w:rPr>
      </w:pPr>
      <w:r>
        <w:rPr>
          <w:rFonts w:hint="eastAsia" w:ascii="宋体" w:hAnsi="宋体" w:cs="宋体"/>
          <w:b/>
          <w:sz w:val="24"/>
          <w:szCs w:val="24"/>
          <w:lang w:eastAsia="zh-CN"/>
        </w:rPr>
        <w:t>甲方</w:t>
      </w:r>
      <w:r>
        <w:rPr>
          <w:rFonts w:hint="eastAsia" w:ascii="宋体" w:hAnsi="宋体" w:eastAsia="宋体" w:cs="宋体"/>
          <w:b/>
          <w:sz w:val="24"/>
          <w:szCs w:val="24"/>
        </w:rPr>
        <w:t>（盖章）：</w:t>
      </w:r>
      <w:r>
        <w:rPr>
          <w:rFonts w:hint="eastAsia" w:ascii="宋体" w:hAnsi="宋体" w:eastAsia="宋体" w:cs="宋体"/>
          <w:spacing w:val="-20"/>
          <w:sz w:val="24"/>
          <w:szCs w:val="24"/>
        </w:rPr>
        <w:t>中国重汽集团济南动力有限公司</w:t>
      </w:r>
      <w:r>
        <w:rPr>
          <w:rFonts w:hint="eastAsia" w:ascii="宋体" w:hAnsi="宋体" w:eastAsia="宋体" w:cs="宋体"/>
          <w:b/>
          <w:spacing w:val="-20"/>
          <w:sz w:val="24"/>
          <w:szCs w:val="24"/>
        </w:rPr>
        <w:t xml:space="preserve">   </w:t>
      </w:r>
      <w:r>
        <w:rPr>
          <w:rFonts w:hint="eastAsia" w:ascii="宋体" w:hAnsi="宋体" w:eastAsia="宋体" w:cs="宋体"/>
          <w:b/>
          <w:sz w:val="24"/>
          <w:szCs w:val="24"/>
        </w:rPr>
        <w:t xml:space="preserve">     </w:t>
      </w:r>
      <w:r>
        <w:rPr>
          <w:rFonts w:hint="eastAsia" w:ascii="宋体" w:hAnsi="宋体" w:cs="宋体"/>
          <w:b/>
          <w:sz w:val="24"/>
          <w:szCs w:val="24"/>
          <w:lang w:eastAsia="zh-CN"/>
        </w:rPr>
        <w:t>乙方</w:t>
      </w:r>
      <w:r>
        <w:rPr>
          <w:rFonts w:hint="eastAsia" w:ascii="宋体" w:hAnsi="宋体" w:eastAsia="宋体" w:cs="宋体"/>
          <w:b/>
          <w:sz w:val="24"/>
          <w:szCs w:val="24"/>
        </w:rPr>
        <w:t xml:space="preserve">（盖章）：                   </w:t>
      </w: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b/>
          <w:sz w:val="24"/>
          <w:szCs w:val="24"/>
        </w:rPr>
      </w:pP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b/>
          <w:sz w:val="24"/>
          <w:szCs w:val="24"/>
        </w:rPr>
      </w:pP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b/>
          <w:sz w:val="24"/>
          <w:szCs w:val="24"/>
        </w:rPr>
      </w:pP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b/>
          <w:sz w:val="24"/>
          <w:szCs w:val="24"/>
        </w:rPr>
      </w:pPr>
      <w:r>
        <w:rPr>
          <w:rFonts w:hint="eastAsia" w:ascii="宋体" w:hAnsi="宋体" w:eastAsia="宋体" w:cs="宋体"/>
          <w:b/>
          <w:sz w:val="24"/>
          <w:szCs w:val="24"/>
        </w:rPr>
        <w:t>法定代表人：                                   法定代表人：</w:t>
      </w: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b/>
          <w:sz w:val="24"/>
          <w:szCs w:val="24"/>
        </w:rPr>
        <w:t xml:space="preserve">（或授权委托人）：                  </w:t>
      </w:r>
      <w:r>
        <w:rPr>
          <w:rFonts w:hint="eastAsia" w:ascii="宋体" w:hAnsi="宋体" w:cs="宋体"/>
          <w:b/>
          <w:sz w:val="24"/>
          <w:szCs w:val="24"/>
          <w:lang w:val="en-US" w:eastAsia="zh-CN"/>
        </w:rPr>
        <w:t xml:space="preserve">          </w:t>
      </w:r>
      <w:r>
        <w:rPr>
          <w:rFonts w:hint="eastAsia" w:ascii="宋体" w:hAnsi="宋体" w:eastAsia="宋体" w:cs="宋体"/>
          <w:b/>
          <w:sz w:val="24"/>
          <w:szCs w:val="24"/>
        </w:rPr>
        <w:t>（或授权委托人）</w:t>
      </w:r>
      <w:r>
        <w:rPr>
          <w:rFonts w:hint="eastAsia" w:ascii="宋体" w:hAnsi="宋体" w:eastAsia="宋体" w:cs="宋体"/>
          <w:bCs/>
          <w:sz w:val="24"/>
          <w:szCs w:val="24"/>
        </w:rPr>
        <w:t>：</w:t>
      </w: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bCs/>
          <w:sz w:val="24"/>
          <w:szCs w:val="24"/>
        </w:rPr>
      </w:pP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sz w:val="24"/>
          <w:szCs w:val="24"/>
        </w:rPr>
      </w:pPr>
      <w:r>
        <w:rPr>
          <w:rFonts w:hint="eastAsia" w:ascii="宋体" w:hAnsi="宋体" w:eastAsia="宋体" w:cs="宋体"/>
          <w:sz w:val="24"/>
          <w:szCs w:val="24"/>
        </w:rPr>
        <w:t>签订日期：   年  月  日                      签订日期：   年  月  日</w:t>
      </w:r>
    </w:p>
    <w:p>
      <w:pPr>
        <w:sectPr>
          <w:pgSz w:w="11907" w:h="16840"/>
          <w:pgMar w:top="1304" w:right="1418" w:bottom="1304" w:left="1418" w:header="724" w:footer="851" w:gutter="0"/>
          <w:cols w:space="720" w:num="1"/>
          <w:docGrid w:linePitch="290" w:charSpace="-3931"/>
        </w:sectPr>
      </w:pPr>
    </w:p>
    <w:p/>
    <w:p>
      <w:pPr>
        <w:pStyle w:val="23"/>
      </w:pPr>
    </w:p>
    <w:p>
      <w:pPr>
        <w:spacing w:line="360" w:lineRule="auto"/>
        <w:jc w:val="center"/>
        <w:outlineLvl w:val="0"/>
        <w:rPr>
          <w:rFonts w:ascii="宋体" w:hAnsi="Calibri" w:eastAsia="宋体" w:cs="Times New Roman"/>
          <w:b/>
          <w:sz w:val="36"/>
          <w:szCs w:val="36"/>
        </w:rPr>
      </w:pPr>
      <w:bookmarkStart w:id="96"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96"/>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hint="eastAsia"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2"/>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0" w:type="default"/>
          <w:footerReference r:id="rId11"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97" w:name="_Toc8509"/>
      <w:bookmarkStart w:id="98" w:name="_Toc15851"/>
      <w:bookmarkStart w:id="99" w:name="_Toc20872"/>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97"/>
      <w:bookmarkEnd w:id="98"/>
      <w:bookmarkEnd w:id="99"/>
    </w:p>
    <w:p>
      <w:pPr>
        <w:keepNext/>
        <w:keepLines/>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3"/>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3"/>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3"/>
        <w:rPr>
          <w:rFonts w:ascii="Times New Roman" w:hAnsi="Times New Roman" w:eastAsia="宋体" w:cs="Times New Roman"/>
          <w:b/>
          <w:bCs/>
          <w:color w:val="000000"/>
          <w:sz w:val="24"/>
          <w:szCs w:val="24"/>
        </w:rPr>
      </w:pP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26"/>
                <w:szCs w:val="26"/>
                <w:u w:val="none"/>
                <w:lang w:val="en-US" w:eastAsia="zh-CN" w:bidi="ar"/>
              </w:rPr>
              <w:t>1</w:t>
            </w:r>
          </w:p>
        </w:tc>
        <w:tc>
          <w:tcPr>
            <w:tcW w:w="3190" w:type="dxa"/>
            <w:vAlign w:val="center"/>
          </w:tcPr>
          <w:p>
            <w:pPr>
              <w:keepNext w:val="0"/>
              <w:keepLines w:val="0"/>
              <w:widowControl/>
              <w:suppressLineNumbers w:val="0"/>
              <w:jc w:val="left"/>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26"/>
                <w:szCs w:val="26"/>
                <w:u w:val="none"/>
                <w:lang w:val="en-US" w:eastAsia="zh-CN" w:bidi="ar"/>
              </w:rPr>
              <w:t>MP切边模箱</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26"/>
                <w:szCs w:val="26"/>
                <w:u w:val="none"/>
                <w:lang w:val="en-US" w:eastAsia="zh-CN" w:bidi="ar"/>
              </w:rPr>
              <w:t>2</w:t>
            </w:r>
          </w:p>
        </w:tc>
        <w:tc>
          <w:tcPr>
            <w:tcW w:w="3190" w:type="dxa"/>
            <w:vAlign w:val="center"/>
          </w:tcPr>
          <w:p>
            <w:pPr>
              <w:keepNext w:val="0"/>
              <w:keepLines w:val="0"/>
              <w:widowControl/>
              <w:suppressLineNumbers w:val="0"/>
              <w:jc w:val="left"/>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26"/>
                <w:szCs w:val="26"/>
                <w:u w:val="none"/>
                <w:lang w:val="en-US" w:eastAsia="zh-CN" w:bidi="ar"/>
              </w:rPr>
              <w:t>MP切边模箱</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26"/>
                <w:szCs w:val="26"/>
                <w:u w:val="none"/>
                <w:lang w:val="en-US" w:eastAsia="zh-CN" w:bidi="ar"/>
              </w:rPr>
              <w:t>3</w:t>
            </w:r>
          </w:p>
        </w:tc>
        <w:tc>
          <w:tcPr>
            <w:tcW w:w="3190" w:type="dxa"/>
            <w:vAlign w:val="center"/>
          </w:tcPr>
          <w:p>
            <w:pPr>
              <w:keepNext w:val="0"/>
              <w:keepLines w:val="0"/>
              <w:widowControl/>
              <w:suppressLineNumbers w:val="0"/>
              <w:jc w:val="left"/>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26"/>
                <w:szCs w:val="26"/>
                <w:u w:val="none"/>
                <w:lang w:val="en-US" w:eastAsia="zh-CN" w:bidi="ar"/>
              </w:rPr>
              <w:t>曲轴切边下模箱</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keepNext w:val="0"/>
              <w:keepLines w:val="0"/>
              <w:widowControl/>
              <w:suppressLineNumbers w:val="0"/>
              <w:jc w:val="center"/>
              <w:textAlignment w:val="center"/>
              <w:rPr>
                <w:rFonts w:hint="eastAsia" w:ascii="Times New Roman" w:hAnsi="Times New Roman" w:eastAsia="宋体" w:cs="Times New Roman"/>
                <w:b/>
                <w:kern w:val="2"/>
                <w:sz w:val="24"/>
                <w:szCs w:val="20"/>
                <w:lang w:val="en-US" w:eastAsia="zh-CN" w:bidi="ar-SA"/>
              </w:rPr>
            </w:pPr>
            <w:r>
              <w:rPr>
                <w:rFonts w:hint="eastAsia" w:ascii="宋体" w:hAnsi="宋体" w:eastAsia="宋体" w:cs="宋体"/>
                <w:i w:val="0"/>
                <w:iCs w:val="0"/>
                <w:color w:val="000000"/>
                <w:kern w:val="0"/>
                <w:sz w:val="26"/>
                <w:szCs w:val="26"/>
                <w:u w:val="none"/>
                <w:lang w:val="en-US" w:eastAsia="zh-CN" w:bidi="ar"/>
              </w:rPr>
              <w:t>1</w:t>
            </w:r>
          </w:p>
        </w:tc>
        <w:tc>
          <w:tcPr>
            <w:tcW w:w="1500" w:type="dxa"/>
            <w:vAlign w:val="center"/>
          </w:tcPr>
          <w:p>
            <w:pPr>
              <w:keepNext w:val="0"/>
              <w:keepLines w:val="0"/>
              <w:widowControl/>
              <w:suppressLineNumbers w:val="0"/>
              <w:jc w:val="left"/>
              <w:textAlignment w:val="center"/>
              <w:rPr>
                <w:rFonts w:hint="eastAsia" w:ascii="Times New Roman" w:hAnsi="Times New Roman" w:eastAsia="宋体" w:cs="Times New Roman"/>
                <w:b/>
                <w:kern w:val="2"/>
                <w:sz w:val="24"/>
                <w:szCs w:val="20"/>
                <w:lang w:val="en-US" w:eastAsia="zh-CN" w:bidi="ar-SA"/>
              </w:rPr>
            </w:pPr>
            <w:r>
              <w:rPr>
                <w:rFonts w:hint="eastAsia" w:ascii="宋体" w:hAnsi="宋体" w:eastAsia="宋体" w:cs="宋体"/>
                <w:i w:val="0"/>
                <w:iCs w:val="0"/>
                <w:color w:val="000000"/>
                <w:kern w:val="0"/>
                <w:sz w:val="26"/>
                <w:szCs w:val="26"/>
                <w:u w:val="none"/>
                <w:lang w:val="en-US" w:eastAsia="zh-CN" w:bidi="ar"/>
              </w:rPr>
              <w:t>MP切边模箱</w:t>
            </w: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cs="宋体"/>
                <w:sz w:val="24"/>
                <w:szCs w:val="24"/>
              </w:rPr>
            </w:pPr>
          </w:p>
        </w:tc>
        <w:tc>
          <w:tcPr>
            <w:tcW w:w="645" w:type="dxa"/>
            <w:vAlign w:val="center"/>
          </w:tcPr>
          <w:p>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r>
              <w:rPr>
                <w:rFonts w:hint="eastAsia" w:ascii="宋体" w:hAnsi="宋体" w:cs="宋体"/>
                <w:i w:val="0"/>
                <w:iCs w:val="0"/>
                <w:color w:val="000000"/>
                <w:sz w:val="20"/>
                <w:szCs w:val="20"/>
                <w:u w:val="none"/>
                <w:lang w:val="en-US" w:eastAsia="zh-CN"/>
              </w:rPr>
              <w:t>维修位置质保1年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keepNext w:val="0"/>
              <w:keepLines w:val="0"/>
              <w:widowControl/>
              <w:suppressLineNumbers w:val="0"/>
              <w:jc w:val="center"/>
              <w:textAlignment w:val="center"/>
              <w:rPr>
                <w:rFonts w:hint="eastAsia" w:ascii="Times New Roman" w:hAnsi="Times New Roman" w:eastAsia="宋体" w:cs="Times New Roman"/>
                <w:b/>
                <w:kern w:val="2"/>
                <w:sz w:val="24"/>
                <w:szCs w:val="20"/>
                <w:lang w:val="en-US" w:eastAsia="zh-CN" w:bidi="ar-SA"/>
              </w:rPr>
            </w:pPr>
            <w:r>
              <w:rPr>
                <w:rFonts w:hint="eastAsia" w:ascii="宋体" w:hAnsi="宋体" w:eastAsia="宋体" w:cs="宋体"/>
                <w:i w:val="0"/>
                <w:iCs w:val="0"/>
                <w:color w:val="000000"/>
                <w:kern w:val="0"/>
                <w:sz w:val="26"/>
                <w:szCs w:val="26"/>
                <w:u w:val="none"/>
                <w:lang w:val="en-US" w:eastAsia="zh-CN" w:bidi="ar"/>
              </w:rPr>
              <w:t>2</w:t>
            </w:r>
          </w:p>
        </w:tc>
        <w:tc>
          <w:tcPr>
            <w:tcW w:w="1500" w:type="dxa"/>
            <w:vAlign w:val="center"/>
          </w:tcPr>
          <w:p>
            <w:pPr>
              <w:keepNext w:val="0"/>
              <w:keepLines w:val="0"/>
              <w:widowControl/>
              <w:suppressLineNumbers w:val="0"/>
              <w:jc w:val="left"/>
              <w:textAlignment w:val="center"/>
              <w:rPr>
                <w:rFonts w:hint="eastAsia" w:ascii="Times New Roman" w:hAnsi="Times New Roman" w:eastAsia="宋体" w:cs="Times New Roman"/>
                <w:b/>
                <w:kern w:val="2"/>
                <w:sz w:val="24"/>
                <w:szCs w:val="20"/>
                <w:lang w:val="en-US" w:eastAsia="zh-CN" w:bidi="ar-SA"/>
              </w:rPr>
            </w:pPr>
            <w:r>
              <w:rPr>
                <w:rFonts w:hint="eastAsia" w:ascii="宋体" w:hAnsi="宋体" w:eastAsia="宋体" w:cs="宋体"/>
                <w:i w:val="0"/>
                <w:iCs w:val="0"/>
                <w:color w:val="000000"/>
                <w:kern w:val="0"/>
                <w:sz w:val="26"/>
                <w:szCs w:val="26"/>
                <w:u w:val="none"/>
                <w:lang w:val="en-US" w:eastAsia="zh-CN" w:bidi="ar"/>
              </w:rPr>
              <w:t>MP切边模箱</w:t>
            </w: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r>
              <w:rPr>
                <w:rFonts w:hint="eastAsia" w:ascii="宋体" w:hAnsi="宋体" w:cs="宋体"/>
                <w:i w:val="0"/>
                <w:iCs w:val="0"/>
                <w:color w:val="000000"/>
                <w:sz w:val="20"/>
                <w:szCs w:val="20"/>
                <w:u w:val="none"/>
                <w:lang w:val="en-US" w:eastAsia="zh-CN"/>
              </w:rPr>
              <w:t>维修位置质保1年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keepNext w:val="0"/>
              <w:keepLines w:val="0"/>
              <w:widowControl/>
              <w:suppressLineNumbers w:val="0"/>
              <w:jc w:val="center"/>
              <w:textAlignment w:val="center"/>
              <w:rPr>
                <w:rFonts w:hint="eastAsia" w:ascii="Times New Roman" w:hAnsi="Times New Roman" w:eastAsia="宋体" w:cs="Times New Roman"/>
                <w:b/>
                <w:kern w:val="2"/>
                <w:sz w:val="24"/>
                <w:szCs w:val="20"/>
                <w:lang w:val="en-US" w:eastAsia="zh-CN" w:bidi="ar-SA"/>
              </w:rPr>
            </w:pPr>
            <w:r>
              <w:rPr>
                <w:rFonts w:hint="eastAsia" w:ascii="宋体" w:hAnsi="宋体" w:eastAsia="宋体" w:cs="宋体"/>
                <w:i w:val="0"/>
                <w:iCs w:val="0"/>
                <w:color w:val="000000"/>
                <w:kern w:val="0"/>
                <w:sz w:val="26"/>
                <w:szCs w:val="26"/>
                <w:u w:val="none"/>
                <w:lang w:val="en-US" w:eastAsia="zh-CN" w:bidi="ar"/>
              </w:rPr>
              <w:t>3</w:t>
            </w:r>
          </w:p>
        </w:tc>
        <w:tc>
          <w:tcPr>
            <w:tcW w:w="1500" w:type="dxa"/>
            <w:vAlign w:val="center"/>
          </w:tcPr>
          <w:p>
            <w:pPr>
              <w:keepNext w:val="0"/>
              <w:keepLines w:val="0"/>
              <w:widowControl/>
              <w:suppressLineNumbers w:val="0"/>
              <w:jc w:val="left"/>
              <w:textAlignment w:val="center"/>
              <w:rPr>
                <w:rFonts w:hint="eastAsia" w:ascii="Times New Roman" w:hAnsi="Times New Roman" w:eastAsia="宋体" w:cs="Times New Roman"/>
                <w:b/>
                <w:kern w:val="2"/>
                <w:sz w:val="24"/>
                <w:szCs w:val="20"/>
                <w:lang w:val="en-US" w:eastAsia="zh-CN" w:bidi="ar-SA"/>
              </w:rPr>
            </w:pPr>
            <w:r>
              <w:rPr>
                <w:rFonts w:hint="eastAsia" w:ascii="宋体" w:hAnsi="宋体" w:eastAsia="宋体" w:cs="宋体"/>
                <w:i w:val="0"/>
                <w:iCs w:val="0"/>
                <w:color w:val="000000"/>
                <w:kern w:val="0"/>
                <w:sz w:val="26"/>
                <w:szCs w:val="26"/>
                <w:u w:val="none"/>
                <w:lang w:val="en-US" w:eastAsia="zh-CN" w:bidi="ar"/>
              </w:rPr>
              <w:t>曲轴切边下模箱</w:t>
            </w: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r>
              <w:rPr>
                <w:rFonts w:hint="eastAsia" w:ascii="宋体" w:hAnsi="宋体" w:cs="宋体"/>
                <w:i w:val="0"/>
                <w:iCs w:val="0"/>
                <w:color w:val="000000"/>
                <w:sz w:val="20"/>
                <w:szCs w:val="20"/>
                <w:u w:val="none"/>
                <w:lang w:val="en-US" w:eastAsia="zh-CN"/>
              </w:rPr>
              <w:t>维修位置质保1年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3"/>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3"/>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4"/>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5"/>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7"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1657" w:type="dxa"/>
            <w:vAlign w:val="center"/>
          </w:tcPr>
          <w:p>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6"/>
                <w:szCs w:val="26"/>
                <w:u w:val="none"/>
                <w:lang w:val="en-US" w:eastAsia="zh-CN" w:bidi="ar"/>
              </w:rPr>
              <w:t>MP切边模箱</w:t>
            </w:r>
          </w:p>
        </w:tc>
        <w:tc>
          <w:tcPr>
            <w:tcW w:w="2420" w:type="dxa"/>
            <w:vAlign w:val="center"/>
          </w:tcPr>
          <w:p>
            <w:pPr>
              <w:keepNext w:val="0"/>
              <w:keepLines w:val="0"/>
              <w:widowControl/>
              <w:suppressLineNumbers w:val="0"/>
              <w:jc w:val="center"/>
              <w:textAlignment w:val="center"/>
              <w:rPr>
                <w:rFonts w:hint="eastAsia" w:ascii="宋体" w:hAnsi="宋体" w:eastAsia="宋体" w:cs="宋体"/>
                <w:sz w:val="18"/>
                <w:szCs w:val="18"/>
              </w:rPr>
            </w:pPr>
            <w:r>
              <w:rPr>
                <w:rFonts w:hint="eastAsia" w:ascii="宋体" w:hAnsi="宋体" w:eastAsia="宋体" w:cs="宋体"/>
                <w:i w:val="0"/>
                <w:iCs w:val="0"/>
                <w:color w:val="000000"/>
                <w:kern w:val="0"/>
                <w:sz w:val="26"/>
                <w:szCs w:val="26"/>
                <w:u w:val="none"/>
                <w:lang w:val="en-US" w:eastAsia="zh-CN" w:bidi="ar"/>
              </w:rPr>
              <w:t>4795006-10.100-1#</w:t>
            </w:r>
          </w:p>
        </w:tc>
        <w:tc>
          <w:tcPr>
            <w:tcW w:w="891" w:type="dxa"/>
            <w:vAlign w:val="center"/>
          </w:tcPr>
          <w:p>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2"/>
                <w:szCs w:val="22"/>
                <w:u w:val="none"/>
                <w:lang w:val="en-US" w:eastAsia="zh-CN" w:bidi="ar"/>
              </w:rPr>
              <w:t>套</w:t>
            </w:r>
          </w:p>
        </w:tc>
        <w:tc>
          <w:tcPr>
            <w:tcW w:w="793" w:type="dxa"/>
            <w:vAlign w:val="center"/>
          </w:tcPr>
          <w:p>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2"/>
                <w:szCs w:val="22"/>
                <w:u w:val="none"/>
                <w:lang w:val="en-US" w:eastAsia="zh-CN" w:bidi="ar"/>
              </w:rPr>
              <w:t>1</w:t>
            </w: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r>
              <w:rPr>
                <w:rFonts w:hint="eastAsia" w:ascii="宋体" w:hAnsi="宋体" w:cs="宋体"/>
                <w:i w:val="0"/>
                <w:iCs w:val="0"/>
                <w:color w:val="000000"/>
                <w:sz w:val="20"/>
                <w:szCs w:val="20"/>
                <w:u w:val="none"/>
                <w:lang w:val="en-US" w:eastAsia="zh-CN"/>
              </w:rPr>
              <w:t>维修位置质保1年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1657" w:type="dxa"/>
            <w:vAlign w:val="center"/>
          </w:tcPr>
          <w:p>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6"/>
                <w:szCs w:val="26"/>
                <w:u w:val="none"/>
                <w:lang w:val="en-US" w:eastAsia="zh-CN" w:bidi="ar"/>
              </w:rPr>
              <w:t>MP切边模箱</w:t>
            </w:r>
          </w:p>
        </w:tc>
        <w:tc>
          <w:tcPr>
            <w:tcW w:w="2420" w:type="dxa"/>
            <w:vAlign w:val="center"/>
          </w:tcPr>
          <w:p>
            <w:pPr>
              <w:keepNext w:val="0"/>
              <w:keepLines w:val="0"/>
              <w:widowControl/>
              <w:suppressLineNumbers w:val="0"/>
              <w:jc w:val="center"/>
              <w:textAlignment w:val="center"/>
              <w:rPr>
                <w:rFonts w:hint="eastAsia" w:ascii="宋体" w:hAnsi="宋体" w:eastAsia="宋体" w:cs="宋体"/>
                <w:sz w:val="18"/>
                <w:szCs w:val="18"/>
              </w:rPr>
            </w:pPr>
            <w:r>
              <w:rPr>
                <w:rFonts w:hint="eastAsia" w:ascii="宋体" w:hAnsi="宋体" w:eastAsia="宋体" w:cs="宋体"/>
                <w:i w:val="0"/>
                <w:iCs w:val="0"/>
                <w:color w:val="000000"/>
                <w:kern w:val="0"/>
                <w:sz w:val="26"/>
                <w:szCs w:val="26"/>
                <w:u w:val="none"/>
                <w:lang w:val="en-US" w:eastAsia="zh-CN" w:bidi="ar"/>
              </w:rPr>
              <w:t>4795006-10.100-2#</w:t>
            </w:r>
          </w:p>
        </w:tc>
        <w:tc>
          <w:tcPr>
            <w:tcW w:w="891"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2"/>
                <w:szCs w:val="22"/>
                <w:u w:val="none"/>
                <w:lang w:val="en-US" w:eastAsia="zh-CN" w:bidi="ar"/>
              </w:rPr>
              <w:t>套</w:t>
            </w:r>
          </w:p>
        </w:tc>
        <w:tc>
          <w:tcPr>
            <w:tcW w:w="793"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2"/>
                <w:szCs w:val="22"/>
                <w:u w:val="none"/>
                <w:lang w:val="en-US" w:eastAsia="zh-CN" w:bidi="ar"/>
              </w:rPr>
              <w:t>1</w:t>
            </w: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r>
              <w:rPr>
                <w:rFonts w:hint="eastAsia" w:ascii="宋体" w:hAnsi="宋体" w:cs="宋体"/>
                <w:i w:val="0"/>
                <w:iCs w:val="0"/>
                <w:color w:val="000000"/>
                <w:sz w:val="20"/>
                <w:szCs w:val="20"/>
                <w:u w:val="none"/>
                <w:lang w:val="en-US" w:eastAsia="zh-CN"/>
              </w:rPr>
              <w:t>维修位置质保1年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1657" w:type="dxa"/>
            <w:vAlign w:val="center"/>
          </w:tcPr>
          <w:p>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6"/>
                <w:szCs w:val="26"/>
                <w:u w:val="none"/>
                <w:lang w:val="en-US" w:eastAsia="zh-CN" w:bidi="ar"/>
              </w:rPr>
              <w:t>曲轴切边下模箱</w:t>
            </w:r>
          </w:p>
        </w:tc>
        <w:tc>
          <w:tcPr>
            <w:tcW w:w="2420" w:type="dxa"/>
            <w:vAlign w:val="center"/>
          </w:tcPr>
          <w:p>
            <w:pPr>
              <w:keepNext w:val="0"/>
              <w:keepLines w:val="0"/>
              <w:widowControl/>
              <w:suppressLineNumbers w:val="0"/>
              <w:ind w:firstLine="260" w:firstLineChars="100"/>
              <w:jc w:val="left"/>
              <w:textAlignment w:val="center"/>
              <w:rPr>
                <w:rFonts w:hint="eastAsia" w:ascii="宋体" w:hAnsi="宋体" w:eastAsia="宋体" w:cs="宋体"/>
                <w:sz w:val="18"/>
                <w:szCs w:val="18"/>
              </w:rPr>
            </w:pPr>
            <w:r>
              <w:rPr>
                <w:rFonts w:hint="eastAsia" w:ascii="宋体" w:hAnsi="宋体" w:eastAsia="宋体" w:cs="宋体"/>
                <w:i w:val="0"/>
                <w:iCs w:val="0"/>
                <w:color w:val="000000"/>
                <w:kern w:val="0"/>
                <w:sz w:val="26"/>
                <w:szCs w:val="26"/>
                <w:u w:val="none"/>
                <w:lang w:val="en-US" w:eastAsia="zh-CN" w:bidi="ar"/>
              </w:rPr>
              <w:t>4795007-10.011</w:t>
            </w:r>
          </w:p>
        </w:tc>
        <w:tc>
          <w:tcPr>
            <w:tcW w:w="891"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2"/>
                <w:szCs w:val="22"/>
                <w:u w:val="none"/>
                <w:lang w:val="en-US" w:eastAsia="zh-CN" w:bidi="ar"/>
              </w:rPr>
              <w:t>套</w:t>
            </w:r>
          </w:p>
        </w:tc>
        <w:tc>
          <w:tcPr>
            <w:tcW w:w="793"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2"/>
                <w:szCs w:val="22"/>
                <w:u w:val="none"/>
                <w:lang w:val="en-US" w:eastAsia="zh-CN" w:bidi="ar"/>
              </w:rPr>
              <w:t>1</w:t>
            </w: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r>
              <w:rPr>
                <w:rFonts w:hint="eastAsia" w:ascii="宋体" w:hAnsi="宋体" w:cs="宋体"/>
                <w:i w:val="0"/>
                <w:iCs w:val="0"/>
                <w:color w:val="000000"/>
                <w:sz w:val="20"/>
                <w:szCs w:val="20"/>
                <w:u w:val="none"/>
                <w:lang w:val="en-US" w:eastAsia="zh-CN"/>
              </w:rPr>
              <w:t>维修位置质保1年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30"/>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3"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3"/>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3"/>
      </w:pPr>
    </w:p>
    <w:p>
      <w:pPr>
        <w:pStyle w:val="23"/>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3"/>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2"/>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3"/>
      </w:pPr>
    </w:p>
    <w:p>
      <w:pPr>
        <w:jc w:val="right"/>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rPr>
      </w:pPr>
      <w:r>
        <w:br w:type="page"/>
      </w:r>
    </w:p>
    <w:p>
      <w:pPr>
        <w:pStyle w:val="30"/>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pPr>
        <w:outlineLvl w:val="2"/>
        <w:rPr>
          <w:rFonts w:hint="eastAsia"/>
        </w:rPr>
      </w:pPr>
      <w:r>
        <w:rPr>
          <w:rFonts w:hint="eastAsia" w:ascii="Times New Roman" w:hAnsi="Times New Roman" w:eastAsia="宋体" w:cs="Times New Roman"/>
          <w:b/>
          <w:bCs/>
          <w:color w:val="000000"/>
          <w:sz w:val="24"/>
          <w:szCs w:val="24"/>
        </w:rPr>
        <w:t>附件14技术标评分标准</w:t>
      </w:r>
    </w:p>
    <w:p>
      <w:pPr>
        <w:bidi w:val="0"/>
        <w:jc w:val="center"/>
        <w:rPr>
          <w:rFonts w:hint="eastAsia"/>
          <w:b/>
          <w:bCs/>
        </w:rPr>
      </w:pPr>
      <w:r>
        <w:rPr>
          <w:rFonts w:hint="eastAsia"/>
          <w:b/>
          <w:bCs/>
        </w:rPr>
        <w:t>技术标评审表（</w:t>
      </w:r>
      <w:r>
        <w:rPr>
          <w:b/>
          <w:bCs/>
        </w:rPr>
        <w:t>10</w:t>
      </w:r>
      <w:r>
        <w:rPr>
          <w:rFonts w:hint="eastAsia"/>
          <w:b/>
          <w:bCs/>
        </w:rPr>
        <w:t>0分）</w:t>
      </w:r>
    </w:p>
    <w:p>
      <w:pPr>
        <w:rPr>
          <w:rFonts w:hint="eastAsia"/>
        </w:rPr>
      </w:pPr>
    </w:p>
    <w:tbl>
      <w:tblPr>
        <w:tblStyle w:val="42"/>
        <w:tblW w:w="137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5"/>
        <w:gridCol w:w="2865"/>
        <w:gridCol w:w="885"/>
        <w:gridCol w:w="93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15" w:type="dxa"/>
            <w:vAlign w:val="center"/>
          </w:tcPr>
          <w:p>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序号</w:t>
            </w:r>
          </w:p>
        </w:tc>
        <w:tc>
          <w:tcPr>
            <w:tcW w:w="2865" w:type="dxa"/>
            <w:vAlign w:val="center"/>
          </w:tcPr>
          <w:p>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内   容</w:t>
            </w:r>
          </w:p>
        </w:tc>
        <w:tc>
          <w:tcPr>
            <w:tcW w:w="885" w:type="dxa"/>
            <w:vAlign w:val="center"/>
          </w:tcPr>
          <w:p>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标准分</w:t>
            </w:r>
          </w:p>
        </w:tc>
        <w:tc>
          <w:tcPr>
            <w:tcW w:w="9369" w:type="dxa"/>
            <w:vAlign w:val="center"/>
          </w:tcPr>
          <w:p>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80" w:hRule="atLeast"/>
          <w:jc w:val="center"/>
        </w:trPr>
        <w:tc>
          <w:tcPr>
            <w:tcW w:w="615" w:type="dxa"/>
            <w:vAlign w:val="center"/>
          </w:tcPr>
          <w:p>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1</w:t>
            </w:r>
          </w:p>
        </w:tc>
        <w:tc>
          <w:tcPr>
            <w:tcW w:w="2865" w:type="dxa"/>
            <w:vAlign w:val="center"/>
          </w:tcPr>
          <w:p>
            <w:pPr>
              <w:spacing w:line="360" w:lineRule="auto"/>
              <w:rPr>
                <w:rFonts w:hint="eastAsia" w:ascii="宋体" w:hAnsi="宋体" w:eastAsia="宋体" w:cs="宋体"/>
                <w:szCs w:val="21"/>
              </w:rPr>
            </w:pPr>
            <w:r>
              <w:rPr>
                <w:rFonts w:hint="eastAsia" w:ascii="宋体" w:hAnsi="宋体" w:cs="宋体"/>
                <w:color w:val="000000"/>
                <w:szCs w:val="21"/>
              </w:rPr>
              <w:t>设计方案</w:t>
            </w:r>
          </w:p>
        </w:tc>
        <w:tc>
          <w:tcPr>
            <w:tcW w:w="885"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50</w:t>
            </w:r>
          </w:p>
        </w:tc>
        <w:tc>
          <w:tcPr>
            <w:tcW w:w="9369" w:type="dxa"/>
            <w:vAlign w:val="center"/>
          </w:tcPr>
          <w:p>
            <w:pPr>
              <w:numPr>
                <w:ilvl w:val="0"/>
                <w:numId w:val="10"/>
              </w:numPr>
              <w:spacing w:line="360" w:lineRule="auto"/>
              <w:rPr>
                <w:rFonts w:hint="eastAsia" w:ascii="宋体" w:hAnsi="宋体" w:eastAsia="宋体" w:cs="宋体"/>
                <w:szCs w:val="21"/>
              </w:rPr>
            </w:pPr>
            <w:r>
              <w:rPr>
                <w:rFonts w:hint="eastAsia" w:ascii="宋体" w:hAnsi="宋体" w:eastAsia="宋体" w:cs="宋体"/>
                <w:szCs w:val="21"/>
              </w:rPr>
              <w:t>提供详细完善的产品设计方案，根据方案进行评分，打分20-50分；不提供设计方案为0分。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15" w:type="dxa"/>
            <w:vAlign w:val="center"/>
          </w:tcPr>
          <w:p>
            <w:pPr>
              <w:spacing w:line="360" w:lineRule="auto"/>
              <w:jc w:val="center"/>
              <w:rPr>
                <w:rFonts w:hint="eastAsia" w:ascii="宋体" w:hAnsi="宋体" w:eastAsia="宋体" w:cs="宋体"/>
                <w:sz w:val="18"/>
                <w:szCs w:val="18"/>
              </w:rPr>
            </w:pPr>
            <w:r>
              <w:rPr>
                <w:rFonts w:hint="eastAsia" w:ascii="宋体" w:hAnsi="宋体" w:eastAsia="宋体" w:cs="宋体"/>
                <w:sz w:val="18"/>
                <w:szCs w:val="18"/>
              </w:rPr>
              <w:t>2</w:t>
            </w:r>
          </w:p>
        </w:tc>
        <w:tc>
          <w:tcPr>
            <w:tcW w:w="2865" w:type="dxa"/>
            <w:vAlign w:val="center"/>
          </w:tcPr>
          <w:p>
            <w:pPr>
              <w:spacing w:line="360" w:lineRule="auto"/>
              <w:rPr>
                <w:rFonts w:hint="eastAsia" w:ascii="宋体" w:hAnsi="宋体" w:eastAsia="宋体" w:cs="宋体"/>
                <w:szCs w:val="21"/>
              </w:rPr>
            </w:pPr>
            <w:r>
              <w:rPr>
                <w:rFonts w:hint="eastAsia" w:ascii="宋体" w:hAnsi="宋体" w:cs="宋体"/>
                <w:szCs w:val="21"/>
              </w:rPr>
              <w:t>供货周期售后保障</w:t>
            </w:r>
          </w:p>
        </w:tc>
        <w:tc>
          <w:tcPr>
            <w:tcW w:w="885"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20</w:t>
            </w:r>
          </w:p>
        </w:tc>
        <w:tc>
          <w:tcPr>
            <w:tcW w:w="9369" w:type="dxa"/>
            <w:vAlign w:val="center"/>
          </w:tcPr>
          <w:p>
            <w:pPr>
              <w:numPr>
                <w:ilvl w:val="0"/>
                <w:numId w:val="11"/>
              </w:numPr>
              <w:spacing w:line="360" w:lineRule="auto"/>
              <w:rPr>
                <w:rFonts w:hint="eastAsia" w:ascii="宋体" w:hAnsi="宋体" w:eastAsia="宋体" w:cs="宋体"/>
                <w:szCs w:val="21"/>
              </w:rPr>
            </w:pPr>
            <w:r>
              <w:rPr>
                <w:rFonts w:hint="eastAsia" w:ascii="宋体" w:hAnsi="宋体" w:eastAsia="宋体" w:cs="宋体"/>
                <w:szCs w:val="21"/>
              </w:rPr>
              <w:t>供货周期要求45天，不满足满足条件基本0分，供货周期最短者得10分，</w:t>
            </w:r>
            <w:r>
              <w:rPr>
                <w:rFonts w:hint="eastAsia" w:ascii="宋体" w:hAnsi="宋体" w:eastAsia="宋体" w:cs="宋体"/>
                <w:bCs/>
                <w:szCs w:val="21"/>
              </w:rPr>
              <w:t>第二名得8分，第三名得6分，第四名得4分，依次递减。</w:t>
            </w:r>
          </w:p>
          <w:p>
            <w:pPr>
              <w:pStyle w:val="3"/>
              <w:numPr>
                <w:ilvl w:val="0"/>
                <w:numId w:val="11"/>
              </w:numPr>
              <w:tabs>
                <w:tab w:val="clear" w:pos="312"/>
              </w:tabs>
              <w:ind w:left="902" w:hanging="420"/>
              <w:rPr>
                <w:rFonts w:hint="eastAsia" w:ascii="宋体" w:hAnsi="宋体" w:cs="宋体"/>
                <w:sz w:val="21"/>
                <w:szCs w:val="21"/>
              </w:rPr>
            </w:pPr>
            <w:r>
              <w:rPr>
                <w:rFonts w:hint="eastAsia" w:ascii="宋体" w:hAnsi="宋体" w:cs="宋体"/>
                <w:b w:val="0"/>
                <w:bCs w:val="0"/>
                <w:sz w:val="21"/>
                <w:szCs w:val="21"/>
              </w:rPr>
              <w:t>具有完善的服务售后体系，根据售后方案评分0-10分。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15" w:type="dxa"/>
            <w:vAlign w:val="center"/>
          </w:tcPr>
          <w:p>
            <w:pPr>
              <w:spacing w:line="360" w:lineRule="auto"/>
              <w:jc w:val="center"/>
              <w:rPr>
                <w:rFonts w:hint="eastAsia" w:ascii="宋体" w:hAnsi="宋体" w:eastAsia="宋体" w:cs="宋体"/>
                <w:sz w:val="18"/>
                <w:szCs w:val="18"/>
              </w:rPr>
            </w:pPr>
            <w:r>
              <w:rPr>
                <w:rFonts w:hint="eastAsia" w:ascii="宋体" w:hAnsi="宋体" w:eastAsia="宋体" w:cs="宋体"/>
                <w:sz w:val="18"/>
                <w:szCs w:val="18"/>
              </w:rPr>
              <w:t>3</w:t>
            </w:r>
          </w:p>
        </w:tc>
        <w:tc>
          <w:tcPr>
            <w:tcW w:w="2865" w:type="dxa"/>
            <w:vAlign w:val="center"/>
          </w:tcPr>
          <w:p>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85"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20</w:t>
            </w:r>
          </w:p>
        </w:tc>
        <w:tc>
          <w:tcPr>
            <w:tcW w:w="9369" w:type="dxa"/>
            <w:vAlign w:val="center"/>
          </w:tcPr>
          <w:p>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3" w:hRule="atLeast"/>
          <w:jc w:val="center"/>
        </w:trPr>
        <w:tc>
          <w:tcPr>
            <w:tcW w:w="615" w:type="dxa"/>
            <w:vAlign w:val="center"/>
          </w:tcPr>
          <w:p>
            <w:pPr>
              <w:spacing w:line="360" w:lineRule="auto"/>
              <w:jc w:val="center"/>
              <w:rPr>
                <w:rFonts w:hint="eastAsia" w:ascii="宋体" w:hAnsi="宋体" w:eastAsia="宋体" w:cs="宋体"/>
                <w:sz w:val="18"/>
                <w:szCs w:val="18"/>
              </w:rPr>
            </w:pPr>
            <w:r>
              <w:rPr>
                <w:rFonts w:hint="eastAsia" w:ascii="宋体" w:hAnsi="宋体" w:eastAsia="宋体" w:cs="宋体"/>
                <w:sz w:val="18"/>
                <w:szCs w:val="18"/>
              </w:rPr>
              <w:t>4</w:t>
            </w:r>
          </w:p>
        </w:tc>
        <w:tc>
          <w:tcPr>
            <w:tcW w:w="2865" w:type="dxa"/>
            <w:vAlign w:val="center"/>
          </w:tcPr>
          <w:p>
            <w:pPr>
              <w:spacing w:line="360" w:lineRule="auto"/>
              <w:rPr>
                <w:rFonts w:hint="eastAsia" w:ascii="宋体" w:hAnsi="宋体" w:eastAsia="宋体" w:cs="宋体"/>
                <w:szCs w:val="21"/>
              </w:rPr>
            </w:pPr>
            <w:r>
              <w:rPr>
                <w:rFonts w:hint="eastAsia" w:ascii="宋体" w:hAnsi="宋体" w:eastAsia="宋体" w:cs="宋体"/>
                <w:szCs w:val="21"/>
              </w:rPr>
              <w:t>同类型项目业绩</w:t>
            </w:r>
          </w:p>
        </w:tc>
        <w:tc>
          <w:tcPr>
            <w:tcW w:w="885"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9369" w:type="dxa"/>
            <w:vAlign w:val="center"/>
          </w:tcPr>
          <w:p>
            <w:pPr>
              <w:spacing w:line="360" w:lineRule="auto"/>
              <w:rPr>
                <w:rFonts w:hint="eastAsia" w:ascii="宋体" w:hAnsi="宋体" w:eastAsia="宋体" w:cs="宋体"/>
                <w:bCs/>
                <w:szCs w:val="21"/>
              </w:rPr>
            </w:pPr>
            <w:r>
              <w:rPr>
                <w:rFonts w:hint="eastAsia" w:ascii="宋体" w:hAnsi="宋体" w:eastAsia="宋体" w:cs="宋体"/>
                <w:bCs/>
                <w:szCs w:val="21"/>
              </w:rPr>
              <w:t>同类型项目业绩：2022年1月以来到现在以来已交付使用的与本次招标项目类似产品的业绩（合同额大于等于100万元），业绩最多者满分，第二名得8分，第三名得6分，第四名得4分，其余得2分。（时间以签订日期为准）。</w:t>
            </w:r>
          </w:p>
        </w:tc>
      </w:tr>
    </w:tbl>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3"/>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8"/>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39"/>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0"/>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3"/>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1"/>
                    <a:stretch>
                      <a:fillRect/>
                    </a:stretch>
                  </pic:blipFill>
                  <pic:spPr>
                    <a:xfrm>
                      <a:off x="0" y="0"/>
                      <a:ext cx="5760085" cy="2810122"/>
                    </a:xfrm>
                    <a:prstGeom prst="rect">
                      <a:avLst/>
                    </a:prstGeom>
                  </pic:spPr>
                </pic:pic>
              </a:graphicData>
            </a:graphic>
          </wp:inline>
        </w:drawing>
      </w:r>
    </w:p>
    <w:p>
      <w:pPr>
        <w:pStyle w:val="23"/>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2"/>
                    <a:stretch>
                      <a:fillRect/>
                    </a:stretch>
                  </pic:blipFill>
                  <pic:spPr>
                    <a:xfrm>
                      <a:off x="0" y="0"/>
                      <a:ext cx="5760085" cy="2820042"/>
                    </a:xfrm>
                    <a:prstGeom prst="rect">
                      <a:avLst/>
                    </a:prstGeom>
                  </pic:spPr>
                </pic:pic>
              </a:graphicData>
            </a:graphic>
          </wp:inline>
        </w:drawing>
      </w:r>
    </w:p>
    <w:p>
      <w:pPr>
        <w:pStyle w:val="23"/>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3"/>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3"/>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50"/>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0"/>
          <w:rFonts w:hint="eastAsia" w:ascii="宋体" w:hAnsi="宋体" w:eastAsia="宋体" w:cs="宋体"/>
          <w:sz w:val="24"/>
          <w:szCs w:val="24"/>
        </w:rPr>
        <w:t>http://ecaitong.sinotruk.com:8012/</w:t>
      </w:r>
      <w:r>
        <w:rPr>
          <w:rStyle w:val="50"/>
          <w:rFonts w:hint="eastAsia" w:ascii="宋体" w:hAnsi="宋体" w:eastAsia="宋体" w:cs="宋体"/>
          <w:sz w:val="24"/>
          <w:szCs w:val="24"/>
        </w:rPr>
        <w:fldChar w:fldCharType="end"/>
      </w:r>
      <w:r>
        <w:rPr>
          <w:rStyle w:val="50"/>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3"/>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49"/>
                    <a:stretch>
                      <a:fillRect/>
                    </a:stretch>
                  </pic:blipFill>
                  <pic:spPr>
                    <a:xfrm>
                      <a:off x="0" y="0"/>
                      <a:ext cx="5760085" cy="1956600"/>
                    </a:xfrm>
                    <a:prstGeom prst="rect">
                      <a:avLst/>
                    </a:prstGeom>
                  </pic:spPr>
                </pic:pic>
              </a:graphicData>
            </a:graphic>
          </wp:inline>
        </w:drawing>
      </w:r>
    </w:p>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 w:name="Microsoft Sans Serif">
    <w:panose1 w:val="020B0604020202020204"/>
    <w:charset w:val="00"/>
    <w:family w:val="auto"/>
    <w:pitch w:val="default"/>
    <w:sig w:usb0="E5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both"/>
      <w:rPr>
        <w:rFonts w:hint="eastAsia"/>
      </w:rPr>
    </w:pPr>
  </w:p>
  <w:p>
    <w:pPr>
      <w:pStyle w:val="28"/>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8"/>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p>
    <w:pPr>
      <w:pStyle w:val="29"/>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p>
    <w:pPr>
      <w:pStyle w:val="29"/>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2A3879"/>
    <w:multiLevelType w:val="singleLevel"/>
    <w:tmpl w:val="9E2A3879"/>
    <w:lvl w:ilvl="0" w:tentative="0">
      <w:start w:val="1"/>
      <w:numFmt w:val="decimal"/>
      <w:lvlText w:val="%1."/>
      <w:lvlJc w:val="left"/>
      <w:pPr>
        <w:tabs>
          <w:tab w:val="left" w:pos="312"/>
        </w:tabs>
      </w:pPr>
    </w:lvl>
  </w:abstractNum>
  <w:abstractNum w:abstractNumId="1">
    <w:nsid w:val="D146FCA9"/>
    <w:multiLevelType w:val="singleLevel"/>
    <w:tmpl w:val="D146FCA9"/>
    <w:lvl w:ilvl="0" w:tentative="0">
      <w:start w:val="4"/>
      <w:numFmt w:val="chineseCounting"/>
      <w:suff w:val="space"/>
      <w:lvlText w:val="第%1部分"/>
      <w:lvlJc w:val="left"/>
      <w:rPr>
        <w:rFonts w:hint="eastAsia"/>
      </w:r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07420A26"/>
    <w:multiLevelType w:val="singleLevel"/>
    <w:tmpl w:val="07420A26"/>
    <w:lvl w:ilvl="0" w:tentative="0">
      <w:start w:val="1"/>
      <w:numFmt w:val="decimal"/>
      <w:lvlText w:val="%1."/>
      <w:lvlJc w:val="left"/>
      <w:pPr>
        <w:tabs>
          <w:tab w:val="left" w:pos="312"/>
        </w:tabs>
      </w:pPr>
      <w:rPr>
        <w:rFonts w:hint="default" w:ascii="宋体" w:hAnsi="宋体" w:eastAsia="宋体" w:cs="宋体"/>
        <w:b w:val="0"/>
        <w:bCs w:val="0"/>
        <w:sz w:val="20"/>
        <w:szCs w:val="20"/>
      </w:rPr>
    </w:lvl>
  </w:abstractNum>
  <w:abstractNum w:abstractNumId="5">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8">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9">
    <w:nsid w:val="6E8C6948"/>
    <w:multiLevelType w:val="singleLevel"/>
    <w:tmpl w:val="6E8C6948"/>
    <w:lvl w:ilvl="0" w:tentative="0">
      <w:start w:val="1"/>
      <w:numFmt w:val="chineseCounting"/>
      <w:suff w:val="space"/>
      <w:lvlText w:val="第%1部分"/>
      <w:lvlJc w:val="left"/>
      <w:rPr>
        <w:rFonts w:hint="eastAsia"/>
      </w:rPr>
    </w:lvl>
  </w:abstractNum>
  <w:abstractNum w:abstractNumId="10">
    <w:nsid w:val="7A612DE2"/>
    <w:multiLevelType w:val="singleLevel"/>
    <w:tmpl w:val="7A612DE2"/>
    <w:lvl w:ilvl="0" w:tentative="0">
      <w:start w:val="2"/>
      <w:numFmt w:val="decimal"/>
      <w:lvlText w:val="%1."/>
      <w:lvlJc w:val="left"/>
      <w:pPr>
        <w:tabs>
          <w:tab w:val="left" w:pos="312"/>
        </w:tabs>
      </w:pPr>
    </w:lvl>
  </w:abstractNum>
  <w:num w:numId="1">
    <w:abstractNumId w:val="8"/>
  </w:num>
  <w:num w:numId="2">
    <w:abstractNumId w:val="9"/>
  </w:num>
  <w:num w:numId="3">
    <w:abstractNumId w:val="10"/>
  </w:num>
  <w:num w:numId="4">
    <w:abstractNumId w:val="5"/>
  </w:num>
  <w:num w:numId="5">
    <w:abstractNumId w:val="3"/>
  </w:num>
  <w:num w:numId="6">
    <w:abstractNumId w:val="7"/>
  </w:num>
  <w:num w:numId="7">
    <w:abstractNumId w:val="2"/>
  </w:num>
  <w:num w:numId="8">
    <w:abstractNumId w:val="6"/>
  </w:num>
  <w:num w:numId="9">
    <w:abstractNumId w:val="1"/>
  </w:num>
  <w:num w:numId="10">
    <w:abstractNumId w:val="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61851"/>
    <w:rsid w:val="007625BF"/>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B27E3"/>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321C77"/>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7E7ECF"/>
    <w:rsid w:val="188C65D3"/>
    <w:rsid w:val="18A70482"/>
    <w:rsid w:val="18CA3EB9"/>
    <w:rsid w:val="18E815ED"/>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A85E79"/>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8E421D"/>
    <w:rsid w:val="299E147F"/>
    <w:rsid w:val="29C32A87"/>
    <w:rsid w:val="29CF070E"/>
    <w:rsid w:val="29CF26DC"/>
    <w:rsid w:val="2A1C5DA0"/>
    <w:rsid w:val="2A200D39"/>
    <w:rsid w:val="2A507EFF"/>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673ED3"/>
    <w:rsid w:val="2F7B3E4B"/>
    <w:rsid w:val="2FB67DA1"/>
    <w:rsid w:val="2FE45F3B"/>
    <w:rsid w:val="2FF40AC8"/>
    <w:rsid w:val="303A20E7"/>
    <w:rsid w:val="304C4B41"/>
    <w:rsid w:val="307776D1"/>
    <w:rsid w:val="30862574"/>
    <w:rsid w:val="30A77875"/>
    <w:rsid w:val="30B631E1"/>
    <w:rsid w:val="311933AA"/>
    <w:rsid w:val="31611C9E"/>
    <w:rsid w:val="317550C0"/>
    <w:rsid w:val="317D15BB"/>
    <w:rsid w:val="31934D3E"/>
    <w:rsid w:val="31D07E6C"/>
    <w:rsid w:val="31D574D0"/>
    <w:rsid w:val="31F67A05"/>
    <w:rsid w:val="323F65DA"/>
    <w:rsid w:val="32412074"/>
    <w:rsid w:val="32422082"/>
    <w:rsid w:val="325B63D6"/>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85B1F"/>
    <w:rsid w:val="372E04CB"/>
    <w:rsid w:val="3762046C"/>
    <w:rsid w:val="376A7E9C"/>
    <w:rsid w:val="376B5C1E"/>
    <w:rsid w:val="37742729"/>
    <w:rsid w:val="3790083E"/>
    <w:rsid w:val="37C77814"/>
    <w:rsid w:val="382673F4"/>
    <w:rsid w:val="382C7B34"/>
    <w:rsid w:val="38662298"/>
    <w:rsid w:val="38715CEA"/>
    <w:rsid w:val="388A3751"/>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B939E6"/>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3057A"/>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FE0080"/>
    <w:rsid w:val="43315D2E"/>
    <w:rsid w:val="43824A1C"/>
    <w:rsid w:val="4390486D"/>
    <w:rsid w:val="4399333D"/>
    <w:rsid w:val="43B2241F"/>
    <w:rsid w:val="43C3013B"/>
    <w:rsid w:val="43CE64CC"/>
    <w:rsid w:val="43D110E1"/>
    <w:rsid w:val="43E873C9"/>
    <w:rsid w:val="44250817"/>
    <w:rsid w:val="4429652B"/>
    <w:rsid w:val="443A2BAE"/>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4C3E84"/>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BD4EE7"/>
    <w:rsid w:val="4BBE7D4E"/>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5D2E7B"/>
    <w:rsid w:val="4D6238ED"/>
    <w:rsid w:val="4D6B06B3"/>
    <w:rsid w:val="4D7322D5"/>
    <w:rsid w:val="4D865EF5"/>
    <w:rsid w:val="4DD7034C"/>
    <w:rsid w:val="4DE312CB"/>
    <w:rsid w:val="4DF5318E"/>
    <w:rsid w:val="4E1F4862"/>
    <w:rsid w:val="4E2B0F4A"/>
    <w:rsid w:val="4E2E4393"/>
    <w:rsid w:val="4E34765B"/>
    <w:rsid w:val="4E535EF2"/>
    <w:rsid w:val="4E56234E"/>
    <w:rsid w:val="4EF11A75"/>
    <w:rsid w:val="4F08773C"/>
    <w:rsid w:val="4F31409F"/>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CC14F3"/>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620C1"/>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C7EBD"/>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AB3187"/>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231DD6"/>
    <w:rsid w:val="6E337CDC"/>
    <w:rsid w:val="6E404513"/>
    <w:rsid w:val="6E5A5288"/>
    <w:rsid w:val="6E614EA5"/>
    <w:rsid w:val="6E6F0172"/>
    <w:rsid w:val="6E76199A"/>
    <w:rsid w:val="6EE013EE"/>
    <w:rsid w:val="6EE079F1"/>
    <w:rsid w:val="6EE42C42"/>
    <w:rsid w:val="6F1B5C73"/>
    <w:rsid w:val="6F211A55"/>
    <w:rsid w:val="6F7F7CB0"/>
    <w:rsid w:val="6F952AA2"/>
    <w:rsid w:val="6FBB0A5D"/>
    <w:rsid w:val="6FE0165C"/>
    <w:rsid w:val="6FE6309C"/>
    <w:rsid w:val="6FF0551E"/>
    <w:rsid w:val="700A405F"/>
    <w:rsid w:val="70104DC1"/>
    <w:rsid w:val="70222744"/>
    <w:rsid w:val="703107FE"/>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E102DE"/>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2D4B5D"/>
    <w:rsid w:val="73393C88"/>
    <w:rsid w:val="734E3933"/>
    <w:rsid w:val="7362513F"/>
    <w:rsid w:val="7372081D"/>
    <w:rsid w:val="73740A39"/>
    <w:rsid w:val="73771D49"/>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60EE9"/>
    <w:rsid w:val="77BA4E88"/>
    <w:rsid w:val="77E34EB2"/>
    <w:rsid w:val="78005DBA"/>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B23041"/>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5E5851"/>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2"/>
    <w:qFormat/>
    <w:uiPriority w:val="9"/>
    <w:pPr>
      <w:keepNext/>
      <w:keepLines/>
      <w:jc w:val="center"/>
      <w:outlineLvl w:val="0"/>
    </w:pPr>
    <w:rPr>
      <w:b/>
      <w:bCs/>
      <w:kern w:val="44"/>
      <w:sz w:val="36"/>
      <w:szCs w:val="44"/>
    </w:rPr>
  </w:style>
  <w:style w:type="paragraph" w:styleId="3">
    <w:name w:val="heading 2"/>
    <w:basedOn w:val="1"/>
    <w:next w:val="1"/>
    <w:link w:val="53"/>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4"/>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8">
    <w:name w:val="heading 7"/>
    <w:basedOn w:val="1"/>
    <w:next w:val="1"/>
    <w:link w:val="150"/>
    <w:unhideWhenUsed/>
    <w:qFormat/>
    <w:uiPriority w:val="9"/>
    <w:pPr>
      <w:keepNext/>
      <w:keepLines/>
      <w:spacing w:before="240" w:after="64" w:line="317" w:lineRule="auto"/>
      <w:outlineLvl w:val="6"/>
    </w:pPr>
    <w:rPr>
      <w:b/>
      <w:sz w:val="24"/>
    </w:rPr>
  </w:style>
  <w:style w:type="paragraph" w:styleId="9">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4">
    <w:name w:val="Default Paragraph Font"/>
    <w:semiHidden/>
    <w:unhideWhenUsed/>
    <w:qFormat/>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styleId="10">
    <w:name w:val="toc 7"/>
    <w:basedOn w:val="1"/>
    <w:next w:val="1"/>
    <w:qFormat/>
    <w:uiPriority w:val="39"/>
    <w:pPr>
      <w:ind w:left="1440"/>
      <w:jc w:val="left"/>
    </w:pPr>
    <w:rPr>
      <w:rFonts w:ascii="Calibri" w:hAnsi="Calibri" w:eastAsia="宋体" w:cs="Times New Roman"/>
      <w:sz w:val="18"/>
      <w:szCs w:val="18"/>
    </w:rPr>
  </w:style>
  <w:style w:type="paragraph" w:styleId="11">
    <w:name w:val="Normal Indent"/>
    <w:basedOn w:val="1"/>
    <w:next w:val="12"/>
    <w:qFormat/>
    <w:uiPriority w:val="0"/>
    <w:pPr>
      <w:ind w:firstLine="420"/>
    </w:pPr>
    <w:rPr>
      <w:rFonts w:ascii="Times New Roman" w:hAnsi="Times New Roman"/>
      <w:kern w:val="0"/>
      <w:sz w:val="20"/>
      <w:szCs w:val="20"/>
    </w:rPr>
  </w:style>
  <w:style w:type="paragraph" w:styleId="12">
    <w:name w:val="Body Text"/>
    <w:basedOn w:val="1"/>
    <w:next w:val="13"/>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customStyle="1" w:styleId="13">
    <w:name w:val="Default"/>
    <w:link w:val="79"/>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5"/>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6"/>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toc 3"/>
    <w:basedOn w:val="1"/>
    <w:next w:val="1"/>
    <w:qFormat/>
    <w:uiPriority w:val="39"/>
    <w:pPr>
      <w:ind w:left="480"/>
      <w:jc w:val="left"/>
    </w:pPr>
    <w:rPr>
      <w:rFonts w:ascii="Calibri" w:hAnsi="Calibri" w:eastAsia="宋体" w:cs="Times New Roman"/>
      <w:i/>
      <w:iCs/>
      <w:sz w:val="20"/>
      <w:szCs w:val="20"/>
    </w:rPr>
  </w:style>
  <w:style w:type="paragraph" w:styleId="23">
    <w:name w:val="Plain Text"/>
    <w:basedOn w:val="1"/>
    <w:link w:val="77"/>
    <w:qFormat/>
    <w:uiPriority w:val="0"/>
    <w:rPr>
      <w:rFonts w:ascii="宋体" w:hAnsi="Courier New"/>
    </w:rPr>
  </w:style>
  <w:style w:type="paragraph" w:styleId="24">
    <w:name w:val="toc 8"/>
    <w:basedOn w:val="1"/>
    <w:next w:val="1"/>
    <w:qFormat/>
    <w:uiPriority w:val="39"/>
    <w:pPr>
      <w:ind w:left="1680"/>
      <w:jc w:val="left"/>
    </w:pPr>
    <w:rPr>
      <w:rFonts w:ascii="Calibri" w:hAnsi="Calibri" w:eastAsia="宋体" w:cs="Times New Roman"/>
      <w:sz w:val="18"/>
      <w:szCs w:val="18"/>
    </w:rPr>
  </w:style>
  <w:style w:type="paragraph" w:styleId="25">
    <w:name w:val="Date"/>
    <w:basedOn w:val="1"/>
    <w:next w:val="1"/>
    <w:link w:val="68"/>
    <w:qFormat/>
    <w:uiPriority w:val="0"/>
    <w:pPr>
      <w:ind w:left="100" w:leftChars="2500"/>
    </w:pPr>
    <w:rPr>
      <w:sz w:val="24"/>
    </w:rPr>
  </w:style>
  <w:style w:type="paragraph" w:styleId="26">
    <w:name w:val="Body Text Indent 2"/>
    <w:basedOn w:val="1"/>
    <w:link w:val="56"/>
    <w:qFormat/>
    <w:uiPriority w:val="0"/>
    <w:pPr>
      <w:spacing w:after="120" w:line="480" w:lineRule="auto"/>
      <w:ind w:left="420" w:leftChars="200"/>
    </w:pPr>
  </w:style>
  <w:style w:type="paragraph" w:styleId="27">
    <w:name w:val="Balloon Text"/>
    <w:basedOn w:val="1"/>
    <w:link w:val="72"/>
    <w:qFormat/>
    <w:uiPriority w:val="0"/>
    <w:rPr>
      <w:sz w:val="18"/>
    </w:rPr>
  </w:style>
  <w:style w:type="paragraph" w:styleId="28">
    <w:name w:val="footer"/>
    <w:basedOn w:val="1"/>
    <w:link w:val="78"/>
    <w:qFormat/>
    <w:uiPriority w:val="99"/>
    <w:pPr>
      <w:tabs>
        <w:tab w:val="center" w:pos="4153"/>
        <w:tab w:val="right" w:pos="8306"/>
      </w:tabs>
      <w:snapToGrid w:val="0"/>
      <w:jc w:val="left"/>
    </w:pPr>
    <w:rPr>
      <w:sz w:val="18"/>
    </w:rPr>
  </w:style>
  <w:style w:type="paragraph" w:styleId="29">
    <w:name w:val="header"/>
    <w:basedOn w:val="1"/>
    <w:link w:val="64"/>
    <w:qFormat/>
    <w:uiPriority w:val="0"/>
    <w:pPr>
      <w:pBdr>
        <w:bottom w:val="single" w:color="auto" w:sz="6" w:space="1"/>
      </w:pBdr>
      <w:tabs>
        <w:tab w:val="center" w:pos="4153"/>
        <w:tab w:val="right" w:pos="8306"/>
      </w:tabs>
      <w:snapToGrid w:val="0"/>
      <w:jc w:val="center"/>
    </w:pPr>
    <w:rPr>
      <w:sz w:val="18"/>
    </w:rPr>
  </w:style>
  <w:style w:type="paragraph" w:styleId="30">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1">
    <w:name w:val="toc 4"/>
    <w:basedOn w:val="1"/>
    <w:next w:val="1"/>
    <w:qFormat/>
    <w:uiPriority w:val="39"/>
    <w:pPr>
      <w:ind w:left="720"/>
      <w:jc w:val="left"/>
    </w:pPr>
    <w:rPr>
      <w:rFonts w:ascii="Calibri" w:hAnsi="Calibri" w:eastAsia="宋体" w:cs="Times New Roman"/>
      <w:sz w:val="18"/>
      <w:szCs w:val="18"/>
    </w:rPr>
  </w:style>
  <w:style w:type="paragraph" w:styleId="32">
    <w:name w:val="List"/>
    <w:basedOn w:val="1"/>
    <w:qFormat/>
    <w:uiPriority w:val="99"/>
    <w:pPr>
      <w:ind w:left="420" w:hanging="420"/>
    </w:pPr>
    <w:rPr>
      <w:rFonts w:ascii="Times New Roman" w:hAnsi="Times New Roman" w:eastAsia="宋体" w:cs="Times New Roman"/>
      <w:szCs w:val="20"/>
    </w:rPr>
  </w:style>
  <w:style w:type="paragraph" w:styleId="33">
    <w:name w:val="toc 6"/>
    <w:basedOn w:val="1"/>
    <w:next w:val="1"/>
    <w:qFormat/>
    <w:uiPriority w:val="39"/>
    <w:pPr>
      <w:ind w:left="1200"/>
      <w:jc w:val="left"/>
    </w:pPr>
    <w:rPr>
      <w:rFonts w:ascii="Calibri" w:hAnsi="Calibri" w:eastAsia="宋体" w:cs="Times New Roman"/>
      <w:sz w:val="18"/>
      <w:szCs w:val="18"/>
    </w:rPr>
  </w:style>
  <w:style w:type="paragraph" w:styleId="34">
    <w:name w:val="Body Text Indent 3"/>
    <w:basedOn w:val="1"/>
    <w:link w:val="58"/>
    <w:qFormat/>
    <w:uiPriority w:val="0"/>
    <w:pPr>
      <w:spacing w:after="120"/>
      <w:ind w:left="420" w:leftChars="200"/>
    </w:pPr>
    <w:rPr>
      <w:sz w:val="16"/>
    </w:rPr>
  </w:style>
  <w:style w:type="paragraph" w:styleId="35">
    <w:name w:val="toc 2"/>
    <w:basedOn w:val="1"/>
    <w:next w:val="1"/>
    <w:unhideWhenUsed/>
    <w:qFormat/>
    <w:uiPriority w:val="39"/>
    <w:pPr>
      <w:ind w:left="420" w:leftChars="200"/>
    </w:pPr>
    <w:rPr>
      <w:rFonts w:ascii="Calibri" w:hAnsi="Calibri" w:eastAsia="宋体" w:cs="Times New Roman"/>
      <w:szCs w:val="20"/>
    </w:rPr>
  </w:style>
  <w:style w:type="paragraph" w:styleId="36">
    <w:name w:val="toc 9"/>
    <w:basedOn w:val="1"/>
    <w:next w:val="1"/>
    <w:qFormat/>
    <w:uiPriority w:val="39"/>
    <w:pPr>
      <w:ind w:left="1920"/>
      <w:jc w:val="left"/>
    </w:pPr>
    <w:rPr>
      <w:rFonts w:ascii="Calibri" w:hAnsi="Calibri" w:eastAsia="宋体" w:cs="Times New Roman"/>
      <w:sz w:val="18"/>
      <w:szCs w:val="18"/>
    </w:rPr>
  </w:style>
  <w:style w:type="paragraph" w:styleId="37">
    <w:name w:val="Normal (Web)"/>
    <w:basedOn w:val="1"/>
    <w:qFormat/>
    <w:uiPriority w:val="99"/>
    <w:rPr>
      <w:rFonts w:ascii="Calibri" w:hAnsi="Calibri" w:eastAsia="宋体" w:cs="Times New Roman"/>
      <w:sz w:val="24"/>
      <w:szCs w:val="20"/>
    </w:rPr>
  </w:style>
  <w:style w:type="paragraph" w:styleId="38">
    <w:name w:val="index 1"/>
    <w:basedOn w:val="1"/>
    <w:next w:val="1"/>
    <w:qFormat/>
    <w:uiPriority w:val="99"/>
    <w:rPr>
      <w:rFonts w:ascii="Calibri" w:hAnsi="Calibri" w:eastAsia="宋体" w:cs="Times New Roman"/>
      <w:sz w:val="24"/>
      <w:szCs w:val="24"/>
    </w:rPr>
  </w:style>
  <w:style w:type="paragraph" w:styleId="39">
    <w:name w:val="Title"/>
    <w:basedOn w:val="1"/>
    <w:next w:val="1"/>
    <w:link w:val="67"/>
    <w:qFormat/>
    <w:uiPriority w:val="0"/>
    <w:pPr>
      <w:spacing w:before="160" w:after="40" w:line="240" w:lineRule="atLeast"/>
      <w:ind w:left="425" w:hanging="425"/>
      <w:jc w:val="center"/>
      <w:outlineLvl w:val="0"/>
    </w:pPr>
    <w:rPr>
      <w:rFonts w:ascii="Arial" w:hAnsi="Arial"/>
      <w:b/>
      <w:sz w:val="32"/>
    </w:rPr>
  </w:style>
  <w:style w:type="paragraph" w:styleId="40">
    <w:name w:val="annotation subject"/>
    <w:basedOn w:val="17"/>
    <w:next w:val="17"/>
    <w:link w:val="57"/>
    <w:qFormat/>
    <w:uiPriority w:val="0"/>
    <w:rPr>
      <w:b/>
    </w:rPr>
  </w:style>
  <w:style w:type="paragraph" w:styleId="41">
    <w:name w:val="Body Text First Indent 2"/>
    <w:basedOn w:val="19"/>
    <w:semiHidden/>
    <w:qFormat/>
    <w:uiPriority w:val="99"/>
    <w:pPr>
      <w:spacing w:line="276" w:lineRule="auto"/>
      <w:ind w:firstLine="420" w:firstLineChars="200"/>
      <w:jc w:val="left"/>
    </w:pPr>
  </w:style>
  <w:style w:type="table" w:styleId="43">
    <w:name w:val="Table Grid"/>
    <w:basedOn w:val="4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5">
    <w:name w:val="Strong"/>
    <w:basedOn w:val="44"/>
    <w:qFormat/>
    <w:uiPriority w:val="22"/>
    <w:rPr>
      <w:b/>
    </w:rPr>
  </w:style>
  <w:style w:type="character" w:styleId="46">
    <w:name w:val="page number"/>
    <w:basedOn w:val="44"/>
    <w:qFormat/>
    <w:uiPriority w:val="99"/>
    <w:rPr>
      <w:rFonts w:cs="Times New Roman"/>
    </w:rPr>
  </w:style>
  <w:style w:type="character" w:styleId="47">
    <w:name w:val="FollowedHyperlink"/>
    <w:basedOn w:val="44"/>
    <w:qFormat/>
    <w:uiPriority w:val="99"/>
    <w:rPr>
      <w:color w:val="800080"/>
      <w:u w:val="single"/>
    </w:rPr>
  </w:style>
  <w:style w:type="character" w:styleId="48">
    <w:name w:val="Emphasis"/>
    <w:qFormat/>
    <w:uiPriority w:val="99"/>
    <w:rPr>
      <w:rFonts w:cs="Times New Roman"/>
      <w:color w:val="auto"/>
    </w:rPr>
  </w:style>
  <w:style w:type="character" w:styleId="49">
    <w:name w:val="HTML Acronym"/>
    <w:basedOn w:val="44"/>
    <w:qFormat/>
    <w:uiPriority w:val="99"/>
  </w:style>
  <w:style w:type="character" w:styleId="50">
    <w:name w:val="Hyperlink"/>
    <w:basedOn w:val="44"/>
    <w:qFormat/>
    <w:uiPriority w:val="99"/>
    <w:rPr>
      <w:color w:val="1F4F88"/>
      <w:u w:val="none"/>
    </w:rPr>
  </w:style>
  <w:style w:type="character" w:styleId="51">
    <w:name w:val="annotation reference"/>
    <w:basedOn w:val="44"/>
    <w:qFormat/>
    <w:uiPriority w:val="99"/>
    <w:rPr>
      <w:sz w:val="21"/>
    </w:rPr>
  </w:style>
  <w:style w:type="character" w:customStyle="1" w:styleId="52">
    <w:name w:val="标题 1 字符"/>
    <w:basedOn w:val="44"/>
    <w:link w:val="2"/>
    <w:qFormat/>
    <w:uiPriority w:val="9"/>
    <w:rPr>
      <w:rFonts w:ascii="Calibri" w:hAnsi="Calibri" w:eastAsia="宋体" w:cs="Times New Roman"/>
      <w:b/>
      <w:bCs/>
      <w:kern w:val="44"/>
      <w:sz w:val="36"/>
      <w:szCs w:val="44"/>
    </w:rPr>
  </w:style>
  <w:style w:type="character" w:customStyle="1" w:styleId="53">
    <w:name w:val="标题 2 字符"/>
    <w:basedOn w:val="44"/>
    <w:link w:val="3"/>
    <w:qFormat/>
    <w:uiPriority w:val="9"/>
    <w:rPr>
      <w:rFonts w:ascii="Arial" w:hAnsi="Arial" w:eastAsia="宋体" w:cs="Times New Roman"/>
      <w:b/>
      <w:bCs/>
      <w:sz w:val="24"/>
      <w:szCs w:val="32"/>
    </w:rPr>
  </w:style>
  <w:style w:type="character" w:customStyle="1" w:styleId="54">
    <w:name w:val="标题 3 字符"/>
    <w:basedOn w:val="44"/>
    <w:link w:val="4"/>
    <w:semiHidden/>
    <w:qFormat/>
    <w:uiPriority w:val="9"/>
    <w:rPr>
      <w:rFonts w:ascii="Calibri" w:hAnsi="Calibri" w:eastAsia="宋体" w:cs="Times New Roman"/>
      <w:b/>
      <w:bCs/>
      <w:sz w:val="32"/>
      <w:szCs w:val="32"/>
    </w:rPr>
  </w:style>
  <w:style w:type="character" w:customStyle="1" w:styleId="55">
    <w:name w:val="Char Char3"/>
    <w:qFormat/>
    <w:uiPriority w:val="0"/>
    <w:rPr>
      <w:rFonts w:ascii="宋体" w:hAnsi="Courier New" w:eastAsia="宋体"/>
      <w:kern w:val="2"/>
      <w:sz w:val="21"/>
      <w:lang w:val="en-US" w:eastAsia="zh-CN"/>
    </w:rPr>
  </w:style>
  <w:style w:type="character" w:customStyle="1" w:styleId="56">
    <w:name w:val="正文文本缩进 2 字符"/>
    <w:link w:val="26"/>
    <w:qFormat/>
    <w:locked/>
    <w:uiPriority w:val="0"/>
  </w:style>
  <w:style w:type="character" w:customStyle="1" w:styleId="57">
    <w:name w:val="批注主题 字符"/>
    <w:link w:val="40"/>
    <w:qFormat/>
    <w:locked/>
    <w:uiPriority w:val="0"/>
    <w:rPr>
      <w:b/>
    </w:rPr>
  </w:style>
  <w:style w:type="character" w:customStyle="1" w:styleId="58">
    <w:name w:val="正文文本缩进 3 字符"/>
    <w:link w:val="34"/>
    <w:qFormat/>
    <w:locked/>
    <w:uiPriority w:val="0"/>
    <w:rPr>
      <w:sz w:val="16"/>
    </w:rPr>
  </w:style>
  <w:style w:type="character" w:customStyle="1" w:styleId="59">
    <w:name w:val="纯文本 Char"/>
    <w:qFormat/>
    <w:uiPriority w:val="0"/>
    <w:rPr>
      <w:rFonts w:ascii="宋体" w:hAnsi="Courier New" w:eastAsia="宋体"/>
      <w:kern w:val="2"/>
      <w:sz w:val="21"/>
      <w:lang w:val="en-US" w:eastAsia="zh-CN"/>
    </w:rPr>
  </w:style>
  <w:style w:type="character" w:customStyle="1" w:styleId="60">
    <w:name w:val="Char Char2"/>
    <w:qFormat/>
    <w:uiPriority w:val="0"/>
    <w:rPr>
      <w:rFonts w:ascii="宋体" w:hAnsi="Courier New"/>
      <w:kern w:val="2"/>
      <w:sz w:val="21"/>
    </w:rPr>
  </w:style>
  <w:style w:type="character" w:customStyle="1" w:styleId="61">
    <w:name w:val="列出段落 字符"/>
    <w:link w:val="62"/>
    <w:qFormat/>
    <w:locked/>
    <w:uiPriority w:val="34"/>
    <w:rPr>
      <w:sz w:val="22"/>
    </w:rPr>
  </w:style>
  <w:style w:type="paragraph" w:customStyle="1" w:styleId="62">
    <w:name w:val="列出段落1"/>
    <w:basedOn w:val="1"/>
    <w:link w:val="61"/>
    <w:qFormat/>
    <w:uiPriority w:val="34"/>
    <w:pPr>
      <w:ind w:firstLine="420" w:firstLineChars="200"/>
    </w:pPr>
    <w:rPr>
      <w:sz w:val="22"/>
    </w:rPr>
  </w:style>
  <w:style w:type="character" w:customStyle="1" w:styleId="63">
    <w:name w:val="apple-converted-space"/>
    <w:basedOn w:val="44"/>
    <w:qFormat/>
    <w:uiPriority w:val="0"/>
    <w:rPr>
      <w:rFonts w:cs="Times New Roman"/>
    </w:rPr>
  </w:style>
  <w:style w:type="character" w:customStyle="1" w:styleId="64">
    <w:name w:val="页眉 字符"/>
    <w:link w:val="29"/>
    <w:qFormat/>
    <w:locked/>
    <w:uiPriority w:val="0"/>
    <w:rPr>
      <w:sz w:val="18"/>
    </w:rPr>
  </w:style>
  <w:style w:type="character" w:customStyle="1" w:styleId="65">
    <w:name w:val="BODY TEXT Char"/>
    <w:qFormat/>
    <w:locked/>
    <w:uiPriority w:val="0"/>
    <w:rPr>
      <w:rFonts w:eastAsia="新宋体"/>
      <w:kern w:val="2"/>
      <w:sz w:val="21"/>
    </w:rPr>
  </w:style>
  <w:style w:type="character" w:customStyle="1" w:styleId="66">
    <w:name w:val="批注文字 字符"/>
    <w:link w:val="17"/>
    <w:qFormat/>
    <w:locked/>
    <w:uiPriority w:val="0"/>
  </w:style>
  <w:style w:type="character" w:customStyle="1" w:styleId="67">
    <w:name w:val="标题 字符"/>
    <w:link w:val="39"/>
    <w:qFormat/>
    <w:locked/>
    <w:uiPriority w:val="0"/>
    <w:rPr>
      <w:rFonts w:ascii="Arial" w:hAnsi="Arial"/>
      <w:b/>
      <w:sz w:val="32"/>
    </w:rPr>
  </w:style>
  <w:style w:type="character" w:customStyle="1" w:styleId="68">
    <w:name w:val="日期 字符"/>
    <w:link w:val="25"/>
    <w:qFormat/>
    <w:locked/>
    <w:uiPriority w:val="0"/>
    <w:rPr>
      <w:sz w:val="24"/>
    </w:rPr>
  </w:style>
  <w:style w:type="character" w:customStyle="1" w:styleId="69">
    <w:name w:val="ATXT_Bullets Zchn"/>
    <w:link w:val="70"/>
    <w:qFormat/>
    <w:locked/>
    <w:uiPriority w:val="99"/>
    <w:rPr>
      <w:rFonts w:ascii="Arial" w:hAnsi="Arial"/>
      <w:lang w:val="de-AT" w:eastAsia="zh-CN"/>
    </w:rPr>
  </w:style>
  <w:style w:type="paragraph" w:customStyle="1" w:styleId="70">
    <w:name w:val="ATXT_Bullets"/>
    <w:link w:val="69"/>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1">
    <w:name w:val="Char Char5"/>
    <w:qFormat/>
    <w:uiPriority w:val="0"/>
    <w:rPr>
      <w:rFonts w:ascii="宋体" w:hAnsi="Courier New" w:eastAsia="宋体"/>
      <w:kern w:val="2"/>
      <w:sz w:val="21"/>
      <w:lang w:val="en-US" w:eastAsia="zh-CN"/>
    </w:rPr>
  </w:style>
  <w:style w:type="character" w:customStyle="1" w:styleId="72">
    <w:name w:val="批注框文本 字符"/>
    <w:link w:val="27"/>
    <w:qFormat/>
    <w:locked/>
    <w:uiPriority w:val="0"/>
    <w:rPr>
      <w:sz w:val="18"/>
    </w:rPr>
  </w:style>
  <w:style w:type="character" w:customStyle="1" w:styleId="73">
    <w:name w:val="批注文字 Char"/>
    <w:qFormat/>
    <w:uiPriority w:val="0"/>
    <w:rPr>
      <w:kern w:val="2"/>
    </w:rPr>
  </w:style>
  <w:style w:type="character" w:customStyle="1" w:styleId="74">
    <w:name w:val="批注主题 Char"/>
    <w:qFormat/>
    <w:uiPriority w:val="0"/>
    <w:rPr>
      <w:b/>
      <w:kern w:val="2"/>
    </w:rPr>
  </w:style>
  <w:style w:type="character" w:customStyle="1" w:styleId="75">
    <w:name w:val="文档结构图 字符"/>
    <w:link w:val="15"/>
    <w:qFormat/>
    <w:locked/>
    <w:uiPriority w:val="0"/>
    <w:rPr>
      <w:sz w:val="24"/>
      <w:shd w:val="clear" w:color="auto" w:fill="000080"/>
    </w:rPr>
  </w:style>
  <w:style w:type="character" w:customStyle="1" w:styleId="76">
    <w:name w:val="HTML Markup"/>
    <w:qFormat/>
    <w:uiPriority w:val="0"/>
    <w:rPr>
      <w:vanish/>
      <w:color w:val="FF0000"/>
    </w:rPr>
  </w:style>
  <w:style w:type="character" w:customStyle="1" w:styleId="77">
    <w:name w:val="纯文本 字符"/>
    <w:link w:val="23"/>
    <w:qFormat/>
    <w:locked/>
    <w:uiPriority w:val="0"/>
    <w:rPr>
      <w:rFonts w:ascii="宋体" w:hAnsi="Courier New"/>
    </w:rPr>
  </w:style>
  <w:style w:type="character" w:customStyle="1" w:styleId="78">
    <w:name w:val="页脚 字符"/>
    <w:link w:val="28"/>
    <w:qFormat/>
    <w:locked/>
    <w:uiPriority w:val="99"/>
    <w:rPr>
      <w:sz w:val="18"/>
    </w:rPr>
  </w:style>
  <w:style w:type="character" w:customStyle="1" w:styleId="79">
    <w:name w:val="Default Char"/>
    <w:link w:val="13"/>
    <w:qFormat/>
    <w:locked/>
    <w:uiPriority w:val="0"/>
    <w:rPr>
      <w:rFonts w:ascii="仿宋_GB2312" w:eastAsia="仿宋_GB2312"/>
      <w:color w:val="000000"/>
      <w:sz w:val="24"/>
    </w:rPr>
  </w:style>
  <w:style w:type="character" w:customStyle="1" w:styleId="80">
    <w:name w:val="页脚 Char"/>
    <w:qFormat/>
    <w:locked/>
    <w:uiPriority w:val="99"/>
    <w:rPr>
      <w:sz w:val="18"/>
    </w:rPr>
  </w:style>
  <w:style w:type="character" w:customStyle="1" w:styleId="81">
    <w:name w:val="批注文字 字符1"/>
    <w:basedOn w:val="44"/>
    <w:semiHidden/>
    <w:qFormat/>
    <w:uiPriority w:val="99"/>
  </w:style>
  <w:style w:type="character" w:customStyle="1" w:styleId="82">
    <w:name w:val="批注文字 字符11"/>
    <w:basedOn w:val="44"/>
    <w:qFormat/>
    <w:uiPriority w:val="0"/>
    <w:rPr>
      <w:rFonts w:cs="Times New Roman"/>
      <w:kern w:val="2"/>
      <w:sz w:val="21"/>
    </w:rPr>
  </w:style>
  <w:style w:type="character" w:customStyle="1" w:styleId="83">
    <w:name w:val="正文文本缩进 字符"/>
    <w:basedOn w:val="44"/>
    <w:link w:val="19"/>
    <w:qFormat/>
    <w:uiPriority w:val="99"/>
    <w:rPr>
      <w:rFonts w:ascii="Calibri" w:hAnsi="Calibri" w:eastAsia="宋体" w:cs="Times New Roman"/>
      <w:szCs w:val="20"/>
    </w:rPr>
  </w:style>
  <w:style w:type="character" w:customStyle="1" w:styleId="84">
    <w:name w:val="文档结构图 字符1"/>
    <w:basedOn w:val="44"/>
    <w:semiHidden/>
    <w:qFormat/>
    <w:uiPriority w:val="99"/>
    <w:rPr>
      <w:rFonts w:ascii="Microsoft YaHei UI" w:eastAsia="Microsoft YaHei UI"/>
      <w:sz w:val="18"/>
      <w:szCs w:val="18"/>
    </w:rPr>
  </w:style>
  <w:style w:type="character" w:customStyle="1" w:styleId="85">
    <w:name w:val="文档结构图 字符11"/>
    <w:basedOn w:val="44"/>
    <w:semiHidden/>
    <w:qFormat/>
    <w:uiPriority w:val="99"/>
    <w:rPr>
      <w:rFonts w:ascii="Microsoft YaHei UI" w:eastAsia="Microsoft YaHei UI" w:cs="Times New Roman"/>
      <w:kern w:val="2"/>
      <w:sz w:val="18"/>
      <w:szCs w:val="18"/>
    </w:rPr>
  </w:style>
  <w:style w:type="character" w:customStyle="1" w:styleId="86">
    <w:name w:val="正文文本 字符"/>
    <w:basedOn w:val="44"/>
    <w:link w:val="12"/>
    <w:qFormat/>
    <w:uiPriority w:val="99"/>
    <w:rPr>
      <w:rFonts w:ascii="Calibri" w:hAnsi="Calibri" w:eastAsia="新宋体" w:cs="Times New Roman"/>
      <w:szCs w:val="21"/>
    </w:rPr>
  </w:style>
  <w:style w:type="character" w:customStyle="1" w:styleId="87">
    <w:name w:val="纯文本 字符1"/>
    <w:basedOn w:val="44"/>
    <w:semiHidden/>
    <w:qFormat/>
    <w:uiPriority w:val="99"/>
    <w:rPr>
      <w:rFonts w:hAnsi="Courier New" w:cs="Courier New" w:asciiTheme="minorEastAsia"/>
    </w:rPr>
  </w:style>
  <w:style w:type="character" w:customStyle="1" w:styleId="88">
    <w:name w:val="纯文本 字符11"/>
    <w:basedOn w:val="44"/>
    <w:qFormat/>
    <w:uiPriority w:val="0"/>
    <w:rPr>
      <w:rFonts w:hAnsi="Courier New" w:cs="Courier New" w:asciiTheme="minorEastAsia" w:eastAsiaTheme="minorEastAsia"/>
      <w:kern w:val="2"/>
      <w:sz w:val="21"/>
    </w:rPr>
  </w:style>
  <w:style w:type="character" w:customStyle="1" w:styleId="89">
    <w:name w:val="页眉 字符1"/>
    <w:basedOn w:val="44"/>
    <w:semiHidden/>
    <w:qFormat/>
    <w:uiPriority w:val="99"/>
    <w:rPr>
      <w:sz w:val="18"/>
      <w:szCs w:val="18"/>
    </w:rPr>
  </w:style>
  <w:style w:type="character" w:customStyle="1" w:styleId="90">
    <w:name w:val="页眉 字符11"/>
    <w:basedOn w:val="44"/>
    <w:semiHidden/>
    <w:qFormat/>
    <w:uiPriority w:val="99"/>
    <w:rPr>
      <w:rFonts w:cs="Times New Roman"/>
      <w:kern w:val="2"/>
      <w:sz w:val="18"/>
      <w:szCs w:val="18"/>
    </w:rPr>
  </w:style>
  <w:style w:type="character" w:customStyle="1" w:styleId="91">
    <w:name w:val="批注框文本 字符1"/>
    <w:basedOn w:val="44"/>
    <w:semiHidden/>
    <w:qFormat/>
    <w:uiPriority w:val="99"/>
    <w:rPr>
      <w:sz w:val="18"/>
      <w:szCs w:val="18"/>
    </w:rPr>
  </w:style>
  <w:style w:type="character" w:customStyle="1" w:styleId="92">
    <w:name w:val="批注框文本 字符11"/>
    <w:basedOn w:val="44"/>
    <w:semiHidden/>
    <w:qFormat/>
    <w:uiPriority w:val="99"/>
    <w:rPr>
      <w:rFonts w:cs="Times New Roman"/>
      <w:kern w:val="2"/>
      <w:sz w:val="18"/>
      <w:szCs w:val="18"/>
    </w:rPr>
  </w:style>
  <w:style w:type="character" w:customStyle="1" w:styleId="93">
    <w:name w:val="日期 字符1"/>
    <w:basedOn w:val="44"/>
    <w:semiHidden/>
    <w:qFormat/>
    <w:uiPriority w:val="99"/>
  </w:style>
  <w:style w:type="character" w:customStyle="1" w:styleId="94">
    <w:name w:val="日期 字符11"/>
    <w:basedOn w:val="44"/>
    <w:semiHidden/>
    <w:qFormat/>
    <w:uiPriority w:val="99"/>
    <w:rPr>
      <w:rFonts w:cs="Times New Roman"/>
      <w:kern w:val="2"/>
      <w:sz w:val="21"/>
    </w:rPr>
  </w:style>
  <w:style w:type="character" w:customStyle="1" w:styleId="95">
    <w:name w:val="页脚 字符1"/>
    <w:basedOn w:val="44"/>
    <w:semiHidden/>
    <w:qFormat/>
    <w:uiPriority w:val="99"/>
    <w:rPr>
      <w:sz w:val="18"/>
      <w:szCs w:val="18"/>
    </w:rPr>
  </w:style>
  <w:style w:type="character" w:customStyle="1" w:styleId="96">
    <w:name w:val="页脚 字符11"/>
    <w:basedOn w:val="44"/>
    <w:semiHidden/>
    <w:qFormat/>
    <w:uiPriority w:val="99"/>
    <w:rPr>
      <w:rFonts w:cs="Times New Roman"/>
      <w:kern w:val="2"/>
      <w:sz w:val="18"/>
      <w:szCs w:val="18"/>
    </w:rPr>
  </w:style>
  <w:style w:type="character" w:customStyle="1" w:styleId="97">
    <w:name w:val="正文文本缩进 2 字符1"/>
    <w:basedOn w:val="44"/>
    <w:semiHidden/>
    <w:qFormat/>
    <w:uiPriority w:val="99"/>
  </w:style>
  <w:style w:type="character" w:customStyle="1" w:styleId="98">
    <w:name w:val="正文文本缩进 2 字符11"/>
    <w:basedOn w:val="44"/>
    <w:semiHidden/>
    <w:qFormat/>
    <w:uiPriority w:val="99"/>
    <w:rPr>
      <w:rFonts w:cs="Times New Roman"/>
      <w:kern w:val="2"/>
      <w:sz w:val="21"/>
    </w:rPr>
  </w:style>
  <w:style w:type="character" w:customStyle="1" w:styleId="99">
    <w:name w:val="正文文本缩进 3 字符1"/>
    <w:basedOn w:val="44"/>
    <w:semiHidden/>
    <w:qFormat/>
    <w:uiPriority w:val="99"/>
    <w:rPr>
      <w:sz w:val="16"/>
      <w:szCs w:val="16"/>
    </w:rPr>
  </w:style>
  <w:style w:type="character" w:customStyle="1" w:styleId="100">
    <w:name w:val="正文文本缩进 3 字符11"/>
    <w:basedOn w:val="44"/>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4"/>
    <w:qFormat/>
    <w:uiPriority w:val="10"/>
    <w:rPr>
      <w:rFonts w:asciiTheme="majorHAnsi" w:hAnsiTheme="majorHAnsi" w:eastAsiaTheme="majorEastAsia" w:cstheme="majorBidi"/>
      <w:b/>
      <w:bCs/>
      <w:sz w:val="32"/>
      <w:szCs w:val="32"/>
    </w:rPr>
  </w:style>
  <w:style w:type="character" w:customStyle="1" w:styleId="104">
    <w:name w:val="标题 字符11"/>
    <w:basedOn w:val="44"/>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3"/>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3"/>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4"/>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4"/>
    <w:qFormat/>
    <w:uiPriority w:val="0"/>
    <w:rPr>
      <w:rFonts w:hint="eastAsia" w:ascii="宋体" w:hAnsi="宋体" w:eastAsia="宋体" w:cs="宋体"/>
      <w:color w:val="000000"/>
      <w:sz w:val="20"/>
      <w:szCs w:val="20"/>
      <w:u w:val="none"/>
    </w:rPr>
  </w:style>
  <w:style w:type="character" w:customStyle="1" w:styleId="144">
    <w:name w:val="font101"/>
    <w:basedOn w:val="44"/>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4"/>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4"/>
    <w:link w:val="7"/>
    <w:qFormat/>
    <w:uiPriority w:val="9"/>
    <w:rPr>
      <w:rFonts w:ascii="Arial" w:hAnsi="Arial" w:eastAsia="黑体" w:cstheme="minorBidi"/>
      <w:b/>
      <w:kern w:val="2"/>
      <w:sz w:val="24"/>
      <w:szCs w:val="22"/>
    </w:rPr>
  </w:style>
  <w:style w:type="character" w:customStyle="1" w:styleId="150">
    <w:name w:val="标题 7 字符"/>
    <w:basedOn w:val="44"/>
    <w:link w:val="8"/>
    <w:qFormat/>
    <w:uiPriority w:val="9"/>
    <w:rPr>
      <w:rFonts w:asciiTheme="minorHAnsi" w:hAnsiTheme="minorHAnsi" w:eastAsiaTheme="minorEastAsia" w:cstheme="minorBidi"/>
      <w:b/>
      <w:kern w:val="2"/>
      <w:sz w:val="24"/>
      <w:szCs w:val="22"/>
    </w:rPr>
  </w:style>
  <w:style w:type="character" w:customStyle="1" w:styleId="151">
    <w:name w:val="标题 9 字符"/>
    <w:basedOn w:val="44"/>
    <w:link w:val="9"/>
    <w:semiHidden/>
    <w:qFormat/>
    <w:uiPriority w:val="9"/>
    <w:rPr>
      <w:rFonts w:ascii="Arial" w:hAnsi="Arial" w:eastAsia="黑体" w:cstheme="minorBidi"/>
      <w:kern w:val="2"/>
      <w:sz w:val="21"/>
      <w:szCs w:val="22"/>
    </w:rPr>
  </w:style>
  <w:style w:type="paragraph" w:customStyle="1" w:styleId="152">
    <w:name w:val="_Style 4"/>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2"/>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4"/>
    <w:link w:val="5"/>
    <w:qFormat/>
    <w:uiPriority w:val="9"/>
    <w:rPr>
      <w:rFonts w:ascii="Arial" w:hAnsi="Arial" w:eastAsia="黑体" w:cstheme="minorBidi"/>
      <w:b/>
      <w:kern w:val="2"/>
      <w:sz w:val="28"/>
      <w:szCs w:val="22"/>
    </w:rPr>
  </w:style>
  <w:style w:type="character" w:customStyle="1" w:styleId="164">
    <w:name w:val="批注文字 字符2"/>
    <w:basedOn w:val="44"/>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4"/>
    <w:qFormat/>
    <w:uiPriority w:val="0"/>
    <w:rPr>
      <w:rFonts w:hint="eastAsia" w:ascii="宋体" w:hAnsi="宋体" w:eastAsia="宋体" w:cs="宋体"/>
      <w:color w:val="000000"/>
      <w:sz w:val="18"/>
      <w:szCs w:val="18"/>
      <w:u w:val="none"/>
    </w:rPr>
  </w:style>
  <w:style w:type="character" w:customStyle="1" w:styleId="167">
    <w:name w:val="font31"/>
    <w:basedOn w:val="44"/>
    <w:qFormat/>
    <w:uiPriority w:val="0"/>
    <w:rPr>
      <w:rFonts w:hint="default" w:ascii="Times New Roman" w:hAnsi="Times New Roman" w:cs="Times New Roman"/>
      <w:color w:val="000000"/>
      <w:sz w:val="18"/>
      <w:szCs w:val="18"/>
      <w:u w:val="none"/>
    </w:rPr>
  </w:style>
  <w:style w:type="character" w:customStyle="1" w:styleId="168">
    <w:name w:val="font51"/>
    <w:basedOn w:val="44"/>
    <w:qFormat/>
    <w:uiPriority w:val="0"/>
    <w:rPr>
      <w:rFonts w:hint="eastAsia" w:ascii="宋体" w:hAnsi="宋体" w:eastAsia="宋体" w:cs="宋体"/>
      <w:color w:val="000000"/>
      <w:sz w:val="18"/>
      <w:szCs w:val="18"/>
      <w:u w:val="none"/>
    </w:rPr>
  </w:style>
  <w:style w:type="character" w:customStyle="1" w:styleId="169">
    <w:name w:val="font11"/>
    <w:basedOn w:val="44"/>
    <w:qFormat/>
    <w:uiPriority w:val="0"/>
    <w:rPr>
      <w:rFonts w:hint="eastAsia" w:ascii="宋体" w:hAnsi="宋体" w:eastAsia="宋体" w:cs="宋体"/>
      <w:b/>
      <w:bCs/>
      <w:color w:val="000000"/>
      <w:sz w:val="21"/>
      <w:szCs w:val="21"/>
      <w:u w:val="none"/>
    </w:rPr>
  </w:style>
  <w:style w:type="character" w:customStyle="1" w:styleId="170">
    <w:name w:val="font61"/>
    <w:basedOn w:val="44"/>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2" Type="http://schemas.openxmlformats.org/officeDocument/2006/relationships/fontTable" Target="fontTable.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63</Pages>
  <Words>9726</Words>
  <Characters>10320</Characters>
  <Lines>371</Lines>
  <Paragraphs>104</Paragraphs>
  <TotalTime>0</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2025-10-16T02:28:47Z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