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rPr>
      </w:pPr>
      <w:bookmarkStart w:id="0" w:name="OLE_LINK31"/>
      <w:bookmarkStart w:id="1" w:name="OLE_LINK30"/>
    </w:p>
    <w:p w14:paraId="157AC331">
      <w:pPr>
        <w:spacing w:line="276" w:lineRule="auto"/>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238A52ED">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济南成型厂5吨整体式转向节模具新制项目</w:t>
      </w:r>
    </w:p>
    <w:p w14:paraId="0C9C244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D281A32">
      <w:pPr>
        <w:pStyle w:val="17"/>
      </w:pPr>
    </w:p>
    <w:p w14:paraId="6681D3AB">
      <w:pPr>
        <w:pStyle w:val="17"/>
      </w:pPr>
    </w:p>
    <w:p w14:paraId="1DA2295B">
      <w:pPr>
        <w:pStyle w:val="17"/>
      </w:pPr>
    </w:p>
    <w:p w14:paraId="7119408D">
      <w:pPr>
        <w:jc w:val="right"/>
        <w:rPr>
          <w:rFonts w:ascii="Calibri" w:hAnsi="Calibri" w:eastAsia="宋体" w:cs="Times New Roman"/>
          <w:color w:val="000000"/>
          <w:sz w:val="28"/>
          <w:szCs w:val="28"/>
        </w:rPr>
      </w:pPr>
    </w:p>
    <w:p w14:paraId="70CE5F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83D2731">
      <w:pPr>
        <w:jc w:val="center"/>
        <w:rPr>
          <w:rFonts w:ascii="黑体" w:hAnsi="宋体" w:eastAsia="黑体" w:cs="Times New Roman"/>
          <w:color w:val="000000"/>
          <w:sz w:val="72"/>
          <w:szCs w:val="72"/>
        </w:rPr>
      </w:pPr>
    </w:p>
    <w:p w14:paraId="1D154A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E3B007">
      <w:pPr>
        <w:jc w:val="center"/>
        <w:rPr>
          <w:rFonts w:ascii="黑体" w:hAnsi="宋体" w:eastAsia="黑体" w:cs="Times New Roman"/>
          <w:color w:val="000000"/>
          <w:sz w:val="72"/>
          <w:szCs w:val="72"/>
        </w:rPr>
      </w:pPr>
    </w:p>
    <w:p w14:paraId="3DE4EBA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2319A8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r>
        <w:rPr>
          <w:rFonts w:hint="eastAsia" w:ascii="华文仿宋" w:hAnsi="华文仿宋" w:eastAsia="华文仿宋"/>
          <w:b/>
          <w:bCs/>
          <w:sz w:val="32"/>
          <w:szCs w:val="28"/>
          <w:lang w:val="en-US" w:eastAsia="zh-CN"/>
        </w:rPr>
        <w:t xml:space="preserve">     </w:t>
      </w:r>
      <w:r>
        <w:rPr>
          <w:rFonts w:hint="eastAsia" w:ascii="华文仿宋" w:hAnsi="华文仿宋" w:eastAsia="华文仿宋"/>
          <w:b/>
          <w:bCs/>
          <w:sz w:val="32"/>
          <w:szCs w:val="28"/>
        </w:rPr>
        <w:t xml:space="preserve"> </w:t>
      </w:r>
    </w:p>
    <w:p w14:paraId="1402B2C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4690F5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217AF80">
      <w:pPr>
        <w:pStyle w:val="17"/>
        <w:rPr>
          <w:b/>
          <w:bCs/>
        </w:rPr>
      </w:pPr>
    </w:p>
    <w:p w14:paraId="21B49F2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rPr>
        <w:t>中国重汽集团济南动力有限公司</w:t>
      </w:r>
    </w:p>
    <w:p w14:paraId="294AC3AF">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30CC3BA2">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CF936A4">
          <w:pPr>
            <w:spacing w:line="480" w:lineRule="auto"/>
            <w:jc w:val="center"/>
            <w:rPr>
              <w:rFonts w:cs="宋体"/>
              <w:b/>
              <w:bCs/>
              <w:sz w:val="48"/>
              <w:szCs w:val="48"/>
            </w:rPr>
          </w:pPr>
          <w:r>
            <w:rPr>
              <w:rFonts w:ascii="宋体" w:hAnsi="宋体" w:eastAsia="宋体" w:cs="宋体"/>
              <w:b/>
              <w:bCs/>
              <w:sz w:val="48"/>
              <w:szCs w:val="48"/>
            </w:rPr>
            <w:t>目录</w:t>
          </w:r>
        </w:p>
        <w:p w14:paraId="5FB2098B">
          <w:pPr>
            <w:pStyle w:val="24"/>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C24FCC7">
          <w:pPr>
            <w:pStyle w:val="24"/>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42022B9F">
          <w:pPr>
            <w:pStyle w:val="24"/>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850379E">
          <w:pPr>
            <w:pStyle w:val="24"/>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872A5D4">
          <w:pPr>
            <w:pStyle w:val="24"/>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509268">
          <w:pPr>
            <w:pStyle w:val="24"/>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1C1B7DA2">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9093F1B">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2C6C9C5">
      <w:pPr>
        <w:pStyle w:val="17"/>
        <w:jc w:val="center"/>
        <w:rPr>
          <w:rFonts w:ascii="Calibri" w:hAnsi="Calibri" w:eastAsia="宋体" w:cs="Times New Roman"/>
          <w:b/>
          <w:bCs/>
          <w:kern w:val="44"/>
          <w:sz w:val="36"/>
          <w:szCs w:val="44"/>
        </w:rPr>
      </w:pPr>
    </w:p>
    <w:p w14:paraId="7F37780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sz w:val="24"/>
                <w:szCs w:val="24"/>
              </w:rPr>
              <w:t>济南成型厂5吨整体式转向节模具新制项目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采购形式编号：</w:t>
            </w:r>
            <w:r>
              <w:rPr>
                <w:rFonts w:hint="eastAsia" w:ascii="宋体" w:hAnsi="宋体" w:eastAsia="宋体" w:cs="宋体"/>
                <w:color w:val="auto"/>
                <w:sz w:val="24"/>
                <w:szCs w:val="24"/>
                <w:highlight w:val="none"/>
                <w:u w:val="single"/>
                <w:lang w:val="en-US" w:eastAsia="zh-CN"/>
              </w:rPr>
              <w:t xml:space="preserve">  FSCZB2025100056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hint="default" w:ascii="宋体" w:hAnsi="宋体" w:cs="宋体" w:eastAsiaTheme="minorEastAsia"/>
                <w:color w:val="auto"/>
                <w:sz w:val="24"/>
                <w:szCs w:val="24"/>
                <w:lang w:val="en-US" w:eastAsia="zh-CN"/>
              </w:rPr>
            </w:pPr>
            <w:r>
              <w:rPr>
                <w:rFonts w:hint="eastAsia" w:ascii="宋体" w:hAnsi="宋体" w:eastAsia="宋体" w:cs="宋体"/>
                <w:b/>
                <w:bCs/>
                <w:color w:val="auto"/>
                <w:sz w:val="24"/>
                <w:szCs w:val="24"/>
              </w:rPr>
              <w:t>招标内容：</w:t>
            </w:r>
            <w:r>
              <w:rPr>
                <w:rFonts w:hint="eastAsia"/>
                <w:sz w:val="24"/>
                <w:szCs w:val="24"/>
              </w:rPr>
              <w:t>本项目为</w:t>
            </w:r>
            <w:r>
              <w:rPr>
                <w:rFonts w:hint="eastAsia" w:ascii="宋体" w:hAnsi="宋体"/>
                <w:sz w:val="24"/>
                <w:szCs w:val="24"/>
              </w:rPr>
              <w:t>济南成型厂5吨整体式转向节模具新制项目</w:t>
            </w:r>
            <w:r>
              <w:rPr>
                <w:rFonts w:hint="eastAsia"/>
                <w:sz w:val="24"/>
                <w:szCs w:val="24"/>
              </w:rPr>
              <w:t>，</w:t>
            </w:r>
            <w:r>
              <w:rPr>
                <w:rFonts w:hint="eastAsia" w:ascii="宋体" w:hAnsi="宋体"/>
                <w:sz w:val="24"/>
                <w:szCs w:val="24"/>
              </w:rPr>
              <w:t>根据项目所涉及工装</w:t>
            </w:r>
            <w:r>
              <w:rPr>
                <w:rFonts w:hint="eastAsia" w:ascii="宋体" w:hAnsi="宋体"/>
                <w:sz w:val="24"/>
                <w:szCs w:val="24"/>
                <w:lang w:val="en-US" w:eastAsia="zh-CN"/>
              </w:rPr>
              <w:t>详见技术标书</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招标形式：</w:t>
            </w:r>
            <w:r>
              <w:rPr>
                <w:rFonts w:hint="eastAsia" w:ascii="宋体" w:hAnsi="宋体" w:eastAsia="宋体" w:cs="宋体"/>
                <w:color w:val="auto"/>
                <w:sz w:val="24"/>
                <w:szCs w:val="24"/>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招标人名称：</w:t>
            </w:r>
            <w:r>
              <w:rPr>
                <w:rFonts w:hint="eastAsia" w:ascii="宋体" w:hAnsi="宋体" w:eastAsia="宋体" w:cs="宋体"/>
                <w:color w:val="auto"/>
                <w:sz w:val="24"/>
                <w:szCs w:val="24"/>
                <w:highlight w:val="none"/>
                <w:u w:val="single"/>
              </w:rPr>
              <w:t>中国重汽集团济南动力有限公司</w:t>
            </w:r>
            <w:r>
              <w:rPr>
                <w:rFonts w:hint="eastAsia" w:ascii="宋体" w:hAnsi="宋体" w:eastAsia="宋体" w:cs="宋体"/>
                <w:bCs/>
                <w:snapToGrid w:val="0"/>
                <w:color w:val="auto"/>
                <w:kern w:val="0"/>
                <w:sz w:val="24"/>
                <w:szCs w:val="24"/>
                <w:highlight w:val="none"/>
              </w:rPr>
              <w:t xml:space="preserve"> </w:t>
            </w:r>
          </w:p>
          <w:p w14:paraId="2DE6C248">
            <w:pPr>
              <w:ind w:firstLine="482" w:firstLineChars="200"/>
              <w:rPr>
                <w:rFonts w:ascii="宋体" w:hAnsi="宋体" w:eastAsia="宋体" w:cs="宋体"/>
                <w:color w:val="auto"/>
                <w:sz w:val="24"/>
                <w:szCs w:val="24"/>
                <w:highlight w:val="none"/>
              </w:rPr>
            </w:pPr>
            <w:r>
              <w:rPr>
                <w:rFonts w:hint="eastAsia" w:ascii="宋体" w:hAnsi="宋体" w:eastAsia="宋体" w:cs="宋体"/>
                <w:b/>
                <w:snapToGrid w:val="0"/>
                <w:color w:val="auto"/>
                <w:kern w:val="0"/>
                <w:sz w:val="24"/>
                <w:szCs w:val="24"/>
                <w:highlight w:val="none"/>
              </w:rPr>
              <w:t>招标人地址：</w:t>
            </w:r>
            <w:r>
              <w:rPr>
                <w:rFonts w:hint="eastAsia" w:ascii="宋体" w:hAnsi="宋体" w:eastAsia="宋体" w:cs="宋体"/>
                <w:color w:val="auto"/>
                <w:sz w:val="24"/>
                <w:szCs w:val="24"/>
                <w:highlight w:val="none"/>
                <w:u w:val="single"/>
              </w:rPr>
              <w:t xml:space="preserve">济南市历城区华奥路777号 </w:t>
            </w:r>
          </w:p>
          <w:p w14:paraId="08B81BFA">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联系人：</w:t>
            </w:r>
            <w:r>
              <w:rPr>
                <w:rFonts w:hint="eastAsia" w:ascii="宋体" w:hAnsi="宋体" w:eastAsia="宋体" w:cs="宋体"/>
                <w:bCs/>
                <w:snapToGrid w:val="0"/>
                <w:color w:val="auto"/>
                <w:kern w:val="0"/>
                <w:sz w:val="24"/>
                <w:szCs w:val="24"/>
                <w:highlight w:val="none"/>
              </w:rPr>
              <w:t>苏启蒙</w:t>
            </w:r>
          </w:p>
          <w:p w14:paraId="1A15F4CE">
            <w:pPr>
              <w:pStyle w:val="17"/>
              <w:ind w:firstLine="482" w:firstLineChars="200"/>
              <w:rPr>
                <w:rFonts w:hint="default" w:eastAsia="宋体"/>
                <w:color w:val="auto"/>
                <w:highlight w:val="none"/>
                <w:lang w:val="en-US" w:eastAsia="zh-CN"/>
              </w:rPr>
            </w:pPr>
            <w:r>
              <w:rPr>
                <w:rFonts w:hint="eastAsia" w:hAnsi="宋体" w:eastAsia="宋体" w:cs="宋体"/>
                <w:b/>
                <w:snapToGrid w:val="0"/>
                <w:color w:val="auto"/>
                <w:kern w:val="0"/>
                <w:sz w:val="24"/>
                <w:szCs w:val="24"/>
                <w:highlight w:val="none"/>
              </w:rPr>
              <w:t>电话：</w:t>
            </w:r>
            <w:r>
              <w:rPr>
                <w:rFonts w:hint="eastAsia" w:hAnsi="宋体" w:eastAsia="宋体" w:cs="宋体"/>
                <w:b/>
                <w:snapToGrid w:val="0"/>
                <w:color w:val="auto"/>
                <w:kern w:val="0"/>
                <w:sz w:val="24"/>
                <w:szCs w:val="24"/>
                <w:highlight w:val="none"/>
                <w:lang w:val="en-US" w:eastAsia="zh-CN"/>
              </w:rPr>
              <w:t>17553108182</w:t>
            </w:r>
          </w:p>
          <w:p w14:paraId="575D320A">
            <w:pPr>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Cs/>
                <w:snapToGrid w:val="0"/>
                <w:color w:val="auto"/>
                <w:kern w:val="0"/>
                <w:sz w:val="24"/>
                <w:szCs w:val="24"/>
                <w:highlight w:val="none"/>
              </w:rPr>
              <w:fldChar w:fldCharType="begin"/>
            </w:r>
            <w:r>
              <w:rPr>
                <w:rFonts w:hint="eastAsia" w:ascii="宋体" w:hAnsi="宋体" w:eastAsia="宋体" w:cs="宋体"/>
                <w:bCs/>
                <w:snapToGrid w:val="0"/>
                <w:color w:val="auto"/>
                <w:kern w:val="0"/>
                <w:sz w:val="24"/>
                <w:szCs w:val="24"/>
                <w:highlight w:val="none"/>
              </w:rPr>
              <w:instrText xml:space="preserve"> HYPERLINK "mailto:suqimeng@sinotruk.com" </w:instrText>
            </w:r>
            <w:r>
              <w:rPr>
                <w:rFonts w:hint="eastAsia" w:ascii="宋体" w:hAnsi="宋体" w:eastAsia="宋体" w:cs="宋体"/>
                <w:bCs/>
                <w:snapToGrid w:val="0"/>
                <w:color w:val="auto"/>
                <w:kern w:val="0"/>
                <w:sz w:val="24"/>
                <w:szCs w:val="24"/>
                <w:highlight w:val="none"/>
              </w:rPr>
              <w:fldChar w:fldCharType="separate"/>
            </w:r>
            <w:r>
              <w:rPr>
                <w:rStyle w:val="44"/>
                <w:rFonts w:hint="eastAsia" w:ascii="宋体" w:hAnsi="宋体" w:eastAsia="宋体" w:cs="宋体"/>
                <w:bCs/>
                <w:snapToGrid w:val="0"/>
                <w:color w:val="auto"/>
                <w:kern w:val="0"/>
                <w:sz w:val="24"/>
                <w:szCs w:val="24"/>
                <w:highlight w:val="none"/>
              </w:rPr>
              <w:t>suqimeng@sinotruk.com</w:t>
            </w:r>
            <w:r>
              <w:rPr>
                <w:rFonts w:hint="eastAsia" w:ascii="宋体" w:hAnsi="宋体" w:eastAsia="宋体" w:cs="宋体"/>
                <w:bCs/>
                <w:snapToGrid w:val="0"/>
                <w:color w:val="auto"/>
                <w:kern w:val="0"/>
                <w:sz w:val="24"/>
                <w:szCs w:val="24"/>
                <w:highlight w:val="none"/>
              </w:rPr>
              <w:fldChar w:fldCharType="end"/>
            </w:r>
          </w:p>
          <w:p w14:paraId="300283E3">
            <w:pPr>
              <w:ind w:firstLine="482" w:firstLineChars="200"/>
              <w:rPr>
                <w:rFonts w:hint="default"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技术联系人：</w:t>
            </w:r>
            <w:r>
              <w:rPr>
                <w:rFonts w:hint="eastAsia" w:ascii="宋体" w:hAnsi="宋体" w:eastAsia="宋体" w:cs="宋体"/>
                <w:b/>
                <w:snapToGrid w:val="0"/>
                <w:color w:val="auto"/>
                <w:kern w:val="0"/>
                <w:sz w:val="24"/>
                <w:szCs w:val="24"/>
                <w:highlight w:val="none"/>
                <w:lang w:val="en-US" w:eastAsia="zh-CN"/>
              </w:rPr>
              <w:t>陈学良</w:t>
            </w:r>
          </w:p>
          <w:p w14:paraId="0BEB3FF6">
            <w:pPr>
              <w:pStyle w:val="17"/>
              <w:ind w:firstLine="482" w:firstLineChars="200"/>
              <w:rPr>
                <w:rFonts w:eastAsia="宋体"/>
                <w:color w:val="auto"/>
                <w:highlight w:val="none"/>
              </w:rPr>
            </w:pPr>
            <w:r>
              <w:rPr>
                <w:rFonts w:hint="eastAsia" w:hAnsi="宋体" w:eastAsia="宋体" w:cs="宋体"/>
                <w:b/>
                <w:snapToGrid w:val="0"/>
                <w:color w:val="auto"/>
                <w:kern w:val="0"/>
                <w:sz w:val="24"/>
                <w:szCs w:val="24"/>
                <w:highlight w:val="none"/>
              </w:rPr>
              <w:t>电话：19861834499</w:t>
            </w:r>
          </w:p>
          <w:p w14:paraId="1B83C214">
            <w:pPr>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邮箱：chenxueliang@sinotruk.com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5EFF284">
            <w:pPr>
              <w:pStyle w:val="17"/>
              <w:ind w:firstLine="482" w:firstLineChars="200"/>
              <w:rPr>
                <w:rFonts w:hint="eastAsia" w:hAnsi="宋体" w:eastAsia="宋体" w:cs="Times New Roman"/>
                <w:color w:val="000000"/>
                <w:sz w:val="24"/>
                <w:szCs w:val="24"/>
                <w:highlight w:val="yellow"/>
              </w:rPr>
            </w:pPr>
            <w:r>
              <w:rPr>
                <w:rFonts w:hint="eastAsia" w:hAnsi="宋体" w:eastAsia="宋体" w:cs="Times New Roman"/>
                <w:b/>
                <w:bCs/>
                <w:color w:val="000000"/>
                <w:sz w:val="24"/>
                <w:szCs w:val="24"/>
                <w:highlight w:val="yellow"/>
              </w:rPr>
              <w:t>投标限价</w:t>
            </w:r>
            <w:r>
              <w:rPr>
                <w:rFonts w:hint="eastAsia" w:hAnsi="宋体" w:eastAsia="宋体" w:cs="Times New Roman"/>
                <w:color w:val="000000"/>
                <w:sz w:val="24"/>
                <w:szCs w:val="24"/>
                <w:highlight w:val="yellow"/>
              </w:rPr>
              <w:t>：本次招标项目总限价94.56万元（含税）。其中</w:t>
            </w:r>
          </w:p>
          <w:p w14:paraId="2EB9F16E">
            <w:pPr>
              <w:pStyle w:val="17"/>
              <w:ind w:firstLine="480" w:firstLineChars="200"/>
              <w:rPr>
                <w:rFonts w:hint="eastAsia" w:hAnsi="宋体" w:eastAsia="宋体" w:cs="Times New Roman"/>
                <w:color w:val="000000"/>
                <w:sz w:val="24"/>
                <w:szCs w:val="24"/>
                <w:highlight w:val="yellow"/>
              </w:rPr>
            </w:pPr>
            <w:r>
              <w:rPr>
                <w:rFonts w:hint="eastAsia" w:hAnsi="宋体" w:eastAsia="宋体" w:cs="Times New Roman"/>
                <w:color w:val="000000"/>
                <w:sz w:val="24"/>
                <w:szCs w:val="24"/>
                <w:highlight w:val="yellow"/>
              </w:rPr>
              <w:t>包1：0430/0431转向节模具自制项目，限价50.77万元（含税）。</w:t>
            </w:r>
          </w:p>
          <w:p w14:paraId="7C923540">
            <w:pPr>
              <w:pStyle w:val="17"/>
              <w:ind w:firstLine="480" w:firstLineChars="200"/>
              <w:rPr>
                <w:rFonts w:eastAsia="宋体"/>
              </w:rPr>
            </w:pPr>
            <w:r>
              <w:rPr>
                <w:rFonts w:hint="eastAsia" w:hAnsi="宋体" w:eastAsia="宋体" w:cs="Times New Roman"/>
                <w:color w:val="000000"/>
                <w:sz w:val="24"/>
                <w:szCs w:val="24"/>
                <w:highlight w:val="yellow"/>
              </w:rPr>
              <w:t>包2：0428/0429转向节模具自制项目，限价43.79万元（含税）。</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FA0B786">
            <w:pPr>
              <w:ind w:firstLine="480" w:firstLineChars="200"/>
              <w:rPr>
                <w:rFonts w:hint="eastAsia" w:ascii="宋体" w:hAnsi="宋体" w:eastAsia="宋体" w:cs="宋体"/>
                <w:b w:val="0"/>
                <w:bCs w:val="0"/>
                <w:sz w:val="24"/>
                <w:szCs w:val="24"/>
              </w:rPr>
            </w:pPr>
            <w:r>
              <w:rPr>
                <w:rFonts w:hint="eastAsia"/>
                <w:b w:val="0"/>
                <w:bCs w:val="0"/>
                <w:color w:val="auto"/>
                <w:sz w:val="24"/>
                <w:szCs w:val="24"/>
                <w:highlight w:val="none"/>
                <w:u w:val="none"/>
              </w:rPr>
              <w:t>1</w:t>
            </w:r>
            <w:r>
              <w:rPr>
                <w:rFonts w:hint="eastAsia" w:ascii="宋体" w:hAnsi="宋体" w:eastAsia="宋体" w:cs="宋体"/>
                <w:b w:val="0"/>
                <w:bCs w:val="0"/>
                <w:sz w:val="24"/>
                <w:szCs w:val="24"/>
              </w:rPr>
              <w:t>、投标人必须是独立法人机构，具有独立承担民事责任能力，投标人注册资金不低于500万元；公司成立三年以上（以营业执照成立日期到开标当日满三年为准）；且经营范围满足招标人需求；并在人员、设备、资金等方面具有承担本项目的能力。</w:t>
            </w:r>
          </w:p>
          <w:p w14:paraId="0C164AF6">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2、投标人应具有统一社会信用代码的营业执照副本。</w:t>
            </w:r>
          </w:p>
          <w:p w14:paraId="097A4D21">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3、经营资质具有锻造工装制作及维修等相关内容，且有锻造工装焊修制作经验。</w:t>
            </w:r>
          </w:p>
          <w:p w14:paraId="73077F16">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4、投标人应通过GB/ISO9001</w:t>
            </w:r>
            <w:r>
              <w:rPr>
                <w:rFonts w:hint="eastAsia" w:ascii="宋体" w:hAnsi="宋体" w:eastAsia="宋体" w:cs="宋体"/>
                <w:b w:val="0"/>
                <w:bCs w:val="0"/>
                <w:sz w:val="24"/>
                <w:szCs w:val="24"/>
                <w:lang w:val="en-US" w:eastAsia="zh-CN"/>
              </w:rPr>
              <w:t>或IATF16949</w:t>
            </w:r>
            <w:r>
              <w:rPr>
                <w:rFonts w:hint="eastAsia" w:ascii="宋体" w:hAnsi="宋体" w:eastAsia="宋体" w:cs="宋体"/>
                <w:b w:val="0"/>
                <w:bCs w:val="0"/>
                <w:sz w:val="24"/>
                <w:szCs w:val="24"/>
              </w:rPr>
              <w:t>质量体系认证。</w:t>
            </w:r>
          </w:p>
          <w:p w14:paraId="661E934A">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5、投标人在工商行政管理局的《国家企业信用信息公示系统》中查询不存在不良记录。</w:t>
            </w:r>
          </w:p>
          <w:p w14:paraId="76788EDC">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6、投标人近三年内在经营活动中无与本项目有关的违法及重大违规情况或被列入招标人“黑名单”。</w:t>
            </w:r>
          </w:p>
          <w:p w14:paraId="5F2B6D85">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7、</w:t>
            </w:r>
            <w:r>
              <w:rPr>
                <w:rFonts w:hint="eastAsia" w:ascii="宋体" w:hAnsi="宋体" w:eastAsia="宋体" w:cs="宋体"/>
                <w:b w:val="0"/>
                <w:bCs w:val="0"/>
                <w:sz w:val="24"/>
                <w:szCs w:val="24"/>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19EDAF5">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8、本次招标不接受联合体投标，不接受代理商投标。投标方的直接或间接股东、法定代表人、董事、监事、高管非重汽员工及其亲属。</w:t>
            </w:r>
          </w:p>
          <w:p w14:paraId="10D8F358">
            <w:pPr>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投标人需提供：最近半年完税证明、信用证明材料（中国人民银行信用代码证+征信报告）；年度纳税信用评价信息（可从电子税务局查询截图）；企业对外担保说明（写明投标人单位对外有无对外担保和质押业务）。</w:t>
            </w:r>
          </w:p>
          <w:p w14:paraId="2C2DF3D4">
            <w:pPr>
              <w:ind w:firstLine="480" w:firstLineChars="200"/>
              <w:rPr>
                <w:rFonts w:hAnsi="宋体" w:eastAsia="宋体" w:cs="宋体"/>
                <w:color w:val="000000"/>
                <w:sz w:val="24"/>
                <w:szCs w:val="24"/>
              </w:rPr>
            </w:pPr>
            <w:r>
              <w:rPr>
                <w:rFonts w:hint="eastAsia" w:ascii="宋体" w:hAnsi="宋体" w:eastAsia="宋体" w:cs="宋体"/>
                <w:b w:val="0"/>
                <w:bCs w:val="0"/>
                <w:sz w:val="24"/>
                <w:szCs w:val="24"/>
                <w:lang w:val="en-US" w:eastAsia="zh-CN"/>
              </w:rPr>
              <w:t>10、</w:t>
            </w:r>
            <w:r>
              <w:rPr>
                <w:rFonts w:hint="eastAsia" w:ascii="宋体" w:hAnsi="宋体" w:eastAsia="宋体" w:cs="宋体"/>
                <w:b w:val="0"/>
                <w:bCs w:val="0"/>
                <w:sz w:val="24"/>
                <w:szCs w:val="24"/>
              </w:rPr>
              <w:t>投标人在向招标人出示投标保证金缴纳凭证后方可进行投标。</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ascii="宋体" w:hAnsi="宋体" w:eastAsia="宋体" w:cs="宋体"/>
                <w:sz w:val="24"/>
                <w:szCs w:val="24"/>
              </w:rPr>
            </w:pPr>
            <w:r>
              <w:rPr>
                <w:rFonts w:hint="eastAsia" w:ascii="宋体" w:hAnsi="宋体" w:eastAsia="宋体" w:cs="宋体"/>
                <w:b/>
                <w:bCs/>
                <w:sz w:val="24"/>
                <w:szCs w:val="24"/>
                <w:highlight w:val="yellow"/>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16</w:t>
            </w:r>
            <w:r>
              <w:rPr>
                <w:rFonts w:hint="eastAsia" w:ascii="宋体" w:hAnsi="宋体" w:eastAsia="宋体" w:cs="宋体"/>
                <w:bCs/>
                <w:sz w:val="24"/>
                <w:szCs w:val="24"/>
                <w:highlight w:val="yellow"/>
              </w:rPr>
              <w:t>日;</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rPr>
            </w:pPr>
            <w:r>
              <w:rPr>
                <w:rFonts w:hint="eastAsia" w:ascii="宋体" w:hAnsi="宋体" w:eastAsia="宋体" w:cs="宋体"/>
                <w:b/>
                <w:sz w:val="24"/>
                <w:szCs w:val="24"/>
                <w:highlight w:val="yellow"/>
              </w:rPr>
              <w:t>发标方式：</w:t>
            </w:r>
            <w:r>
              <w:rPr>
                <w:rFonts w:ascii="宋体" w:hAnsi="宋体" w:eastAsia="宋体" w:cs="宋体"/>
                <w:sz w:val="24"/>
                <w:szCs w:val="24"/>
                <w:highlight w:val="yellow"/>
              </w:rPr>
              <w:t>中国重汽官网</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26</w:t>
            </w:r>
            <w:r>
              <w:rPr>
                <w:rFonts w:hint="eastAsia" w:ascii="宋体" w:hAnsi="宋体" w:eastAsia="宋体" w:cs="宋体"/>
                <w:bCs/>
                <w:sz w:val="24"/>
                <w:szCs w:val="24"/>
                <w:highlight w:val="yellow"/>
              </w:rPr>
              <w:t>日</w:t>
            </w:r>
            <w:r>
              <w:rPr>
                <w:rFonts w:hint="eastAsia" w:ascii="宋体" w:hAnsi="宋体" w:eastAsia="宋体" w:cs="宋体"/>
                <w:bCs/>
                <w:sz w:val="24"/>
                <w:szCs w:val="24"/>
              </w:rPr>
              <w:t>12:00前；</w:t>
            </w:r>
          </w:p>
          <w:p w14:paraId="1EF2B1F6">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FA1F36C">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27</w:t>
            </w:r>
            <w:r>
              <w:rPr>
                <w:rFonts w:hint="eastAsia" w:ascii="宋体" w:hAnsi="宋体" w:eastAsia="宋体" w:cs="宋体"/>
                <w:sz w:val="24"/>
                <w:szCs w:val="24"/>
                <w:highlight w:val="yellow"/>
              </w:rPr>
              <w:t>日17:00前</w:t>
            </w:r>
            <w:r>
              <w:rPr>
                <w:rFonts w:hint="eastAsia" w:ascii="宋体" w:hAnsi="宋体" w:eastAsia="宋体" w:cs="宋体"/>
                <w:sz w:val="24"/>
                <w:szCs w:val="24"/>
              </w:rPr>
              <w:t>；</w:t>
            </w:r>
          </w:p>
          <w:p w14:paraId="2FAE9E50">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1"/>
              <w:spacing w:line="240" w:lineRule="auto"/>
              <w:ind w:firstLine="482"/>
              <w:rPr>
                <w:rFonts w:eastAsia="宋体" w:cs="宋体"/>
                <w:highlight w:val="red"/>
              </w:rPr>
            </w:pPr>
            <w:r>
              <w:rPr>
                <w:rFonts w:hint="eastAsia" w:eastAsia="宋体" w:cs="宋体"/>
                <w:b/>
                <w:bCs/>
              </w:rPr>
              <w:t>应标截止时间：</w:t>
            </w:r>
            <w:r>
              <w:rPr>
                <w:rFonts w:hint="eastAsia" w:eastAsia="宋体" w:cs="宋体"/>
                <w:highlight w:val="yellow"/>
              </w:rPr>
              <w:t>2025年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22</w:t>
            </w:r>
            <w:r>
              <w:rPr>
                <w:rFonts w:hint="eastAsia" w:eastAsia="宋体" w:cs="宋体"/>
                <w:highlight w:val="yellow"/>
              </w:rPr>
              <w:t>日17时00分00秒</w:t>
            </w:r>
          </w:p>
          <w:p w14:paraId="00ECE6F2">
            <w:pPr>
              <w:pStyle w:val="111"/>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DB98C74">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24E0505">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9E86812">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3ED7127">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正本一份，副本二份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71AAD41">
            <w:pPr>
              <w:pStyle w:val="17"/>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575400D">
            <w:pPr>
              <w:pStyle w:val="17"/>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1E26F75C">
            <w:pPr>
              <w:pStyle w:val="17"/>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14:paraId="57EC4695">
            <w:pPr>
              <w:pStyle w:val="17"/>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rPr>
              <w:t>苏启蒙/15566332237</w:t>
            </w:r>
          </w:p>
        </w:tc>
      </w:tr>
      <w:tr w14:paraId="0590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4145107">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A756AD5">
            <w:pPr>
              <w:pStyle w:val="17"/>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7C263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EB7D6AD">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DB35BDA">
            <w:pPr>
              <w:pStyle w:val="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4D78C18">
            <w:pPr>
              <w:pStyle w:val="17"/>
              <w:ind w:firstLine="482" w:firstLineChars="20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7"/>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u w:val="single"/>
              </w:rPr>
              <w:t>月</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日</w:t>
            </w:r>
            <w:r>
              <w:rPr>
                <w:rFonts w:hint="eastAsia" w:hAnsi="宋体" w:eastAsia="宋体" w:cs="宋体"/>
                <w:kern w:val="0"/>
                <w:sz w:val="24"/>
                <w:szCs w:val="24"/>
                <w:highlight w:val="yellow"/>
              </w:rPr>
              <w:t>上午</w:t>
            </w:r>
            <w:r>
              <w:rPr>
                <w:rFonts w:hint="eastAsia" w:hAnsi="宋体" w:eastAsia="宋体" w:cs="宋体"/>
                <w:kern w:val="0"/>
                <w:sz w:val="24"/>
                <w:szCs w:val="24"/>
                <w:highlight w:val="yellow"/>
                <w:lang w:val="en-US" w:eastAsia="zh-CN"/>
              </w:rPr>
              <w:t>8</w:t>
            </w:r>
            <w:r>
              <w:rPr>
                <w:rFonts w:hint="eastAsia" w:hAnsi="宋体" w:eastAsia="宋体" w:cs="宋体"/>
                <w:sz w:val="24"/>
                <w:szCs w:val="24"/>
                <w:highlight w:val="yellow"/>
              </w:rPr>
              <w:t>:00:00</w:t>
            </w:r>
            <w:r>
              <w:rPr>
                <w:rFonts w:hint="eastAsia" w:hAnsi="宋体" w:eastAsia="宋体" w:cs="宋体"/>
                <w:sz w:val="24"/>
                <w:szCs w:val="24"/>
              </w:rPr>
              <w:t>（北京时间）</w:t>
            </w:r>
          </w:p>
          <w:p w14:paraId="0FED7BCE">
            <w:pPr>
              <w:pStyle w:val="17"/>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1390C5E">
            <w:pPr>
              <w:pStyle w:val="35"/>
              <w:spacing w:after="0" w:line="240" w:lineRule="auto"/>
              <w:ind w:left="0" w:leftChars="0" w:firstLine="480"/>
              <w:rPr>
                <w:rFonts w:ascii="宋体" w:hAnsi="宋体" w:cs="宋体"/>
                <w:color w:val="auto"/>
                <w:sz w:val="24"/>
                <w:szCs w:val="24"/>
                <w:highlight w:val="yellow"/>
              </w:rPr>
            </w:pPr>
            <w:r>
              <w:rPr>
                <w:rFonts w:hint="eastAsia" w:ascii="宋体" w:hAnsi="宋体" w:cs="宋体"/>
                <w:color w:val="auto"/>
                <w:sz w:val="24"/>
                <w:szCs w:val="24"/>
                <w:highlight w:val="yellow"/>
              </w:rPr>
              <w:t>投标保证金的金额：人民币</w:t>
            </w:r>
            <w:r>
              <w:rPr>
                <w:rFonts w:hint="eastAsia" w:ascii="宋体" w:hAnsi="宋体" w:cs="宋体"/>
                <w:color w:val="auto"/>
                <w:sz w:val="24"/>
                <w:szCs w:val="24"/>
                <w:highlight w:val="yellow"/>
                <w:lang w:val="en-US" w:eastAsia="zh-CN"/>
              </w:rPr>
              <w:t>10000</w:t>
            </w:r>
            <w:r>
              <w:rPr>
                <w:rFonts w:hint="eastAsia" w:ascii="宋体" w:hAnsi="宋体" w:cs="宋体"/>
                <w:color w:val="auto"/>
                <w:sz w:val="24"/>
                <w:szCs w:val="24"/>
                <w:highlight w:val="yellow"/>
              </w:rPr>
              <w:t>元</w:t>
            </w:r>
          </w:p>
          <w:p w14:paraId="6D59A330">
            <w:pPr>
              <w:pStyle w:val="35"/>
              <w:spacing w:after="0" w:line="240" w:lineRule="auto"/>
              <w:ind w:left="0" w:leftChars="0" w:firstLine="480"/>
              <w:rPr>
                <w:rFonts w:hint="eastAsia" w:ascii="宋体" w:hAnsi="宋体" w:eastAsia="宋体" w:cs="宋体"/>
                <w:color w:val="auto"/>
                <w:sz w:val="24"/>
                <w:szCs w:val="24"/>
                <w:highlight w:val="yellow"/>
                <w:lang w:eastAsia="zh-CN"/>
              </w:rPr>
            </w:pPr>
            <w:r>
              <w:rPr>
                <w:rFonts w:hint="eastAsia" w:ascii="宋体" w:hAnsi="宋体" w:cs="宋体"/>
                <w:color w:val="auto"/>
                <w:sz w:val="24"/>
                <w:szCs w:val="24"/>
                <w:highlight w:val="yellow"/>
              </w:rPr>
              <w:t>开户名称：</w:t>
            </w:r>
            <w:r>
              <w:rPr>
                <w:rFonts w:hint="eastAsia" w:ascii="宋体" w:hAnsi="宋体" w:cs="宋体"/>
                <w:color w:val="auto"/>
                <w:sz w:val="24"/>
                <w:szCs w:val="24"/>
                <w:highlight w:val="yellow"/>
                <w:lang w:eastAsia="zh-CN"/>
              </w:rPr>
              <w:t>中国重汽集团济南</w:t>
            </w:r>
            <w:r>
              <w:rPr>
                <w:rFonts w:hint="eastAsia" w:ascii="宋体" w:hAnsi="宋体" w:cs="宋体"/>
                <w:color w:val="auto"/>
                <w:sz w:val="24"/>
                <w:szCs w:val="24"/>
                <w:highlight w:val="yellow"/>
                <w:lang w:val="en-US" w:eastAsia="zh-CN"/>
              </w:rPr>
              <w:t>动力</w:t>
            </w:r>
            <w:r>
              <w:rPr>
                <w:rFonts w:hint="eastAsia" w:ascii="宋体" w:hAnsi="宋体" w:cs="宋体"/>
                <w:color w:val="auto"/>
                <w:sz w:val="24"/>
                <w:szCs w:val="24"/>
                <w:highlight w:val="yellow"/>
                <w:lang w:eastAsia="zh-CN"/>
              </w:rPr>
              <w:t>有限公司</w:t>
            </w:r>
          </w:p>
          <w:p w14:paraId="01FF7AD6">
            <w:pPr>
              <w:pStyle w:val="35"/>
              <w:spacing w:after="0" w:line="240" w:lineRule="auto"/>
              <w:ind w:left="0" w:leftChars="0" w:firstLine="480"/>
              <w:rPr>
                <w:rFonts w:hint="eastAsia" w:ascii="宋体" w:hAnsi="宋体" w:cs="宋体"/>
                <w:color w:val="auto"/>
                <w:sz w:val="24"/>
                <w:szCs w:val="24"/>
                <w:highlight w:val="yellow"/>
              </w:rPr>
            </w:pPr>
            <w:r>
              <w:rPr>
                <w:rFonts w:hint="eastAsia" w:ascii="宋体" w:hAnsi="宋体" w:cs="宋体"/>
                <w:color w:val="auto"/>
                <w:sz w:val="24"/>
                <w:szCs w:val="24"/>
                <w:highlight w:val="yellow"/>
              </w:rPr>
              <w:t>开户银行：</w:t>
            </w:r>
            <w:r>
              <w:rPr>
                <w:rFonts w:ascii="宋体" w:hAnsi="宋体" w:eastAsia="宋体" w:cs="宋体"/>
                <w:color w:val="auto"/>
                <w:sz w:val="24"/>
                <w:szCs w:val="24"/>
                <w:highlight w:val="yellow"/>
              </w:rPr>
              <w:t>中国建设银行股份有限公司济南天桥支行</w:t>
            </w:r>
          </w:p>
          <w:p w14:paraId="19F91183">
            <w:pPr>
              <w:pStyle w:val="35"/>
              <w:spacing w:after="0" w:line="240" w:lineRule="auto"/>
              <w:ind w:left="0" w:leftChars="0" w:firstLine="480"/>
              <w:rPr>
                <w:rFonts w:hint="eastAsia" w:ascii="宋体" w:hAnsi="宋体" w:cs="宋体"/>
                <w:color w:val="auto"/>
                <w:sz w:val="24"/>
                <w:szCs w:val="24"/>
                <w:highlight w:val="yellow"/>
              </w:rPr>
            </w:pPr>
            <w:r>
              <w:rPr>
                <w:rFonts w:hint="eastAsia" w:ascii="宋体" w:hAnsi="宋体" w:cs="宋体"/>
                <w:color w:val="auto"/>
                <w:sz w:val="24"/>
                <w:szCs w:val="24"/>
                <w:highlight w:val="yellow"/>
              </w:rPr>
              <w:t>银行帐号：37001616508050150300</w:t>
            </w:r>
          </w:p>
          <w:p w14:paraId="63B63AC8">
            <w:pPr>
              <w:pStyle w:val="35"/>
              <w:spacing w:after="0" w:line="240" w:lineRule="auto"/>
              <w:ind w:left="0" w:leftChars="0" w:firstLine="480"/>
              <w:rPr>
                <w:rFonts w:hint="eastAsia" w:ascii="宋体" w:hAnsi="宋体" w:cs="宋体"/>
                <w:color w:val="auto"/>
                <w:sz w:val="24"/>
                <w:szCs w:val="24"/>
                <w:highlight w:val="yellow"/>
              </w:rPr>
            </w:pPr>
            <w:r>
              <w:rPr>
                <w:rFonts w:hint="eastAsia" w:ascii="宋体" w:hAnsi="宋体" w:cs="宋体"/>
                <w:color w:val="auto"/>
                <w:sz w:val="24"/>
                <w:szCs w:val="24"/>
                <w:highlight w:val="yellow"/>
              </w:rPr>
              <w:t>开户行行号：105451000362</w:t>
            </w:r>
            <w:bookmarkStart w:id="43" w:name="_GoBack"/>
            <w:bookmarkEnd w:id="43"/>
          </w:p>
          <w:p w14:paraId="06A735F0">
            <w:pPr>
              <w:pStyle w:val="35"/>
              <w:spacing w:after="0" w:line="240" w:lineRule="auto"/>
              <w:ind w:left="0" w:leftChars="0" w:firstLine="480"/>
              <w:rPr>
                <w:rFonts w:ascii="宋体" w:hAnsi="宋体" w:cs="宋体"/>
                <w:color w:val="auto"/>
                <w:sz w:val="24"/>
                <w:szCs w:val="24"/>
                <w:highlight w:val="yellow"/>
              </w:rPr>
            </w:pPr>
            <w:r>
              <w:rPr>
                <w:rFonts w:hint="eastAsia" w:ascii="宋体" w:hAnsi="宋体" w:cs="宋体"/>
                <w:color w:val="auto"/>
                <w:sz w:val="24"/>
                <w:szCs w:val="24"/>
                <w:highlight w:val="yellow"/>
              </w:rPr>
              <w:t>投标保证金应从投标人基本账户转出至上述账户并到账，否则视为无效投标。</w:t>
            </w:r>
          </w:p>
          <w:p w14:paraId="0A585A9B">
            <w:pPr>
              <w:ind w:firstLine="480" w:firstLineChars="200"/>
              <w:rPr>
                <w:rFonts w:ascii="宋体" w:hAnsi="宋体" w:eastAsia="宋体" w:cs="宋体"/>
                <w:sz w:val="24"/>
                <w:szCs w:val="24"/>
              </w:rPr>
            </w:pPr>
            <w:r>
              <w:rPr>
                <w:rFonts w:hint="eastAsia" w:ascii="宋体" w:hAnsi="宋体" w:cs="宋体"/>
                <w:color w:val="auto"/>
                <w:sz w:val="24"/>
                <w:szCs w:val="24"/>
                <w:highlight w:val="yellow"/>
              </w:rPr>
              <w:t>Ⅱ.</w:t>
            </w:r>
            <w:r>
              <w:rPr>
                <w:rFonts w:hint="eastAsia" w:ascii="宋体" w:hAnsi="宋体" w:eastAsia="宋体" w:cs="宋体"/>
                <w:color w:val="auto"/>
                <w:kern w:val="2"/>
                <w:sz w:val="24"/>
                <w:szCs w:val="24"/>
                <w:highlight w:val="yellow"/>
                <w:lang w:val="en-US" w:eastAsia="zh-CN" w:bidi="ar-SA"/>
              </w:rPr>
              <w:t>转账附言：公司名称+项目名称+投标保证金（方便后期核对退款）</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5"/>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2025年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rPr>
              <w:t>（同应标截止时间）</w:t>
            </w:r>
          </w:p>
          <w:p w14:paraId="0F159D5C">
            <w:pPr>
              <w:pStyle w:val="3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yellow"/>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6</w:t>
            </w:r>
            <w:r>
              <w:rPr>
                <w:rFonts w:hint="eastAsia" w:ascii="宋体" w:hAnsi="宋体" w:cs="宋体"/>
                <w:sz w:val="24"/>
                <w:szCs w:val="24"/>
                <w:highlight w:val="yellow"/>
              </w:rPr>
              <w:t>日9:00:00</w:t>
            </w:r>
            <w:r>
              <w:rPr>
                <w:rFonts w:hint="eastAsia" w:ascii="宋体" w:hAnsi="宋体" w:eastAsia="宋体" w:cs="宋体"/>
                <w:kern w:val="0"/>
                <w:sz w:val="24"/>
                <w:szCs w:val="24"/>
                <w:highlight w:val="yellow"/>
              </w:rPr>
              <w:t>。</w:t>
            </w:r>
          </w:p>
          <w:p w14:paraId="7437DFEB">
            <w:pPr>
              <w:ind w:firstLine="482" w:firstLineChars="200"/>
              <w:rPr>
                <w:rFonts w:ascii="宋体" w:hAnsi="宋体" w:eastAsia="宋体" w:cs="宋体"/>
                <w:sz w:val="24"/>
                <w:szCs w:val="24"/>
              </w:rPr>
            </w:pPr>
            <w:r>
              <w:rPr>
                <w:rFonts w:hint="eastAsia" w:ascii="宋体" w:hAnsi="宋体" w:eastAsia="宋体" w:cs="宋体"/>
                <w:b/>
                <w:bCs/>
                <w:sz w:val="24"/>
                <w:szCs w:val="24"/>
                <w:highlight w:val="yellow"/>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楼会议室。</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rPr>
              <w:t>资质标审核</w:t>
            </w:r>
            <w:bookmarkStart w:id="4" w:name="OLE_LINK2"/>
            <w:r>
              <w:rPr>
                <w:rFonts w:hint="eastAsia" w:ascii="宋体" w:hAnsi="宋体" w:eastAsia="宋体" w:cs="宋体"/>
                <w:b/>
                <w:bCs/>
                <w:sz w:val="24"/>
                <w:szCs w:val="24"/>
              </w:rPr>
              <w:t>→</w:t>
            </w:r>
            <w:bookmarkEnd w:id="4"/>
            <w:r>
              <w:rPr>
                <w:rFonts w:hint="eastAsia" w:ascii="宋体" w:hAnsi="宋体" w:eastAsia="宋体" w:cs="宋体"/>
                <w:b/>
                <w:bCs/>
                <w:sz w:val="24"/>
                <w:szCs w:val="24"/>
              </w:rPr>
              <w:t>唱标→技术标评审→商务标评审</w:t>
            </w:r>
            <w:r>
              <w:rPr>
                <w:rFonts w:hint="eastAsia" w:ascii="宋体" w:hAnsi="宋体" w:eastAsia="宋体" w:cs="宋体"/>
                <w:b/>
                <w:bCs/>
                <w:sz w:val="24"/>
                <w:szCs w:val="24"/>
                <w:highlight w:val="yellow"/>
              </w:rPr>
              <w:t>。</w:t>
            </w:r>
            <w:r>
              <w:rPr>
                <w:rFonts w:hint="eastAsia" w:ascii="宋体" w:hAnsi="宋体" w:eastAsia="宋体" w:cs="宋体"/>
                <w:b/>
                <w:bCs/>
                <w:sz w:val="24"/>
                <w:szCs w:val="24"/>
                <w:highlight w:val="yellow"/>
                <w:lang w:val="en-US" w:eastAsia="zh-CN"/>
              </w:rPr>
              <w:t>资质</w:t>
            </w:r>
            <w:r>
              <w:rPr>
                <w:rFonts w:hint="eastAsia" w:ascii="宋体" w:hAnsi="宋体" w:eastAsia="宋体" w:cs="宋体"/>
                <w:b/>
                <w:bCs/>
                <w:sz w:val="24"/>
                <w:szCs w:val="24"/>
                <w:highlight w:val="yellow"/>
              </w:rPr>
              <w:t>入围后，原则上合理最低价中标。</w:t>
            </w:r>
            <w:r>
              <w:rPr>
                <w:rFonts w:hint="eastAsia" w:ascii="宋体" w:hAnsi="宋体" w:eastAsia="宋体" w:cs="宋体"/>
                <w:sz w:val="24"/>
                <w:szCs w:val="24"/>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79524">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52985AFD">
            <w:pPr>
              <w:pStyle w:val="17"/>
              <w:ind w:firstLine="480" w:firstLineChars="200"/>
              <w:rPr>
                <w:rFonts w:hAnsi="宋体" w:eastAsia="宋体" w:cs="宋体"/>
                <w:color w:val="000000"/>
                <w:sz w:val="24"/>
                <w:szCs w:val="24"/>
              </w:rPr>
            </w:pPr>
            <w:r>
              <w:rPr>
                <w:rFonts w:hint="eastAsia" w:ascii="宋体" w:hAnsi="宋体" w:eastAsia="宋体" w:cs="宋体"/>
                <w:color w:val="auto"/>
                <w:sz w:val="24"/>
                <w:highlight w:val="none"/>
                <w:u w:val="none"/>
                <w:lang w:val="en-US" w:eastAsia="zh-CN"/>
              </w:rPr>
              <w:t>以实际派工日期开始计算，35天内完成模具制作</w:t>
            </w:r>
            <w:r>
              <w:rPr>
                <w:rFonts w:hint="eastAsia" w:hAnsi="宋体" w:eastAsia="宋体" w:cs="宋体"/>
                <w:color w:val="000000"/>
                <w:sz w:val="24"/>
                <w:szCs w:val="24"/>
              </w:rPr>
              <w:t>。</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65A0C8A">
            <w:pPr>
              <w:pStyle w:val="17"/>
              <w:ind w:firstLine="482" w:firstLineChars="200"/>
              <w:rPr>
                <w:rFonts w:hint="default" w:hAnsi="宋体" w:eastAsia="宋体" w:cs="宋体"/>
                <w:color w:val="000000"/>
                <w:sz w:val="24"/>
                <w:szCs w:val="24"/>
                <w:lang w:val="en-US"/>
              </w:rPr>
            </w:pPr>
            <w:r>
              <w:rPr>
                <w:rFonts w:hint="eastAsia" w:hAnsi="宋体" w:eastAsia="宋体" w:cs="宋体"/>
                <w:b/>
                <w:bCs/>
                <w:color w:val="000000"/>
                <w:sz w:val="24"/>
                <w:szCs w:val="24"/>
              </w:rPr>
              <w:t>交货地点：：</w:t>
            </w:r>
            <w:r>
              <w:rPr>
                <w:rFonts w:hint="eastAsia" w:hAnsi="宋体" w:eastAsia="宋体" w:cs="宋体"/>
                <w:sz w:val="24"/>
                <w:szCs w:val="24"/>
                <w:lang w:val="en-US" w:eastAsia="zh-CN"/>
              </w:rPr>
              <w:t>章丘区世纪大道6677号</w:t>
            </w:r>
            <w:r>
              <w:rPr>
                <w:rFonts w:hint="eastAsia" w:hAnsi="宋体" w:eastAsia="宋体" w:cs="宋体"/>
                <w:sz w:val="24"/>
                <w:szCs w:val="24"/>
                <w:lang w:val="en-US" w:eastAsia="zh-CN"/>
              </w:rPr>
              <w:t>重汽济南成型厂</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lang w:val="en-US" w:eastAsia="zh-CN"/>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p>
          <w:p w14:paraId="0A0548DB">
            <w:pPr>
              <w:numPr>
                <w:ilvl w:val="0"/>
                <w:numId w:val="0"/>
              </w:numPr>
              <w:rPr>
                <w:rFonts w:hint="eastAsia" w:ascii="宋体" w:hAnsi="宋体" w:eastAsia="宋体" w:cs="宋体"/>
                <w:color w:val="000000"/>
                <w:kern w:val="2"/>
                <w:sz w:val="24"/>
                <w:szCs w:val="24"/>
                <w:lang w:val="en-US" w:eastAsia="zh-CN" w:bidi="ar-SA"/>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color w:val="000000"/>
                <w:kern w:val="2"/>
                <w:sz w:val="24"/>
                <w:szCs w:val="24"/>
                <w:lang w:val="en-US" w:eastAsia="zh-CN" w:bidi="ar-SA"/>
              </w:rPr>
              <w:t>（1</w:t>
            </w:r>
            <w:r>
              <w:rPr>
                <w:rFonts w:hint="eastAsia" w:ascii="宋体" w:hAnsi="宋体" w:eastAsia="宋体" w:cs="宋体"/>
                <w:color w:val="000000"/>
                <w:kern w:val="2"/>
                <w:sz w:val="24"/>
                <w:szCs w:val="24"/>
                <w:lang w:val="en-US" w:eastAsia="zh-CN" w:bidi="ar-SA"/>
              </w:rPr>
              <w:t>）结算方式：</w:t>
            </w:r>
          </w:p>
          <w:p w14:paraId="7A351E1D">
            <w:pPr>
              <w:numPr>
                <w:ilvl w:val="0"/>
                <w:numId w:val="0"/>
              </w:num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采用发票挂账 90 天，半年期商业汇票（商业汇票包括银行承兑汇票和商业承兑汇票）付款。需方不付预付款，产品经需方检验合格后，需方按照约定扣除质量保证金后，供方全额开具税率13%的增值税专用发票，需方依据入库单进行挂账，需方财务流程审核通过后以半年期商业汇票付款据实结算。质量保证期为验收合格后一年，质量保证金在质量保证期满无质量问题后无息返还。</w:t>
            </w:r>
          </w:p>
          <w:p w14:paraId="69DC90D3">
            <w:pPr>
              <w:numPr>
                <w:ilvl w:val="0"/>
                <w:numId w:val="0"/>
              </w:numP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（2）质量保证金收取：</w:t>
            </w:r>
          </w:p>
          <w:p w14:paraId="21CB2CD3">
            <w:pPr>
              <w:numPr>
                <w:ilvl w:val="0"/>
                <w:numId w:val="0"/>
              </w:num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年度质保金额度=供方上一年度入账发票（含税）采购额×5%×风险系数，最低1万元，最高200万元（年度合同金额低于1万元的，按合同金额的5%收取，一次性合同质保金按合同金额的5%收取）。年度质量索赔费用与年度供货额的比率，为质量索赔比率（A）；根据不同的质量索赔比率设定不同的风险系数：A≤2%，风险系数=1； 2%&lt; A≤5%，风险系数=1.2；5%&lt; A≤10%，风险系数=1.5； A&gt;10%，风险系数=2。对于新准入的供方，按照当年度已挂账发票（含税）逐票预留5%（最高200万元），均自甲方应付账款中扣除。</w:t>
            </w:r>
          </w:p>
          <w:p w14:paraId="16158032">
            <w:pPr>
              <w:pStyle w:val="35"/>
              <w:adjustRightInd w:val="0"/>
              <w:spacing w:after="0" w:line="240" w:lineRule="auto"/>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度审核通过后30日支付。如有质量问题，质量保证金予以相应扣除。</w:t>
            </w:r>
          </w:p>
          <w:p w14:paraId="51E3B4B6">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*注：付款方式及付款比例原则上不允许偏离。</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0DF3CFB8">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B05313E">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lang w:val="en-US" w:eastAsia="zh-CN"/>
              </w:rPr>
              <w:t>5</w:t>
            </w:r>
            <w:r>
              <w:rPr>
                <w:rFonts w:hint="eastAsia" w:ascii="宋体" w:hAnsi="宋体" w:eastAsia="宋体" w:cs="宋体"/>
                <w:sz w:val="24"/>
                <w:szCs w:val="24"/>
              </w:rPr>
              <w:t>日内</w:t>
            </w:r>
            <w:r>
              <w:rPr>
                <w:rFonts w:hint="eastAsia" w:ascii="宋体" w:hAnsi="宋体" w:eastAsia="宋体" w:cs="宋体"/>
                <w:sz w:val="24"/>
                <w:szCs w:val="24"/>
                <w:lang w:val="en-US" w:eastAsia="zh-CN"/>
              </w:rPr>
              <w:t>编制</w:t>
            </w:r>
            <w:r>
              <w:rPr>
                <w:rFonts w:hint="eastAsia" w:ascii="宋体" w:hAnsi="宋体" w:eastAsia="宋体" w:cs="宋体"/>
                <w:sz w:val="24"/>
                <w:szCs w:val="24"/>
              </w:rPr>
              <w:t>完成</w:t>
            </w:r>
            <w:r>
              <w:rPr>
                <w:rFonts w:hint="eastAsia" w:ascii="宋体" w:hAnsi="宋体" w:eastAsia="宋体" w:cs="宋体"/>
                <w:sz w:val="24"/>
                <w:szCs w:val="24"/>
                <w:lang w:val="en-US" w:eastAsia="zh-CN"/>
              </w:rPr>
              <w:t>项目计划和项目组织机构并盖章发给招标方</w:t>
            </w:r>
            <w:r>
              <w:rPr>
                <w:rFonts w:hint="eastAsia" w:ascii="宋体" w:hAnsi="宋体" w:eastAsia="宋体" w:cs="宋体"/>
                <w:sz w:val="24"/>
                <w:szCs w:val="24"/>
              </w:rPr>
              <w:t>。</w:t>
            </w:r>
          </w:p>
        </w:tc>
      </w:tr>
      <w:bookmarkEnd w:id="3"/>
    </w:tbl>
    <w:p w14:paraId="122A018C">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56740CD6">
      <w:pPr>
        <w:pStyle w:val="17"/>
        <w:jc w:val="center"/>
        <w:outlineLvl w:val="0"/>
        <w:rPr>
          <w:rFonts w:ascii="Calibri" w:hAnsi="Calibri" w:eastAsia="宋体" w:cs="Times New Roman"/>
          <w:b/>
          <w:bCs/>
          <w:kern w:val="44"/>
          <w:sz w:val="36"/>
          <w:szCs w:val="44"/>
        </w:rPr>
      </w:pPr>
      <w:bookmarkStart w:id="5" w:name="_Toc22879"/>
      <w:r>
        <w:rPr>
          <w:rFonts w:hint="eastAsia" w:ascii="Calibri" w:hAnsi="Calibri" w:eastAsia="宋体" w:cs="Times New Roman"/>
          <w:b/>
          <w:bCs/>
          <w:kern w:val="44"/>
          <w:sz w:val="36"/>
          <w:szCs w:val="44"/>
        </w:rPr>
        <w:t>第二部分 投标须知</w:t>
      </w:r>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rPr>
        <w:t>见《投标须知前附表》。</w:t>
      </w:r>
    </w:p>
    <w:bookmarkEnd w:id="6"/>
    <w:p w14:paraId="5517FAA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17"/>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lang w:val="en-US" w:eastAsia="zh-CN"/>
        </w:rPr>
        <w:t>公开</w:t>
      </w:r>
      <w:r>
        <w:rPr>
          <w:rFonts w:hint="eastAsia" w:hAnsi="宋体" w:eastAsia="宋体" w:cs="宋体"/>
          <w:color w:val="000000"/>
          <w:sz w:val="24"/>
          <w:szCs w:val="24"/>
          <w:highlight w:val="none"/>
        </w:rPr>
        <w:t>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17"/>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17"/>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w:t>
      </w:r>
      <w:r>
        <w:rPr>
          <w:rFonts w:hint="eastAsia" w:ascii="宋体" w:hAnsi="宋体" w:eastAsia="宋体" w:cs="宋体"/>
          <w:sz w:val="24"/>
          <w:szCs w:val="24"/>
          <w:lang w:val="en-US" w:eastAsia="zh-CN"/>
        </w:rPr>
        <w:t>e采通</w:t>
      </w:r>
      <w:r>
        <w:rPr>
          <w:rFonts w:hint="eastAsia" w:ascii="宋体" w:hAnsi="宋体" w:eastAsia="宋体" w:cs="宋体"/>
          <w:color w:val="000000"/>
          <w:sz w:val="24"/>
          <w:szCs w:val="24"/>
        </w:rPr>
        <w:t>。</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1"/>
        <w:ind w:firstLine="480"/>
        <w:rPr>
          <w:rFonts w:eastAsia="宋体" w:cs="宋体"/>
        </w:rPr>
      </w:pPr>
      <w:r>
        <w:rPr>
          <w:rFonts w:hint="eastAsia" w:eastAsia="宋体" w:cs="宋体"/>
        </w:rPr>
        <w:t>4.2招标人银行账户信息如下：见《投标须知前附表》4.2。</w:t>
      </w:r>
    </w:p>
    <w:p w14:paraId="118E99D3">
      <w:pPr>
        <w:pStyle w:val="111"/>
        <w:ind w:firstLine="480"/>
        <w:rPr>
          <w:rFonts w:eastAsia="宋体" w:cs="宋体"/>
        </w:rPr>
      </w:pPr>
      <w:r>
        <w:rPr>
          <w:rFonts w:hint="eastAsia" w:eastAsia="宋体" w:cs="宋体"/>
        </w:rPr>
        <w:t>转账附言：公司名称+项目名称+投标保证金；</w:t>
      </w:r>
    </w:p>
    <w:p w14:paraId="5EDFDBCE">
      <w:pPr>
        <w:pStyle w:val="111"/>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30</w:t>
      </w:r>
      <w:r>
        <w:rPr>
          <w:rFonts w:hint="eastAsia" w:eastAsia="宋体" w:cs="宋体"/>
        </w:rPr>
        <w:t>工作日内予以原路返还（无息）；对于中标方，投标保证金将在签订合同后</w:t>
      </w:r>
      <w:r>
        <w:rPr>
          <w:rFonts w:hint="eastAsia" w:eastAsia="宋体" w:cs="宋体"/>
          <w:lang w:val="en-US" w:eastAsia="zh-CN"/>
        </w:rPr>
        <w:t>30</w:t>
      </w:r>
      <w:r>
        <w:rPr>
          <w:rFonts w:hint="eastAsia" w:eastAsia="宋体" w:cs="宋体"/>
        </w:rPr>
        <w:t>个工作日内原路返还（无息）；</w:t>
      </w:r>
    </w:p>
    <w:p w14:paraId="64D612B2">
      <w:pPr>
        <w:pStyle w:val="111"/>
        <w:ind w:firstLine="480"/>
        <w:rPr>
          <w:rFonts w:eastAsia="宋体" w:cs="宋体"/>
        </w:rPr>
      </w:pPr>
      <w:r>
        <w:rPr>
          <w:rFonts w:hint="eastAsia" w:eastAsia="宋体" w:cs="宋体"/>
        </w:rPr>
        <w:t>4.3说明</w:t>
      </w:r>
    </w:p>
    <w:p w14:paraId="393CAF11">
      <w:pPr>
        <w:pStyle w:val="111"/>
        <w:ind w:firstLine="480"/>
        <w:rPr>
          <w:rFonts w:eastAsia="宋体" w:cs="宋体"/>
        </w:rPr>
      </w:pPr>
      <w:r>
        <w:rPr>
          <w:rFonts w:hint="eastAsia" w:eastAsia="宋体" w:cs="宋体"/>
        </w:rPr>
        <w:t>4.3.1 投标人在向招标人出示《投标保证金缴纳凭证》后方可进行投标；</w:t>
      </w:r>
    </w:p>
    <w:p w14:paraId="6B92760A">
      <w:pPr>
        <w:pStyle w:val="111"/>
        <w:ind w:firstLine="480"/>
        <w:rPr>
          <w:rFonts w:eastAsia="宋体" w:cs="宋体"/>
        </w:rPr>
      </w:pPr>
      <w:r>
        <w:rPr>
          <w:rFonts w:hint="eastAsia" w:eastAsia="宋体" w:cs="宋体"/>
        </w:rPr>
        <w:t>4.3.2 发生以下情况时，招标人有权没收保证金：</w:t>
      </w:r>
    </w:p>
    <w:p w14:paraId="4D70C386">
      <w:pPr>
        <w:pStyle w:val="111"/>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1"/>
        <w:ind w:firstLine="480"/>
        <w:rPr>
          <w:rFonts w:eastAsia="宋体" w:cs="宋体"/>
        </w:rPr>
      </w:pPr>
      <w:r>
        <w:rPr>
          <w:rFonts w:hint="eastAsia" w:eastAsia="宋体" w:cs="宋体"/>
        </w:rPr>
        <w:t>4.3.2.2 投标人递送投标文件后，无正当理由放弃投标的；</w:t>
      </w:r>
    </w:p>
    <w:p w14:paraId="0BDF1C5F">
      <w:pPr>
        <w:pStyle w:val="111"/>
        <w:ind w:firstLine="480"/>
        <w:rPr>
          <w:rFonts w:eastAsia="宋体" w:cs="宋体"/>
        </w:rPr>
      </w:pPr>
      <w:r>
        <w:rPr>
          <w:rFonts w:hint="eastAsia" w:eastAsia="宋体" w:cs="宋体"/>
        </w:rPr>
        <w:t>4.3.2.3若为视频开标，招标过程中澄清函等资料原件未按要求提交的；</w:t>
      </w:r>
    </w:p>
    <w:p w14:paraId="5352847A">
      <w:pPr>
        <w:pStyle w:val="111"/>
        <w:ind w:firstLine="480"/>
        <w:rPr>
          <w:rFonts w:eastAsia="宋体" w:cs="宋体"/>
        </w:rPr>
      </w:pPr>
      <w:r>
        <w:rPr>
          <w:rFonts w:hint="eastAsia" w:eastAsia="宋体" w:cs="宋体"/>
        </w:rPr>
        <w:t>4.3.2.4自中标通知书发出之日起30日内，中标人无正当理由不签订合同的；</w:t>
      </w:r>
    </w:p>
    <w:p w14:paraId="2619F13D">
      <w:pPr>
        <w:pStyle w:val="111"/>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1"/>
        <w:ind w:firstLine="480"/>
        <w:rPr>
          <w:rFonts w:eastAsia="宋体" w:cs="宋体"/>
        </w:rPr>
      </w:pPr>
      <w:r>
        <w:rPr>
          <w:rFonts w:hint="eastAsia" w:eastAsia="宋体" w:cs="宋体"/>
        </w:rPr>
        <w:t>4.4投标报名截止时间</w:t>
      </w:r>
    </w:p>
    <w:p w14:paraId="185B09C2">
      <w:pPr>
        <w:pStyle w:val="111"/>
        <w:ind w:firstLine="480"/>
        <w:rPr>
          <w:rFonts w:eastAsia="宋体" w:cs="宋体"/>
        </w:rPr>
      </w:pPr>
      <w:r>
        <w:rPr>
          <w:rFonts w:hint="eastAsia" w:eastAsia="宋体" w:cs="宋体"/>
        </w:rPr>
        <w:t>报名方式：见《投标须知前附表》2.3。</w:t>
      </w:r>
    </w:p>
    <w:p w14:paraId="4DFC04F8">
      <w:pPr>
        <w:pStyle w:val="111"/>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7" w:name="_Toc33265653"/>
      <w:bookmarkStart w:id="8" w:name="_Toc33266627"/>
      <w:bookmarkStart w:id="9" w:name="_Toc33266950"/>
      <w:bookmarkStart w:id="10" w:name="_Toc33267001"/>
      <w:bookmarkStart w:id="11" w:name="_Toc33266914"/>
      <w:bookmarkStart w:id="12" w:name="_Toc33265752"/>
      <w:bookmarkStart w:id="13" w:name="_Toc33285487"/>
      <w:r>
        <w:rPr>
          <w:rFonts w:hint="eastAsia" w:ascii="宋体" w:hAnsi="宋体" w:eastAsia="宋体" w:cs="宋体"/>
          <w:b/>
          <w:sz w:val="24"/>
          <w:szCs w:val="24"/>
        </w:rPr>
        <w:t>六、评价原则</w:t>
      </w:r>
      <w:bookmarkEnd w:id="7"/>
      <w:bookmarkEnd w:id="8"/>
      <w:bookmarkEnd w:id="9"/>
      <w:bookmarkEnd w:id="10"/>
      <w:bookmarkEnd w:id="11"/>
      <w:bookmarkEnd w:id="12"/>
      <w:bookmarkEnd w:id="13"/>
      <w:bookmarkStart w:id="14" w:name="_Toc395116633"/>
    </w:p>
    <w:bookmarkEnd w:id="14"/>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5" w:name="_Toc33266915"/>
      <w:bookmarkStart w:id="16" w:name="_Toc33265654"/>
      <w:bookmarkStart w:id="17" w:name="_Toc33265753"/>
      <w:bookmarkStart w:id="18" w:name="_Toc33267002"/>
      <w:bookmarkStart w:id="19" w:name="_Toc33285489"/>
      <w:bookmarkStart w:id="20" w:name="_Toc33266628"/>
      <w:bookmarkStart w:id="21" w:name="_Toc395116634"/>
      <w:bookmarkStart w:id="22" w:name="_Toc33266951"/>
      <w:r>
        <w:rPr>
          <w:rFonts w:hint="eastAsia" w:ascii="宋体" w:hAnsi="宋体" w:eastAsia="宋体" w:cs="宋体"/>
          <w:sz w:val="24"/>
          <w:szCs w:val="24"/>
        </w:rPr>
        <w:t>合理</w:t>
      </w:r>
      <w:r>
        <w:rPr>
          <w:rFonts w:hint="eastAsia" w:ascii="宋体" w:hAnsi="宋体" w:eastAsia="宋体" w:cs="宋体"/>
          <w:sz w:val="24"/>
          <w:szCs w:val="24"/>
          <w:lang w:val="en-US" w:eastAsia="zh-CN"/>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本着公平、公正、公开的原则，本着公平、公正、公开的原则，在满足技术要求的前提下，对招标文件中规定的各项因素进行综合评审，确定中标人（不保证最低价格中标）</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17"/>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39D61700">
      <w:pPr>
        <w:numPr>
          <w:ilvl w:val="0"/>
          <w:numId w:val="9"/>
        </w:numPr>
        <w:spacing w:line="360" w:lineRule="auto"/>
        <w:ind w:left="-100" w:leftChars="0" w:firstLine="480" w:firstLineChars="0"/>
        <w:rPr>
          <w:rFonts w:hint="eastAsia" w:ascii="宋体" w:hAnsi="宋体" w:eastAsia="宋体" w:cs="宋体"/>
          <w:sz w:val="24"/>
          <w:szCs w:val="24"/>
          <w:highlight w:val="none"/>
        </w:rPr>
      </w:pPr>
      <w:r>
        <w:rPr>
          <w:rFonts w:hint="eastAsia" w:ascii="宋体" w:hAnsi="宋体" w:cs="宋体"/>
          <w:b w:val="0"/>
          <w:bCs/>
          <w:sz w:val="24"/>
          <w:szCs w:val="24"/>
          <w:highlight w:val="none"/>
        </w:rPr>
        <w:t>商务报价</w:t>
      </w:r>
      <w:r>
        <w:rPr>
          <w:rFonts w:hint="eastAsia" w:ascii="宋体" w:hAnsi="宋体" w:cs="宋体"/>
          <w:sz w:val="24"/>
          <w:szCs w:val="24"/>
          <w:highlight w:val="none"/>
        </w:rPr>
        <w:t>时，每轮报价需在系统内填报项目总价，项目总价作为评标依据，由高到低进行淘汰。</w:t>
      </w:r>
      <w:r>
        <w:rPr>
          <w:rFonts w:hint="eastAsia" w:ascii="宋体" w:hAnsi="宋体" w:eastAsia="宋体" w:cs="宋体"/>
          <w:sz w:val="24"/>
          <w:szCs w:val="24"/>
          <w:highlight w:val="none"/>
        </w:rPr>
        <w:t>商务标最后一轮</w:t>
      </w:r>
      <w:r>
        <w:rPr>
          <w:rFonts w:hint="eastAsia" w:ascii="宋体" w:hAnsi="宋体" w:eastAsia="宋体" w:cs="宋体"/>
          <w:sz w:val="24"/>
          <w:szCs w:val="24"/>
          <w:highlight w:val="none"/>
          <w:lang w:val="en-US" w:eastAsia="zh-CN"/>
        </w:rPr>
        <w:t>上传</w:t>
      </w:r>
      <w:r>
        <w:rPr>
          <w:rFonts w:hint="eastAsia" w:ascii="宋体" w:hAnsi="宋体" w:cs="宋体"/>
          <w:sz w:val="24"/>
          <w:szCs w:val="24"/>
          <w:highlight w:val="none"/>
        </w:rPr>
        <w:t>报价一览表（附件</w:t>
      </w:r>
      <w:r>
        <w:rPr>
          <w:rFonts w:hint="eastAsia" w:ascii="宋体" w:hAnsi="宋体" w:cs="宋体"/>
          <w:sz w:val="24"/>
          <w:szCs w:val="24"/>
          <w:highlight w:val="none"/>
          <w:lang w:val="en-US" w:eastAsia="zh-CN"/>
        </w:rPr>
        <w:t>1</w:t>
      </w:r>
      <w:r>
        <w:rPr>
          <w:rFonts w:hint="eastAsia" w:ascii="宋体" w:hAnsi="宋体" w:cs="宋体"/>
          <w:sz w:val="24"/>
          <w:szCs w:val="24"/>
          <w:highlight w:val="none"/>
        </w:rPr>
        <w:t>）</w:t>
      </w:r>
      <w:r>
        <w:rPr>
          <w:rFonts w:hint="eastAsia" w:ascii="宋体" w:hAnsi="宋体" w:eastAsia="宋体" w:cs="宋体"/>
          <w:sz w:val="24"/>
          <w:szCs w:val="24"/>
          <w:highlight w:val="none"/>
        </w:rPr>
        <w:t>澄清整付价格、工期等详细信息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并</w:t>
      </w:r>
      <w:r>
        <w:rPr>
          <w:rFonts w:hint="eastAsia" w:ascii="宋体" w:hAnsi="宋体" w:cs="宋体"/>
          <w:sz w:val="24"/>
          <w:szCs w:val="24"/>
          <w:highlight w:val="none"/>
        </w:rPr>
        <w:t>注明含税价、税率及不含税价。招标方根据最终报价折算降价幅度，</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内</w:t>
      </w:r>
      <w:r>
        <w:rPr>
          <w:rFonts w:hint="eastAsia" w:ascii="宋体" w:hAnsi="宋体" w:cs="宋体"/>
          <w:sz w:val="24"/>
          <w:szCs w:val="24"/>
          <w:highlight w:val="none"/>
          <w:lang w:val="en-US" w:eastAsia="zh-CN"/>
        </w:rPr>
        <w:t>每项工装在招标基价基础上</w:t>
      </w:r>
      <w:r>
        <w:rPr>
          <w:rFonts w:hint="eastAsia" w:ascii="宋体" w:hAnsi="宋体" w:eastAsia="宋体" w:cs="宋体"/>
          <w:b/>
          <w:bCs/>
          <w:sz w:val="24"/>
          <w:szCs w:val="24"/>
          <w:highlight w:val="none"/>
        </w:rPr>
        <w:t>同比例降价</w:t>
      </w:r>
      <w:r>
        <w:rPr>
          <w:rFonts w:hint="eastAsia" w:ascii="宋体" w:hAnsi="宋体" w:eastAsia="宋体" w:cs="宋体"/>
          <w:sz w:val="24"/>
          <w:szCs w:val="24"/>
          <w:highlight w:val="none"/>
        </w:rPr>
        <w:t>。</w:t>
      </w:r>
    </w:p>
    <w:p w14:paraId="67E951A9">
      <w:pPr>
        <w:spacing w:line="360" w:lineRule="auto"/>
        <w:ind w:left="420" w:leftChars="200"/>
        <w:rPr>
          <w:color w:val="auto"/>
          <w:sz w:val="24"/>
          <w:szCs w:val="24"/>
          <w:highlight w:val="none"/>
          <w:u w:val="none"/>
        </w:rPr>
      </w:pPr>
      <w:r>
        <w:rPr>
          <w:rFonts w:hint="eastAsia"/>
          <w:sz w:val="24"/>
          <w:szCs w:val="24"/>
          <w:highlight w:val="none"/>
        </w:rPr>
        <w:t>要求：投标单位严格根据我单位所提供招标明细附件的技术资料、工艺要求，认真核算价格和工期，分别填入报价栏内。</w:t>
      </w:r>
    </w:p>
    <w:p w14:paraId="5FCE8DF3">
      <w:pPr>
        <w:numPr>
          <w:ilvl w:val="0"/>
          <w:numId w:val="9"/>
        </w:numPr>
        <w:shd w:val="clear" w:color="auto" w:fill="auto"/>
        <w:spacing w:line="360" w:lineRule="auto"/>
        <w:ind w:left="-100" w:leftChars="0" w:firstLine="480" w:firstLineChars="0"/>
        <w:rPr>
          <w:rFonts w:hint="eastAsia"/>
          <w:color w:val="auto"/>
          <w:sz w:val="24"/>
          <w:szCs w:val="24"/>
          <w:highlight w:val="none"/>
          <w:u w:val="none"/>
        </w:rPr>
      </w:pPr>
      <w:r>
        <w:rPr>
          <w:rFonts w:hint="eastAsia"/>
          <w:color w:val="auto"/>
          <w:sz w:val="24"/>
          <w:szCs w:val="24"/>
          <w:highlight w:val="none"/>
          <w:u w:val="none"/>
        </w:rPr>
        <w:t>经初审合格的投标文件其投标报价为有效报价。</w:t>
      </w:r>
    </w:p>
    <w:p w14:paraId="26676944">
      <w:pPr>
        <w:numPr>
          <w:ilvl w:val="0"/>
          <w:numId w:val="9"/>
        </w:numPr>
        <w:shd w:val="clear" w:color="auto" w:fill="auto"/>
        <w:spacing w:line="360" w:lineRule="auto"/>
        <w:ind w:left="-100" w:leftChars="0" w:firstLine="480" w:firstLineChars="0"/>
        <w:rPr>
          <w:rFonts w:hint="eastAsia"/>
          <w:color w:val="auto"/>
          <w:sz w:val="24"/>
          <w:szCs w:val="24"/>
          <w:highlight w:val="none"/>
          <w:u w:val="none"/>
        </w:rPr>
      </w:pPr>
      <w:r>
        <w:rPr>
          <w:rFonts w:hint="eastAsia"/>
          <w:color w:val="auto"/>
          <w:sz w:val="24"/>
          <w:szCs w:val="24"/>
          <w:highlight w:val="none"/>
          <w:u w:val="none"/>
        </w:rPr>
        <w:t>评标价格均以元（RMB）为单位计算，小数点后保留两位，第三位四舍五入。</w:t>
      </w:r>
    </w:p>
    <w:p w14:paraId="106D6C3F">
      <w:pPr>
        <w:numPr>
          <w:ilvl w:val="0"/>
          <w:numId w:val="9"/>
        </w:numPr>
        <w:shd w:val="clear" w:color="auto" w:fill="auto"/>
        <w:spacing w:line="360" w:lineRule="auto"/>
        <w:ind w:left="-100" w:leftChars="0" w:firstLine="480" w:firstLineChars="0"/>
        <w:rPr>
          <w:rFonts w:ascii="宋体" w:hAnsi="宋体" w:eastAsia="宋体" w:cs="宋体"/>
          <w:b/>
          <w:sz w:val="24"/>
          <w:szCs w:val="24"/>
        </w:rPr>
      </w:pPr>
      <w:r>
        <w:rPr>
          <w:rFonts w:hint="eastAsia"/>
          <w:color w:val="auto"/>
          <w:sz w:val="24"/>
          <w:szCs w:val="24"/>
          <w:highlight w:val="none"/>
          <w:u w:val="none"/>
        </w:rPr>
        <w:t>评标委员会二分之一以上人员认为某投标总报价有低于成本价嫌疑的，视为无效报价，不进入下一步评审。</w:t>
      </w:r>
    </w:p>
    <w:p w14:paraId="18BAE727">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6"/>
      <w:bookmarkStart w:id="24" w:name="OLE_LINK29"/>
      <w:bookmarkStart w:id="25" w:name="OLE_LINK25"/>
      <w:bookmarkStart w:id="26" w:name="OLE_LINK27"/>
      <w:bookmarkStart w:id="27" w:name="OLE_LINK28"/>
      <w:r>
        <w:rPr>
          <w:rFonts w:hint="eastAsia" w:ascii="宋体" w:hAnsi="宋体" w:eastAsia="宋体" w:cs="宋体"/>
          <w:bCs/>
          <w:sz w:val="24"/>
          <w:szCs w:val="24"/>
        </w:rPr>
        <w:t>；</w:t>
      </w:r>
      <w:bookmarkEnd w:id="23"/>
      <w:bookmarkEnd w:id="24"/>
      <w:bookmarkEnd w:id="25"/>
      <w:bookmarkEnd w:id="26"/>
      <w:bookmarkEnd w:id="27"/>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17"/>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3C3486B8">
      <w:pPr>
        <w:pStyle w:val="17"/>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第三部分 投标文件编制</w:t>
      </w:r>
      <w:bookmarkEnd w:id="5"/>
    </w:p>
    <w:p w14:paraId="58ED780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9218B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3D3AD5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AAD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02250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353F84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2767A6C3">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highlight w:val="yellow"/>
        </w:rPr>
        <w:t>本项目投标文件分为</w:t>
      </w:r>
      <w:r>
        <w:rPr>
          <w:rFonts w:hint="eastAsia" w:ascii="宋体" w:hAnsi="宋体" w:eastAsia="宋体" w:cs="宋体"/>
          <w:b/>
          <w:sz w:val="24"/>
          <w:szCs w:val="24"/>
          <w:highlight w:val="yellow"/>
        </w:rPr>
        <w:t>纸质版</w:t>
      </w:r>
      <w:r>
        <w:rPr>
          <w:rFonts w:hint="eastAsia" w:ascii="宋体" w:hAnsi="宋体" w:eastAsia="宋体" w:cs="宋体"/>
          <w:bCs/>
          <w:sz w:val="24"/>
          <w:szCs w:val="24"/>
          <w:highlight w:val="yellow"/>
        </w:rPr>
        <w:t>投标文件和</w:t>
      </w:r>
      <w:r>
        <w:rPr>
          <w:rFonts w:hint="eastAsia" w:ascii="宋体" w:hAnsi="宋体" w:eastAsia="宋体" w:cs="宋体"/>
          <w:b/>
          <w:sz w:val="24"/>
          <w:szCs w:val="24"/>
          <w:highlight w:val="yellow"/>
        </w:rPr>
        <w:t>电子版</w:t>
      </w:r>
      <w:r>
        <w:rPr>
          <w:rFonts w:hint="eastAsia" w:ascii="宋体" w:hAnsi="宋体" w:eastAsia="宋体" w:cs="宋体"/>
          <w:bCs/>
          <w:sz w:val="24"/>
          <w:szCs w:val="24"/>
          <w:highlight w:val="yellow"/>
        </w:rPr>
        <w:t>投标文件，均由</w:t>
      </w:r>
      <w:r>
        <w:rPr>
          <w:rFonts w:hint="eastAsia" w:ascii="宋体" w:hAnsi="宋体" w:eastAsia="宋体" w:cs="宋体"/>
          <w:b/>
          <w:sz w:val="24"/>
          <w:szCs w:val="24"/>
          <w:highlight w:val="yellow"/>
        </w:rPr>
        <w:t>《投标文件（资质标）》、《投标文件（技术标）》、《投标文件（商务标）》（开标一览表）</w:t>
      </w:r>
      <w:r>
        <w:rPr>
          <w:rFonts w:hint="eastAsia" w:ascii="宋体" w:hAnsi="宋体" w:eastAsia="宋体" w:cs="宋体"/>
          <w:bCs/>
          <w:sz w:val="24"/>
          <w:szCs w:val="24"/>
          <w:highlight w:val="yellow"/>
        </w:rPr>
        <w:t>文件组成，共计3</w:t>
      </w:r>
      <w:r>
        <w:rPr>
          <w:rFonts w:hint="eastAsia" w:ascii="宋体" w:hAnsi="宋体" w:eastAsia="宋体" w:cs="宋体"/>
          <w:bCs/>
          <w:color w:val="000000"/>
          <w:sz w:val="24"/>
          <w:szCs w:val="24"/>
          <w:highlight w:val="yellow"/>
        </w:rPr>
        <w:t>个文件。</w:t>
      </w:r>
    </w:p>
    <w:p w14:paraId="4E7555D0">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69F7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A4DF159">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0B30A19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3B442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155E58A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614B6AF1">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3385DBD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314F39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AC7B2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572AE43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2381B3A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14:paraId="41D4C9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49DE87CA">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1.12</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14:paraId="67D03970">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1.13</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14:paraId="0E7E38A5">
      <w:pPr>
        <w:spacing w:line="360" w:lineRule="auto"/>
        <w:ind w:firstLine="480" w:firstLineChars="200"/>
        <w:rPr>
          <w:rFonts w:hint="eastAsia" w:ascii="宋体" w:hAnsi="宋体" w:cs="宋体"/>
          <w:color w:val="000000"/>
          <w:sz w:val="24"/>
          <w:szCs w:val="24"/>
          <w:lang w:eastAsia="zh-CN"/>
        </w:rPr>
      </w:pPr>
      <w:r>
        <w:rPr>
          <w:rFonts w:hint="eastAsia" w:ascii="宋体" w:hAnsi="宋体" w:cs="宋体"/>
          <w:color w:val="000000"/>
          <w:sz w:val="24"/>
          <w:szCs w:val="24"/>
          <w:lang w:val="en-US" w:eastAsia="zh-CN"/>
        </w:rPr>
        <w:t>1.14</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14:paraId="26A59D8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1.15</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14:paraId="2C753D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1.16</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14:paraId="28FBBD79">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1.17</w:t>
      </w:r>
      <w:r>
        <w:rPr>
          <w:rFonts w:hint="eastAsia" w:ascii="宋体" w:hAnsi="宋体" w:eastAsia="宋体" w:cs="宋体"/>
          <w:color w:val="000000"/>
          <w:sz w:val="24"/>
          <w:szCs w:val="24"/>
        </w:rPr>
        <w:t>招标文件要求的其它必要资格文件</w:t>
      </w:r>
      <w:r>
        <w:rPr>
          <w:rFonts w:hint="eastAsia" w:ascii="宋体" w:hAnsi="宋体" w:eastAsia="宋体" w:cs="宋体"/>
          <w:color w:val="000000"/>
          <w:sz w:val="24"/>
          <w:szCs w:val="24"/>
          <w:lang w:eastAsia="zh-CN"/>
        </w:rPr>
        <w:t>；</w:t>
      </w:r>
    </w:p>
    <w:p w14:paraId="139419B5">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1.18</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14:paraId="1B5484C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投标保证金缴纳凭证，同时正文描述付款账号、户名、开户行名称、开户行行号、保证金金额。</w:t>
      </w:r>
    </w:p>
    <w:p w14:paraId="1475EEA1">
      <w:pPr>
        <w:spacing w:line="360" w:lineRule="auto"/>
        <w:ind w:firstLine="482" w:firstLineChars="200"/>
        <w:rPr>
          <w:rFonts w:hint="default" w:ascii="宋体" w:hAnsi="宋体" w:eastAsia="宋体" w:cs="宋体"/>
          <w:b/>
          <w:bCs/>
          <w:sz w:val="24"/>
          <w:szCs w:val="24"/>
          <w:highlight w:val="yellow"/>
          <w:lang w:val="en-US" w:eastAsia="zh-CN"/>
        </w:rPr>
      </w:pPr>
      <w:bookmarkStart w:id="28" w:name="_Toc212369515"/>
      <w:r>
        <w:rPr>
          <w:rFonts w:hint="eastAsia" w:ascii="宋体" w:hAnsi="宋体" w:eastAsia="宋体" w:cs="宋体"/>
          <w:b/>
          <w:bCs/>
          <w:sz w:val="24"/>
          <w:szCs w:val="24"/>
          <w:highlight w:val="yellow"/>
        </w:rPr>
        <w:t>2.</w:t>
      </w:r>
      <w:r>
        <w:rPr>
          <w:rFonts w:hint="eastAsia" w:ascii="宋体" w:hAnsi="宋体" w:eastAsia="宋体" w:cs="宋体"/>
          <w:b/>
          <w:sz w:val="24"/>
          <w:szCs w:val="24"/>
          <w:highlight w:val="yellow"/>
        </w:rPr>
        <w:t>《投标文件（技术标）》</w:t>
      </w:r>
      <w:r>
        <w:rPr>
          <w:rFonts w:hint="eastAsia" w:ascii="宋体" w:hAnsi="宋体" w:eastAsia="宋体" w:cs="宋体"/>
          <w:b/>
          <w:bCs/>
          <w:sz w:val="24"/>
          <w:szCs w:val="24"/>
          <w:highlight w:val="yellow"/>
        </w:rPr>
        <w:t>：</w:t>
      </w:r>
      <w:bookmarkEnd w:id="28"/>
    </w:p>
    <w:p w14:paraId="0B505C66">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highlight w:val="yellow"/>
        </w:rPr>
        <w:t>2.1技术规格偏离表（附件5-1），</w:t>
      </w:r>
      <w:r>
        <w:rPr>
          <w:rFonts w:hint="eastAsia" w:ascii="宋体" w:hAnsi="宋体" w:eastAsia="宋体" w:cs="宋体"/>
          <w:b/>
          <w:color w:val="000000"/>
          <w:sz w:val="24"/>
          <w:szCs w:val="24"/>
          <w:highlight w:val="yellow"/>
        </w:rPr>
        <w:t>必须先进行两列要求一一对照，不允许直接写无偏离；</w:t>
      </w:r>
    </w:p>
    <w:p w14:paraId="4EC7592F">
      <w:pPr>
        <w:spacing w:line="360" w:lineRule="auto"/>
        <w:ind w:firstLine="480" w:firstLineChars="200"/>
        <w:rPr>
          <w:rFonts w:hint="eastAsia" w:ascii="宋体" w:hAnsi="宋体" w:eastAsia="宋体" w:cs="宋体"/>
          <w:bCs/>
          <w:color w:val="auto"/>
          <w:sz w:val="24"/>
          <w:szCs w:val="24"/>
          <w:highlight w:val="none"/>
          <w:u w:val="none"/>
        </w:rPr>
      </w:pPr>
      <w:r>
        <w:rPr>
          <w:rFonts w:hint="eastAsia" w:ascii="宋体" w:hAnsi="宋体" w:eastAsia="宋体" w:cs="宋体"/>
          <w:bCs/>
          <w:color w:val="auto"/>
          <w:sz w:val="24"/>
          <w:szCs w:val="24"/>
          <w:highlight w:val="none"/>
          <w:u w:val="none"/>
          <w:lang w:val="en-US" w:eastAsia="zh-CN"/>
        </w:rPr>
        <w:t>2.2</w:t>
      </w:r>
      <w:r>
        <w:rPr>
          <w:rFonts w:hint="eastAsia" w:ascii="宋体" w:hAnsi="宋体" w:eastAsia="宋体" w:cs="宋体"/>
          <w:bCs/>
          <w:color w:val="auto"/>
          <w:sz w:val="24"/>
          <w:szCs w:val="24"/>
          <w:highlight w:val="none"/>
          <w:u w:val="none"/>
        </w:rPr>
        <w:t>技术标书提供资料要求首页为</w:t>
      </w: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rPr>
        <w:t>技术条款偏离表</w:t>
      </w: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rPr>
        <w:t>，其余按照技术评分标准编制提供。</w:t>
      </w:r>
    </w:p>
    <w:p w14:paraId="763B937C">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2.3提供</w:t>
      </w:r>
      <w:r>
        <w:rPr>
          <w:rFonts w:hint="eastAsia" w:ascii="宋体" w:hAnsi="宋体" w:eastAsia="宋体" w:cs="宋体"/>
          <w:color w:val="000000"/>
          <w:sz w:val="24"/>
          <w:szCs w:val="24"/>
          <w:highlight w:val="yellow"/>
          <w:lang w:eastAsia="zh-CN"/>
        </w:rPr>
        <w:t>2022</w:t>
      </w:r>
      <w:r>
        <w:rPr>
          <w:rFonts w:hint="eastAsia" w:ascii="宋体" w:hAnsi="宋体" w:eastAsia="宋体" w:cs="宋体"/>
          <w:color w:val="000000"/>
          <w:sz w:val="24"/>
          <w:szCs w:val="24"/>
          <w:highlight w:val="yellow"/>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yellow"/>
        </w:rPr>
        <w:t>须如实填写，应全尽全</w:t>
      </w:r>
      <w:r>
        <w:rPr>
          <w:rFonts w:hint="eastAsia" w:ascii="宋体" w:hAnsi="宋体" w:eastAsia="宋体" w:cs="宋体"/>
          <w:color w:val="000000"/>
          <w:sz w:val="24"/>
          <w:szCs w:val="24"/>
          <w:highlight w:val="yellow"/>
        </w:rPr>
        <w:t>；</w:t>
      </w:r>
      <w:r>
        <w:rPr>
          <w:rFonts w:hint="eastAsia" w:ascii="宋体" w:hAnsi="宋体" w:eastAsia="宋体" w:cs="宋体"/>
          <w:b/>
          <w:bCs/>
          <w:color w:val="000000"/>
          <w:sz w:val="24"/>
          <w:szCs w:val="24"/>
          <w:highlight w:val="yellow"/>
        </w:rPr>
        <w:t>一览表最终的所有业绩合同总额汇总必填</w:t>
      </w:r>
      <w:r>
        <w:rPr>
          <w:rFonts w:hint="eastAsia" w:ascii="宋体" w:hAnsi="宋体" w:eastAsia="宋体" w:cs="宋体"/>
          <w:color w:val="000000"/>
          <w:sz w:val="24"/>
          <w:szCs w:val="24"/>
          <w:highlight w:val="yellow"/>
        </w:rPr>
        <w:t>，数据将影响现场评标专家组对投标单位的业绩考评。</w:t>
      </w:r>
    </w:p>
    <w:p w14:paraId="7E71B74D">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2.4供货期及保证措施；</w:t>
      </w:r>
    </w:p>
    <w:p w14:paraId="6B920745">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2.6交货进度及计划；</w:t>
      </w:r>
    </w:p>
    <w:p w14:paraId="66964B17">
      <w:pPr>
        <w:spacing w:line="360" w:lineRule="auto"/>
        <w:ind w:firstLine="480" w:firstLineChars="200"/>
        <w:rPr>
          <w:rFonts w:ascii="宋体" w:hAnsi="宋体" w:eastAsia="宋体" w:cs="宋体"/>
          <w:color w:val="000000"/>
          <w:sz w:val="24"/>
          <w:szCs w:val="24"/>
          <w:highlight w:val="yellow"/>
        </w:rPr>
      </w:pPr>
      <w:bookmarkStart w:id="29" w:name="_Toc536542319"/>
      <w:r>
        <w:rPr>
          <w:rFonts w:hint="eastAsia" w:ascii="宋体" w:hAnsi="宋体" w:eastAsia="宋体" w:cs="宋体"/>
          <w:color w:val="000000"/>
          <w:sz w:val="24"/>
          <w:szCs w:val="24"/>
          <w:highlight w:val="yellow"/>
        </w:rPr>
        <w:t>2.7投标产品技术支持材料</w:t>
      </w:r>
      <w:bookmarkEnd w:id="29"/>
      <w:r>
        <w:rPr>
          <w:rFonts w:hint="eastAsia" w:ascii="宋体" w:hAnsi="宋体" w:eastAsia="宋体" w:cs="宋体"/>
          <w:color w:val="000000"/>
          <w:sz w:val="24"/>
          <w:szCs w:val="24"/>
          <w:highlight w:val="yellow"/>
        </w:rPr>
        <w:t>；</w:t>
      </w:r>
    </w:p>
    <w:p w14:paraId="2ECB8CEB">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2.8设备质量承诺函（附件7）；</w:t>
      </w:r>
    </w:p>
    <w:p w14:paraId="51E9EBDC">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2.9投标人需提交的其它资料。</w:t>
      </w:r>
    </w:p>
    <w:p w14:paraId="160A449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22F7383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1356A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rPr>
        <w:t>；</w:t>
      </w:r>
    </w:p>
    <w:p w14:paraId="79308D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56A383AE">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9FF9B4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DF4D04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val="en-US" w:eastAsia="zh-CN"/>
        </w:rPr>
        <w:t>;</w:t>
      </w:r>
    </w:p>
    <w:p w14:paraId="5303BC43">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Times New Roman"/>
          <w:color w:val="000000"/>
          <w:sz w:val="24"/>
          <w:szCs w:val="24"/>
          <w:lang w:val="en-US" w:eastAsia="zh-CN"/>
        </w:rPr>
        <w:t>技术条件满足</w:t>
      </w:r>
      <w:r>
        <w:rPr>
          <w:rFonts w:hint="eastAsia" w:ascii="宋体" w:hAnsi="宋体" w:eastAsia="宋体" w:cs="宋体"/>
          <w:color w:val="000000"/>
          <w:sz w:val="24"/>
          <w:szCs w:val="24"/>
          <w:lang w:val="en-US" w:eastAsia="zh-CN"/>
        </w:rPr>
        <w:t>招标</w:t>
      </w:r>
      <w:r>
        <w:rPr>
          <w:rFonts w:hint="eastAsia" w:ascii="宋体" w:hAnsi="宋体" w:eastAsia="宋体" w:cs="Times New Roman"/>
          <w:color w:val="000000"/>
          <w:sz w:val="24"/>
          <w:szCs w:val="24"/>
          <w:lang w:val="en-US" w:eastAsia="zh-CN"/>
        </w:rPr>
        <w:t>文件的承诺书</w:t>
      </w:r>
      <w:r>
        <w:rPr>
          <w:rFonts w:hint="eastAsia" w:ascii="宋体" w:hAnsi="宋体" w:eastAsia="宋体" w:cs="Times New Roman"/>
          <w:color w:val="000000"/>
          <w:sz w:val="24"/>
          <w:szCs w:val="24"/>
        </w:rPr>
        <w:t>。</w:t>
      </w:r>
    </w:p>
    <w:p w14:paraId="73E80E2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87516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EAE7054">
      <w:pPr>
        <w:pStyle w:val="17"/>
        <w:jc w:val="center"/>
        <w:rPr>
          <w:rFonts w:ascii="Calibri" w:hAnsi="Calibri" w:eastAsia="宋体" w:cs="Times New Roman"/>
          <w:b/>
          <w:bCs/>
          <w:kern w:val="44"/>
          <w:sz w:val="36"/>
          <w:szCs w:val="44"/>
        </w:rPr>
        <w:sectPr>
          <w:footerReference r:id="rId11" w:type="default"/>
          <w:pgSz w:w="11907" w:h="16840"/>
          <w:pgMar w:top="1304" w:right="1418" w:bottom="1304" w:left="1418" w:header="724" w:footer="851" w:gutter="0"/>
          <w:cols w:space="720" w:num="1"/>
          <w:docGrid w:linePitch="290" w:charSpace="-3931"/>
        </w:sectPr>
      </w:pPr>
    </w:p>
    <w:bookmarkEnd w:id="0"/>
    <w:bookmarkEnd w:id="1"/>
    <w:p w14:paraId="0D9385C8">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6F80012D">
      <w:pPr>
        <w:pStyle w:val="17"/>
      </w:pPr>
    </w:p>
    <w:p w14:paraId="1D0BFBEC">
      <w:pPr>
        <w:spacing w:line="276" w:lineRule="auto"/>
        <w:jc w:val="center"/>
        <w:rPr>
          <w:rFonts w:hint="eastAsia" w:ascii="Calibri" w:hAnsi="Calibri" w:eastAsia="宋体" w:cs="Times New Roman"/>
          <w:b/>
          <w:bCs/>
          <w:color w:val="000000"/>
          <w:spacing w:val="-8"/>
          <w:sz w:val="48"/>
          <w:szCs w:val="44"/>
          <w:lang w:eastAsia="zh-CN"/>
        </w:rPr>
      </w:pPr>
      <w:bookmarkStart w:id="33" w:name="_Toc169605884"/>
      <w:bookmarkStart w:id="34" w:name="_Toc465187648"/>
      <w:bookmarkStart w:id="35" w:name="_Toc169605877"/>
      <w:r>
        <w:rPr>
          <w:rFonts w:hint="eastAsia" w:ascii="Calibri" w:hAnsi="宋体" w:eastAsia="宋体" w:cs="Times New Roman"/>
          <w:b/>
          <w:bCs/>
          <w:color w:val="000000"/>
          <w:spacing w:val="-8"/>
          <w:sz w:val="48"/>
          <w:szCs w:val="44"/>
          <w:lang w:eastAsia="zh-CN"/>
        </w:rPr>
        <w:t>济南成型厂5吨整体式转向节模具新制项目</w:t>
      </w:r>
    </w:p>
    <w:p w14:paraId="0586E4FB">
      <w:pPr>
        <w:jc w:val="right"/>
        <w:rPr>
          <w:rFonts w:ascii="Calibri" w:hAnsi="Calibri" w:eastAsia="宋体" w:cs="Times New Roman"/>
          <w:color w:val="000000"/>
          <w:sz w:val="28"/>
          <w:szCs w:val="28"/>
        </w:rPr>
      </w:pPr>
    </w:p>
    <w:p w14:paraId="2AD2F675">
      <w:pPr>
        <w:pStyle w:val="17"/>
      </w:pPr>
    </w:p>
    <w:p w14:paraId="68F0B5B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7CB95D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78846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60E9C0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572E60D">
      <w:pPr>
        <w:pStyle w:val="17"/>
      </w:pPr>
    </w:p>
    <w:p w14:paraId="7A487CF2">
      <w:pPr>
        <w:pStyle w:val="17"/>
        <w:rPr>
          <w:rFonts w:ascii="黑体" w:hAnsi="宋体" w:eastAsia="黑体" w:cs="Times New Roman"/>
          <w:color w:val="000000"/>
          <w:sz w:val="72"/>
          <w:szCs w:val="72"/>
        </w:rPr>
      </w:pPr>
    </w:p>
    <w:p w14:paraId="697F9C5C">
      <w:pPr>
        <w:pStyle w:val="17"/>
        <w:rPr>
          <w:rFonts w:ascii="黑体" w:hAnsi="宋体" w:eastAsia="黑体" w:cs="Times New Roman"/>
          <w:color w:val="000000"/>
          <w:sz w:val="72"/>
          <w:szCs w:val="72"/>
        </w:rPr>
      </w:pPr>
    </w:p>
    <w:p w14:paraId="4D231187">
      <w:pPr>
        <w:spacing w:line="860" w:lineRule="exact"/>
        <w:rPr>
          <w:rFonts w:ascii="华文仿宋" w:hAnsi="华文仿宋" w:eastAsia="华文仿宋"/>
          <w:sz w:val="32"/>
          <w:szCs w:val="28"/>
        </w:rPr>
      </w:pPr>
    </w:p>
    <w:p w14:paraId="3A782835">
      <w:pPr>
        <w:spacing w:line="860" w:lineRule="exact"/>
        <w:rPr>
          <w:rFonts w:ascii="华文仿宋" w:hAnsi="华文仿宋" w:eastAsia="华文仿宋"/>
          <w:sz w:val="32"/>
          <w:szCs w:val="28"/>
        </w:rPr>
      </w:pPr>
    </w:p>
    <w:p w14:paraId="3E87C2A9">
      <w:pPr>
        <w:spacing w:line="860" w:lineRule="exact"/>
        <w:rPr>
          <w:rFonts w:ascii="华文仿宋" w:hAnsi="华文仿宋" w:eastAsia="华文仿宋"/>
          <w:sz w:val="32"/>
          <w:szCs w:val="28"/>
        </w:rPr>
      </w:pPr>
    </w:p>
    <w:p w14:paraId="6CBB6578">
      <w:pPr>
        <w:spacing w:line="860" w:lineRule="exact"/>
        <w:rPr>
          <w:rFonts w:ascii="华文仿宋" w:hAnsi="华文仿宋" w:eastAsia="华文仿宋"/>
          <w:b/>
          <w:bCs/>
          <w:sz w:val="32"/>
          <w:szCs w:val="28"/>
        </w:rPr>
      </w:pPr>
    </w:p>
    <w:p w14:paraId="3645AEF0">
      <w:pPr>
        <w:pStyle w:val="17"/>
        <w:rPr>
          <w:b/>
          <w:bCs/>
        </w:rPr>
      </w:pPr>
    </w:p>
    <w:p w14:paraId="68828B14">
      <w:pPr>
        <w:jc w:val="center"/>
        <w:rPr>
          <w:rFonts w:hint="default" w:ascii="宋体" w:hAnsi="Calibri" w:eastAsia="宋体" w:cs="Times New Roman"/>
          <w:color w:val="000000"/>
          <w:sz w:val="28"/>
          <w:szCs w:val="28"/>
          <w:highlight w:val="none"/>
          <w:lang w:val="en-US" w:eastAsia="zh-CN"/>
        </w:rPr>
      </w:pPr>
      <w:r>
        <w:rPr>
          <w:rFonts w:hint="eastAsia" w:ascii="宋体" w:hAnsi="宋体" w:eastAsia="宋体" w:cs="Times New Roman"/>
          <w:color w:val="000000"/>
          <w:sz w:val="28"/>
          <w:szCs w:val="28"/>
          <w:highlight w:val="none"/>
        </w:rPr>
        <w:t>招标人：中国重汽集团济南</w:t>
      </w:r>
      <w:r>
        <w:rPr>
          <w:rFonts w:hint="eastAsia" w:ascii="宋体" w:hAnsi="宋体" w:eastAsia="宋体" w:cs="Times New Roman"/>
          <w:color w:val="000000"/>
          <w:sz w:val="28"/>
          <w:szCs w:val="28"/>
          <w:highlight w:val="none"/>
          <w:lang w:val="en-US" w:eastAsia="zh-CN"/>
        </w:rPr>
        <w:t>成型厂</w:t>
      </w:r>
    </w:p>
    <w:p w14:paraId="6AC6B9CA">
      <w:pPr>
        <w:jc w:val="center"/>
        <w:rPr>
          <w:rFonts w:ascii="Calibri" w:hAnsi="Calibri" w:eastAsia="宋体" w:cs="Times New Roman"/>
          <w:color w:val="000000"/>
          <w:sz w:val="28"/>
          <w:szCs w:val="28"/>
          <w:highlight w:val="none"/>
        </w:rPr>
      </w:pPr>
    </w:p>
    <w:p w14:paraId="76446F7A">
      <w:pPr>
        <w:jc w:val="center"/>
        <w:rPr>
          <w:rFonts w:ascii="Calibri" w:hAnsi="Calibri" w:eastAsia="宋体" w:cs="Times New Roman"/>
          <w:b/>
          <w:bCs/>
          <w:kern w:val="44"/>
          <w:sz w:val="36"/>
          <w:szCs w:val="44"/>
        </w:rPr>
      </w:pPr>
      <w:r>
        <w:rPr>
          <w:rFonts w:ascii="Calibri" w:hAnsi="Calibri" w:eastAsia="宋体" w:cs="Times New Roman"/>
          <w:color w:val="000000"/>
          <w:sz w:val="28"/>
          <w:szCs w:val="28"/>
          <w:highlight w:val="none"/>
        </w:rPr>
        <w:t>20</w:t>
      </w:r>
      <w:r>
        <w:rPr>
          <w:rFonts w:ascii="Calibri" w:hAnsi="Calibri" w:eastAsia="宋体" w:cs="Times New Roman"/>
          <w:color w:val="000000"/>
          <w:sz w:val="28"/>
          <w:szCs w:val="28"/>
        </w:rPr>
        <w:t>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15016660">
      <w:pPr>
        <w:spacing w:line="360" w:lineRule="auto"/>
        <w:rPr>
          <w:rFonts w:ascii="宋体" w:hAnsi="宋体" w:eastAsia="宋体" w:cs="Times New Roman"/>
          <w:b/>
          <w:sz w:val="36"/>
          <w:szCs w:val="36"/>
        </w:rPr>
        <w:sectPr>
          <w:footerReference r:id="rId12" w:type="default"/>
          <w:pgSz w:w="11907" w:h="16840"/>
          <w:pgMar w:top="1304" w:right="1418" w:bottom="1304" w:left="1418" w:header="724" w:footer="851" w:gutter="0"/>
          <w:cols w:space="720" w:num="1"/>
          <w:docGrid w:linePitch="290" w:charSpace="-3931"/>
        </w:sectPr>
      </w:pPr>
    </w:p>
    <w:bookmarkEnd w:id="33"/>
    <w:p w14:paraId="2009D2C8">
      <w:pPr>
        <w:spacing w:line="360" w:lineRule="auto"/>
        <w:jc w:val="left"/>
        <w:rPr>
          <w:sz w:val="24"/>
          <w:szCs w:val="24"/>
        </w:rPr>
      </w:pPr>
      <w:r>
        <w:rPr>
          <w:rFonts w:hint="eastAsia"/>
          <w:sz w:val="24"/>
          <w:szCs w:val="24"/>
          <w:lang w:val="en-US" w:eastAsia="zh-CN"/>
        </w:rPr>
        <w:t>一、</w:t>
      </w:r>
      <w:r>
        <w:rPr>
          <w:sz w:val="24"/>
          <w:szCs w:val="24"/>
        </w:rPr>
        <w:t>招标内容：</w:t>
      </w:r>
    </w:p>
    <w:p w14:paraId="711C3C2D">
      <w:pPr>
        <w:spacing w:line="360" w:lineRule="auto"/>
        <w:ind w:firstLine="480" w:firstLineChars="200"/>
        <w:jc w:val="left"/>
        <w:rPr>
          <w:rFonts w:hint="eastAsia"/>
          <w:sz w:val="24"/>
          <w:szCs w:val="24"/>
        </w:rPr>
      </w:pPr>
      <w:r>
        <w:rPr>
          <w:rFonts w:hint="eastAsia"/>
          <w:sz w:val="24"/>
          <w:szCs w:val="24"/>
        </w:rPr>
        <w:t>本项目为</w:t>
      </w:r>
      <w:r>
        <w:rPr>
          <w:rFonts w:hint="eastAsia" w:ascii="宋体" w:hAnsi="宋体"/>
          <w:sz w:val="24"/>
          <w:szCs w:val="24"/>
        </w:rPr>
        <w:t>济南成型厂5吨整体式转向节模具新制项目</w:t>
      </w:r>
      <w:r>
        <w:rPr>
          <w:rFonts w:hint="eastAsia"/>
          <w:sz w:val="24"/>
          <w:szCs w:val="24"/>
        </w:rPr>
        <w:t>，</w:t>
      </w:r>
      <w:r>
        <w:rPr>
          <w:rFonts w:hint="eastAsia" w:ascii="宋体" w:hAnsi="宋体"/>
          <w:sz w:val="24"/>
          <w:szCs w:val="24"/>
        </w:rPr>
        <w:t>根据项目所涉及工装分类及内容</w:t>
      </w:r>
      <w:r>
        <w:rPr>
          <w:rFonts w:hint="eastAsia"/>
          <w:sz w:val="24"/>
          <w:szCs w:val="24"/>
        </w:rPr>
        <w:t>明细如下：</w:t>
      </w:r>
    </w:p>
    <w:tbl>
      <w:tblPr>
        <w:tblStyle w:val="36"/>
        <w:tblW w:w="95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1080"/>
        <w:gridCol w:w="1916"/>
        <w:gridCol w:w="761"/>
        <w:gridCol w:w="761"/>
        <w:gridCol w:w="2385"/>
        <w:gridCol w:w="2040"/>
      </w:tblGrid>
      <w:tr w14:paraId="25880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579"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01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32"/>
                <w:szCs w:val="32"/>
                <w:u w:val="none"/>
                <w:lang w:val="en-US" w:eastAsia="zh-CN" w:bidi="ar"/>
              </w:rPr>
              <w:t>包1：0430/0431转向节模具自制项目</w:t>
            </w:r>
          </w:p>
        </w:tc>
      </w:tr>
      <w:tr w14:paraId="42BAB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A4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ED6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CE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8B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A5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6C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招标基价（元/件）</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25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5ABCC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B4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E7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锻模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7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ZD5201-0430/201、301</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45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2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E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188043.3</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DDF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新制，寿命1500件</w:t>
            </w:r>
          </w:p>
        </w:tc>
      </w:tr>
      <w:tr w14:paraId="2A7F4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4C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55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预锻上顶料杆1</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B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ZD5201-0430/202</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B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0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6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282.5</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5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00DF4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4F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6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预锻上顶料杆2</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9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ZD5201-0430/203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F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E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C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285.89</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DC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2C81C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E0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2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预锻下顶料杆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8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ZD5201-0430/204</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2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6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7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665.57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D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41B6E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A9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B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终锻上顶料杆1</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E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ZD5201-0430/302</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7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3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9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282.5</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DD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4957B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2A9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7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终锻上顶料杆2</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F6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ZD5201-0430/303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F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8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5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285.89</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F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5ED98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E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6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终锻下顶料杆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0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ZD5201-0430/304</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A7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C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6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665.57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5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4A286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4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C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下凸模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4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ZD5801-0430/16</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C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E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3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12271.8</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C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新制，寿命18000件</w:t>
            </w:r>
          </w:p>
        </w:tc>
      </w:tr>
      <w:tr w14:paraId="52C1E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30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2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卸料板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A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ZD5801-0430/17</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9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3E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BC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11593.8</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3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w:t>
            </w:r>
          </w:p>
        </w:tc>
      </w:tr>
      <w:tr w14:paraId="4671C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A12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F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切边下顶料杆1</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E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ZD5801-0430/20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4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3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8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253.12</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E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37E3A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A4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3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切边下顶料杆2</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E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ZD5801-0430/21</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0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7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3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259.67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3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47F9A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22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1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上凸模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0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ZD5801-0430/14</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92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3B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7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12116.43</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3E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新制，寿命18000件</w:t>
            </w:r>
          </w:p>
        </w:tc>
      </w:tr>
      <w:tr w14:paraId="63E73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2A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D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9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ZD5801-0430/15</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1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5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7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26695.12</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B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基体新制，刃口焊修，寿命6000件</w:t>
            </w:r>
          </w:p>
        </w:tc>
      </w:tr>
      <w:tr w14:paraId="363EC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5A4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1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切边上顶料杆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0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ZD5801-0430/6</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1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4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7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143.79</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1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74DA4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75A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9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锻模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2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ZD5201-0431/201、301</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8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5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C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188043.3</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F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新制，寿命1500件</w:t>
            </w:r>
          </w:p>
        </w:tc>
      </w:tr>
      <w:tr w14:paraId="11057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8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F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预锻上顶料杆1</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7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ZD5201-0431/202</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6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7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8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282.5</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A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16172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CB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0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预锻上顶料杆2</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D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ZD5201-0431/203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3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C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5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285.89</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8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4CF7C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D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6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预锻下顶料杆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D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ZD5201-0431/204</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7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3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0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665.57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6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0D90B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490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5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终锻上顶料杆1</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6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ZD5201-0431/302</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E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D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94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282.5</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F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50EF5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3A7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1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终锻上顶料杆2</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C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ZD5201-0431/303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1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5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0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285.89</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4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73FDE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59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8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终锻下顶料杆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7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ZD5201-0431/304</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D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A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F9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665.57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1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7FAA9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2E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7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下凸模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0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ZD5801-0431/16</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27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5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A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12271.8</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A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新制，寿命18000件</w:t>
            </w:r>
          </w:p>
        </w:tc>
      </w:tr>
      <w:tr w14:paraId="2C8E9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05A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1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卸料板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C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ZD5801-0431/17</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0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F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6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11593.8</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3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w:t>
            </w:r>
          </w:p>
        </w:tc>
      </w:tr>
      <w:tr w14:paraId="0E106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85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F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切边下顶料杆1</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3B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ZD5801-0431/20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E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51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E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253.12</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1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05CC5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55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6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切边下顶料杆2</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4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ZD5801-0431/21</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70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71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99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259.67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0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53AB0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49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EB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上凸模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2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ZD5801-0431/14</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B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C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D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12116.43</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8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新制，寿命18000件</w:t>
            </w:r>
          </w:p>
        </w:tc>
      </w:tr>
      <w:tr w14:paraId="7BC4C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34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B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C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ZD5801-0431/15</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B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7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2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26695.12</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A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基体新制，刃口焊修，寿命6000件</w:t>
            </w:r>
          </w:p>
        </w:tc>
      </w:tr>
      <w:tr w14:paraId="1F6C8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0A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FA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切边上顶料杆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1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ZD5801-0431/6</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D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F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E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143.79</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1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00D60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14:paraId="1066E053">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2ED6F0D2">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2C153DFD">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708F916">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D598CA5">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3EA1CBF9">
            <w:pPr>
              <w:jc w:val="center"/>
              <w:rPr>
                <w:rFonts w:hint="eastAsia" w:ascii="宋体" w:hAnsi="宋体" w:eastAsia="宋体" w:cs="宋体"/>
                <w:i w:val="0"/>
                <w:iCs w:val="0"/>
                <w:color w:val="000000"/>
                <w:sz w:val="22"/>
                <w:szCs w:val="22"/>
                <w:u w:val="none"/>
              </w:rPr>
            </w:pPr>
          </w:p>
        </w:tc>
        <w:tc>
          <w:tcPr>
            <w:tcW w:w="2040" w:type="dxa"/>
            <w:tcBorders>
              <w:top w:val="nil"/>
              <w:left w:val="nil"/>
              <w:bottom w:val="nil"/>
              <w:right w:val="nil"/>
            </w:tcBorders>
            <w:shd w:val="clear" w:color="auto" w:fill="auto"/>
            <w:noWrap/>
            <w:vAlign w:val="center"/>
          </w:tcPr>
          <w:p w14:paraId="6ECBE43E">
            <w:pPr>
              <w:jc w:val="center"/>
              <w:rPr>
                <w:rFonts w:hint="eastAsia" w:ascii="宋体" w:hAnsi="宋体" w:eastAsia="宋体" w:cs="宋体"/>
                <w:i w:val="0"/>
                <w:iCs w:val="0"/>
                <w:color w:val="000000"/>
                <w:sz w:val="22"/>
                <w:szCs w:val="22"/>
                <w:u w:val="none"/>
              </w:rPr>
            </w:pPr>
          </w:p>
        </w:tc>
      </w:tr>
      <w:tr w14:paraId="0A34B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14:paraId="35CFEF7B">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C4BA041">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2152A9F5">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8505447">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08C7BFE4">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0993F4C3">
            <w:pPr>
              <w:jc w:val="center"/>
              <w:rPr>
                <w:rFonts w:hint="eastAsia" w:ascii="宋体" w:hAnsi="宋体" w:eastAsia="宋体" w:cs="宋体"/>
                <w:i w:val="0"/>
                <w:iCs w:val="0"/>
                <w:color w:val="000000"/>
                <w:sz w:val="22"/>
                <w:szCs w:val="22"/>
                <w:u w:val="none"/>
              </w:rPr>
            </w:pPr>
          </w:p>
        </w:tc>
        <w:tc>
          <w:tcPr>
            <w:tcW w:w="2040" w:type="dxa"/>
            <w:tcBorders>
              <w:top w:val="nil"/>
              <w:left w:val="nil"/>
              <w:bottom w:val="nil"/>
              <w:right w:val="nil"/>
            </w:tcBorders>
            <w:shd w:val="clear" w:color="auto" w:fill="auto"/>
            <w:noWrap/>
            <w:vAlign w:val="center"/>
          </w:tcPr>
          <w:p w14:paraId="778CE888">
            <w:pPr>
              <w:jc w:val="center"/>
              <w:rPr>
                <w:rFonts w:hint="eastAsia" w:ascii="宋体" w:hAnsi="宋体" w:eastAsia="宋体" w:cs="宋体"/>
                <w:i w:val="0"/>
                <w:iCs w:val="0"/>
                <w:color w:val="000000"/>
                <w:sz w:val="22"/>
                <w:szCs w:val="22"/>
                <w:u w:val="none"/>
              </w:rPr>
            </w:pPr>
          </w:p>
        </w:tc>
      </w:tr>
      <w:tr w14:paraId="57551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579"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3E2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32"/>
                <w:szCs w:val="32"/>
                <w:u w:val="none"/>
                <w:lang w:val="en-US" w:eastAsia="zh-CN" w:bidi="ar"/>
              </w:rPr>
              <w:t>包2：0428/0429转向节模具自制项目</w:t>
            </w:r>
          </w:p>
        </w:tc>
      </w:tr>
      <w:tr w14:paraId="6B0EF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B28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515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17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05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63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4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招标基价（元/件）</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A3E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14E03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03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3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成型镦粗</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F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ZD5201-0428/100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3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B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4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15848.25</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F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477EA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B7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C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锻模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F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ZD5201-0428/200、300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2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A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E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132701.55</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F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新制，寿命1500件</w:t>
            </w:r>
          </w:p>
        </w:tc>
      </w:tr>
      <w:tr w14:paraId="445A3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B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0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预锻下顶料杆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3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ZD5201-0428/203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D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E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D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665.57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E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00064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B8E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3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终锻下顶料杆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A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ZD5201-0428/303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4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9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2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665.57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7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1D6BC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E65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17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D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ZD5803-0428/03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3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7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8C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18561.38</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2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基体新制，刃口焊修，寿命6000件</w:t>
            </w:r>
          </w:p>
        </w:tc>
      </w:tr>
      <w:tr w14:paraId="75993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E6A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4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抱切上模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E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ZD5803-0428/04</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F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0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A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17198.6</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C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新制，寿命18000件</w:t>
            </w:r>
          </w:p>
        </w:tc>
      </w:tr>
      <w:tr w14:paraId="7AE37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0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0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5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ZD5803-0428/05</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6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8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9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587.6</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63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w:t>
            </w:r>
          </w:p>
        </w:tc>
      </w:tr>
      <w:tr w14:paraId="6900E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44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C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卸料杆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8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ZD5803-0428/08</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C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F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4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281.94</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AF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7106D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89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B4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字头压块</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6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ZD5803-0428/04-1</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C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8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B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136.17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7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47161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16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B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飞边卸料板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9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ZD5803-0428/10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E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6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7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11842.4</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4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w:t>
            </w:r>
          </w:p>
        </w:tc>
      </w:tr>
      <w:tr w14:paraId="2EADE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0E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B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抱切下模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1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ZD5803-0428/12</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6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6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7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24261.1</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8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新制，寿命18000件</w:t>
            </w:r>
          </w:p>
        </w:tc>
      </w:tr>
      <w:tr w14:paraId="6B33F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0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E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顶杆横梁</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8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ZD5803-0428/15</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7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8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D7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3257.23</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E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4ED48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9FB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C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锻模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E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ZD5201-0429/200、300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0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5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54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132701.55</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B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新制，寿命1500件</w:t>
            </w:r>
          </w:p>
        </w:tc>
      </w:tr>
      <w:tr w14:paraId="1F5DC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9F1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0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预锻下顶料杆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8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ZD5201-0429/203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3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E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F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665.57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0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56F1A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673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C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终锻下顶料杆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F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ZD5201-0429/303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D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5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1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665.57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B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新制，寿命3000件</w:t>
            </w:r>
          </w:p>
        </w:tc>
      </w:tr>
      <w:tr w14:paraId="1B4E1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44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1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8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ZD5803-0429/03</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C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6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6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18561.38</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7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基体新制，刃口焊修，寿命6000件</w:t>
            </w:r>
          </w:p>
        </w:tc>
      </w:tr>
      <w:tr w14:paraId="3FDBB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C3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6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抱切上模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7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ZD5803-0429/04</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F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B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A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17198.6</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17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新制，寿命18000件</w:t>
            </w:r>
          </w:p>
        </w:tc>
      </w:tr>
      <w:tr w14:paraId="74C36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1E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0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E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ZD5803-0429/05</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C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9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A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587.6</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2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w:t>
            </w:r>
          </w:p>
        </w:tc>
      </w:tr>
      <w:tr w14:paraId="06E56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1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3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卸料杆</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03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ZD5803-0429/08</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A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6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6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281.94</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5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7A88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F99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6A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字头压块</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E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ZD5803-0429/04-1</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F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B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1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136.17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A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r w14:paraId="39C08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B90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B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飞边卸料板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C3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ZD5803-0429/10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6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1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DB8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11842.4</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F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w:t>
            </w:r>
          </w:p>
        </w:tc>
      </w:tr>
      <w:tr w14:paraId="077E7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32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E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抱切下模</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8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ZD5803-0429/12</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D5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D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9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24261.1</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6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新制，寿命18000件</w:t>
            </w:r>
          </w:p>
        </w:tc>
      </w:tr>
      <w:tr w14:paraId="00A41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CA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6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顶杆横梁</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7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ZD5803-0429/15</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6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C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6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3257.23</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E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新制，寿命12000件</w:t>
            </w:r>
          </w:p>
        </w:tc>
      </w:tr>
    </w:tbl>
    <w:p w14:paraId="727D17F9">
      <w:pPr>
        <w:spacing w:line="360" w:lineRule="auto"/>
        <w:jc w:val="left"/>
        <w:rPr>
          <w:rFonts w:hint="eastAsia"/>
          <w:sz w:val="24"/>
          <w:szCs w:val="24"/>
        </w:rPr>
      </w:pPr>
    </w:p>
    <w:p w14:paraId="2634593D">
      <w:pPr>
        <w:pStyle w:val="5"/>
        <w:spacing w:line="360" w:lineRule="auto"/>
        <w:rPr>
          <w:rFonts w:hint="default" w:eastAsia="宋体"/>
          <w:color w:val="auto"/>
          <w:highlight w:val="none"/>
          <w:lang w:val="en-US" w:eastAsia="zh-CN"/>
        </w:rPr>
      </w:pPr>
      <w:r>
        <w:rPr>
          <w:rFonts w:hint="eastAsia"/>
          <w:color w:val="auto"/>
        </w:rPr>
        <w:t>注：</w:t>
      </w:r>
      <w:r>
        <w:rPr>
          <w:rFonts w:hint="eastAsia" w:ascii="Times New Roman" w:hAnsi="Times New Roman" w:eastAsia="宋体" w:cs="Times New Roman"/>
          <w:color w:val="auto"/>
          <w:sz w:val="24"/>
          <w:szCs w:val="24"/>
          <w:highlight w:val="none"/>
          <w:u w:val="none"/>
          <w:lang w:val="en-US" w:eastAsia="zh-CN"/>
        </w:rPr>
        <w:t>以上招标基价为含税价格。派工改制过程中，供方需将图纸编号刻制于模具本体上。</w:t>
      </w:r>
    </w:p>
    <w:p w14:paraId="134787B6">
      <w:pPr>
        <w:pStyle w:val="5"/>
        <w:numPr>
          <w:ilvl w:val="0"/>
          <w:numId w:val="10"/>
        </w:numPr>
        <w:spacing w:line="360" w:lineRule="auto"/>
        <w:ind w:firstLine="480" w:firstLineChars="200"/>
        <w:rPr>
          <w:rFonts w:ascii="宋体" w:hAnsi="宋体" w:cs="宋体"/>
          <w:highlight w:val="none"/>
          <w:lang w:bidi="ar"/>
        </w:rPr>
      </w:pPr>
      <w:r>
        <w:rPr>
          <w:rFonts w:hint="eastAsia" w:ascii="宋体" w:hAnsi="宋体" w:cs="宋体"/>
          <w:lang w:bidi="ar"/>
        </w:rPr>
        <w:t>本次招标项目总限价</w:t>
      </w:r>
      <w:r>
        <w:rPr>
          <w:rFonts w:hint="eastAsia" w:ascii="宋体" w:hAnsi="宋体" w:cs="宋体"/>
          <w:lang w:val="en-US" w:eastAsia="zh-CN" w:bidi="ar"/>
        </w:rPr>
        <w:t>94.56</w:t>
      </w:r>
      <w:r>
        <w:rPr>
          <w:rFonts w:hint="eastAsia" w:ascii="宋体" w:hAnsi="宋体" w:cs="宋体"/>
          <w:highlight w:val="none"/>
          <w:lang w:bidi="ar"/>
        </w:rPr>
        <w:t>万元（含税）。其中</w:t>
      </w:r>
    </w:p>
    <w:p w14:paraId="52955015">
      <w:pPr>
        <w:pStyle w:val="5"/>
        <w:spacing w:line="360" w:lineRule="auto"/>
        <w:rPr>
          <w:rFonts w:hint="eastAsia" w:ascii="Times New Roman" w:hAnsi="Times New Roman" w:eastAsia="宋体" w:cs="Times New Roman"/>
          <w:color w:val="auto"/>
          <w:sz w:val="24"/>
          <w:szCs w:val="24"/>
          <w:highlight w:val="none"/>
          <w:u w:val="none"/>
          <w:lang w:val="en-US" w:eastAsia="zh-CN"/>
        </w:rPr>
      </w:pPr>
      <w:r>
        <w:rPr>
          <w:rFonts w:hint="eastAsia" w:ascii="宋体" w:hAnsi="宋体" w:cs="宋体"/>
          <w:highlight w:val="none"/>
          <w:lang w:bidi="ar"/>
        </w:rPr>
        <w:t>包1</w:t>
      </w:r>
      <w:r>
        <w:rPr>
          <w:rFonts w:hint="eastAsia" w:ascii="宋体" w:hAnsi="宋体" w:cs="宋体"/>
          <w:highlight w:val="none"/>
          <w:lang w:eastAsia="zh-CN" w:bidi="ar"/>
        </w:rPr>
        <w:t>：</w:t>
      </w:r>
      <w:r>
        <w:rPr>
          <w:rFonts w:hint="eastAsia" w:ascii="Times New Roman" w:hAnsi="Times New Roman" w:eastAsia="宋体" w:cs="Times New Roman"/>
          <w:color w:val="auto"/>
          <w:sz w:val="24"/>
          <w:szCs w:val="24"/>
          <w:highlight w:val="none"/>
          <w:u w:val="none"/>
          <w:lang w:val="en-US" w:eastAsia="zh-CN"/>
        </w:rPr>
        <w:t>0430/0431转向节模具自制项目，限价50.77万元（含税）。</w:t>
      </w:r>
    </w:p>
    <w:p w14:paraId="5FCFC214">
      <w:pPr>
        <w:pStyle w:val="5"/>
        <w:spacing w:line="360" w:lineRule="auto"/>
        <w:rPr>
          <w:rFonts w:hint="eastAsia" w:ascii="宋体" w:hAnsi="宋体" w:cs="宋体"/>
          <w:highlight w:val="none"/>
          <w:lang w:bidi="ar"/>
        </w:rPr>
      </w:pPr>
      <w:r>
        <w:rPr>
          <w:rFonts w:hint="eastAsia" w:ascii="Times New Roman" w:hAnsi="Times New Roman" w:eastAsia="宋体" w:cs="Times New Roman"/>
          <w:color w:val="auto"/>
          <w:sz w:val="24"/>
          <w:szCs w:val="24"/>
          <w:highlight w:val="none"/>
          <w:u w:val="none"/>
          <w:lang w:val="en-US" w:eastAsia="zh-CN"/>
        </w:rPr>
        <w:t>包2：0428/0429转向节模具自制项目，限</w:t>
      </w:r>
      <w:r>
        <w:rPr>
          <w:rFonts w:hint="eastAsia" w:ascii="宋体" w:hAnsi="宋体" w:cs="宋体"/>
          <w:highlight w:val="none"/>
          <w:lang w:bidi="ar"/>
        </w:rPr>
        <w:t>价</w:t>
      </w:r>
      <w:r>
        <w:rPr>
          <w:rFonts w:hint="eastAsia" w:ascii="宋体" w:hAnsi="宋体" w:cs="宋体"/>
          <w:highlight w:val="none"/>
          <w:lang w:val="en-US" w:eastAsia="zh-CN" w:bidi="ar"/>
        </w:rPr>
        <w:t>43.79</w:t>
      </w:r>
      <w:r>
        <w:rPr>
          <w:rFonts w:hint="eastAsia" w:ascii="宋体" w:hAnsi="宋体" w:cs="宋体"/>
          <w:highlight w:val="none"/>
          <w:lang w:bidi="ar"/>
        </w:rPr>
        <w:t>万元（含税）。</w:t>
      </w:r>
    </w:p>
    <w:p w14:paraId="6A5BE334">
      <w:pPr>
        <w:pStyle w:val="5"/>
        <w:numPr>
          <w:ilvl w:val="0"/>
          <w:numId w:val="10"/>
        </w:numPr>
        <w:spacing w:line="360" w:lineRule="auto"/>
        <w:ind w:firstLine="480" w:firstLineChars="200"/>
        <w:rPr>
          <w:rFonts w:hint="eastAsia" w:ascii="宋体" w:hAnsi="宋体" w:cs="宋体"/>
          <w:highlight w:val="none"/>
          <w:lang w:bidi="ar"/>
        </w:rPr>
      </w:pPr>
      <w:r>
        <w:rPr>
          <w:rFonts w:hint="eastAsia" w:ascii="宋体" w:hAnsi="宋体" w:cs="宋体"/>
          <w:highlight w:val="none"/>
          <w:lang w:bidi="ar"/>
        </w:rPr>
        <w:t>允许分投分中，报价高于分包价格无法完成投标。</w:t>
      </w:r>
    </w:p>
    <w:p w14:paraId="5754AF92">
      <w:pPr>
        <w:shd w:val="clear" w:color="auto" w:fill="auto"/>
        <w:spacing w:line="360" w:lineRule="auto"/>
        <w:ind w:firstLine="480" w:firstLineChars="200"/>
        <w:rPr>
          <w:rFonts w:hint="eastAsia" w:ascii="宋体" w:hAnsi="宋体" w:eastAsia="宋体" w:cs="宋体"/>
          <w:bCs/>
          <w:color w:val="auto"/>
          <w:sz w:val="24"/>
          <w:szCs w:val="24"/>
          <w:highlight w:val="none"/>
          <w:u w:val="none"/>
        </w:rPr>
      </w:pPr>
      <w:r>
        <w:rPr>
          <w:rFonts w:hint="eastAsia" w:ascii="宋体" w:hAnsi="宋体" w:eastAsia="宋体" w:cs="宋体"/>
          <w:bCs/>
          <w:color w:val="auto"/>
          <w:sz w:val="24"/>
          <w:szCs w:val="24"/>
          <w:highlight w:val="none"/>
          <w:u w:val="none"/>
          <w:lang w:val="en-US" w:eastAsia="zh-CN"/>
        </w:rPr>
        <w:t>二、.</w:t>
      </w:r>
      <w:r>
        <w:rPr>
          <w:rFonts w:hint="eastAsia" w:ascii="宋体" w:hAnsi="宋体" w:eastAsia="宋体" w:cs="宋体"/>
          <w:bCs/>
          <w:color w:val="auto"/>
          <w:sz w:val="24"/>
          <w:szCs w:val="24"/>
          <w:highlight w:val="none"/>
          <w:u w:val="none"/>
        </w:rPr>
        <w:t>技术标书提供资料要求首页为</w:t>
      </w: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rPr>
        <w:t>技术条款偏离表</w:t>
      </w: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rPr>
        <w:t>，其余按照技术评分标准编制提供。标准如下：</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821"/>
        <w:gridCol w:w="2658"/>
        <w:gridCol w:w="5093"/>
      </w:tblGrid>
      <w:tr w14:paraId="50EB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2" w:type="dxa"/>
            <w:noWrap w:val="0"/>
            <w:vAlign w:val="center"/>
          </w:tcPr>
          <w:p w14:paraId="23D3273F">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序号</w:t>
            </w:r>
          </w:p>
        </w:tc>
        <w:tc>
          <w:tcPr>
            <w:tcW w:w="900" w:type="dxa"/>
            <w:noWrap w:val="0"/>
            <w:vAlign w:val="center"/>
          </w:tcPr>
          <w:p w14:paraId="77C4E710">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类别</w:t>
            </w:r>
          </w:p>
        </w:tc>
        <w:tc>
          <w:tcPr>
            <w:tcW w:w="9010" w:type="dxa"/>
            <w:gridSpan w:val="2"/>
            <w:noWrap w:val="0"/>
            <w:vAlign w:val="center"/>
          </w:tcPr>
          <w:p w14:paraId="1686FE8A">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评审内容（满分100分）</w:t>
            </w:r>
          </w:p>
        </w:tc>
      </w:tr>
      <w:tr w14:paraId="4058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38CABD4E">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1</w:t>
            </w:r>
          </w:p>
        </w:tc>
        <w:tc>
          <w:tcPr>
            <w:tcW w:w="900" w:type="dxa"/>
            <w:vMerge w:val="restart"/>
            <w:noWrap w:val="0"/>
            <w:vAlign w:val="center"/>
          </w:tcPr>
          <w:p w14:paraId="4726B30A">
            <w:pPr>
              <w:pStyle w:val="4"/>
              <w:jc w:val="center"/>
              <w:rPr>
                <w:rFonts w:hint="eastAsia" w:ascii="宋体" w:hAnsi="宋体" w:eastAsia="宋体" w:cs="宋体"/>
                <w:color w:val="auto"/>
                <w:highlight w:val="none"/>
                <w:u w:val="none"/>
                <w:vertAlign w:val="baseline"/>
                <w:lang w:val="en-US" w:eastAsia="zh-CN"/>
              </w:rPr>
            </w:pPr>
          </w:p>
          <w:p w14:paraId="549E505B">
            <w:pPr>
              <w:pStyle w:val="4"/>
              <w:jc w:val="center"/>
              <w:rPr>
                <w:rFonts w:hint="eastAsia" w:ascii="宋体" w:hAnsi="宋体" w:eastAsia="宋体" w:cs="宋体"/>
                <w:color w:val="auto"/>
                <w:highlight w:val="none"/>
                <w:u w:val="none"/>
                <w:vertAlign w:val="baseline"/>
                <w:lang w:val="en-US" w:eastAsia="zh-CN"/>
              </w:rPr>
            </w:pPr>
          </w:p>
          <w:p w14:paraId="2545BF08">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技</w:t>
            </w:r>
          </w:p>
          <w:p w14:paraId="0A0E9A6E">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术</w:t>
            </w:r>
          </w:p>
          <w:p w14:paraId="57654A11">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部</w:t>
            </w:r>
          </w:p>
          <w:p w14:paraId="4F732037">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分</w:t>
            </w:r>
          </w:p>
        </w:tc>
        <w:tc>
          <w:tcPr>
            <w:tcW w:w="3022" w:type="dxa"/>
            <w:noWrap w:val="0"/>
            <w:vAlign w:val="center"/>
          </w:tcPr>
          <w:p w14:paraId="189D359A">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关键加工设备（0-10分）</w:t>
            </w:r>
          </w:p>
        </w:tc>
        <w:tc>
          <w:tcPr>
            <w:tcW w:w="5988" w:type="dxa"/>
            <w:noWrap w:val="0"/>
            <w:vAlign w:val="top"/>
          </w:tcPr>
          <w:p w14:paraId="1D00F350">
            <w:pPr>
              <w:pStyle w:val="4"/>
              <w:jc w:val="left"/>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rPr>
              <w:t>提供设备品牌型号、技术参数等信息，有加工投标产品的设备能力</w:t>
            </w:r>
            <w:r>
              <w:rPr>
                <w:rFonts w:hint="eastAsia" w:ascii="宋体" w:hAnsi="宋体" w:eastAsia="宋体" w:cs="宋体"/>
                <w:color w:val="auto"/>
                <w:highlight w:val="none"/>
                <w:u w:val="none"/>
                <w:vertAlign w:val="baseline"/>
                <w:lang w:eastAsia="zh-CN"/>
              </w:rPr>
              <w:t>。</w:t>
            </w:r>
          </w:p>
        </w:tc>
      </w:tr>
      <w:tr w14:paraId="5979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0DAD9BC8">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2</w:t>
            </w:r>
          </w:p>
        </w:tc>
        <w:tc>
          <w:tcPr>
            <w:tcW w:w="900" w:type="dxa"/>
            <w:vMerge w:val="continue"/>
            <w:noWrap w:val="0"/>
            <w:vAlign w:val="center"/>
          </w:tcPr>
          <w:p w14:paraId="4E7ECE2D">
            <w:pPr>
              <w:pStyle w:val="4"/>
              <w:jc w:val="center"/>
              <w:rPr>
                <w:rFonts w:hint="eastAsia" w:ascii="宋体" w:hAnsi="宋体" w:eastAsia="宋体" w:cs="宋体"/>
                <w:color w:val="auto"/>
                <w:highlight w:val="none"/>
                <w:u w:val="none"/>
                <w:vertAlign w:val="baseline"/>
              </w:rPr>
            </w:pPr>
          </w:p>
        </w:tc>
        <w:tc>
          <w:tcPr>
            <w:tcW w:w="3022" w:type="dxa"/>
            <w:noWrap w:val="0"/>
            <w:vAlign w:val="center"/>
          </w:tcPr>
          <w:p w14:paraId="1864958B">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检测设备（0-10分）</w:t>
            </w:r>
          </w:p>
        </w:tc>
        <w:tc>
          <w:tcPr>
            <w:tcW w:w="5988" w:type="dxa"/>
            <w:noWrap w:val="0"/>
            <w:vAlign w:val="top"/>
          </w:tcPr>
          <w:p w14:paraId="132D63FD">
            <w:pPr>
              <w:pStyle w:val="4"/>
              <w:jc w:val="left"/>
              <w:rPr>
                <w:rFonts w:hint="eastAsia" w:ascii="宋体" w:hAnsi="宋体" w:eastAsia="宋体" w:cs="宋体"/>
                <w:color w:val="auto"/>
                <w:highlight w:val="none"/>
                <w:u w:val="none"/>
                <w:vertAlign w:val="baseline"/>
                <w:lang w:eastAsia="zh-CN"/>
              </w:rPr>
            </w:pPr>
            <w:r>
              <w:rPr>
                <w:rFonts w:hint="eastAsia" w:ascii="宋体" w:hAnsi="宋体" w:eastAsia="宋体" w:cs="宋体"/>
                <w:color w:val="auto"/>
                <w:highlight w:val="none"/>
                <w:u w:val="none"/>
                <w:vertAlign w:val="baseline"/>
              </w:rPr>
              <w:t>提供设备品牌型号、技术参数等信息，有检测投标产品的能力</w:t>
            </w:r>
            <w:r>
              <w:rPr>
                <w:rFonts w:hint="eastAsia" w:ascii="宋体" w:hAnsi="宋体" w:eastAsia="宋体" w:cs="宋体"/>
                <w:color w:val="auto"/>
                <w:highlight w:val="none"/>
                <w:u w:val="none"/>
                <w:vertAlign w:val="baseline"/>
                <w:lang w:eastAsia="zh-CN"/>
              </w:rPr>
              <w:t>。</w:t>
            </w:r>
          </w:p>
        </w:tc>
      </w:tr>
      <w:tr w14:paraId="115B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3D9D6495">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3</w:t>
            </w:r>
          </w:p>
        </w:tc>
        <w:tc>
          <w:tcPr>
            <w:tcW w:w="900" w:type="dxa"/>
            <w:vMerge w:val="continue"/>
            <w:noWrap w:val="0"/>
            <w:vAlign w:val="center"/>
          </w:tcPr>
          <w:p w14:paraId="463CFDE9">
            <w:pPr>
              <w:pStyle w:val="4"/>
              <w:jc w:val="center"/>
              <w:rPr>
                <w:rFonts w:hint="eastAsia" w:ascii="宋体" w:hAnsi="宋体" w:eastAsia="宋体" w:cs="宋体"/>
                <w:color w:val="auto"/>
                <w:highlight w:val="none"/>
                <w:u w:val="none"/>
                <w:vertAlign w:val="baseline"/>
              </w:rPr>
            </w:pPr>
          </w:p>
        </w:tc>
        <w:tc>
          <w:tcPr>
            <w:tcW w:w="3022" w:type="dxa"/>
            <w:noWrap w:val="0"/>
            <w:vAlign w:val="center"/>
          </w:tcPr>
          <w:p w14:paraId="0CF80A3E">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工装模具设计能力及制作工艺水平（0-10分）</w:t>
            </w:r>
          </w:p>
        </w:tc>
        <w:tc>
          <w:tcPr>
            <w:tcW w:w="5988" w:type="dxa"/>
            <w:noWrap w:val="0"/>
            <w:vAlign w:val="top"/>
          </w:tcPr>
          <w:p w14:paraId="28766EB4">
            <w:pPr>
              <w:pStyle w:val="4"/>
              <w:jc w:val="left"/>
              <w:rPr>
                <w:rFonts w:hint="eastAsia" w:ascii="宋体" w:hAnsi="宋体" w:eastAsia="宋体" w:cs="宋体"/>
                <w:color w:val="auto"/>
                <w:highlight w:val="none"/>
                <w:u w:val="none"/>
                <w:vertAlign w:val="baseline"/>
                <w:lang w:eastAsia="zh-CN"/>
              </w:rPr>
            </w:pPr>
            <w:r>
              <w:rPr>
                <w:rFonts w:hint="eastAsia" w:ascii="宋体" w:hAnsi="宋体" w:eastAsia="宋体" w:cs="宋体"/>
                <w:color w:val="auto"/>
                <w:highlight w:val="none"/>
                <w:u w:val="none"/>
                <w:vertAlign w:val="baseline"/>
              </w:rPr>
              <w:t>提供中高级职称人员证书复印件及社保参保证明;制作工艺描述等</w:t>
            </w:r>
            <w:r>
              <w:rPr>
                <w:rFonts w:hint="eastAsia" w:ascii="宋体" w:hAnsi="宋体" w:eastAsia="宋体" w:cs="宋体"/>
                <w:color w:val="auto"/>
                <w:highlight w:val="none"/>
                <w:u w:val="none"/>
                <w:vertAlign w:val="baseline"/>
                <w:lang w:eastAsia="zh-CN"/>
              </w:rPr>
              <w:t>。</w:t>
            </w:r>
          </w:p>
        </w:tc>
      </w:tr>
      <w:tr w14:paraId="476A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05B66E3A">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4</w:t>
            </w:r>
          </w:p>
        </w:tc>
        <w:tc>
          <w:tcPr>
            <w:tcW w:w="900" w:type="dxa"/>
            <w:vMerge w:val="continue"/>
            <w:noWrap w:val="0"/>
            <w:vAlign w:val="center"/>
          </w:tcPr>
          <w:p w14:paraId="5D098D11">
            <w:pPr>
              <w:pStyle w:val="4"/>
              <w:jc w:val="center"/>
              <w:rPr>
                <w:rFonts w:hint="eastAsia" w:ascii="宋体" w:hAnsi="宋体" w:eastAsia="宋体" w:cs="宋体"/>
                <w:color w:val="auto"/>
                <w:highlight w:val="none"/>
                <w:u w:val="none"/>
                <w:vertAlign w:val="baseline"/>
              </w:rPr>
            </w:pPr>
          </w:p>
        </w:tc>
        <w:tc>
          <w:tcPr>
            <w:tcW w:w="3022" w:type="dxa"/>
            <w:noWrap w:val="0"/>
            <w:vAlign w:val="center"/>
          </w:tcPr>
          <w:p w14:paraId="4DF69E20">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计算机模拟能力（0-10分）</w:t>
            </w:r>
          </w:p>
        </w:tc>
        <w:tc>
          <w:tcPr>
            <w:tcW w:w="5988" w:type="dxa"/>
            <w:noWrap w:val="0"/>
            <w:vAlign w:val="top"/>
          </w:tcPr>
          <w:p w14:paraId="2CEC539B">
            <w:pPr>
              <w:pStyle w:val="4"/>
              <w:jc w:val="left"/>
              <w:rPr>
                <w:rFonts w:hint="eastAsia" w:ascii="宋体" w:hAnsi="宋体" w:eastAsia="宋体" w:cs="宋体"/>
                <w:color w:val="auto"/>
                <w:highlight w:val="none"/>
                <w:u w:val="none"/>
                <w:vertAlign w:val="baseline"/>
                <w:lang w:eastAsia="zh-CN"/>
              </w:rPr>
            </w:pPr>
            <w:r>
              <w:rPr>
                <w:rFonts w:hint="eastAsia" w:ascii="宋体" w:hAnsi="宋体" w:eastAsia="宋体" w:cs="宋体"/>
                <w:color w:val="auto"/>
                <w:highlight w:val="none"/>
                <w:u w:val="none"/>
                <w:vertAlign w:val="baseline"/>
              </w:rPr>
              <w:t>有三维设计软件和锻造模拟仿真软件</w:t>
            </w:r>
            <w:r>
              <w:rPr>
                <w:rFonts w:hint="eastAsia" w:ascii="宋体" w:hAnsi="宋体" w:eastAsia="宋体" w:cs="宋体"/>
                <w:color w:val="auto"/>
                <w:highlight w:val="none"/>
                <w:u w:val="none"/>
                <w:vertAlign w:val="baseline"/>
                <w:lang w:eastAsia="zh-CN"/>
              </w:rPr>
              <w:t>。</w:t>
            </w:r>
          </w:p>
        </w:tc>
      </w:tr>
      <w:tr w14:paraId="4F2B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3F93C73B">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5</w:t>
            </w:r>
          </w:p>
        </w:tc>
        <w:tc>
          <w:tcPr>
            <w:tcW w:w="900" w:type="dxa"/>
            <w:vMerge w:val="continue"/>
            <w:noWrap w:val="0"/>
            <w:vAlign w:val="center"/>
          </w:tcPr>
          <w:p w14:paraId="147051CF">
            <w:pPr>
              <w:pStyle w:val="4"/>
              <w:jc w:val="center"/>
              <w:rPr>
                <w:rFonts w:hint="eastAsia" w:ascii="宋体" w:hAnsi="宋体" w:eastAsia="宋体" w:cs="宋体"/>
                <w:color w:val="auto"/>
                <w:highlight w:val="none"/>
                <w:u w:val="none"/>
                <w:vertAlign w:val="baseline"/>
              </w:rPr>
            </w:pPr>
          </w:p>
        </w:tc>
        <w:tc>
          <w:tcPr>
            <w:tcW w:w="3022" w:type="dxa"/>
            <w:noWrap w:val="0"/>
            <w:vAlign w:val="center"/>
          </w:tcPr>
          <w:p w14:paraId="24BEB00E">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类似业绩（0-10分）</w:t>
            </w:r>
          </w:p>
        </w:tc>
        <w:tc>
          <w:tcPr>
            <w:tcW w:w="5988" w:type="dxa"/>
            <w:noWrap w:val="0"/>
            <w:vAlign w:val="top"/>
          </w:tcPr>
          <w:p w14:paraId="255380B3">
            <w:pPr>
              <w:pStyle w:val="4"/>
              <w:jc w:val="left"/>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rPr>
              <w:t>与招标产品、生产设备、生产工艺类似业绩，业绩较好得</w:t>
            </w:r>
            <w:r>
              <w:rPr>
                <w:rFonts w:hint="eastAsia" w:ascii="宋体" w:hAnsi="宋体" w:eastAsia="宋体" w:cs="宋体"/>
                <w:color w:val="auto"/>
                <w:highlight w:val="none"/>
                <w:u w:val="none"/>
                <w:vertAlign w:val="baseline"/>
                <w:lang w:val="en-US" w:eastAsia="zh-CN"/>
              </w:rPr>
              <w:t>6-10</w:t>
            </w:r>
            <w:r>
              <w:rPr>
                <w:rFonts w:hint="eastAsia" w:ascii="宋体" w:hAnsi="宋体" w:eastAsia="宋体" w:cs="宋体"/>
                <w:color w:val="auto"/>
                <w:highlight w:val="none"/>
                <w:u w:val="none"/>
                <w:vertAlign w:val="baseline"/>
              </w:rPr>
              <w:t xml:space="preserve">分，业绩一般得 </w:t>
            </w:r>
            <w:r>
              <w:rPr>
                <w:rFonts w:hint="eastAsia" w:ascii="宋体" w:hAnsi="宋体" w:eastAsia="宋体" w:cs="宋体"/>
                <w:color w:val="auto"/>
                <w:highlight w:val="none"/>
                <w:u w:val="none"/>
                <w:vertAlign w:val="baseline"/>
                <w:lang w:val="en-US" w:eastAsia="zh-CN"/>
              </w:rPr>
              <w:t>5</w:t>
            </w:r>
            <w:r>
              <w:rPr>
                <w:rFonts w:hint="eastAsia" w:ascii="宋体" w:hAnsi="宋体" w:eastAsia="宋体" w:cs="宋体"/>
                <w:color w:val="auto"/>
                <w:highlight w:val="none"/>
                <w:u w:val="none"/>
                <w:vertAlign w:val="baseline"/>
              </w:rPr>
              <w:t xml:space="preserve">分;与招标产品、生产设备、生产工艺部分类似业绩，得 </w:t>
            </w:r>
            <w:r>
              <w:rPr>
                <w:rFonts w:hint="eastAsia" w:ascii="宋体" w:hAnsi="宋体" w:eastAsia="宋体" w:cs="宋体"/>
                <w:color w:val="auto"/>
                <w:highlight w:val="none"/>
                <w:u w:val="none"/>
                <w:vertAlign w:val="baseline"/>
                <w:lang w:val="en-US" w:eastAsia="zh-CN"/>
              </w:rPr>
              <w:t>1</w:t>
            </w:r>
            <w:r>
              <w:rPr>
                <w:rFonts w:hint="eastAsia" w:ascii="宋体" w:hAnsi="宋体" w:eastAsia="宋体" w:cs="宋体"/>
                <w:color w:val="auto"/>
                <w:highlight w:val="none"/>
                <w:u w:val="none"/>
                <w:vertAlign w:val="baseline"/>
              </w:rPr>
              <w:t>-</w:t>
            </w:r>
            <w:r>
              <w:rPr>
                <w:rFonts w:hint="eastAsia" w:ascii="宋体" w:hAnsi="宋体" w:eastAsia="宋体" w:cs="宋体"/>
                <w:color w:val="auto"/>
                <w:highlight w:val="none"/>
                <w:u w:val="none"/>
                <w:vertAlign w:val="baseline"/>
                <w:lang w:val="en-US" w:eastAsia="zh-CN"/>
              </w:rPr>
              <w:t>4</w:t>
            </w:r>
            <w:r>
              <w:rPr>
                <w:rFonts w:hint="eastAsia" w:ascii="宋体" w:hAnsi="宋体" w:eastAsia="宋体" w:cs="宋体"/>
                <w:color w:val="auto"/>
                <w:highlight w:val="none"/>
                <w:u w:val="none"/>
                <w:vertAlign w:val="baseline"/>
              </w:rPr>
              <w:t>分;无</w:t>
            </w:r>
            <w:r>
              <w:rPr>
                <w:rFonts w:hint="eastAsia" w:ascii="宋体" w:hAnsi="宋体" w:eastAsia="宋体" w:cs="宋体"/>
                <w:color w:val="auto"/>
                <w:highlight w:val="none"/>
                <w:u w:val="none"/>
                <w:vertAlign w:val="baseline"/>
                <w:lang w:val="en-US" w:eastAsia="zh-CN"/>
              </w:rPr>
              <w:t>类似业绩得0分。</w:t>
            </w:r>
          </w:p>
        </w:tc>
      </w:tr>
      <w:tr w14:paraId="2B80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3EFA1C01">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6</w:t>
            </w:r>
          </w:p>
        </w:tc>
        <w:tc>
          <w:tcPr>
            <w:tcW w:w="900" w:type="dxa"/>
            <w:vMerge w:val="continue"/>
            <w:noWrap w:val="0"/>
            <w:vAlign w:val="center"/>
          </w:tcPr>
          <w:p w14:paraId="1FD41570">
            <w:pPr>
              <w:pStyle w:val="4"/>
              <w:jc w:val="center"/>
              <w:rPr>
                <w:rFonts w:hint="eastAsia" w:ascii="宋体" w:hAnsi="宋体" w:eastAsia="宋体" w:cs="宋体"/>
                <w:color w:val="auto"/>
                <w:highlight w:val="none"/>
                <w:u w:val="none"/>
                <w:vertAlign w:val="baseline"/>
              </w:rPr>
            </w:pPr>
          </w:p>
        </w:tc>
        <w:tc>
          <w:tcPr>
            <w:tcW w:w="3022" w:type="dxa"/>
            <w:noWrap w:val="0"/>
            <w:vAlign w:val="center"/>
          </w:tcPr>
          <w:p w14:paraId="3641FA00">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工艺方案整体描述（0-10分）</w:t>
            </w:r>
          </w:p>
        </w:tc>
        <w:tc>
          <w:tcPr>
            <w:tcW w:w="5988" w:type="dxa"/>
            <w:noWrap w:val="0"/>
            <w:vAlign w:val="top"/>
          </w:tcPr>
          <w:p w14:paraId="5641CEE2">
            <w:pPr>
              <w:pStyle w:val="4"/>
              <w:jc w:val="left"/>
              <w:rPr>
                <w:rFonts w:hint="eastAsia" w:ascii="宋体" w:hAnsi="宋体" w:eastAsia="宋体" w:cs="宋体"/>
                <w:color w:val="auto"/>
                <w:highlight w:val="none"/>
                <w:u w:val="none"/>
                <w:vertAlign w:val="baseline"/>
              </w:rPr>
            </w:pPr>
            <w:r>
              <w:rPr>
                <w:rFonts w:hint="eastAsia" w:ascii="宋体" w:hAnsi="宋体" w:eastAsia="宋体" w:cs="宋体"/>
                <w:color w:val="auto"/>
                <w:highlight w:val="none"/>
                <w:u w:val="none"/>
                <w:vertAlign w:val="baseline"/>
              </w:rPr>
              <w:t>根据投标书总体描述情况或现场答疑情况由专家自主综合评价。</w:t>
            </w:r>
          </w:p>
        </w:tc>
      </w:tr>
      <w:tr w14:paraId="2FDA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1F62BC12">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7</w:t>
            </w:r>
          </w:p>
        </w:tc>
        <w:tc>
          <w:tcPr>
            <w:tcW w:w="900" w:type="dxa"/>
            <w:vMerge w:val="continue"/>
            <w:noWrap w:val="0"/>
            <w:vAlign w:val="center"/>
          </w:tcPr>
          <w:p w14:paraId="729FC15B">
            <w:pPr>
              <w:pStyle w:val="4"/>
              <w:jc w:val="center"/>
              <w:rPr>
                <w:rFonts w:hint="eastAsia" w:ascii="宋体" w:hAnsi="宋体" w:eastAsia="宋体" w:cs="宋体"/>
                <w:color w:val="auto"/>
                <w:highlight w:val="none"/>
                <w:u w:val="none"/>
                <w:vertAlign w:val="baseline"/>
              </w:rPr>
            </w:pPr>
          </w:p>
        </w:tc>
        <w:tc>
          <w:tcPr>
            <w:tcW w:w="3022" w:type="dxa"/>
            <w:noWrap w:val="0"/>
            <w:vAlign w:val="center"/>
          </w:tcPr>
          <w:p w14:paraId="7091F351">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供货周期（0-20分）</w:t>
            </w:r>
          </w:p>
        </w:tc>
        <w:tc>
          <w:tcPr>
            <w:tcW w:w="5988" w:type="dxa"/>
            <w:noWrap w:val="0"/>
            <w:vAlign w:val="top"/>
          </w:tcPr>
          <w:p w14:paraId="58DF0B37">
            <w:pPr>
              <w:pStyle w:val="4"/>
              <w:jc w:val="left"/>
              <w:rPr>
                <w:rFonts w:hint="eastAsia" w:ascii="宋体" w:hAnsi="宋体" w:eastAsia="宋体" w:cs="宋体"/>
                <w:color w:val="auto"/>
                <w:highlight w:val="none"/>
                <w:u w:val="none"/>
                <w:vertAlign w:val="baseline"/>
              </w:rPr>
            </w:pPr>
            <w:r>
              <w:rPr>
                <w:rFonts w:hint="eastAsia" w:ascii="宋体" w:hAnsi="宋体" w:eastAsia="宋体" w:cs="宋体"/>
                <w:color w:val="auto"/>
                <w:highlight w:val="none"/>
                <w:u w:val="none"/>
                <w:vertAlign w:val="baseline"/>
              </w:rPr>
              <w:t>优于招标文件要求得6-</w:t>
            </w:r>
            <w:r>
              <w:rPr>
                <w:rFonts w:hint="eastAsia" w:ascii="宋体" w:hAnsi="宋体" w:eastAsia="宋体" w:cs="宋体"/>
                <w:color w:val="auto"/>
                <w:highlight w:val="none"/>
                <w:u w:val="none"/>
                <w:vertAlign w:val="baseline"/>
                <w:lang w:val="en-US" w:eastAsia="zh-CN"/>
              </w:rPr>
              <w:t>20</w:t>
            </w:r>
            <w:r>
              <w:rPr>
                <w:rFonts w:hint="eastAsia" w:ascii="宋体" w:hAnsi="宋体" w:eastAsia="宋体" w:cs="宋体"/>
                <w:color w:val="auto"/>
                <w:highlight w:val="none"/>
                <w:u w:val="none"/>
                <w:vertAlign w:val="baseline"/>
              </w:rPr>
              <w:t>分;满足招标文件要求得5分;不满足0分。</w:t>
            </w:r>
          </w:p>
        </w:tc>
      </w:tr>
      <w:tr w14:paraId="5C0D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789023C1">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8</w:t>
            </w:r>
          </w:p>
        </w:tc>
        <w:tc>
          <w:tcPr>
            <w:tcW w:w="900" w:type="dxa"/>
            <w:vMerge w:val="continue"/>
            <w:noWrap w:val="0"/>
            <w:vAlign w:val="center"/>
          </w:tcPr>
          <w:p w14:paraId="299D6644">
            <w:pPr>
              <w:pStyle w:val="4"/>
              <w:jc w:val="center"/>
              <w:rPr>
                <w:rFonts w:hint="eastAsia" w:ascii="宋体" w:hAnsi="宋体" w:eastAsia="宋体" w:cs="宋体"/>
                <w:color w:val="auto"/>
                <w:highlight w:val="none"/>
                <w:u w:val="none"/>
                <w:vertAlign w:val="baseline"/>
              </w:rPr>
            </w:pPr>
          </w:p>
        </w:tc>
        <w:tc>
          <w:tcPr>
            <w:tcW w:w="3022" w:type="dxa"/>
            <w:noWrap w:val="0"/>
            <w:vAlign w:val="center"/>
          </w:tcPr>
          <w:p w14:paraId="662C7215">
            <w:pPr>
              <w:pStyle w:val="4"/>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质保期及售后服务（0-20分）</w:t>
            </w:r>
          </w:p>
        </w:tc>
        <w:tc>
          <w:tcPr>
            <w:tcW w:w="5988" w:type="dxa"/>
            <w:noWrap w:val="0"/>
            <w:vAlign w:val="top"/>
          </w:tcPr>
          <w:p w14:paraId="167D03A8">
            <w:pPr>
              <w:pStyle w:val="4"/>
              <w:jc w:val="left"/>
              <w:rPr>
                <w:rFonts w:hint="eastAsia" w:ascii="宋体" w:hAnsi="宋体" w:eastAsia="宋体" w:cs="宋体"/>
                <w:color w:val="auto"/>
                <w:highlight w:val="none"/>
                <w:u w:val="none"/>
                <w:vertAlign w:val="baseline"/>
              </w:rPr>
            </w:pPr>
            <w:r>
              <w:rPr>
                <w:rFonts w:hint="eastAsia" w:ascii="宋体" w:hAnsi="宋体" w:eastAsia="宋体" w:cs="宋体"/>
                <w:color w:val="auto"/>
                <w:highlight w:val="none"/>
                <w:u w:val="none"/>
                <w:vertAlign w:val="baseline"/>
              </w:rPr>
              <w:t>售后服务措施得当，质保期优于招标文件要求 6-</w:t>
            </w:r>
            <w:r>
              <w:rPr>
                <w:rFonts w:hint="eastAsia" w:ascii="宋体" w:hAnsi="宋体" w:eastAsia="宋体" w:cs="宋体"/>
                <w:color w:val="auto"/>
                <w:highlight w:val="none"/>
                <w:u w:val="none"/>
                <w:vertAlign w:val="baseline"/>
                <w:lang w:val="en-US" w:eastAsia="zh-CN"/>
              </w:rPr>
              <w:t>20</w:t>
            </w:r>
            <w:r>
              <w:rPr>
                <w:rFonts w:hint="eastAsia" w:ascii="宋体" w:hAnsi="宋体" w:eastAsia="宋体" w:cs="宋体"/>
                <w:color w:val="auto"/>
                <w:highlight w:val="none"/>
                <w:u w:val="none"/>
                <w:vertAlign w:val="baseline"/>
              </w:rPr>
              <w:t>分、满足招标文件要求5分;不满足0分。</w:t>
            </w:r>
          </w:p>
        </w:tc>
      </w:tr>
    </w:tbl>
    <w:p w14:paraId="6BBD900B">
      <w:pPr>
        <w:numPr>
          <w:ilvl w:val="0"/>
          <w:numId w:val="11"/>
        </w:numPr>
        <w:shd w:val="clear" w:color="auto" w:fill="auto"/>
        <w:spacing w:line="360" w:lineRule="auto"/>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lang w:val="en-US" w:eastAsia="zh-CN"/>
        </w:rPr>
        <w:t>工艺能力：达不到技术定额一票否决。</w:t>
      </w:r>
      <w:r>
        <w:rPr>
          <w:rFonts w:hint="eastAsia" w:ascii="宋体" w:hAnsi="宋体" w:eastAsia="宋体" w:cs="宋体"/>
          <w:color w:val="auto"/>
          <w:sz w:val="24"/>
          <w:highlight w:val="none"/>
          <w:u w:val="none"/>
        </w:rPr>
        <w:t>技术标按照最终得分及专家意见进行淘汰。</w:t>
      </w:r>
    </w:p>
    <w:p w14:paraId="3B864C73">
      <w:pPr>
        <w:numPr>
          <w:ilvl w:val="0"/>
          <w:numId w:val="0"/>
        </w:numPr>
        <w:shd w:val="clear" w:color="auto" w:fill="auto"/>
        <w:spacing w:line="360" w:lineRule="auto"/>
        <w:rPr>
          <w:rFonts w:hint="default" w:ascii="宋体" w:hAnsi="宋体" w:eastAsia="宋体" w:cs="宋体"/>
          <w:color w:val="auto"/>
          <w:sz w:val="24"/>
          <w:highlight w:val="none"/>
          <w:u w:val="none"/>
          <w:lang w:val="en-US" w:eastAsia="zh-CN"/>
        </w:rPr>
      </w:pPr>
      <w:r>
        <w:rPr>
          <w:rFonts w:hint="eastAsia" w:ascii="宋体" w:hAnsi="宋体" w:cs="宋体"/>
          <w:color w:val="auto"/>
          <w:sz w:val="24"/>
          <w:highlight w:val="none"/>
          <w:u w:val="none"/>
          <w:lang w:val="en-US" w:eastAsia="zh-CN"/>
        </w:rPr>
        <w:t xml:space="preserve">       供货</w:t>
      </w:r>
      <w:r>
        <w:rPr>
          <w:rFonts w:hint="eastAsia" w:ascii="宋体" w:hAnsi="宋体" w:eastAsia="宋体" w:cs="宋体"/>
          <w:color w:val="auto"/>
          <w:sz w:val="24"/>
          <w:highlight w:val="none"/>
          <w:u w:val="none"/>
          <w:lang w:val="en-US" w:eastAsia="zh-CN"/>
        </w:rPr>
        <w:t>周期：以实际派工日期开始计算，35天内完成模具制作</w:t>
      </w:r>
      <w:r>
        <w:rPr>
          <w:rFonts w:hint="eastAsia" w:ascii="宋体" w:hAnsi="宋体" w:cs="宋体"/>
          <w:color w:val="auto"/>
          <w:sz w:val="24"/>
          <w:highlight w:val="none"/>
          <w:u w:val="none"/>
          <w:lang w:val="en-US" w:eastAsia="zh-CN"/>
        </w:rPr>
        <w:t>。</w:t>
      </w:r>
    </w:p>
    <w:p w14:paraId="61EFA7FE">
      <w:pPr>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highlight w:val="none"/>
          <w:u w:val="none"/>
          <w:lang w:val="en-US" w:eastAsia="zh-CN"/>
        </w:rPr>
        <w:t>3.</w:t>
      </w:r>
      <w:r>
        <w:rPr>
          <w:rFonts w:hint="eastAsia" w:ascii="宋体" w:hAnsi="宋体" w:eastAsia="宋体" w:cs="宋体"/>
          <w:color w:val="auto"/>
          <w:sz w:val="24"/>
          <w:szCs w:val="24"/>
          <w:highlight w:val="none"/>
          <w:u w:val="none"/>
        </w:rPr>
        <w:t>技术标文件加盖公章，作成PDF电子版系统中上传</w:t>
      </w:r>
      <w:r>
        <w:rPr>
          <w:rFonts w:hint="eastAsia" w:ascii="宋体" w:hAnsi="宋体" w:eastAsia="宋体" w:cs="宋体"/>
          <w:color w:val="auto"/>
          <w:sz w:val="24"/>
          <w:szCs w:val="24"/>
          <w:highlight w:val="none"/>
          <w:u w:val="none"/>
          <w:lang w:eastAsia="zh-CN"/>
        </w:rPr>
        <w:t>。</w:t>
      </w:r>
    </w:p>
    <w:p w14:paraId="75F49D71">
      <w:pPr>
        <w:shd w:val="clear" w:color="auto" w:fill="auto"/>
        <w:spacing w:line="360" w:lineRule="auto"/>
        <w:ind w:firstLine="480" w:firstLineChars="200"/>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4.技术评分说明</w:t>
      </w:r>
    </w:p>
    <w:p w14:paraId="795B86D8">
      <w:pPr>
        <w:shd w:val="clear" w:color="auto" w:fill="auto"/>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a、投标人技术得分取所有评委对该投标人计分之和的算术平均值。</w:t>
      </w:r>
    </w:p>
    <w:p w14:paraId="48F59821">
      <w:pPr>
        <w:shd w:val="clear" w:color="auto" w:fill="auto"/>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b、最终得分小数点后保留2位有效数字。</w:t>
      </w:r>
    </w:p>
    <w:p w14:paraId="23591C64">
      <w:pPr>
        <w:shd w:val="clear" w:color="auto" w:fill="auto"/>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c、评委打分超过得分界限或未按本方法赋分时，该评委的打分按废票处理。</w:t>
      </w:r>
    </w:p>
    <w:p w14:paraId="64CE3E03">
      <w:pPr>
        <w:shd w:val="clear" w:color="auto" w:fill="auto"/>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d、评标过程中，若出现本办法以外的特殊情况时，将暂停评标，有关情况处理意见待招标工作小组确认后，再行评定。</w:t>
      </w:r>
    </w:p>
    <w:p w14:paraId="03CEB01D">
      <w:pPr>
        <w:shd w:val="clear" w:color="auto" w:fill="auto"/>
        <w:spacing w:line="360" w:lineRule="auto"/>
        <w:ind w:firstLine="480" w:firstLineChars="200"/>
        <w:rPr>
          <w:rFonts w:hint="default" w:ascii="宋体" w:hAnsi="宋体" w:eastAsia="宋体" w:cs="宋体"/>
          <w:color w:val="auto"/>
          <w:sz w:val="24"/>
          <w:szCs w:val="24"/>
          <w:highlight w:val="yellow"/>
          <w:u w:val="none"/>
          <w:lang w:val="en-US" w:eastAsia="zh-CN"/>
        </w:rPr>
      </w:pPr>
      <w:r>
        <w:rPr>
          <w:rFonts w:hint="eastAsia" w:ascii="宋体" w:hAnsi="宋体" w:eastAsia="宋体" w:cs="宋体"/>
          <w:color w:val="auto"/>
          <w:sz w:val="24"/>
          <w:szCs w:val="24"/>
          <w:highlight w:val="yellow"/>
          <w:u w:val="none"/>
          <w:lang w:val="en-US" w:eastAsia="zh-CN"/>
        </w:rPr>
        <w:t>*注意：其余技术要求参考技术协议内容</w:t>
      </w:r>
    </w:p>
    <w:p w14:paraId="26A5EA07">
      <w:pPr>
        <w:rPr>
          <w:rFonts w:ascii="宋体" w:hAnsi="宋体" w:eastAsia="宋体" w:cs="宋体"/>
          <w:sz w:val="24"/>
          <w:szCs w:val="24"/>
        </w:rPr>
      </w:pPr>
      <w:r>
        <w:rPr>
          <w:rFonts w:ascii="宋体" w:hAnsi="宋体" w:eastAsia="宋体" w:cs="宋体"/>
          <w:sz w:val="24"/>
          <w:szCs w:val="24"/>
        </w:rPr>
        <w:br w:type="page"/>
      </w:r>
    </w:p>
    <w:p w14:paraId="694F2016">
      <w:pPr>
        <w:adjustRightInd w:val="0"/>
        <w:snapToGrid w:val="0"/>
        <w:spacing w:line="360" w:lineRule="auto"/>
        <w:rPr>
          <w:rFonts w:ascii="宋体" w:hAnsi="宋体" w:eastAsia="宋体" w:cs="宋体"/>
          <w:sz w:val="24"/>
          <w:szCs w:val="24"/>
        </w:rPr>
      </w:pPr>
    </w:p>
    <w:p w14:paraId="4363D2F4">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36"/>
          <w:szCs w:val="36"/>
          <w:highlight w:val="none"/>
        </w:rPr>
      </w:pPr>
      <w:r>
        <w:rPr>
          <w:rFonts w:hint="eastAsia" w:asciiTheme="majorEastAsia" w:hAnsiTheme="majorEastAsia" w:eastAsiaTheme="majorEastAsia" w:cstheme="majorEastAsia"/>
          <w:b/>
          <w:sz w:val="36"/>
          <w:szCs w:val="36"/>
          <w:highlight w:val="none"/>
        </w:rPr>
        <w:t>技  术  协  议</w:t>
      </w:r>
    </w:p>
    <w:p w14:paraId="20B73570">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 xml:space="preserve">总  要  求   </w:t>
      </w:r>
    </w:p>
    <w:p w14:paraId="0932AA3F">
      <w:pPr>
        <w:keepNext w:val="0"/>
        <w:keepLines w:val="0"/>
        <w:pageBreakBefore w:val="0"/>
        <w:tabs>
          <w:tab w:val="left" w:pos="2865"/>
        </w:tabs>
        <w:kinsoku/>
        <w:wordWrap/>
        <w:overflowPunct/>
        <w:topLinePunct w:val="0"/>
        <w:bidi w:val="0"/>
        <w:snapToGrid/>
        <w:spacing w:line="440" w:lineRule="exact"/>
        <w:textAlignment w:val="baseline"/>
        <w:rPr>
          <w:rFonts w:ascii="宋体" w:hAnsi="宋体"/>
          <w:sz w:val="20"/>
          <w:highlight w:val="none"/>
        </w:rPr>
      </w:pPr>
      <w:r>
        <w:rPr>
          <w:rFonts w:hint="eastAsia" w:ascii="宋体" w:hAnsi="宋体"/>
          <w:sz w:val="20"/>
          <w:highlight w:val="none"/>
        </w:rPr>
        <w:t xml:space="preserve">甲方：                      </w:t>
      </w:r>
      <w:r>
        <w:rPr>
          <w:rFonts w:hint="eastAsia" w:ascii="宋体" w:hAnsi="宋体"/>
          <w:sz w:val="20"/>
          <w:highlight w:val="none"/>
          <w:lang w:val="en-US" w:eastAsia="zh-CN"/>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ascii="宋体" w:hAnsi="宋体"/>
          <w:sz w:val="20"/>
          <w:highlight w:val="none"/>
        </w:rPr>
        <w:t>（以下简称甲方）</w:t>
      </w:r>
    </w:p>
    <w:p w14:paraId="563E7CB9">
      <w:pPr>
        <w:keepNext w:val="0"/>
        <w:keepLines w:val="0"/>
        <w:pageBreakBefore w:val="0"/>
        <w:kinsoku/>
        <w:wordWrap/>
        <w:overflowPunct/>
        <w:topLinePunct w:val="0"/>
        <w:bidi w:val="0"/>
        <w:snapToGrid/>
        <w:spacing w:line="440" w:lineRule="exact"/>
        <w:textAlignment w:val="baseline"/>
        <w:rPr>
          <w:rFonts w:ascii="宋体" w:hAnsi="宋体"/>
          <w:sz w:val="20"/>
          <w:highlight w:val="none"/>
        </w:rPr>
      </w:pPr>
      <w:r>
        <w:rPr>
          <w:rFonts w:ascii="宋体" w:hAnsi="宋体"/>
          <w:sz w:val="20"/>
          <w:highlight w:val="none"/>
        </w:rPr>
        <w:t>乙方</w:t>
      </w:r>
      <w:r>
        <w:rPr>
          <w:rFonts w:hint="eastAsia" w:ascii="宋体" w:hAnsi="宋体"/>
          <w:sz w:val="20"/>
          <w:highlight w:val="none"/>
          <w:lang w:eastAsia="zh-CN"/>
        </w:rPr>
        <w:t>：</w:t>
      </w:r>
      <w:r>
        <w:rPr>
          <w:rFonts w:hint="eastAsia" w:ascii="宋体" w:hAnsi="宋体"/>
          <w:sz w:val="20"/>
          <w:highlight w:val="none"/>
          <w:lang w:val="en-US" w:eastAsia="zh-CN"/>
        </w:rPr>
        <w:t xml:space="preserve">         </w:t>
      </w:r>
      <w:r>
        <w:rPr>
          <w:rFonts w:hint="eastAsia" w:ascii="宋体" w:hAnsi="宋体"/>
          <w:highlight w:val="none"/>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ascii="宋体" w:hAnsi="宋体"/>
          <w:sz w:val="20"/>
          <w:highlight w:val="none"/>
        </w:rPr>
        <w:t>（以下简称乙方）</w:t>
      </w:r>
    </w:p>
    <w:p w14:paraId="47C5AC20">
      <w:pPr>
        <w:keepNext w:val="0"/>
        <w:keepLines w:val="0"/>
        <w:pageBreakBefore w:val="0"/>
        <w:tabs>
          <w:tab w:val="left" w:pos="2865"/>
        </w:tabs>
        <w:kinsoku/>
        <w:wordWrap/>
        <w:overflowPunct/>
        <w:topLinePunct w:val="0"/>
        <w:bidi w:val="0"/>
        <w:snapToGrid/>
        <w:spacing w:line="440" w:lineRule="exact"/>
        <w:ind w:firstLine="400" w:firstLineChars="200"/>
        <w:textAlignment w:val="baseline"/>
        <w:rPr>
          <w:rFonts w:ascii="宋体" w:hAnsi="宋体"/>
          <w:sz w:val="20"/>
          <w:highlight w:val="none"/>
        </w:rPr>
      </w:pPr>
      <w:r>
        <w:rPr>
          <w:rFonts w:ascii="宋体" w:hAnsi="宋体"/>
          <w:sz w:val="20"/>
          <w:highlight w:val="none"/>
        </w:rPr>
        <w:t>乙方作为合格</w:t>
      </w:r>
      <w:r>
        <w:rPr>
          <w:rFonts w:hint="eastAsia" w:ascii="宋体" w:hAnsi="宋体"/>
          <w:sz w:val="20"/>
          <w:highlight w:val="none"/>
          <w:lang w:eastAsia="zh-CN"/>
        </w:rPr>
        <w:t>乙方</w:t>
      </w:r>
      <w:r>
        <w:rPr>
          <w:rFonts w:ascii="宋体" w:hAnsi="宋体"/>
          <w:sz w:val="20"/>
          <w:highlight w:val="none"/>
        </w:rPr>
        <w:t>，其工艺保证能力、生产能力、质量保证能力须经甲方技术、生产、质量、采购等部门考察评审，并予以认可。</w:t>
      </w:r>
    </w:p>
    <w:p w14:paraId="2FC8DDCD">
      <w:pPr>
        <w:keepNext w:val="0"/>
        <w:keepLines w:val="0"/>
        <w:pageBreakBefore w:val="0"/>
        <w:tabs>
          <w:tab w:val="left" w:pos="2865"/>
        </w:tabs>
        <w:kinsoku/>
        <w:wordWrap/>
        <w:overflowPunct/>
        <w:topLinePunct w:val="0"/>
        <w:bidi w:val="0"/>
        <w:snapToGrid/>
        <w:spacing w:line="440" w:lineRule="exact"/>
        <w:ind w:firstLine="400" w:firstLineChars="200"/>
        <w:textAlignment w:val="baseline"/>
        <w:rPr>
          <w:rFonts w:hint="eastAsia" w:ascii="宋体" w:hAnsi="宋体"/>
          <w:sz w:val="20"/>
          <w:highlight w:val="none"/>
        </w:rPr>
      </w:pPr>
      <w:r>
        <w:rPr>
          <w:rFonts w:ascii="宋体" w:hAnsi="宋体"/>
          <w:sz w:val="20"/>
          <w:highlight w:val="none"/>
        </w:rPr>
        <w:t>为了保证模具外委制作的质量，就乙方向甲方供货的技术要求、产品技术认证、产品质量等事宜经双方充分协商达成以下协议，作为乙方今后供货时，双方共同执行的依据。</w:t>
      </w:r>
    </w:p>
    <w:p w14:paraId="2CB34C7A">
      <w:pPr>
        <w:keepNext w:val="0"/>
        <w:keepLines w:val="0"/>
        <w:pageBreakBefore w:val="0"/>
        <w:tabs>
          <w:tab w:val="left" w:pos="2865"/>
        </w:tabs>
        <w:kinsoku/>
        <w:wordWrap/>
        <w:overflowPunct/>
        <w:topLinePunct w:val="0"/>
        <w:bidi w:val="0"/>
        <w:snapToGrid/>
        <w:spacing w:line="440" w:lineRule="exact"/>
        <w:jc w:val="center"/>
        <w:rPr>
          <w:rFonts w:hint="eastAsia" w:ascii="宋体" w:hAnsi="宋体"/>
          <w:b/>
          <w:color w:val="auto"/>
          <w:sz w:val="20"/>
          <w:highlight w:val="none"/>
          <w:lang w:eastAsia="zh-CN"/>
        </w:rPr>
      </w:pPr>
      <w:r>
        <w:rPr>
          <w:rFonts w:hint="eastAsia" w:ascii="宋体" w:hAnsi="宋体"/>
          <w:b/>
          <w:color w:val="auto"/>
          <w:sz w:val="20"/>
          <w:highlight w:val="none"/>
        </w:rPr>
        <w:t xml:space="preserve">第一条  </w:t>
      </w:r>
      <w:r>
        <w:rPr>
          <w:rFonts w:hint="eastAsia" w:ascii="宋体" w:hAnsi="宋体"/>
          <w:b/>
          <w:color w:val="auto"/>
          <w:sz w:val="20"/>
          <w:highlight w:val="none"/>
          <w:lang w:val="en-US" w:eastAsia="zh-CN"/>
        </w:rPr>
        <w:t>基本要求</w:t>
      </w:r>
    </w:p>
    <w:p w14:paraId="19D9EAF8">
      <w:pPr>
        <w:keepNext w:val="0"/>
        <w:keepLines w:val="0"/>
        <w:pageBreakBefore w:val="0"/>
        <w:tabs>
          <w:tab w:val="left" w:pos="2865"/>
        </w:tabs>
        <w:kinsoku/>
        <w:wordWrap/>
        <w:overflowPunct/>
        <w:topLinePunct w:val="0"/>
        <w:bidi w:val="0"/>
        <w:snapToGrid/>
        <w:spacing w:line="440" w:lineRule="exact"/>
        <w:ind w:firstLine="400" w:firstLineChars="200"/>
        <w:textAlignment w:val="baseline"/>
        <w:rPr>
          <w:rFonts w:hint="eastAsia" w:ascii="宋体" w:hAnsi="宋体"/>
          <w:sz w:val="20"/>
          <w:highlight w:val="none"/>
        </w:rPr>
      </w:pPr>
      <w:r>
        <w:rPr>
          <w:rFonts w:hint="eastAsia" w:ascii="宋体" w:hAnsi="宋体"/>
          <w:sz w:val="20"/>
          <w:highlight w:val="none"/>
        </w:rPr>
        <w:t>1、</w:t>
      </w:r>
      <w:r>
        <w:rPr>
          <w:rFonts w:hint="eastAsia" w:ascii="宋体" w:hAnsi="宋体"/>
          <w:sz w:val="20"/>
          <w:highlight w:val="none"/>
          <w:lang w:val="en-US" w:eastAsia="zh-CN"/>
        </w:rPr>
        <w:t>乙方</w:t>
      </w:r>
      <w:r>
        <w:rPr>
          <w:rFonts w:hint="eastAsia" w:ascii="宋体" w:hAnsi="宋体"/>
          <w:sz w:val="20"/>
          <w:highlight w:val="none"/>
        </w:rPr>
        <w:t>所供的货物，必须符合中国最新版的法律、法规和相关标准、规范的要求，符合项目所在地政府有关特殊要求。</w:t>
      </w:r>
    </w:p>
    <w:p w14:paraId="01A20970">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00" w:firstLineChars="200"/>
        <w:textAlignment w:val="baseline"/>
        <w:rPr>
          <w:rFonts w:hint="eastAsia" w:ascii="宋体" w:hAnsi="宋体"/>
          <w:sz w:val="20"/>
          <w:highlight w:val="none"/>
          <w:lang w:eastAsia="zh-CN"/>
        </w:rPr>
      </w:pPr>
      <w:r>
        <w:rPr>
          <w:rFonts w:hint="eastAsia" w:ascii="宋体" w:hAnsi="宋体"/>
          <w:sz w:val="20"/>
          <w:highlight w:val="none"/>
          <w:lang w:val="en-US" w:eastAsia="zh-CN"/>
        </w:rPr>
        <w:t>2、乙方</w:t>
      </w:r>
      <w:r>
        <w:rPr>
          <w:rFonts w:hint="eastAsia" w:ascii="宋体" w:hAnsi="宋体"/>
          <w:sz w:val="20"/>
          <w:highlight w:val="none"/>
        </w:rPr>
        <w:t>应保证所供货物的完整性</w:t>
      </w:r>
      <w:r>
        <w:rPr>
          <w:rFonts w:hint="eastAsia" w:ascii="宋体" w:hAnsi="宋体"/>
          <w:sz w:val="20"/>
          <w:highlight w:val="none"/>
          <w:lang w:eastAsia="zh-CN"/>
        </w:rPr>
        <w:t>、</w:t>
      </w:r>
      <w:r>
        <w:rPr>
          <w:rFonts w:hint="eastAsia" w:ascii="宋体" w:hAnsi="宋体"/>
          <w:sz w:val="20"/>
          <w:highlight w:val="none"/>
        </w:rPr>
        <w:t>成套性</w:t>
      </w:r>
      <w:r>
        <w:rPr>
          <w:rFonts w:hint="eastAsia" w:ascii="宋体" w:hAnsi="宋体"/>
          <w:sz w:val="20"/>
          <w:highlight w:val="none"/>
          <w:lang w:eastAsia="zh-CN"/>
        </w:rPr>
        <w:t>、</w:t>
      </w:r>
      <w:r>
        <w:rPr>
          <w:rFonts w:hint="eastAsia" w:ascii="宋体" w:hAnsi="宋体"/>
          <w:sz w:val="20"/>
          <w:highlight w:val="none"/>
          <w:lang w:val="en-US" w:eastAsia="zh-CN"/>
        </w:rPr>
        <w:t>全新性</w:t>
      </w:r>
      <w:r>
        <w:rPr>
          <w:rFonts w:hint="eastAsia" w:ascii="宋体" w:hAnsi="宋体"/>
          <w:sz w:val="20"/>
          <w:highlight w:val="none"/>
        </w:rPr>
        <w:t>，能保证货物的正常运行、使用</w:t>
      </w:r>
      <w:r>
        <w:rPr>
          <w:rFonts w:hint="eastAsia" w:ascii="宋体" w:hAnsi="宋体"/>
          <w:sz w:val="20"/>
          <w:highlight w:val="none"/>
          <w:lang w:eastAsia="zh-CN"/>
        </w:rPr>
        <w:t>。</w:t>
      </w:r>
    </w:p>
    <w:p w14:paraId="4E6CE983">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00" w:firstLineChars="200"/>
        <w:textAlignment w:val="baseline"/>
        <w:rPr>
          <w:rFonts w:hint="eastAsia" w:ascii="宋体" w:hAnsi="宋体"/>
          <w:sz w:val="20"/>
          <w:highlight w:val="none"/>
        </w:rPr>
      </w:pPr>
      <w:r>
        <w:rPr>
          <w:rFonts w:hint="eastAsia" w:ascii="宋体" w:hAnsi="宋体"/>
          <w:sz w:val="20"/>
          <w:highlight w:val="none"/>
          <w:lang w:val="en-US" w:eastAsia="zh-CN"/>
        </w:rPr>
        <w:t>3、</w:t>
      </w:r>
      <w:r>
        <w:rPr>
          <w:rFonts w:hint="eastAsia" w:ascii="宋体" w:hAnsi="宋体"/>
          <w:sz w:val="20"/>
          <w:highlight w:val="none"/>
          <w:lang w:eastAsia="zh-CN"/>
        </w:rPr>
        <w:t>甲方</w:t>
      </w:r>
      <w:r>
        <w:rPr>
          <w:rFonts w:hint="eastAsia" w:ascii="宋体" w:hAnsi="宋体"/>
          <w:sz w:val="20"/>
          <w:highlight w:val="none"/>
        </w:rPr>
        <w:t>提供给</w:t>
      </w:r>
      <w:r>
        <w:rPr>
          <w:rFonts w:hint="eastAsia" w:ascii="宋体" w:hAnsi="宋体"/>
          <w:sz w:val="20"/>
          <w:highlight w:val="none"/>
          <w:lang w:eastAsia="zh-CN"/>
        </w:rPr>
        <w:t>乙方</w:t>
      </w:r>
      <w:r>
        <w:rPr>
          <w:rFonts w:hint="eastAsia" w:ascii="宋体" w:hAnsi="宋体"/>
          <w:sz w:val="20"/>
          <w:highlight w:val="none"/>
        </w:rPr>
        <w:t>PDF版图纸及</w:t>
      </w:r>
      <w:r>
        <w:rPr>
          <w:rFonts w:hint="eastAsia" w:ascii="宋体" w:hAnsi="宋体"/>
          <w:sz w:val="20"/>
          <w:highlight w:val="none"/>
          <w:lang w:val="en-US" w:eastAsia="zh-CN"/>
        </w:rPr>
        <w:t>模体/锻件</w:t>
      </w:r>
      <w:r>
        <w:rPr>
          <w:rFonts w:hint="eastAsia" w:ascii="宋体" w:hAnsi="宋体"/>
          <w:sz w:val="20"/>
          <w:highlight w:val="none"/>
        </w:rPr>
        <w:t>三维造型</w:t>
      </w:r>
      <w:r>
        <w:rPr>
          <w:rFonts w:hint="eastAsia" w:ascii="宋体" w:hAnsi="宋体"/>
          <w:sz w:val="20"/>
          <w:highlight w:val="none"/>
          <w:lang w:val="en-US" w:eastAsia="zh-CN"/>
        </w:rPr>
        <w:t>等</w:t>
      </w:r>
      <w:r>
        <w:rPr>
          <w:rFonts w:hint="eastAsia" w:ascii="宋体" w:hAnsi="宋体"/>
          <w:sz w:val="20"/>
          <w:highlight w:val="none"/>
        </w:rPr>
        <w:t>，</w:t>
      </w:r>
      <w:r>
        <w:rPr>
          <w:rFonts w:hint="eastAsia" w:ascii="宋体" w:hAnsi="宋体"/>
          <w:sz w:val="20"/>
          <w:highlight w:val="none"/>
          <w:lang w:eastAsia="zh-CN"/>
        </w:rPr>
        <w:t>甲方</w:t>
      </w:r>
      <w:r>
        <w:rPr>
          <w:rFonts w:hint="eastAsia" w:ascii="宋体" w:hAnsi="宋体"/>
          <w:sz w:val="20"/>
          <w:highlight w:val="none"/>
        </w:rPr>
        <w:t>拥有对图纸的知识产权，</w:t>
      </w:r>
      <w:r>
        <w:rPr>
          <w:rFonts w:hint="eastAsia" w:ascii="宋体" w:hAnsi="宋体"/>
          <w:sz w:val="20"/>
          <w:highlight w:val="none"/>
          <w:lang w:eastAsia="zh-CN"/>
        </w:rPr>
        <w:t>乙方</w:t>
      </w:r>
      <w:r>
        <w:rPr>
          <w:rFonts w:hint="eastAsia" w:ascii="宋体" w:hAnsi="宋体"/>
          <w:sz w:val="20"/>
          <w:highlight w:val="none"/>
        </w:rPr>
        <w:t>应对</w:t>
      </w:r>
      <w:r>
        <w:rPr>
          <w:rFonts w:hint="eastAsia" w:ascii="宋体" w:hAnsi="宋体"/>
          <w:sz w:val="20"/>
          <w:highlight w:val="none"/>
          <w:lang w:eastAsia="zh-CN"/>
        </w:rPr>
        <w:t>甲方</w:t>
      </w:r>
      <w:r>
        <w:rPr>
          <w:rFonts w:hint="eastAsia" w:ascii="宋体" w:hAnsi="宋体"/>
          <w:sz w:val="20"/>
          <w:highlight w:val="none"/>
        </w:rPr>
        <w:t>采购的货物所涉及的技术、产能等信息负有保密义务。</w:t>
      </w:r>
    </w:p>
    <w:p w14:paraId="544D1C5A">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00" w:firstLineChars="200"/>
        <w:textAlignment w:val="baseline"/>
        <w:rPr>
          <w:rFonts w:hint="eastAsia" w:ascii="宋体" w:hAnsi="宋体"/>
          <w:sz w:val="20"/>
          <w:highlight w:val="none"/>
        </w:rPr>
      </w:pPr>
      <w:r>
        <w:rPr>
          <w:rFonts w:hint="eastAsia" w:ascii="宋体" w:hAnsi="宋体"/>
          <w:sz w:val="20"/>
          <w:highlight w:val="none"/>
          <w:lang w:val="en-US" w:eastAsia="zh-CN"/>
        </w:rPr>
        <w:t>4、</w:t>
      </w:r>
      <w:r>
        <w:rPr>
          <w:rFonts w:hint="eastAsia" w:ascii="宋体" w:hAnsi="宋体"/>
          <w:sz w:val="20"/>
          <w:highlight w:val="none"/>
          <w:lang w:eastAsia="zh-CN"/>
        </w:rPr>
        <w:t>乙方</w:t>
      </w:r>
      <w:r>
        <w:rPr>
          <w:rFonts w:hint="eastAsia" w:ascii="宋体" w:hAnsi="宋体"/>
          <w:sz w:val="20"/>
          <w:highlight w:val="none"/>
        </w:rPr>
        <w:t>在委托外协加工时，必须征得</w:t>
      </w:r>
      <w:r>
        <w:rPr>
          <w:rFonts w:hint="eastAsia" w:ascii="宋体" w:hAnsi="宋体"/>
          <w:sz w:val="20"/>
          <w:highlight w:val="none"/>
          <w:lang w:eastAsia="zh-CN"/>
        </w:rPr>
        <w:t>甲方</w:t>
      </w:r>
      <w:r>
        <w:rPr>
          <w:rFonts w:hint="eastAsia" w:ascii="宋体" w:hAnsi="宋体"/>
          <w:sz w:val="20"/>
          <w:highlight w:val="none"/>
        </w:rPr>
        <w:t>的书面认可，并对外协方提出技术保密要求，不得将图纸外传，加工完成后，应将外协图纸收回。</w:t>
      </w:r>
    </w:p>
    <w:p w14:paraId="2172CFE4">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00" w:firstLineChars="200"/>
        <w:textAlignment w:val="baseline"/>
        <w:rPr>
          <w:rFonts w:hint="eastAsia" w:ascii="宋体" w:hAnsi="宋体"/>
          <w:sz w:val="20"/>
          <w:highlight w:val="none"/>
        </w:rPr>
      </w:pPr>
      <w:r>
        <w:rPr>
          <w:rFonts w:hint="eastAsia" w:ascii="宋体" w:hAnsi="宋体"/>
          <w:sz w:val="20"/>
          <w:highlight w:val="none"/>
          <w:lang w:val="en-US" w:eastAsia="zh-CN"/>
        </w:rPr>
        <w:t>5、</w:t>
      </w:r>
      <w:r>
        <w:rPr>
          <w:rFonts w:hint="eastAsia" w:ascii="宋体" w:hAnsi="宋体"/>
          <w:sz w:val="20"/>
          <w:highlight w:val="none"/>
          <w:lang w:eastAsia="zh-CN"/>
        </w:rPr>
        <w:t>乙方</w:t>
      </w:r>
      <w:r>
        <w:rPr>
          <w:rFonts w:hint="eastAsia" w:ascii="宋体" w:hAnsi="宋体"/>
          <w:sz w:val="20"/>
          <w:highlight w:val="none"/>
        </w:rPr>
        <w:t>不得自行改变</w:t>
      </w:r>
      <w:r>
        <w:rPr>
          <w:rFonts w:hint="eastAsia" w:ascii="宋体" w:hAnsi="宋体"/>
          <w:sz w:val="20"/>
          <w:highlight w:val="none"/>
          <w:lang w:eastAsia="zh-CN"/>
        </w:rPr>
        <w:t>甲方</w:t>
      </w:r>
      <w:r>
        <w:rPr>
          <w:rFonts w:hint="eastAsia" w:ascii="宋体" w:hAnsi="宋体"/>
          <w:sz w:val="20"/>
          <w:highlight w:val="none"/>
        </w:rPr>
        <w:t>提供的技术资料和技术质量要求，如确实需要更改，须事先征得</w:t>
      </w:r>
      <w:r>
        <w:rPr>
          <w:rFonts w:hint="eastAsia" w:ascii="宋体" w:hAnsi="宋体"/>
          <w:sz w:val="20"/>
          <w:highlight w:val="none"/>
          <w:lang w:eastAsia="zh-CN"/>
        </w:rPr>
        <w:t>甲方</w:t>
      </w:r>
      <w:r>
        <w:rPr>
          <w:rFonts w:hint="eastAsia" w:ascii="宋体" w:hAnsi="宋体"/>
          <w:sz w:val="20"/>
          <w:highlight w:val="none"/>
        </w:rPr>
        <w:t>的书面同意。</w:t>
      </w:r>
    </w:p>
    <w:p w14:paraId="5FD7493B">
      <w:pPr>
        <w:keepNext w:val="0"/>
        <w:keepLines w:val="0"/>
        <w:pageBreakBefore w:val="0"/>
        <w:tabs>
          <w:tab w:val="left" w:pos="2865"/>
        </w:tabs>
        <w:kinsoku/>
        <w:wordWrap/>
        <w:overflowPunct/>
        <w:topLinePunct w:val="0"/>
        <w:bidi w:val="0"/>
        <w:snapToGrid/>
        <w:spacing w:line="440" w:lineRule="exact"/>
        <w:ind w:firstLine="400" w:firstLineChars="200"/>
        <w:textAlignment w:val="baseline"/>
        <w:rPr>
          <w:rFonts w:hint="eastAsia" w:ascii="宋体" w:hAnsi="宋体"/>
          <w:sz w:val="20"/>
          <w:highlight w:val="none"/>
          <w:lang w:eastAsia="zh-CN"/>
        </w:rPr>
      </w:pPr>
      <w:r>
        <w:rPr>
          <w:rFonts w:hint="eastAsia" w:ascii="宋体" w:hAnsi="宋体"/>
          <w:sz w:val="20"/>
          <w:highlight w:val="none"/>
          <w:lang w:val="en-US" w:eastAsia="zh-CN"/>
        </w:rPr>
        <w:t>6、</w:t>
      </w:r>
      <w:r>
        <w:rPr>
          <w:rFonts w:hint="eastAsia" w:ascii="宋体" w:hAnsi="宋体"/>
          <w:sz w:val="20"/>
          <w:highlight w:val="none"/>
        </w:rPr>
        <w:t>在</w:t>
      </w:r>
      <w:r>
        <w:rPr>
          <w:rFonts w:hint="eastAsia" w:ascii="宋体" w:hAnsi="宋体"/>
          <w:sz w:val="20"/>
          <w:highlight w:val="none"/>
          <w:lang w:eastAsia="zh-CN"/>
        </w:rPr>
        <w:t>乙方</w:t>
      </w:r>
      <w:r>
        <w:rPr>
          <w:rFonts w:hint="eastAsia" w:ascii="宋体" w:hAnsi="宋体"/>
          <w:sz w:val="20"/>
          <w:highlight w:val="none"/>
        </w:rPr>
        <w:t>冶炼钢坯和锻造钢坯过程中</w:t>
      </w:r>
      <w:r>
        <w:rPr>
          <w:rFonts w:hint="eastAsia" w:ascii="宋体" w:hAnsi="宋体"/>
          <w:sz w:val="20"/>
          <w:highlight w:val="none"/>
          <w:lang w:eastAsia="zh-CN"/>
        </w:rPr>
        <w:t>甲方</w:t>
      </w:r>
      <w:r>
        <w:rPr>
          <w:rFonts w:hint="eastAsia" w:ascii="宋体" w:hAnsi="宋体"/>
          <w:sz w:val="20"/>
          <w:highlight w:val="none"/>
          <w:lang w:val="en-US" w:eastAsia="zh-CN"/>
        </w:rPr>
        <w:t>如需要可</w:t>
      </w:r>
      <w:r>
        <w:rPr>
          <w:rFonts w:hint="eastAsia" w:ascii="宋体" w:hAnsi="宋体"/>
          <w:sz w:val="20"/>
          <w:highlight w:val="none"/>
        </w:rPr>
        <w:t>到</w:t>
      </w:r>
      <w:r>
        <w:rPr>
          <w:rFonts w:hint="eastAsia" w:ascii="宋体" w:hAnsi="宋体"/>
          <w:sz w:val="20"/>
          <w:highlight w:val="none"/>
          <w:lang w:eastAsia="zh-CN"/>
        </w:rPr>
        <w:t>乙方</w:t>
      </w:r>
      <w:r>
        <w:rPr>
          <w:rFonts w:hint="eastAsia" w:ascii="宋体" w:hAnsi="宋体"/>
          <w:sz w:val="20"/>
          <w:highlight w:val="none"/>
        </w:rPr>
        <w:t>现场进行监制</w:t>
      </w:r>
      <w:r>
        <w:rPr>
          <w:rFonts w:hint="eastAsia" w:ascii="宋体" w:hAnsi="宋体"/>
          <w:sz w:val="20"/>
          <w:highlight w:val="none"/>
          <w:lang w:eastAsia="zh-CN"/>
        </w:rPr>
        <w:t>。</w:t>
      </w:r>
    </w:p>
    <w:p w14:paraId="76C51CE7">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第</w:t>
      </w:r>
      <w:r>
        <w:rPr>
          <w:rFonts w:hint="eastAsia" w:ascii="宋体" w:hAnsi="宋体" w:eastAsia="宋体" w:cs="宋体"/>
          <w:b/>
          <w:color w:val="auto"/>
          <w:sz w:val="20"/>
          <w:szCs w:val="20"/>
          <w:highlight w:val="none"/>
          <w:lang w:val="en-US" w:eastAsia="zh-CN"/>
        </w:rPr>
        <w:t>二</w:t>
      </w:r>
      <w:r>
        <w:rPr>
          <w:rFonts w:hint="eastAsia" w:ascii="宋体" w:hAnsi="宋体" w:eastAsia="宋体" w:cs="宋体"/>
          <w:b/>
          <w:color w:val="auto"/>
          <w:sz w:val="20"/>
          <w:szCs w:val="20"/>
          <w:highlight w:val="none"/>
        </w:rPr>
        <w:t>条  技术规范</w:t>
      </w:r>
    </w:p>
    <w:p w14:paraId="671B7157">
      <w:pPr>
        <w:keepNext w:val="0"/>
        <w:keepLines w:val="0"/>
        <w:pageBreakBefore w:val="0"/>
        <w:tabs>
          <w:tab w:val="left" w:pos="2865"/>
        </w:tabs>
        <w:kinsoku/>
        <w:wordWrap/>
        <w:overflowPunct/>
        <w:topLinePunct w:val="0"/>
        <w:bidi w:val="0"/>
        <w:snapToGrid/>
        <w:spacing w:line="440" w:lineRule="exact"/>
        <w:jc w:val="left"/>
        <w:rPr>
          <w:rFonts w:hint="default"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 xml:space="preserve">    一、新制模块</w:t>
      </w:r>
      <w:r>
        <w:rPr>
          <w:rFonts w:hint="eastAsia" w:ascii="宋体" w:hAnsi="宋体" w:cs="宋体"/>
          <w:b/>
          <w:color w:val="auto"/>
          <w:sz w:val="20"/>
          <w:szCs w:val="20"/>
          <w:highlight w:val="none"/>
          <w:lang w:val="en-US" w:eastAsia="zh-CN"/>
        </w:rPr>
        <w:t>技术要求</w:t>
      </w:r>
    </w:p>
    <w:p w14:paraId="1DC8AA03">
      <w:pPr>
        <w:pStyle w:val="125"/>
        <w:keepNext w:val="0"/>
        <w:keepLines w:val="0"/>
        <w:pageBreakBefore w:val="0"/>
        <w:tabs>
          <w:tab w:val="left" w:pos="900"/>
        </w:tabs>
        <w:kinsoku/>
        <w:wordWrap/>
        <w:overflowPunct/>
        <w:topLinePunct w:val="0"/>
        <w:bidi w:val="0"/>
        <w:snapToGrid/>
        <w:spacing w:line="440" w:lineRule="exact"/>
        <w:ind w:firstLine="4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r>
        <w:rPr>
          <w:rFonts w:hint="eastAsia" w:ascii="宋体" w:hAnsi="宋体" w:cs="宋体"/>
          <w:color w:val="auto"/>
          <w:sz w:val="20"/>
          <w:szCs w:val="20"/>
          <w:highlight w:val="none"/>
          <w:lang w:val="en-US" w:eastAsia="zh-CN"/>
        </w:rPr>
        <w:t>乙方</w:t>
      </w:r>
      <w:r>
        <w:rPr>
          <w:rFonts w:hint="eastAsia" w:ascii="宋体" w:hAnsi="宋体" w:eastAsia="宋体" w:cs="宋体"/>
          <w:color w:val="auto"/>
          <w:sz w:val="20"/>
          <w:szCs w:val="20"/>
          <w:highlight w:val="none"/>
        </w:rPr>
        <w:t>提供的货物必须符合以下标准要求：</w:t>
      </w:r>
    </w:p>
    <w:p w14:paraId="2F2DC328">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GB/T11880 模锻锤和大型机械压力机用模块技术条件</w:t>
      </w:r>
    </w:p>
    <w:p w14:paraId="290F38EC">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GB3077 合金结构钢技术条件</w:t>
      </w:r>
    </w:p>
    <w:p w14:paraId="483C9357">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GB11352 一般工程用铸造碳钢件</w:t>
      </w:r>
    </w:p>
    <w:p w14:paraId="2510F7C2">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GB1184 形状和位置公差   未注公差的规定</w:t>
      </w:r>
    </w:p>
    <w:p w14:paraId="175740D9">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GB/T1804 一般公差  线性尺寸的未注公差技术条件</w:t>
      </w:r>
    </w:p>
    <w:p w14:paraId="6EC23E88">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GB/T222 钢的成品化学成分允许偏差</w:t>
      </w:r>
    </w:p>
    <w:p w14:paraId="3BDD5C0A">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GB/T231.1 金属布氏硬度试验  第1部分  试验方法</w:t>
      </w:r>
    </w:p>
    <w:p w14:paraId="2D8BA15E">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GB/T1299 合金工具钢</w:t>
      </w:r>
    </w:p>
    <w:p w14:paraId="48867E1C">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GB/T6402 钢锻材超声波检验方法</w:t>
      </w:r>
    </w:p>
    <w:p w14:paraId="1C1466BE">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GB/T10561 钢中非金属夹杂物含量的测定—标准评级图显微检验法</w:t>
      </w:r>
    </w:p>
    <w:p w14:paraId="5082F2FB">
      <w:pPr>
        <w:pStyle w:val="4"/>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GB/T</w:t>
      </w:r>
      <w:r>
        <w:rPr>
          <w:rFonts w:hint="eastAsia" w:ascii="宋体" w:hAnsi="宋体" w:eastAsia="宋体" w:cs="宋体"/>
          <w:color w:val="auto"/>
          <w:sz w:val="20"/>
          <w:szCs w:val="20"/>
          <w:highlight w:val="none"/>
          <w:lang w:val="en-US" w:eastAsia="zh-CN"/>
        </w:rPr>
        <w:t>16923 钢件的正火与退火</w:t>
      </w:r>
    </w:p>
    <w:p w14:paraId="5787F5C4">
      <w:pPr>
        <w:pStyle w:val="4"/>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GB/</w:t>
      </w:r>
      <w:r>
        <w:rPr>
          <w:rFonts w:hint="eastAsia" w:ascii="宋体" w:hAnsi="宋体" w:eastAsia="宋体" w:cs="宋体"/>
          <w:color w:val="auto"/>
          <w:sz w:val="20"/>
          <w:szCs w:val="20"/>
          <w:highlight w:val="none"/>
          <w:lang w:val="en-US" w:eastAsia="zh-CN"/>
        </w:rPr>
        <w:t>T16924 钢件的淬火与回火</w:t>
      </w:r>
    </w:p>
    <w:p w14:paraId="2FDB5CA0">
      <w:pPr>
        <w:pStyle w:val="4"/>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GB/T15824 热作模具钢热疲劳试验方法</w:t>
      </w:r>
    </w:p>
    <w:p w14:paraId="5CD36856">
      <w:pPr>
        <w:pStyle w:val="4"/>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JB/T8431 锻模 热模锻用钢 技术条件</w:t>
      </w:r>
    </w:p>
    <w:p w14:paraId="45A73754">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以上标准中条款</w:t>
      </w:r>
      <w:r>
        <w:rPr>
          <w:rFonts w:hint="eastAsia" w:ascii="宋体" w:hAnsi="宋体" w:eastAsia="宋体" w:cs="宋体"/>
          <w:color w:val="auto"/>
          <w:sz w:val="20"/>
          <w:szCs w:val="20"/>
          <w:highlight w:val="none"/>
          <w:lang w:val="en-US" w:eastAsia="zh-CN"/>
        </w:rPr>
        <w:t>以及其引用的标准或条款</w:t>
      </w:r>
      <w:r>
        <w:rPr>
          <w:rFonts w:hint="eastAsia" w:ascii="宋体" w:hAnsi="宋体" w:eastAsia="宋体" w:cs="宋体"/>
          <w:color w:val="auto"/>
          <w:sz w:val="20"/>
          <w:szCs w:val="20"/>
          <w:highlight w:val="none"/>
        </w:rPr>
        <w:t>通过本</w:t>
      </w:r>
      <w:r>
        <w:rPr>
          <w:rFonts w:hint="eastAsia" w:ascii="宋体" w:hAnsi="宋体" w:eastAsia="宋体" w:cs="宋体"/>
          <w:color w:val="auto"/>
          <w:sz w:val="20"/>
          <w:szCs w:val="20"/>
          <w:highlight w:val="none"/>
          <w:lang w:val="en-US" w:eastAsia="zh-CN"/>
        </w:rPr>
        <w:t>协议</w:t>
      </w:r>
      <w:r>
        <w:rPr>
          <w:rFonts w:hint="eastAsia" w:ascii="宋体" w:hAnsi="宋体" w:eastAsia="宋体" w:cs="宋体"/>
          <w:color w:val="auto"/>
          <w:sz w:val="20"/>
          <w:szCs w:val="20"/>
          <w:highlight w:val="none"/>
        </w:rPr>
        <w:t>的引用而成为本</w:t>
      </w:r>
      <w:r>
        <w:rPr>
          <w:rFonts w:hint="eastAsia" w:ascii="宋体" w:hAnsi="宋体" w:eastAsia="宋体" w:cs="宋体"/>
          <w:color w:val="auto"/>
          <w:sz w:val="20"/>
          <w:szCs w:val="20"/>
          <w:highlight w:val="none"/>
          <w:lang w:val="en-US" w:eastAsia="zh-CN"/>
        </w:rPr>
        <w:t>协议</w:t>
      </w:r>
      <w:r>
        <w:rPr>
          <w:rFonts w:hint="eastAsia" w:ascii="宋体" w:hAnsi="宋体" w:eastAsia="宋体" w:cs="宋体"/>
          <w:color w:val="auto"/>
          <w:sz w:val="20"/>
          <w:szCs w:val="20"/>
          <w:highlight w:val="none"/>
        </w:rPr>
        <w:t>的条款。凡是注日期的引用文件，其随后所有的修改单（不包括勘误的内容）或修订版均不适用于本</w:t>
      </w:r>
      <w:r>
        <w:rPr>
          <w:rFonts w:hint="eastAsia" w:ascii="宋体" w:hAnsi="宋体" w:eastAsia="宋体" w:cs="宋体"/>
          <w:color w:val="auto"/>
          <w:sz w:val="20"/>
          <w:szCs w:val="20"/>
          <w:highlight w:val="none"/>
          <w:lang w:val="en-US" w:eastAsia="zh-CN"/>
        </w:rPr>
        <w:t>协议</w:t>
      </w:r>
      <w:r>
        <w:rPr>
          <w:rFonts w:hint="eastAsia" w:ascii="宋体" w:hAnsi="宋体" w:eastAsia="宋体" w:cs="宋体"/>
          <w:color w:val="auto"/>
          <w:sz w:val="20"/>
          <w:szCs w:val="20"/>
          <w:highlight w:val="none"/>
        </w:rPr>
        <w:t>，凡是不注日期的引用文件，其最新版本适用于本</w:t>
      </w:r>
      <w:r>
        <w:rPr>
          <w:rFonts w:hint="eastAsia" w:ascii="宋体" w:hAnsi="宋体" w:eastAsia="宋体" w:cs="宋体"/>
          <w:color w:val="auto"/>
          <w:sz w:val="20"/>
          <w:szCs w:val="20"/>
          <w:highlight w:val="none"/>
          <w:lang w:val="en-US" w:eastAsia="zh-CN"/>
        </w:rPr>
        <w:t>协议</w:t>
      </w:r>
      <w:r>
        <w:rPr>
          <w:rFonts w:hint="eastAsia" w:ascii="宋体" w:hAnsi="宋体" w:eastAsia="宋体" w:cs="宋体"/>
          <w:color w:val="auto"/>
          <w:sz w:val="20"/>
          <w:szCs w:val="20"/>
          <w:highlight w:val="none"/>
        </w:rPr>
        <w:t>。</w:t>
      </w:r>
    </w:p>
    <w:p w14:paraId="2701D61E">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w:t>
      </w:r>
      <w:r>
        <w:rPr>
          <w:rFonts w:hint="eastAsia" w:ascii="宋体" w:hAnsi="宋体" w:eastAsia="宋体" w:cs="宋体"/>
          <w:color w:val="auto"/>
          <w:sz w:val="20"/>
          <w:szCs w:val="20"/>
          <w:highlight w:val="none"/>
        </w:rPr>
        <w:t>模块材料应采用电弧炉或其他特种冶金设备冶炼，并采用炉外精炼钢</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模箱、底板用模块要求采用双真空脱氧工艺或电渣重熔工艺精炼。</w:t>
      </w:r>
    </w:p>
    <w:p w14:paraId="1332126D">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lang w:val="en-US"/>
        </w:rPr>
      </w:pPr>
      <w:r>
        <w:rPr>
          <w:rFonts w:hint="eastAsia" w:ascii="宋体" w:hAnsi="宋体" w:eastAsia="宋体" w:cs="宋体"/>
          <w:color w:val="auto"/>
          <w:sz w:val="20"/>
          <w:szCs w:val="20"/>
          <w:highlight w:val="none"/>
          <w:lang w:val="en-US" w:eastAsia="zh-CN"/>
        </w:rPr>
        <w:t>3、模箱</w:t>
      </w:r>
      <w:r>
        <w:rPr>
          <w:rFonts w:hint="eastAsia" w:ascii="宋体" w:hAnsi="宋体" w:eastAsia="宋体" w:cs="宋体"/>
          <w:color w:val="auto"/>
          <w:sz w:val="20"/>
          <w:szCs w:val="20"/>
          <w:highlight w:val="none"/>
        </w:rPr>
        <w:t>的</w:t>
      </w:r>
      <w:r>
        <w:rPr>
          <w:rFonts w:hint="eastAsia" w:ascii="宋体" w:hAnsi="宋体" w:eastAsia="宋体" w:cs="宋体"/>
          <w:color w:val="auto"/>
          <w:sz w:val="20"/>
          <w:szCs w:val="20"/>
          <w:highlight w:val="none"/>
          <w:lang w:val="en-US" w:eastAsia="zh-CN"/>
        </w:rPr>
        <w:t>流线</w:t>
      </w:r>
      <w:r>
        <w:rPr>
          <w:rFonts w:hint="eastAsia" w:ascii="宋体" w:hAnsi="宋体" w:eastAsia="宋体" w:cs="宋体"/>
          <w:color w:val="auto"/>
          <w:sz w:val="20"/>
          <w:szCs w:val="20"/>
          <w:highlight w:val="none"/>
        </w:rPr>
        <w:t>必须符合图纸规定的要求</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锻模模块材料的的流线应垂直于打击方向，对于长轴类锻件，流线方向应当与锻件轴线平行（即平行锤锻模燕尾方向）。</w:t>
      </w:r>
    </w:p>
    <w:p w14:paraId="14FD7F10">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4、</w:t>
      </w:r>
      <w:r>
        <w:rPr>
          <w:rFonts w:hint="eastAsia" w:ascii="宋体" w:hAnsi="宋体" w:eastAsia="宋体" w:cs="宋体"/>
          <w:color w:val="auto"/>
          <w:sz w:val="20"/>
          <w:szCs w:val="20"/>
          <w:highlight w:val="none"/>
        </w:rPr>
        <w:t>用钢锭锻造模块，必须</w:t>
      </w:r>
      <w:r>
        <w:rPr>
          <w:rFonts w:hint="eastAsia" w:ascii="宋体" w:hAnsi="宋体" w:eastAsia="宋体" w:cs="宋体"/>
          <w:color w:val="auto"/>
          <w:sz w:val="20"/>
          <w:szCs w:val="20"/>
          <w:highlight w:val="none"/>
          <w:lang w:val="en-US" w:eastAsia="zh-CN"/>
        </w:rPr>
        <w:t>遵循“三镦三拔”工艺</w:t>
      </w:r>
      <w:r>
        <w:rPr>
          <w:rFonts w:hint="eastAsia" w:ascii="宋体" w:hAnsi="宋体" w:eastAsia="宋体" w:cs="宋体"/>
          <w:color w:val="auto"/>
          <w:sz w:val="20"/>
          <w:szCs w:val="20"/>
          <w:highlight w:val="none"/>
        </w:rPr>
        <w:t>，锻造比≥3，</w:t>
      </w:r>
      <w:r>
        <w:rPr>
          <w:rFonts w:hint="eastAsia" w:ascii="宋体" w:hAnsi="宋体" w:eastAsia="宋体" w:cs="宋体"/>
          <w:color w:val="auto"/>
          <w:sz w:val="20"/>
          <w:szCs w:val="20"/>
          <w:highlight w:val="none"/>
          <w:lang w:val="en-US" w:eastAsia="zh-CN"/>
        </w:rPr>
        <w:t>模箱锻造比≥3.5</w:t>
      </w:r>
      <w:r>
        <w:rPr>
          <w:rFonts w:hint="eastAsia" w:ascii="宋体" w:hAnsi="宋体" w:eastAsia="宋体" w:cs="宋体"/>
          <w:color w:val="auto"/>
          <w:sz w:val="20"/>
          <w:szCs w:val="20"/>
          <w:highlight w:val="none"/>
        </w:rPr>
        <w:t>。</w:t>
      </w:r>
    </w:p>
    <w:p w14:paraId="79AADEE6">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5、</w:t>
      </w:r>
      <w:r>
        <w:rPr>
          <w:rFonts w:hint="eastAsia" w:ascii="宋体" w:hAnsi="宋体" w:eastAsia="宋体" w:cs="宋体"/>
          <w:color w:val="auto"/>
          <w:sz w:val="20"/>
          <w:szCs w:val="20"/>
          <w:highlight w:val="none"/>
        </w:rPr>
        <w:t>模块内部不允许有白点、裂纹、缩孔等缺陷。</w:t>
      </w:r>
    </w:p>
    <w:p w14:paraId="1C85C6D2">
      <w:pPr>
        <w:pStyle w:val="4"/>
        <w:keepNext w:val="0"/>
        <w:keepLines w:val="0"/>
        <w:pageBreakBefore w:val="0"/>
        <w:kinsoku/>
        <w:wordWrap/>
        <w:overflowPunct/>
        <w:topLinePunct w:val="0"/>
        <w:bidi w:val="0"/>
        <w:snapToGrid/>
        <w:spacing w:line="440" w:lineRule="exact"/>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 xml:space="preserve">    6、热处理时，有效加热区的温度偏差应按照</w:t>
      </w:r>
      <w:r>
        <w:rPr>
          <w:rFonts w:hint="eastAsia" w:ascii="宋体" w:hAnsi="宋体" w:eastAsia="宋体" w:cs="宋体"/>
          <w:color w:val="auto"/>
          <w:sz w:val="20"/>
          <w:szCs w:val="20"/>
          <w:highlight w:val="none"/>
        </w:rPr>
        <w:t>GB/T</w:t>
      </w:r>
      <w:r>
        <w:rPr>
          <w:rFonts w:hint="eastAsia" w:ascii="宋体" w:hAnsi="宋体" w:eastAsia="宋体" w:cs="宋体"/>
          <w:color w:val="auto"/>
          <w:sz w:val="20"/>
          <w:szCs w:val="20"/>
          <w:highlight w:val="none"/>
          <w:lang w:val="en-US" w:eastAsia="zh-CN"/>
        </w:rPr>
        <w:t>16923 以及</w:t>
      </w:r>
      <w:r>
        <w:rPr>
          <w:rFonts w:hint="eastAsia" w:ascii="宋体" w:hAnsi="宋体" w:eastAsia="宋体" w:cs="宋体"/>
          <w:color w:val="auto"/>
          <w:sz w:val="20"/>
          <w:szCs w:val="20"/>
          <w:highlight w:val="none"/>
        </w:rPr>
        <w:t>GB/T</w:t>
      </w:r>
      <w:r>
        <w:rPr>
          <w:rFonts w:hint="eastAsia" w:ascii="宋体" w:hAnsi="宋体" w:eastAsia="宋体" w:cs="宋体"/>
          <w:color w:val="auto"/>
          <w:sz w:val="20"/>
          <w:szCs w:val="20"/>
          <w:highlight w:val="none"/>
          <w:lang w:val="en-US" w:eastAsia="zh-CN"/>
        </w:rPr>
        <w:t>16924的规定。淬火加热的温度偏差不应超出±10℃，并且保证不少于2次的回火，模箱精加工过程中增加一次低温去应力回火。</w:t>
      </w:r>
    </w:p>
    <w:p w14:paraId="0FF32A1C">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7、</w:t>
      </w:r>
      <w:r>
        <w:rPr>
          <w:rFonts w:hint="eastAsia" w:ascii="宋体" w:hAnsi="宋体" w:eastAsia="宋体" w:cs="宋体"/>
          <w:color w:val="auto"/>
          <w:sz w:val="20"/>
          <w:szCs w:val="20"/>
          <w:highlight w:val="none"/>
        </w:rPr>
        <w:t>模块应进行超声波探伤检查，检测方法应符合GB/T6402的相关规定，超声波探伤检查判定符合GB/T11880的规定。</w:t>
      </w:r>
    </w:p>
    <w:p w14:paraId="3C75F39A">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8、</w:t>
      </w:r>
      <w:r>
        <w:rPr>
          <w:rFonts w:hint="eastAsia" w:ascii="宋体" w:hAnsi="宋体" w:eastAsia="宋体" w:cs="宋体"/>
          <w:color w:val="auto"/>
          <w:sz w:val="20"/>
          <w:szCs w:val="20"/>
          <w:highlight w:val="none"/>
        </w:rPr>
        <w:t>钢中的非金属夹杂物检测评级参照GB/T10561，应符合下述规定：</w:t>
      </w:r>
    </w:p>
    <w:p w14:paraId="7BF56A62">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r>
        <w:rPr>
          <w:rFonts w:hint="eastAsia" w:ascii="宋体" w:hAnsi="宋体" w:eastAsia="宋体" w:cs="宋体"/>
          <w:color w:val="auto"/>
          <w:sz w:val="20"/>
          <w:szCs w:val="20"/>
          <w:highlight w:val="none"/>
          <w:lang w:val="en-US" w:eastAsia="zh-CN"/>
        </w:rPr>
        <w:t>A、B、C、D类夹杂物</w:t>
      </w:r>
      <w:r>
        <w:rPr>
          <w:rFonts w:hint="eastAsia" w:ascii="宋体" w:hAnsi="宋体" w:eastAsia="宋体" w:cs="宋体"/>
          <w:color w:val="auto"/>
          <w:sz w:val="20"/>
          <w:szCs w:val="20"/>
          <w:highlight w:val="none"/>
        </w:rPr>
        <w:t>≤</w:t>
      </w:r>
      <w:r>
        <w:rPr>
          <w:rFonts w:hint="eastAsia" w:ascii="宋体" w:hAnsi="宋体" w:eastAsia="宋体" w:cs="宋体"/>
          <w:color w:val="auto"/>
          <w:sz w:val="20"/>
          <w:szCs w:val="20"/>
          <w:highlight w:val="none"/>
          <w:lang w:val="en-US" w:eastAsia="zh-CN"/>
        </w:rPr>
        <w:t>0.5</w:t>
      </w:r>
      <w:r>
        <w:rPr>
          <w:rFonts w:hint="eastAsia" w:ascii="宋体" w:hAnsi="宋体" w:eastAsia="宋体" w:cs="宋体"/>
          <w:color w:val="auto"/>
          <w:sz w:val="20"/>
          <w:szCs w:val="20"/>
          <w:highlight w:val="none"/>
        </w:rPr>
        <w:t>级。</w:t>
      </w:r>
    </w:p>
    <w:p w14:paraId="6ACBA42A">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9、</w:t>
      </w:r>
      <w:r>
        <w:rPr>
          <w:rFonts w:hint="eastAsia" w:ascii="宋体" w:hAnsi="宋体" w:eastAsia="宋体" w:cs="宋体"/>
          <w:color w:val="auto"/>
          <w:sz w:val="20"/>
          <w:szCs w:val="20"/>
          <w:highlight w:val="none"/>
        </w:rPr>
        <w:t>模块试验方法及验收规则：必须符合GB/T11880的相关规定。</w:t>
      </w:r>
      <w:r>
        <w:rPr>
          <w:rFonts w:hint="eastAsia" w:ascii="宋体" w:hAnsi="宋体" w:eastAsia="宋体" w:cs="宋体"/>
          <w:color w:val="auto"/>
          <w:sz w:val="20"/>
          <w:szCs w:val="20"/>
          <w:highlight w:val="none"/>
          <w:lang w:val="en-US" w:eastAsia="zh-CN"/>
        </w:rPr>
        <w:t>如图纸有明确要求按照图纸要求执行。</w:t>
      </w:r>
    </w:p>
    <w:p w14:paraId="4080AF1F">
      <w:pPr>
        <w:pStyle w:val="5"/>
        <w:keepNext w:val="0"/>
        <w:keepLines w:val="0"/>
        <w:pageBreakBefore w:val="0"/>
        <w:numPr>
          <w:ilvl w:val="0"/>
          <w:numId w:val="0"/>
        </w:numPr>
        <w:kinsoku/>
        <w:wordWrap/>
        <w:overflowPunct/>
        <w:topLinePunct w:val="0"/>
        <w:bidi w:val="0"/>
        <w:snapToGrid/>
        <w:spacing w:line="440" w:lineRule="exact"/>
        <w:rPr>
          <w:rFonts w:hint="eastAsia" w:ascii="宋体" w:hAnsi="宋体" w:eastAsia="宋体" w:cs="宋体"/>
          <w:b/>
          <w:bCs/>
          <w:color w:val="auto"/>
          <w:sz w:val="20"/>
          <w:szCs w:val="20"/>
          <w:highlight w:val="none"/>
          <w:lang w:val="en-US" w:eastAsia="zh-CN"/>
        </w:rPr>
      </w:pPr>
      <w:r>
        <w:rPr>
          <w:rFonts w:hint="eastAsia" w:ascii="宋体" w:hAnsi="宋体" w:cs="宋体"/>
          <w:b/>
          <w:bCs/>
          <w:i w:val="0"/>
          <w:iCs w:val="0"/>
          <w:color w:val="auto"/>
          <w:kern w:val="0"/>
          <w:sz w:val="20"/>
          <w:szCs w:val="20"/>
          <w:highlight w:val="none"/>
          <w:u w:val="none"/>
          <w:lang w:val="en-US" w:eastAsia="zh-CN" w:bidi="ar"/>
        </w:rPr>
        <w:t>二、</w:t>
      </w:r>
      <w:r>
        <w:rPr>
          <w:rFonts w:hint="eastAsia" w:ascii="宋体" w:hAnsi="宋体" w:eastAsia="宋体" w:cs="宋体"/>
          <w:b/>
          <w:bCs/>
          <w:i w:val="0"/>
          <w:iCs w:val="0"/>
          <w:color w:val="auto"/>
          <w:kern w:val="0"/>
          <w:sz w:val="20"/>
          <w:szCs w:val="20"/>
          <w:highlight w:val="none"/>
          <w:u w:val="none"/>
          <w:lang w:val="en-US" w:eastAsia="zh-CN" w:bidi="ar"/>
        </w:rPr>
        <w:t>新制</w:t>
      </w:r>
      <w:r>
        <w:rPr>
          <w:rFonts w:hint="eastAsia" w:ascii="宋体" w:hAnsi="宋体" w:cs="宋体"/>
          <w:b/>
          <w:bCs/>
          <w:i w:val="0"/>
          <w:iCs w:val="0"/>
          <w:color w:val="auto"/>
          <w:kern w:val="0"/>
          <w:sz w:val="20"/>
          <w:szCs w:val="20"/>
          <w:highlight w:val="none"/>
          <w:u w:val="none"/>
          <w:lang w:val="en-US" w:eastAsia="zh-CN" w:bidi="ar"/>
        </w:rPr>
        <w:t>模具技术</w:t>
      </w:r>
      <w:r>
        <w:rPr>
          <w:rFonts w:hint="eastAsia" w:ascii="宋体" w:hAnsi="宋体" w:eastAsia="宋体" w:cs="宋体"/>
          <w:b/>
          <w:bCs/>
          <w:color w:val="auto"/>
          <w:sz w:val="20"/>
          <w:szCs w:val="20"/>
          <w:highlight w:val="none"/>
          <w:lang w:val="en-US" w:eastAsia="zh-CN"/>
        </w:rPr>
        <w:t>要求</w:t>
      </w:r>
    </w:p>
    <w:p w14:paraId="14C2F980">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1、锻模，主要包括镦粗模、预锻模、终锻模以及配套顶料杆，材质均为5CrNiMo。</w:t>
      </w:r>
    </w:p>
    <w:p w14:paraId="4B31CEC3">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default"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1.1、镦粗模、预锻模、终锻模淬火后至少两次回火，硬度要求HRC44-48；</w:t>
      </w:r>
      <w:r>
        <w:rPr>
          <w:rFonts w:hint="eastAsia" w:ascii="宋体" w:hAnsi="宋体"/>
          <w:sz w:val="20"/>
          <w:szCs w:val="20"/>
          <w:highlight w:val="none"/>
          <w:lang w:val="en-US" w:eastAsia="zh-CN"/>
        </w:rPr>
        <w:t>模具型腔表面粗糙度Ra0.8，其它Ra3.2；</w:t>
      </w:r>
      <w:r>
        <w:rPr>
          <w:rFonts w:hint="eastAsia" w:ascii="宋体" w:hAnsi="宋体" w:eastAsia="宋体" w:cs="宋体"/>
          <w:color w:val="auto"/>
          <w:kern w:val="2"/>
          <w:sz w:val="20"/>
          <w:szCs w:val="20"/>
          <w:highlight w:val="none"/>
          <w:lang w:val="en-US" w:eastAsia="zh-CN" w:bidi="ar-SA"/>
        </w:rPr>
        <w:t>模具加工完成后对模具表面进行精抛</w:t>
      </w:r>
      <w:r>
        <w:rPr>
          <w:rFonts w:hint="eastAsia" w:ascii="宋体" w:hAnsi="宋体" w:cs="宋体"/>
          <w:color w:val="auto"/>
          <w:kern w:val="2"/>
          <w:sz w:val="20"/>
          <w:szCs w:val="20"/>
          <w:highlight w:val="none"/>
          <w:lang w:val="en-US" w:eastAsia="zh-CN" w:bidi="ar-SA"/>
        </w:rPr>
        <w:t>，</w:t>
      </w:r>
      <w:r>
        <w:rPr>
          <w:rFonts w:hint="eastAsia" w:ascii="宋体" w:hAnsi="宋体" w:eastAsia="宋体" w:cs="宋体"/>
          <w:color w:val="auto"/>
          <w:kern w:val="2"/>
          <w:sz w:val="20"/>
          <w:szCs w:val="20"/>
          <w:highlight w:val="none"/>
          <w:lang w:val="en-US" w:eastAsia="zh-CN" w:bidi="ar-SA"/>
        </w:rPr>
        <w:t>抛光公差及加工公差合计不得超过±0.3mm。</w:t>
      </w:r>
    </w:p>
    <w:p w14:paraId="676C3EF4">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default"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1.2、顶料杆调质处理，硬度要求HRC43-47，</w:t>
      </w:r>
      <w:r>
        <w:rPr>
          <w:rFonts w:hint="eastAsia" w:ascii="宋体" w:hAnsi="宋体"/>
          <w:sz w:val="20"/>
          <w:szCs w:val="20"/>
          <w:highlight w:val="none"/>
          <w:lang w:val="en-US" w:eastAsia="zh-CN"/>
        </w:rPr>
        <w:t>表面粗糙度Ra1.6；</w:t>
      </w:r>
      <w:r>
        <w:rPr>
          <w:rFonts w:hint="eastAsia" w:ascii="宋体" w:hAnsi="宋体"/>
          <w:sz w:val="20"/>
          <w:highlight w:val="none"/>
          <w:lang w:val="en-US" w:eastAsia="zh-CN"/>
        </w:rPr>
        <w:t>顶料杆两端面无中心孔，与锻件接触面无倒角；长度公差±0.05mm，与锻模配合直径公差（+0.1，0）mm。</w:t>
      </w:r>
    </w:p>
    <w:p w14:paraId="296C4D5E">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2、切边模具，主要包括上下凸模（抱切上下模）、凹模、卸料板、顶杆横梁、压板、字头压块以及配套顶料杆等。压板、字头压块、卸料板材质为45#钢，其余均为5CrNiMo。</w:t>
      </w:r>
    </w:p>
    <w:p w14:paraId="5D0FF8F0">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default"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2.1、上下凸模（抱切上下模），调质处理HRC38-43，型腔按照终锻热锻件加工，所有凸圆角缩小至R0.8mm，所有凹圆角在终锻热锻件圆角基础上圆角半径+5mm；大小爪凸模模底向上30mm深度与终锻热锻件一致、凸模与锻件台阶连接处扩大2mm。上下凸模（抱切上下模）外轮廓与凹模刃口配做，单边间隙1.5mm，由凸模（抱切模）做出。冲头杆部单边放大1.4mm。</w:t>
      </w:r>
      <w:r>
        <w:rPr>
          <w:rFonts w:hint="eastAsia" w:ascii="宋体" w:hAnsi="宋体"/>
          <w:color w:val="auto"/>
          <w:sz w:val="20"/>
          <w:szCs w:val="20"/>
          <w:highlight w:val="none"/>
          <w:lang w:val="en-US" w:eastAsia="zh-CN"/>
        </w:rPr>
        <w:t>模具型腔表面粗糙度Ra0.8，其它Ra3.2。冲头字头槽可直接加工也可镶焊，选用字头大小需要与目前甲方在用统一。</w:t>
      </w:r>
      <w:r>
        <w:rPr>
          <w:rFonts w:hint="eastAsia" w:ascii="宋体" w:hAnsi="宋体" w:eastAsia="宋体" w:cs="宋体"/>
          <w:color w:val="auto"/>
          <w:kern w:val="2"/>
          <w:sz w:val="20"/>
          <w:szCs w:val="20"/>
          <w:highlight w:val="none"/>
          <w:lang w:val="en-US" w:eastAsia="zh-CN" w:bidi="ar-SA"/>
        </w:rPr>
        <w:t>抛光公差及加工公差合计不得超过±0.3mm。</w:t>
      </w:r>
    </w:p>
    <w:p w14:paraId="267DC6F9">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00" w:firstLineChars="200"/>
        <w:rPr>
          <w:rFonts w:hint="default"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2.2、切边凹模基体调质处理，硬度要求HRC43-47，刃口堆焊HRC48-52。刃口尺寸按照终锻热锻件分模线单边放大0.7mm，刃口堆焊尺寸不小于15×15mm，刃口加工精度±0.1mm。刃口</w:t>
      </w:r>
      <w:r>
        <w:rPr>
          <w:rFonts w:hint="eastAsia" w:ascii="宋体" w:hAnsi="宋体"/>
          <w:color w:val="auto"/>
          <w:sz w:val="20"/>
          <w:szCs w:val="20"/>
          <w:highlight w:val="none"/>
          <w:lang w:val="en-US" w:eastAsia="zh-CN"/>
        </w:rPr>
        <w:t>表面粗糙度Ra0.8，其余Ra3.2。</w:t>
      </w:r>
    </w:p>
    <w:p w14:paraId="5C3A377B">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00" w:firstLineChars="200"/>
        <w:rPr>
          <w:rFonts w:hint="eastAsia" w:ascii="宋体" w:hAnsi="宋体" w:cs="宋体"/>
          <w:color w:val="FF0000"/>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2.3、压板、字头压块、卸料板调质处理HRC32-38、</w:t>
      </w:r>
      <w:r>
        <w:rPr>
          <w:rFonts w:hint="eastAsia" w:ascii="宋体" w:hAnsi="宋体"/>
          <w:color w:val="auto"/>
          <w:sz w:val="20"/>
          <w:szCs w:val="20"/>
          <w:highlight w:val="none"/>
          <w:lang w:val="en-US" w:eastAsia="zh-CN"/>
        </w:rPr>
        <w:t>表面粗糙度Ra6.3。</w:t>
      </w:r>
      <w:r>
        <w:rPr>
          <w:rFonts w:hint="eastAsia" w:ascii="宋体" w:hAnsi="宋体" w:cs="宋体"/>
          <w:color w:val="auto"/>
          <w:kern w:val="2"/>
          <w:sz w:val="20"/>
          <w:szCs w:val="20"/>
          <w:highlight w:val="none"/>
          <w:lang w:val="en-US" w:eastAsia="zh-CN" w:bidi="ar-SA"/>
        </w:rPr>
        <w:t>卸料板工作轮廓部分按照终锻热锻件分模线尺寸单边放大3mm。</w:t>
      </w:r>
    </w:p>
    <w:p w14:paraId="7AB23F9B">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00" w:firstLineChars="200"/>
        <w:rPr>
          <w:rFonts w:hint="default" w:ascii="宋体" w:hAnsi="宋体" w:cs="宋体"/>
          <w:color w:val="FF0000"/>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2.4、顶杆横梁调质处理HRC38-43，未注倒角C1，</w:t>
      </w:r>
      <w:r>
        <w:rPr>
          <w:rFonts w:hint="eastAsia" w:ascii="宋体" w:hAnsi="宋体"/>
          <w:sz w:val="20"/>
          <w:szCs w:val="20"/>
          <w:highlight w:val="none"/>
          <w:lang w:val="en-US" w:eastAsia="zh-CN"/>
        </w:rPr>
        <w:t>表面粗糙度Ra1.6</w:t>
      </w:r>
      <w:r>
        <w:rPr>
          <w:rFonts w:hint="eastAsia" w:ascii="宋体" w:hAnsi="宋体" w:cs="宋体"/>
          <w:color w:val="auto"/>
          <w:kern w:val="2"/>
          <w:sz w:val="20"/>
          <w:szCs w:val="20"/>
          <w:highlight w:val="none"/>
          <w:lang w:val="en-US" w:eastAsia="zh-CN" w:bidi="ar-SA"/>
        </w:rPr>
        <w:t>。</w:t>
      </w:r>
    </w:p>
    <w:p w14:paraId="3CDEAC43">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00" w:firstLineChars="200"/>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2.5、字头压块与冲头配合使用，选用甲方在用结构。</w:t>
      </w:r>
    </w:p>
    <w:p w14:paraId="485B695F">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eastAsia" w:ascii="宋体" w:hAnsi="宋体"/>
          <w:sz w:val="20"/>
          <w:highlight w:val="none"/>
          <w:lang w:val="en-US" w:eastAsia="zh-CN"/>
        </w:rPr>
      </w:pPr>
      <w:r>
        <w:rPr>
          <w:rFonts w:hint="eastAsia" w:ascii="宋体" w:hAnsi="宋体" w:cs="宋体"/>
          <w:color w:val="auto"/>
          <w:kern w:val="2"/>
          <w:sz w:val="20"/>
          <w:szCs w:val="20"/>
          <w:highlight w:val="none"/>
          <w:lang w:val="en-US" w:eastAsia="zh-CN" w:bidi="ar-SA"/>
        </w:rPr>
        <w:t>2.6、顶料杆调质处理，硬度要求HRC43-47，</w:t>
      </w:r>
      <w:r>
        <w:rPr>
          <w:rFonts w:hint="eastAsia" w:ascii="宋体" w:hAnsi="宋体"/>
          <w:sz w:val="20"/>
          <w:szCs w:val="20"/>
          <w:highlight w:val="none"/>
          <w:lang w:val="en-US" w:eastAsia="zh-CN"/>
        </w:rPr>
        <w:t>表面粗糙度Ra1.6；</w:t>
      </w:r>
      <w:r>
        <w:rPr>
          <w:rFonts w:hint="eastAsia" w:ascii="宋体" w:hAnsi="宋体"/>
          <w:sz w:val="20"/>
          <w:highlight w:val="none"/>
          <w:lang w:val="en-US" w:eastAsia="zh-CN"/>
        </w:rPr>
        <w:t>顶料杆两端面无中心孔，与锻件接触面无倒角；长度公差±0.05mm，与锻模配合直径公差（+0.1，0）mm。</w:t>
      </w:r>
    </w:p>
    <w:p w14:paraId="6B6142A5">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eastAsia" w:ascii="宋体" w:hAnsi="宋体"/>
          <w:sz w:val="20"/>
          <w:highlight w:val="none"/>
          <w:lang w:val="en-US" w:eastAsia="zh-CN"/>
        </w:rPr>
      </w:pPr>
      <w:r>
        <w:rPr>
          <w:rFonts w:hint="eastAsia" w:ascii="宋体" w:hAnsi="宋体"/>
          <w:sz w:val="20"/>
          <w:highlight w:val="none"/>
          <w:lang w:val="en-US" w:eastAsia="zh-CN"/>
        </w:rPr>
        <w:t>3、</w:t>
      </w:r>
      <w:r>
        <w:rPr>
          <w:rFonts w:hint="eastAsia" w:ascii="宋体" w:hAnsi="宋体" w:cs="宋体"/>
          <w:color w:val="auto"/>
          <w:kern w:val="2"/>
          <w:sz w:val="20"/>
          <w:szCs w:val="20"/>
          <w:highlight w:val="none"/>
          <w:lang w:val="en-US" w:eastAsia="zh-CN" w:bidi="ar-SA"/>
        </w:rPr>
        <w:t>锻模/切边模体外形（与装配相关）必须满足甲方目前通用模座/部件装配要求，</w:t>
      </w:r>
      <w:r>
        <w:rPr>
          <w:rFonts w:hint="eastAsia" w:ascii="宋体" w:hAnsi="宋体"/>
          <w:sz w:val="20"/>
          <w:szCs w:val="20"/>
          <w:highlight w:val="none"/>
          <w:lang w:val="en-US" w:eastAsia="zh-CN"/>
        </w:rPr>
        <w:t>模具安装和配合部位形位尺寸公差执行GB/T1804-f，关键</w:t>
      </w:r>
      <w:r>
        <w:rPr>
          <w:rFonts w:hint="eastAsia" w:ascii="宋体" w:hAnsi="宋体"/>
          <w:sz w:val="20"/>
          <w:highlight w:val="none"/>
          <w:lang w:val="en-US" w:eastAsia="zh-CN"/>
        </w:rPr>
        <w:t>配合尺寸公差见表2要求，其它外形尺寸公差执行GB/T1804-m，未注倒角1×45°。</w:t>
      </w:r>
    </w:p>
    <w:p w14:paraId="61D002CD">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sz w:val="20"/>
          <w:highlight w:val="none"/>
          <w:lang w:val="en-US" w:eastAsia="zh-CN"/>
        </w:rPr>
        <w:t>4、模具标识、产品标识、生产单位代码、生产批次标识等</w:t>
      </w:r>
      <w:r>
        <w:rPr>
          <w:rFonts w:hint="eastAsia" w:ascii="宋体" w:hAnsi="宋体" w:eastAsia="宋体" w:cs="宋体"/>
          <w:sz w:val="20"/>
          <w:szCs w:val="20"/>
          <w:highlight w:val="none"/>
        </w:rPr>
        <w:t>可追溯性标识</w:t>
      </w:r>
      <w:r>
        <w:rPr>
          <w:rFonts w:hint="eastAsia" w:ascii="宋体" w:hAnsi="宋体" w:cs="宋体"/>
          <w:sz w:val="20"/>
          <w:szCs w:val="20"/>
          <w:highlight w:val="none"/>
          <w:lang w:val="en-US" w:eastAsia="zh-CN"/>
        </w:rPr>
        <w:t>必须</w:t>
      </w:r>
      <w:r>
        <w:rPr>
          <w:rFonts w:hint="eastAsia" w:ascii="宋体" w:hAnsi="宋体" w:eastAsia="宋体" w:cs="宋体"/>
          <w:sz w:val="20"/>
          <w:szCs w:val="20"/>
          <w:highlight w:val="none"/>
        </w:rPr>
        <w:t>满足甲方的特定标识要求。</w:t>
      </w:r>
    </w:p>
    <w:p w14:paraId="553A0720">
      <w:pPr>
        <w:keepNext w:val="0"/>
        <w:keepLines w:val="0"/>
        <w:pageBreakBefore w:val="0"/>
        <w:tabs>
          <w:tab w:val="left" w:pos="900"/>
        </w:tabs>
        <w:kinsoku/>
        <w:wordWrap/>
        <w:overflowPunct/>
        <w:topLinePunct w:val="0"/>
        <w:bidi w:val="0"/>
        <w:snapToGrid/>
        <w:spacing w:line="440" w:lineRule="exact"/>
        <w:ind w:firstLine="400" w:firstLineChars="200"/>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5、达到合同要求的模具最低寿命。</w:t>
      </w:r>
    </w:p>
    <w:p w14:paraId="527B53AC">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6、保证模具成套可用，其它未尽事宜双方协商处理。</w:t>
      </w:r>
    </w:p>
    <w:p w14:paraId="55F6DA8A">
      <w:pPr>
        <w:keepNext w:val="0"/>
        <w:keepLines w:val="0"/>
        <w:pageBreakBefore w:val="0"/>
        <w:tabs>
          <w:tab w:val="left" w:pos="2865"/>
        </w:tabs>
        <w:kinsoku/>
        <w:wordWrap/>
        <w:overflowPunct/>
        <w:topLinePunct w:val="0"/>
        <w:bidi w:val="0"/>
        <w:snapToGrid/>
        <w:spacing w:line="440" w:lineRule="exact"/>
        <w:jc w:val="center"/>
        <w:rPr>
          <w:rFonts w:hint="default" w:ascii="宋体" w:hAnsi="宋体" w:eastAsia="宋体" w:cs="宋体"/>
          <w:b/>
          <w:color w:val="auto"/>
          <w:sz w:val="20"/>
          <w:szCs w:val="20"/>
          <w:lang w:val="en-US" w:eastAsia="zh-CN"/>
        </w:rPr>
      </w:pPr>
      <w:r>
        <w:rPr>
          <w:rFonts w:hint="eastAsia" w:ascii="宋体" w:hAnsi="宋体" w:eastAsia="宋体" w:cs="宋体"/>
          <w:b/>
          <w:color w:val="auto"/>
          <w:sz w:val="20"/>
          <w:szCs w:val="20"/>
        </w:rPr>
        <w:t>第</w:t>
      </w:r>
      <w:r>
        <w:rPr>
          <w:rFonts w:hint="eastAsia" w:ascii="宋体" w:hAnsi="宋体" w:eastAsia="宋体" w:cs="宋体"/>
          <w:b/>
          <w:color w:val="auto"/>
          <w:sz w:val="20"/>
          <w:szCs w:val="20"/>
          <w:lang w:val="en-US" w:eastAsia="zh-CN"/>
        </w:rPr>
        <w:t>三</w:t>
      </w:r>
      <w:r>
        <w:rPr>
          <w:rFonts w:hint="eastAsia" w:ascii="宋体" w:hAnsi="宋体" w:eastAsia="宋体" w:cs="宋体"/>
          <w:b/>
          <w:color w:val="auto"/>
          <w:sz w:val="20"/>
          <w:szCs w:val="20"/>
        </w:rPr>
        <w:t xml:space="preserve">条  </w:t>
      </w:r>
      <w:r>
        <w:rPr>
          <w:rFonts w:hint="eastAsia" w:ascii="宋体" w:hAnsi="宋体" w:cs="宋体"/>
          <w:b/>
          <w:color w:val="auto"/>
          <w:sz w:val="20"/>
          <w:szCs w:val="20"/>
          <w:lang w:val="en-US" w:eastAsia="zh-CN"/>
        </w:rPr>
        <w:t>技术更改及技术文件</w:t>
      </w:r>
    </w:p>
    <w:p w14:paraId="7B637439">
      <w:pPr>
        <w:keepNext w:val="0"/>
        <w:keepLines w:val="0"/>
        <w:pageBreakBefore w:val="0"/>
        <w:tabs>
          <w:tab w:val="left" w:pos="900"/>
        </w:tabs>
        <w:kinsoku/>
        <w:wordWrap/>
        <w:overflowPunct/>
        <w:topLinePunct w:val="0"/>
        <w:bidi w:val="0"/>
        <w:snapToGrid/>
        <w:spacing w:line="44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1、为确保产品质量乙方必须严格执行甲方提供的产品图纸、执行标准、工艺参数等相关的技术要求，并严格执行甲方评审认可的乙方提交的相关的技术文件（表1），加强生产过程中的质量控制。</w:t>
      </w:r>
    </w:p>
    <w:p w14:paraId="784ACD5D">
      <w:pPr>
        <w:keepNext w:val="0"/>
        <w:keepLines w:val="0"/>
        <w:pageBreakBefore w:val="0"/>
        <w:tabs>
          <w:tab w:val="left" w:pos="900"/>
        </w:tabs>
        <w:kinsoku/>
        <w:wordWrap/>
        <w:overflowPunct/>
        <w:topLinePunct w:val="0"/>
        <w:bidi w:val="0"/>
        <w:snapToGrid/>
        <w:spacing w:line="44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2、如在设计过程中遇到设计更改，甲方及时将技术更改通知乙方，乙方应按更改后的技术要求制造模具并负责将更改后的工装图（三维和二维）等技术文件及时提交给甲方。</w:t>
      </w:r>
    </w:p>
    <w:p w14:paraId="363E0483">
      <w:pPr>
        <w:tabs>
          <w:tab w:val="left" w:pos="360"/>
        </w:tabs>
        <w:spacing w:line="4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3、乙方不得自行改变双方共同确认的本协议附表中技术资料，如确实需要更改，应事先征得甲方同意。</w:t>
      </w:r>
    </w:p>
    <w:p w14:paraId="3E806A00">
      <w:pPr>
        <w:tabs>
          <w:tab w:val="left" w:pos="360"/>
        </w:tabs>
        <w:spacing w:line="4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4、乙方承诺：符合技术要求只是必要条件，满足使用要求和最终用户的要求是最终目的。</w:t>
      </w:r>
    </w:p>
    <w:p w14:paraId="40E5268D">
      <w:pPr>
        <w:keepNext w:val="0"/>
        <w:keepLines w:val="0"/>
        <w:pageBreakBefore w:val="0"/>
        <w:tabs>
          <w:tab w:val="left" w:pos="2865"/>
        </w:tabs>
        <w:kinsoku/>
        <w:wordWrap/>
        <w:overflowPunct/>
        <w:topLinePunct w:val="0"/>
        <w:bidi w:val="0"/>
        <w:snapToGrid/>
        <w:spacing w:line="440" w:lineRule="exact"/>
        <w:jc w:val="center"/>
        <w:rPr>
          <w:rFonts w:hint="default" w:ascii="宋体" w:hAnsi="宋体" w:eastAsia="宋体" w:cs="宋体"/>
          <w:b/>
          <w:color w:val="auto"/>
          <w:sz w:val="20"/>
          <w:szCs w:val="20"/>
          <w:lang w:val="en-US" w:eastAsia="zh-CN"/>
        </w:rPr>
      </w:pPr>
      <w:r>
        <w:rPr>
          <w:rFonts w:hint="eastAsia" w:ascii="宋体" w:hAnsi="宋体" w:eastAsia="宋体" w:cs="宋体"/>
          <w:b/>
          <w:color w:val="auto"/>
          <w:sz w:val="20"/>
          <w:szCs w:val="20"/>
        </w:rPr>
        <w:t>第</w:t>
      </w:r>
      <w:r>
        <w:rPr>
          <w:rFonts w:hint="eastAsia" w:ascii="宋体" w:hAnsi="宋体" w:cs="宋体"/>
          <w:b/>
          <w:color w:val="auto"/>
          <w:sz w:val="20"/>
          <w:szCs w:val="20"/>
          <w:lang w:val="en-US" w:eastAsia="zh-CN"/>
        </w:rPr>
        <w:t>四</w:t>
      </w:r>
      <w:r>
        <w:rPr>
          <w:rFonts w:hint="eastAsia" w:ascii="宋体" w:hAnsi="宋体" w:eastAsia="宋体" w:cs="宋体"/>
          <w:b/>
          <w:color w:val="auto"/>
          <w:sz w:val="20"/>
          <w:szCs w:val="20"/>
        </w:rPr>
        <w:t xml:space="preserve">条  </w:t>
      </w:r>
      <w:r>
        <w:rPr>
          <w:rFonts w:hint="eastAsia" w:ascii="宋体" w:hAnsi="宋体" w:cs="宋体"/>
          <w:b/>
          <w:color w:val="auto"/>
          <w:sz w:val="20"/>
          <w:szCs w:val="20"/>
          <w:lang w:val="en-US" w:eastAsia="zh-CN"/>
        </w:rPr>
        <w:t>制造过程变更</w:t>
      </w:r>
    </w:p>
    <w:p w14:paraId="552AB88C">
      <w:pPr>
        <w:tabs>
          <w:tab w:val="left" w:pos="360"/>
        </w:tabs>
        <w:spacing w:line="4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w:t>
      </w:r>
      <w:r>
        <w:rPr>
          <w:rFonts w:hint="eastAsia" w:ascii="宋体" w:hAnsi="宋体" w:cs="宋体"/>
          <w:color w:val="auto"/>
          <w:kern w:val="2"/>
          <w:sz w:val="20"/>
          <w:szCs w:val="20"/>
          <w:highlight w:val="none"/>
          <w:lang w:val="en-US" w:eastAsia="zh-CN" w:bidi="ar-SA"/>
        </w:rPr>
        <w:t>乙方</w:t>
      </w:r>
      <w:r>
        <w:rPr>
          <w:rFonts w:hint="eastAsia" w:ascii="宋体" w:hAnsi="宋体" w:eastAsia="宋体" w:cs="宋体"/>
          <w:color w:val="auto"/>
          <w:kern w:val="2"/>
          <w:sz w:val="20"/>
          <w:szCs w:val="20"/>
          <w:highlight w:val="none"/>
          <w:lang w:val="en-US" w:eastAsia="zh-CN" w:bidi="ar-SA"/>
        </w:rPr>
        <w:t>必须保证产品在生产制造过程中达到</w:t>
      </w:r>
      <w:r>
        <w:rPr>
          <w:rFonts w:hint="eastAsia" w:ascii="宋体" w:hAnsi="宋体" w:cs="宋体"/>
          <w:color w:val="auto"/>
          <w:kern w:val="2"/>
          <w:sz w:val="20"/>
          <w:szCs w:val="20"/>
          <w:highlight w:val="none"/>
          <w:lang w:val="en-US" w:eastAsia="zh-CN" w:bidi="ar-SA"/>
        </w:rPr>
        <w:t>甲方</w:t>
      </w:r>
      <w:r>
        <w:rPr>
          <w:rFonts w:hint="eastAsia" w:ascii="宋体" w:hAnsi="宋体" w:eastAsia="宋体" w:cs="宋体"/>
          <w:color w:val="auto"/>
          <w:kern w:val="2"/>
          <w:sz w:val="20"/>
          <w:szCs w:val="20"/>
          <w:highlight w:val="none"/>
          <w:lang w:val="en-US" w:eastAsia="zh-CN" w:bidi="ar-SA"/>
        </w:rPr>
        <w:t>规定的质量要求并检测合格。</w:t>
      </w:r>
    </w:p>
    <w:p w14:paraId="73B62F16">
      <w:pPr>
        <w:tabs>
          <w:tab w:val="left" w:pos="360"/>
        </w:tabs>
        <w:spacing w:line="4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w:t>
      </w:r>
      <w:r>
        <w:rPr>
          <w:rFonts w:hint="eastAsia" w:ascii="宋体" w:hAnsi="宋体" w:cs="宋体"/>
          <w:color w:val="auto"/>
          <w:kern w:val="2"/>
          <w:sz w:val="20"/>
          <w:szCs w:val="20"/>
          <w:highlight w:val="none"/>
          <w:lang w:val="en-US" w:eastAsia="zh-CN" w:bidi="ar-SA"/>
        </w:rPr>
        <w:t>甲方</w:t>
      </w:r>
      <w:r>
        <w:rPr>
          <w:rFonts w:hint="eastAsia" w:ascii="宋体" w:hAnsi="宋体" w:eastAsia="宋体" w:cs="宋体"/>
          <w:color w:val="auto"/>
          <w:kern w:val="2"/>
          <w:sz w:val="20"/>
          <w:szCs w:val="20"/>
          <w:highlight w:val="none"/>
          <w:lang w:val="en-US" w:eastAsia="zh-CN" w:bidi="ar-SA"/>
        </w:rPr>
        <w:t>根据产品质量升级等方面的要求，可向</w:t>
      </w:r>
      <w:r>
        <w:rPr>
          <w:rFonts w:hint="eastAsia" w:ascii="宋体" w:hAnsi="宋体" w:cs="宋体"/>
          <w:color w:val="auto"/>
          <w:kern w:val="2"/>
          <w:sz w:val="20"/>
          <w:szCs w:val="20"/>
          <w:highlight w:val="none"/>
          <w:lang w:val="en-US" w:eastAsia="zh-CN" w:bidi="ar-SA"/>
        </w:rPr>
        <w:t>乙方</w:t>
      </w:r>
      <w:r>
        <w:rPr>
          <w:rFonts w:hint="eastAsia" w:ascii="宋体" w:hAnsi="宋体" w:eastAsia="宋体" w:cs="宋体"/>
          <w:color w:val="auto"/>
          <w:kern w:val="2"/>
          <w:sz w:val="20"/>
          <w:szCs w:val="20"/>
          <w:highlight w:val="none"/>
          <w:lang w:val="en-US" w:eastAsia="zh-CN" w:bidi="ar-SA"/>
        </w:rPr>
        <w:t>提出对产品进行重新鉴定或认证的要求，</w:t>
      </w:r>
      <w:r>
        <w:rPr>
          <w:rFonts w:hint="eastAsia" w:ascii="宋体" w:hAnsi="宋体" w:cs="宋体"/>
          <w:color w:val="auto"/>
          <w:kern w:val="2"/>
          <w:sz w:val="20"/>
          <w:szCs w:val="20"/>
          <w:highlight w:val="none"/>
          <w:lang w:val="en-US" w:eastAsia="zh-CN" w:bidi="ar-SA"/>
        </w:rPr>
        <w:t>乙方</w:t>
      </w:r>
      <w:r>
        <w:rPr>
          <w:rFonts w:hint="eastAsia" w:ascii="宋体" w:hAnsi="宋体" w:eastAsia="宋体" w:cs="宋体"/>
          <w:color w:val="auto"/>
          <w:kern w:val="2"/>
          <w:sz w:val="20"/>
          <w:szCs w:val="20"/>
          <w:highlight w:val="none"/>
          <w:lang w:val="en-US" w:eastAsia="zh-CN" w:bidi="ar-SA"/>
        </w:rPr>
        <w:t>应提供足够的产品样本，并配合</w:t>
      </w:r>
      <w:r>
        <w:rPr>
          <w:rFonts w:hint="eastAsia" w:ascii="宋体" w:hAnsi="宋体" w:cs="宋体"/>
          <w:color w:val="auto"/>
          <w:kern w:val="2"/>
          <w:sz w:val="20"/>
          <w:szCs w:val="20"/>
          <w:highlight w:val="none"/>
          <w:lang w:val="en-US" w:eastAsia="zh-CN" w:bidi="ar-SA"/>
        </w:rPr>
        <w:t>甲方</w:t>
      </w:r>
      <w:r>
        <w:rPr>
          <w:rFonts w:hint="eastAsia" w:ascii="宋体" w:hAnsi="宋体" w:eastAsia="宋体" w:cs="宋体"/>
          <w:color w:val="auto"/>
          <w:kern w:val="2"/>
          <w:sz w:val="20"/>
          <w:szCs w:val="20"/>
          <w:highlight w:val="none"/>
          <w:lang w:val="en-US" w:eastAsia="zh-CN" w:bidi="ar-SA"/>
        </w:rPr>
        <w:t>共同完成产品的鉴定或认证工作，其结果双方共享。</w:t>
      </w:r>
    </w:p>
    <w:p w14:paraId="0EDB9D79">
      <w:pPr>
        <w:tabs>
          <w:tab w:val="left" w:pos="360"/>
        </w:tabs>
        <w:spacing w:line="460" w:lineRule="exact"/>
        <w:ind w:firstLine="400" w:firstLineChars="200"/>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3、如果</w:t>
      </w:r>
      <w:r>
        <w:rPr>
          <w:rFonts w:hint="eastAsia" w:ascii="宋体" w:hAnsi="宋体" w:cs="宋体"/>
          <w:color w:val="auto"/>
          <w:kern w:val="2"/>
          <w:sz w:val="20"/>
          <w:szCs w:val="20"/>
          <w:highlight w:val="none"/>
          <w:lang w:val="en-US" w:eastAsia="zh-CN" w:bidi="ar-SA"/>
        </w:rPr>
        <w:t>乙方</w:t>
      </w:r>
      <w:r>
        <w:rPr>
          <w:rFonts w:hint="eastAsia" w:ascii="宋体" w:hAnsi="宋体" w:eastAsia="宋体" w:cs="宋体"/>
          <w:color w:val="auto"/>
          <w:kern w:val="2"/>
          <w:sz w:val="20"/>
          <w:szCs w:val="20"/>
          <w:highlight w:val="none"/>
          <w:lang w:val="en-US" w:eastAsia="zh-CN" w:bidi="ar-SA"/>
        </w:rPr>
        <w:t>的生产基地、生产工艺、材料或配套厂商发生了改变，则应及时书面报告</w:t>
      </w:r>
      <w:r>
        <w:rPr>
          <w:rFonts w:hint="eastAsia" w:ascii="宋体" w:hAnsi="宋体" w:cs="宋体"/>
          <w:color w:val="auto"/>
          <w:kern w:val="2"/>
          <w:sz w:val="20"/>
          <w:szCs w:val="20"/>
          <w:highlight w:val="none"/>
          <w:lang w:val="en-US" w:eastAsia="zh-CN" w:bidi="ar-SA"/>
        </w:rPr>
        <w:t>甲方</w:t>
      </w:r>
      <w:r>
        <w:rPr>
          <w:rFonts w:hint="eastAsia" w:ascii="宋体" w:hAnsi="宋体" w:eastAsia="宋体" w:cs="宋体"/>
          <w:color w:val="auto"/>
          <w:kern w:val="2"/>
          <w:sz w:val="20"/>
          <w:szCs w:val="20"/>
          <w:highlight w:val="none"/>
          <w:lang w:val="en-US" w:eastAsia="zh-CN" w:bidi="ar-SA"/>
        </w:rPr>
        <w:t>，重新提供相关资料（表1）并取得甲方评审认可。</w:t>
      </w:r>
    </w:p>
    <w:p w14:paraId="0A7270FB">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sz w:val="20"/>
          <w:szCs w:val="20"/>
          <w:highlight w:val="none"/>
        </w:rPr>
      </w:pPr>
      <w:r>
        <w:rPr>
          <w:rFonts w:hint="eastAsia" w:ascii="宋体" w:hAnsi="宋体" w:eastAsia="宋体" w:cs="宋体"/>
          <w:b/>
          <w:sz w:val="20"/>
          <w:szCs w:val="20"/>
          <w:highlight w:val="none"/>
        </w:rPr>
        <w:t>第</w:t>
      </w:r>
      <w:r>
        <w:rPr>
          <w:rFonts w:hint="eastAsia" w:ascii="宋体" w:hAnsi="宋体" w:cs="宋体"/>
          <w:b/>
          <w:sz w:val="20"/>
          <w:szCs w:val="20"/>
          <w:highlight w:val="none"/>
          <w:lang w:val="en-US" w:eastAsia="zh-CN"/>
        </w:rPr>
        <w:t>五</w:t>
      </w:r>
      <w:r>
        <w:rPr>
          <w:rFonts w:hint="eastAsia" w:ascii="宋体" w:hAnsi="宋体" w:eastAsia="宋体" w:cs="宋体"/>
          <w:b/>
          <w:sz w:val="20"/>
          <w:szCs w:val="20"/>
          <w:highlight w:val="none"/>
        </w:rPr>
        <w:t>条  产品包装</w:t>
      </w:r>
    </w:p>
    <w:p w14:paraId="6A69BEF8">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1、乙方产品包装须严格执行甲方的企业标准或国家标准和行业有关标准及甲方的其它包装要求。</w:t>
      </w:r>
    </w:p>
    <w:p w14:paraId="2A255D8F">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2、乙方的产品包装必须保证产品质量在运输、储存过程中不降低。</w:t>
      </w:r>
    </w:p>
    <w:p w14:paraId="4E26E868">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cs="宋体"/>
          <w:sz w:val="20"/>
          <w:szCs w:val="20"/>
          <w:highlight w:val="none"/>
          <w:lang w:val="en-US" w:eastAsia="zh-CN"/>
        </w:rPr>
        <w:t>3</w:t>
      </w:r>
      <w:r>
        <w:rPr>
          <w:rFonts w:hint="eastAsia" w:ascii="宋体" w:hAnsi="宋体" w:eastAsia="宋体" w:cs="宋体"/>
          <w:sz w:val="20"/>
          <w:szCs w:val="20"/>
          <w:highlight w:val="none"/>
        </w:rPr>
        <w:t>、乙方对其供给甲方的产品必须进行可追溯性标识，同时须满足甲方的特定标识要求。</w:t>
      </w:r>
    </w:p>
    <w:p w14:paraId="30F72D73">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rPr>
        <w:t>、产品标识部位以不影响产品质量为原则，除甲方明确要求的标识部位外，乙方可自行选择部位，并将标识部位传给甲方备案。</w:t>
      </w:r>
    </w:p>
    <w:p w14:paraId="25E969EA">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cs="宋体"/>
          <w:b/>
          <w:sz w:val="20"/>
          <w:szCs w:val="20"/>
          <w:highlight w:val="none"/>
          <w:lang w:val="en-US" w:eastAsia="zh-CN"/>
        </w:rPr>
      </w:pPr>
      <w:r>
        <w:rPr>
          <w:rFonts w:hint="eastAsia" w:ascii="宋体" w:hAnsi="宋体" w:eastAsia="宋体" w:cs="宋体"/>
          <w:b/>
          <w:sz w:val="20"/>
          <w:szCs w:val="20"/>
          <w:highlight w:val="none"/>
        </w:rPr>
        <w:t>第</w:t>
      </w:r>
      <w:r>
        <w:rPr>
          <w:rFonts w:hint="eastAsia" w:ascii="宋体" w:hAnsi="宋体" w:cs="宋体"/>
          <w:b/>
          <w:sz w:val="20"/>
          <w:szCs w:val="20"/>
          <w:highlight w:val="none"/>
          <w:lang w:val="en-US" w:eastAsia="zh-CN"/>
        </w:rPr>
        <w:t>六</w:t>
      </w:r>
      <w:r>
        <w:rPr>
          <w:rFonts w:hint="eastAsia" w:ascii="宋体" w:hAnsi="宋体" w:eastAsia="宋体" w:cs="宋体"/>
          <w:b/>
          <w:sz w:val="20"/>
          <w:szCs w:val="20"/>
          <w:highlight w:val="none"/>
        </w:rPr>
        <w:t xml:space="preserve">条  </w:t>
      </w:r>
      <w:r>
        <w:rPr>
          <w:rFonts w:hint="eastAsia" w:ascii="宋体" w:hAnsi="宋体" w:cs="宋体"/>
          <w:b/>
          <w:sz w:val="20"/>
          <w:szCs w:val="20"/>
          <w:highlight w:val="none"/>
          <w:lang w:val="en-US" w:eastAsia="zh-CN"/>
        </w:rPr>
        <w:t>预验收及交货</w:t>
      </w:r>
    </w:p>
    <w:p w14:paraId="712487A7">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1、</w:t>
      </w:r>
      <w:r>
        <w:rPr>
          <w:rFonts w:hint="eastAsia" w:ascii="宋体" w:hAnsi="宋体" w:eastAsia="宋体" w:cs="宋体"/>
          <w:sz w:val="20"/>
          <w:szCs w:val="20"/>
          <w:highlight w:val="none"/>
        </w:rPr>
        <w:t>必要时</w:t>
      </w:r>
      <w:r>
        <w:rPr>
          <w:rFonts w:hint="eastAsia" w:ascii="宋体" w:hAnsi="宋体" w:cs="宋体"/>
          <w:sz w:val="20"/>
          <w:szCs w:val="20"/>
          <w:highlight w:val="none"/>
          <w:lang w:eastAsia="zh-CN"/>
        </w:rPr>
        <w:t>甲方</w:t>
      </w:r>
      <w:r>
        <w:rPr>
          <w:rFonts w:hint="eastAsia" w:ascii="宋体" w:hAnsi="宋体" w:eastAsia="宋体" w:cs="宋体"/>
          <w:sz w:val="20"/>
          <w:szCs w:val="20"/>
          <w:highlight w:val="none"/>
        </w:rPr>
        <w:t>派专业人员在发货前20天到乙方工厂进行预验收，检查确认</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数量及结构完整，并签署预验收备忘录。</w:t>
      </w:r>
    </w:p>
    <w:p w14:paraId="07B3F0C1">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交货地点：济南成型厂。</w:t>
      </w:r>
    </w:p>
    <w:p w14:paraId="7A057C66">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3、</w:t>
      </w:r>
      <w:r>
        <w:rPr>
          <w:rFonts w:hint="eastAsia" w:ascii="宋体" w:hAnsi="宋体" w:eastAsia="宋体" w:cs="宋体"/>
          <w:sz w:val="20"/>
          <w:szCs w:val="20"/>
          <w:highlight w:val="none"/>
        </w:rPr>
        <w:t>进厂检验：新工装到厂后，质量部核对</w:t>
      </w:r>
      <w:r>
        <w:rPr>
          <w:rFonts w:hint="eastAsia" w:ascii="宋体" w:hAnsi="宋体" w:cs="宋体"/>
          <w:sz w:val="20"/>
          <w:szCs w:val="20"/>
          <w:highlight w:val="none"/>
          <w:lang w:val="en-US" w:eastAsia="zh-CN"/>
        </w:rPr>
        <w:t>乙</w:t>
      </w:r>
      <w:r>
        <w:rPr>
          <w:rFonts w:hint="eastAsia" w:ascii="宋体" w:hAnsi="宋体" w:eastAsia="宋体" w:cs="宋体"/>
          <w:sz w:val="20"/>
          <w:szCs w:val="20"/>
          <w:highlight w:val="none"/>
        </w:rPr>
        <w:t>方提供自检报告（</w:t>
      </w:r>
      <w:r>
        <w:rPr>
          <w:rFonts w:hint="eastAsia" w:ascii="宋体" w:hAnsi="宋体" w:eastAsia="宋体" w:cs="宋体"/>
          <w:sz w:val="20"/>
          <w:szCs w:val="20"/>
          <w:highlight w:val="none"/>
          <w:lang w:val="en-US" w:eastAsia="zh-CN"/>
        </w:rPr>
        <w:t>表1</w:t>
      </w:r>
      <w:r>
        <w:rPr>
          <w:rFonts w:hint="eastAsia" w:ascii="宋体" w:hAnsi="宋体" w:eastAsia="宋体" w:cs="宋体"/>
          <w:sz w:val="20"/>
          <w:szCs w:val="20"/>
          <w:highlight w:val="none"/>
        </w:rPr>
        <w:t>），</w:t>
      </w:r>
      <w:r>
        <w:rPr>
          <w:rFonts w:hint="eastAsia" w:ascii="宋体" w:hAnsi="宋体" w:eastAsia="宋体" w:cs="宋体"/>
          <w:sz w:val="20"/>
          <w:szCs w:val="20"/>
          <w:highlight w:val="none"/>
          <w:lang w:val="en-US" w:eastAsia="zh-CN"/>
        </w:rPr>
        <w:t>并进行硬度、三维扫描</w:t>
      </w:r>
      <w:r>
        <w:rPr>
          <w:rFonts w:hint="eastAsia" w:ascii="宋体" w:hAnsi="宋体" w:cs="宋体"/>
          <w:sz w:val="20"/>
          <w:szCs w:val="20"/>
          <w:highlight w:val="none"/>
          <w:lang w:val="en-US" w:eastAsia="zh-CN"/>
        </w:rPr>
        <w:t>对比</w:t>
      </w:r>
      <w:r>
        <w:rPr>
          <w:rFonts w:hint="eastAsia" w:ascii="宋体" w:hAnsi="宋体" w:eastAsia="宋体" w:cs="宋体"/>
          <w:sz w:val="20"/>
          <w:szCs w:val="20"/>
          <w:highlight w:val="none"/>
          <w:lang w:val="en-US" w:eastAsia="zh-CN"/>
        </w:rPr>
        <w:t>等检验。</w:t>
      </w:r>
    </w:p>
    <w:p w14:paraId="4A4F4464">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4、</w:t>
      </w:r>
      <w:r>
        <w:rPr>
          <w:rFonts w:hint="eastAsia" w:ascii="宋体" w:hAnsi="宋体" w:cs="宋体"/>
          <w:sz w:val="20"/>
          <w:szCs w:val="20"/>
          <w:highlight w:val="none"/>
          <w:lang w:eastAsia="zh-CN"/>
        </w:rPr>
        <w:t>乙方</w:t>
      </w:r>
      <w:r>
        <w:rPr>
          <w:rFonts w:hint="eastAsia" w:ascii="宋体" w:hAnsi="宋体" w:eastAsia="宋体" w:cs="宋体"/>
          <w:sz w:val="20"/>
          <w:szCs w:val="20"/>
          <w:highlight w:val="none"/>
        </w:rPr>
        <w:t>提供完整的</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清单及图纸</w:t>
      </w:r>
      <w:r>
        <w:rPr>
          <w:rFonts w:hint="eastAsia" w:ascii="宋体" w:hAnsi="宋体" w:eastAsia="宋体" w:cs="宋体"/>
          <w:sz w:val="20"/>
          <w:szCs w:val="20"/>
          <w:highlight w:val="none"/>
          <w:lang w:eastAsia="zh-CN"/>
        </w:rPr>
        <w:t>。</w:t>
      </w:r>
    </w:p>
    <w:p w14:paraId="101AA993">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5、</w:t>
      </w:r>
      <w:r>
        <w:rPr>
          <w:rFonts w:hint="eastAsia" w:ascii="宋体" w:hAnsi="宋体" w:eastAsia="宋体" w:cs="宋体"/>
          <w:sz w:val="20"/>
          <w:szCs w:val="20"/>
          <w:highlight w:val="none"/>
        </w:rPr>
        <w:t>模具做防锈处理。</w:t>
      </w:r>
    </w:p>
    <w:p w14:paraId="43681FB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b/>
          <w:sz w:val="20"/>
          <w:szCs w:val="20"/>
          <w:highlight w:val="none"/>
        </w:rPr>
        <w:t>第</w:t>
      </w:r>
      <w:r>
        <w:rPr>
          <w:rFonts w:hint="eastAsia" w:ascii="宋体" w:hAnsi="宋体" w:cs="宋体"/>
          <w:b/>
          <w:sz w:val="20"/>
          <w:szCs w:val="20"/>
          <w:highlight w:val="none"/>
          <w:lang w:val="en-US" w:eastAsia="zh-CN"/>
        </w:rPr>
        <w:t>七</w:t>
      </w:r>
      <w:r>
        <w:rPr>
          <w:rFonts w:hint="eastAsia" w:ascii="宋体" w:hAnsi="宋体" w:eastAsia="宋体" w:cs="宋体"/>
          <w:b/>
          <w:sz w:val="20"/>
          <w:szCs w:val="20"/>
          <w:highlight w:val="none"/>
        </w:rPr>
        <w:t xml:space="preserve">条  </w:t>
      </w:r>
      <w:r>
        <w:rPr>
          <w:rFonts w:hint="eastAsia" w:ascii="宋体" w:hAnsi="宋体" w:cs="宋体"/>
          <w:b/>
          <w:sz w:val="20"/>
          <w:szCs w:val="20"/>
          <w:highlight w:val="none"/>
          <w:lang w:val="en-US" w:eastAsia="zh-CN"/>
        </w:rPr>
        <w:t>调试、验证</w:t>
      </w:r>
    </w:p>
    <w:p w14:paraId="6FDC2E83">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1、</w:t>
      </w:r>
      <w:r>
        <w:rPr>
          <w:rFonts w:hint="eastAsia" w:ascii="宋体" w:hAnsi="宋体" w:eastAsia="宋体" w:cs="宋体"/>
          <w:sz w:val="20"/>
          <w:szCs w:val="20"/>
          <w:highlight w:val="none"/>
        </w:rPr>
        <w:t>模具安装后进行空载运行，模具活动部分动作正常、可靠。</w:t>
      </w:r>
    </w:p>
    <w:p w14:paraId="294C7AD8">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新</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需连续生产一个班</w:t>
      </w:r>
      <w:r>
        <w:rPr>
          <w:rFonts w:hint="eastAsia" w:ascii="宋体" w:hAnsi="宋体" w:eastAsia="宋体" w:cs="宋体"/>
          <w:sz w:val="20"/>
          <w:szCs w:val="20"/>
          <w:highlight w:val="none"/>
          <w:lang w:val="en-US" w:eastAsia="zh-CN"/>
        </w:rPr>
        <w:t>或者</w:t>
      </w:r>
      <w:r>
        <w:rPr>
          <w:rFonts w:hint="eastAsia" w:ascii="宋体" w:hAnsi="宋体" w:cs="宋体"/>
          <w:sz w:val="20"/>
          <w:szCs w:val="20"/>
          <w:highlight w:val="none"/>
          <w:lang w:val="en-US" w:eastAsia="zh-CN"/>
        </w:rPr>
        <w:t>连续生产</w:t>
      </w:r>
      <w:r>
        <w:rPr>
          <w:rFonts w:hint="eastAsia" w:ascii="宋体" w:hAnsi="宋体" w:eastAsia="宋体" w:cs="宋体"/>
          <w:sz w:val="20"/>
          <w:szCs w:val="20"/>
          <w:highlight w:val="none"/>
          <w:lang w:val="en-US" w:eastAsia="zh-CN"/>
        </w:rPr>
        <w:t>不少于300件</w:t>
      </w:r>
      <w:r>
        <w:rPr>
          <w:rFonts w:hint="eastAsia" w:ascii="宋体" w:hAnsi="宋体" w:eastAsia="宋体" w:cs="宋体"/>
          <w:sz w:val="20"/>
          <w:szCs w:val="20"/>
          <w:highlight w:val="none"/>
        </w:rPr>
        <w:t>的合格</w:t>
      </w:r>
      <w:r>
        <w:rPr>
          <w:rFonts w:hint="eastAsia" w:ascii="宋体" w:hAnsi="宋体" w:eastAsia="宋体" w:cs="宋体"/>
          <w:sz w:val="20"/>
          <w:szCs w:val="20"/>
          <w:highlight w:val="none"/>
          <w:lang w:val="en-US" w:eastAsia="zh-CN"/>
        </w:rPr>
        <w:t>锻件</w:t>
      </w:r>
      <w:r>
        <w:rPr>
          <w:rFonts w:hint="eastAsia" w:ascii="宋体" w:hAnsi="宋体" w:eastAsia="宋体" w:cs="宋体"/>
          <w:sz w:val="20"/>
          <w:szCs w:val="20"/>
          <w:highlight w:val="none"/>
        </w:rPr>
        <w:t>，</w:t>
      </w:r>
      <w:r>
        <w:rPr>
          <w:rFonts w:hint="eastAsia" w:ascii="宋体" w:hAnsi="宋体" w:eastAsia="宋体" w:cs="宋体"/>
          <w:sz w:val="20"/>
          <w:szCs w:val="20"/>
          <w:highlight w:val="none"/>
          <w:lang w:val="en-US" w:eastAsia="zh-CN"/>
        </w:rPr>
        <w:t>锻件三维扫描</w:t>
      </w:r>
      <w:r>
        <w:rPr>
          <w:rFonts w:hint="eastAsia" w:ascii="宋体" w:hAnsi="宋体" w:eastAsia="宋体" w:cs="宋体"/>
          <w:sz w:val="20"/>
          <w:szCs w:val="20"/>
          <w:highlight w:val="none"/>
        </w:rPr>
        <w:t>检验</w:t>
      </w:r>
      <w:r>
        <w:rPr>
          <w:rFonts w:hint="eastAsia" w:ascii="宋体" w:hAnsi="宋体" w:cs="宋体"/>
          <w:sz w:val="20"/>
          <w:szCs w:val="20"/>
          <w:highlight w:val="none"/>
          <w:lang w:val="en-US" w:eastAsia="zh-CN"/>
        </w:rPr>
        <w:t>合</w:t>
      </w:r>
      <w:r>
        <w:rPr>
          <w:rFonts w:hint="eastAsia" w:ascii="宋体" w:hAnsi="宋体" w:eastAsia="宋体" w:cs="宋体"/>
          <w:sz w:val="20"/>
          <w:szCs w:val="20"/>
          <w:highlight w:val="none"/>
          <w:lang w:val="en-US" w:eastAsia="zh-CN"/>
        </w:rPr>
        <w:t>格且热处理后</w:t>
      </w:r>
      <w:r>
        <w:rPr>
          <w:rFonts w:hint="eastAsia" w:ascii="宋体" w:hAnsi="宋体" w:eastAsia="宋体" w:cs="宋体"/>
          <w:sz w:val="20"/>
          <w:szCs w:val="20"/>
          <w:highlight w:val="none"/>
        </w:rPr>
        <w:t>因</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设计或制作造成</w:t>
      </w:r>
      <w:r>
        <w:rPr>
          <w:rFonts w:hint="eastAsia" w:ascii="宋体" w:hAnsi="宋体" w:eastAsia="宋体" w:cs="宋体"/>
          <w:sz w:val="20"/>
          <w:szCs w:val="20"/>
          <w:highlight w:val="none"/>
          <w:lang w:val="en-US" w:eastAsia="zh-CN"/>
        </w:rPr>
        <w:t>的锻件废品率≤5%</w:t>
      </w:r>
      <w:r>
        <w:rPr>
          <w:rFonts w:hint="eastAsia" w:ascii="宋体" w:hAnsi="宋体" w:eastAsia="宋体" w:cs="宋体"/>
          <w:sz w:val="20"/>
          <w:szCs w:val="20"/>
          <w:highlight w:val="none"/>
        </w:rPr>
        <w:t>认为</w:t>
      </w:r>
      <w:r>
        <w:rPr>
          <w:rFonts w:hint="eastAsia" w:ascii="宋体" w:hAnsi="宋体" w:cs="宋体"/>
          <w:sz w:val="20"/>
          <w:szCs w:val="20"/>
          <w:highlight w:val="none"/>
          <w:lang w:val="en-US" w:eastAsia="zh-CN"/>
        </w:rPr>
        <w:t>验证成功、模具</w:t>
      </w:r>
      <w:r>
        <w:rPr>
          <w:rFonts w:hint="eastAsia" w:ascii="宋体" w:hAnsi="宋体" w:eastAsia="宋体" w:cs="宋体"/>
          <w:sz w:val="20"/>
          <w:szCs w:val="20"/>
          <w:highlight w:val="none"/>
        </w:rPr>
        <w:t>合格</w:t>
      </w:r>
      <w:r>
        <w:rPr>
          <w:rFonts w:hint="eastAsia" w:ascii="宋体" w:hAnsi="宋体" w:cs="宋体"/>
          <w:sz w:val="20"/>
          <w:szCs w:val="20"/>
          <w:highlight w:val="none"/>
          <w:lang w:eastAsia="zh-CN"/>
        </w:rPr>
        <w:t>（</w:t>
      </w:r>
      <w:r>
        <w:rPr>
          <w:rFonts w:hint="eastAsia" w:ascii="宋体" w:hAnsi="宋体" w:cs="宋体"/>
          <w:sz w:val="20"/>
          <w:szCs w:val="20"/>
          <w:highlight w:val="none"/>
          <w:lang w:val="en-US" w:eastAsia="zh-CN"/>
        </w:rPr>
        <w:t>总结报告</w:t>
      </w:r>
      <w:r>
        <w:rPr>
          <w:rFonts w:hint="eastAsia" w:ascii="宋体" w:hAnsi="宋体" w:cs="宋体"/>
          <w:sz w:val="20"/>
          <w:szCs w:val="20"/>
          <w:highlight w:val="none"/>
          <w:lang w:eastAsia="zh-CN"/>
        </w:rPr>
        <w:t>）</w:t>
      </w:r>
      <w:r>
        <w:rPr>
          <w:rFonts w:hint="eastAsia" w:ascii="宋体" w:hAnsi="宋体" w:eastAsia="宋体" w:cs="宋体"/>
          <w:sz w:val="20"/>
          <w:szCs w:val="20"/>
          <w:highlight w:val="none"/>
        </w:rPr>
        <w:t>。</w:t>
      </w:r>
    </w:p>
    <w:p w14:paraId="573DA656">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cs="宋体"/>
          <w:sz w:val="20"/>
          <w:szCs w:val="20"/>
          <w:highlight w:val="none"/>
          <w:lang w:val="en-US" w:eastAsia="zh-CN"/>
        </w:rPr>
        <w:t>3、</w:t>
      </w:r>
      <w:r>
        <w:rPr>
          <w:rFonts w:hint="eastAsia" w:ascii="宋体" w:hAnsi="宋体" w:eastAsia="宋体" w:cs="宋体"/>
          <w:b/>
          <w:bCs/>
          <w:sz w:val="20"/>
          <w:szCs w:val="20"/>
          <w:highlight w:val="none"/>
          <w:lang w:val="en-US" w:eastAsia="zh-CN"/>
        </w:rPr>
        <w:t>因</w:t>
      </w:r>
      <w:r>
        <w:rPr>
          <w:rFonts w:hint="eastAsia" w:ascii="宋体" w:hAnsi="宋体" w:cs="宋体"/>
          <w:b/>
          <w:bCs/>
          <w:sz w:val="20"/>
          <w:szCs w:val="20"/>
          <w:highlight w:val="none"/>
          <w:lang w:val="en-US" w:eastAsia="zh-CN"/>
        </w:rPr>
        <w:t>模具</w:t>
      </w:r>
      <w:r>
        <w:rPr>
          <w:rFonts w:hint="eastAsia" w:ascii="宋体" w:hAnsi="宋体" w:eastAsia="宋体" w:cs="宋体"/>
          <w:b/>
          <w:bCs/>
          <w:sz w:val="20"/>
          <w:szCs w:val="20"/>
          <w:highlight w:val="none"/>
          <w:lang w:val="en-US" w:eastAsia="zh-CN"/>
        </w:rPr>
        <w:t>设计或</w:t>
      </w:r>
      <w:r>
        <w:rPr>
          <w:rFonts w:hint="eastAsia" w:ascii="宋体" w:hAnsi="宋体" w:eastAsia="宋体" w:cs="宋体"/>
          <w:b/>
          <w:bCs/>
          <w:sz w:val="20"/>
          <w:szCs w:val="20"/>
          <w:highlight w:val="none"/>
        </w:rPr>
        <w:t>制作原因未验证成功的，由乙方免费修改模具，直至验证成功。</w:t>
      </w:r>
    </w:p>
    <w:p w14:paraId="51F00A37">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调试验证时</w:t>
      </w:r>
      <w:r>
        <w:rPr>
          <w:rFonts w:hint="eastAsia" w:ascii="宋体" w:hAnsi="宋体" w:cs="宋体"/>
          <w:sz w:val="20"/>
          <w:szCs w:val="20"/>
          <w:highlight w:val="none"/>
          <w:lang w:eastAsia="zh-CN"/>
        </w:rPr>
        <w:t>甲方</w:t>
      </w:r>
      <w:r>
        <w:rPr>
          <w:rFonts w:hint="eastAsia" w:ascii="宋体" w:hAnsi="宋体" w:eastAsia="宋体" w:cs="宋体"/>
          <w:sz w:val="20"/>
          <w:szCs w:val="20"/>
          <w:highlight w:val="none"/>
        </w:rPr>
        <w:t>提前通知</w:t>
      </w:r>
      <w:r>
        <w:rPr>
          <w:rFonts w:hint="eastAsia" w:ascii="宋体" w:hAnsi="宋体" w:cs="宋体"/>
          <w:sz w:val="20"/>
          <w:szCs w:val="20"/>
          <w:highlight w:val="none"/>
          <w:lang w:eastAsia="zh-CN"/>
        </w:rPr>
        <w:t>乙方</w:t>
      </w:r>
      <w:r>
        <w:rPr>
          <w:rFonts w:hint="eastAsia" w:ascii="宋体" w:hAnsi="宋体" w:eastAsia="宋体" w:cs="宋体"/>
          <w:sz w:val="20"/>
          <w:szCs w:val="20"/>
          <w:highlight w:val="none"/>
        </w:rPr>
        <w:t>，</w:t>
      </w:r>
      <w:r>
        <w:rPr>
          <w:rFonts w:hint="eastAsia" w:ascii="宋体" w:hAnsi="宋体" w:cs="宋体"/>
          <w:sz w:val="20"/>
          <w:szCs w:val="20"/>
          <w:highlight w:val="none"/>
          <w:lang w:eastAsia="zh-CN"/>
        </w:rPr>
        <w:t>乙方</w:t>
      </w:r>
      <w:r>
        <w:rPr>
          <w:rFonts w:hint="eastAsia" w:ascii="宋体" w:hAnsi="宋体" w:eastAsia="宋体" w:cs="宋体"/>
          <w:sz w:val="20"/>
          <w:szCs w:val="20"/>
          <w:highlight w:val="none"/>
        </w:rPr>
        <w:t>需安排技术人员到现场参与</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的验证调试。</w:t>
      </w:r>
    </w:p>
    <w:p w14:paraId="28F74135">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default" w:ascii="宋体" w:hAnsi="宋体" w:cs="宋体"/>
          <w:sz w:val="20"/>
          <w:szCs w:val="20"/>
          <w:highlight w:val="none"/>
          <w:lang w:val="en-US" w:eastAsia="zh-CN"/>
        </w:rPr>
      </w:pPr>
      <w:r>
        <w:rPr>
          <w:rFonts w:hint="eastAsia" w:ascii="宋体" w:hAnsi="宋体" w:cs="宋体"/>
          <w:sz w:val="20"/>
          <w:szCs w:val="20"/>
          <w:highlight w:val="none"/>
          <w:lang w:val="en-US" w:eastAsia="zh-CN"/>
        </w:rPr>
        <w:t>5、模具验证过程中的生产制造费用（包括原辅材料）由甲方承担。对于明确评审确认为乙方设计责任、模具制作质量问题或其它判定为乙方责任的问题，按照质量保证协议相关条款进行索赔。</w:t>
      </w:r>
    </w:p>
    <w:p w14:paraId="25586F02">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eastAsia="宋体" w:cs="宋体"/>
          <w:sz w:val="20"/>
          <w:szCs w:val="20"/>
          <w:highlight w:val="none"/>
        </w:rPr>
      </w:pPr>
    </w:p>
    <w:p w14:paraId="6F23725B">
      <w:pPr>
        <w:keepNext w:val="0"/>
        <w:keepLines w:val="0"/>
        <w:pageBreakBefore w:val="0"/>
        <w:kinsoku/>
        <w:wordWrap/>
        <w:overflowPunct/>
        <w:topLinePunct w:val="0"/>
        <w:bidi w:val="0"/>
        <w:snapToGrid/>
        <w:spacing w:line="440" w:lineRule="exact"/>
        <w:ind w:left="402" w:hanging="400" w:hangingChars="200"/>
        <w:jc w:val="center"/>
        <w:rPr>
          <w:rFonts w:hint="default" w:ascii="宋体" w:hAnsi="宋体" w:eastAsia="宋体"/>
          <w:b/>
          <w:color w:val="auto"/>
          <w:sz w:val="20"/>
          <w:highlight w:val="none"/>
          <w:lang w:val="en-US" w:eastAsia="zh-CN"/>
        </w:rPr>
      </w:pPr>
      <w:r>
        <w:rPr>
          <w:rFonts w:hint="eastAsia" w:ascii="宋体" w:hAnsi="宋体"/>
          <w:b/>
          <w:color w:val="auto"/>
          <w:sz w:val="20"/>
          <w:highlight w:val="none"/>
          <w:lang w:val="en-US" w:eastAsia="zh-CN"/>
        </w:rPr>
        <w:t>表1：</w:t>
      </w:r>
      <w:r>
        <w:rPr>
          <w:rFonts w:ascii="宋体" w:hAnsi="宋体"/>
          <w:b/>
          <w:color w:val="auto"/>
          <w:sz w:val="20"/>
          <w:highlight w:val="none"/>
        </w:rPr>
        <w:t>甲方要求乙方提交的</w:t>
      </w:r>
      <w:r>
        <w:rPr>
          <w:rFonts w:hint="eastAsia" w:ascii="宋体" w:hAnsi="宋体"/>
          <w:b/>
          <w:color w:val="auto"/>
          <w:sz w:val="20"/>
          <w:highlight w:val="none"/>
          <w:lang w:val="en-US" w:eastAsia="zh-CN"/>
        </w:rPr>
        <w:t>资料清单</w:t>
      </w:r>
    </w:p>
    <w:tbl>
      <w:tblPr>
        <w:tblStyle w:val="36"/>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86"/>
        <w:gridCol w:w="863"/>
        <w:gridCol w:w="3502"/>
      </w:tblGrid>
      <w:tr w14:paraId="3D109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886" w:type="dxa"/>
            <w:noWrap w:val="0"/>
            <w:vAlign w:val="center"/>
          </w:tcPr>
          <w:p w14:paraId="72F25137">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资料明细</w:t>
            </w:r>
          </w:p>
        </w:tc>
        <w:tc>
          <w:tcPr>
            <w:tcW w:w="863" w:type="dxa"/>
            <w:noWrap w:val="0"/>
            <w:vAlign w:val="center"/>
          </w:tcPr>
          <w:p w14:paraId="363C9CBC">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要求</w:t>
            </w:r>
          </w:p>
        </w:tc>
        <w:tc>
          <w:tcPr>
            <w:tcW w:w="3502" w:type="dxa"/>
            <w:noWrap w:val="0"/>
            <w:vAlign w:val="center"/>
          </w:tcPr>
          <w:p w14:paraId="26992D6A">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备注</w:t>
            </w:r>
          </w:p>
        </w:tc>
      </w:tr>
      <w:tr w14:paraId="441FA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0361AA40">
            <w:pPr>
              <w:keepNext w:val="0"/>
              <w:keepLines w:val="0"/>
              <w:pageBreakBefore w:val="0"/>
              <w:kinsoku/>
              <w:wordWrap/>
              <w:overflowPunct/>
              <w:topLinePunct w:val="0"/>
              <w:bidi w:val="0"/>
              <w:snapToGrid/>
              <w:spacing w:line="440" w:lineRule="exact"/>
              <w:jc w:val="left"/>
              <w:rPr>
                <w:rFonts w:ascii="宋体" w:hAnsi="宋体"/>
                <w:color w:val="auto"/>
                <w:sz w:val="20"/>
                <w:highlight w:val="none"/>
              </w:rPr>
            </w:pPr>
            <w:r>
              <w:rPr>
                <w:rFonts w:hint="eastAsia" w:ascii="宋体" w:hAnsi="宋体"/>
                <w:color w:val="auto"/>
                <w:sz w:val="20"/>
                <w:highlight w:val="none"/>
                <w:lang w:val="en-US" w:eastAsia="zh-CN"/>
              </w:rPr>
              <w:t>1</w:t>
            </w:r>
            <w:r>
              <w:rPr>
                <w:rFonts w:ascii="宋体" w:hAnsi="宋体"/>
                <w:color w:val="auto"/>
                <w:sz w:val="20"/>
                <w:highlight w:val="none"/>
              </w:rPr>
              <w:t>.过程流程图</w:t>
            </w:r>
            <w:r>
              <w:rPr>
                <w:rFonts w:hint="eastAsia" w:ascii="宋体" w:hAnsi="宋体"/>
                <w:color w:val="auto"/>
                <w:sz w:val="20"/>
                <w:highlight w:val="none"/>
              </w:rPr>
              <w:t>（或工艺卡等相关文件）</w:t>
            </w:r>
          </w:p>
        </w:tc>
        <w:tc>
          <w:tcPr>
            <w:tcW w:w="863" w:type="dxa"/>
            <w:noWrap w:val="0"/>
            <w:vAlign w:val="top"/>
          </w:tcPr>
          <w:p w14:paraId="105D0B75">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w:t>
            </w:r>
          </w:p>
        </w:tc>
        <w:tc>
          <w:tcPr>
            <w:tcW w:w="3502" w:type="dxa"/>
            <w:noWrap w:val="0"/>
            <w:vAlign w:val="top"/>
          </w:tcPr>
          <w:p w14:paraId="3C382970">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复印件</w:t>
            </w:r>
          </w:p>
        </w:tc>
      </w:tr>
      <w:tr w14:paraId="25761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2D30FBF5">
            <w:pPr>
              <w:keepNext w:val="0"/>
              <w:keepLines w:val="0"/>
              <w:pageBreakBefore w:val="0"/>
              <w:kinsoku/>
              <w:wordWrap/>
              <w:overflowPunct/>
              <w:topLinePunct w:val="0"/>
              <w:bidi w:val="0"/>
              <w:snapToGrid/>
              <w:spacing w:line="440" w:lineRule="exact"/>
              <w:jc w:val="left"/>
              <w:rPr>
                <w:rFonts w:ascii="宋体" w:hAnsi="宋体"/>
                <w:color w:val="auto"/>
                <w:sz w:val="20"/>
                <w:highlight w:val="none"/>
              </w:rPr>
            </w:pPr>
            <w:r>
              <w:rPr>
                <w:rFonts w:hint="eastAsia" w:ascii="宋体" w:hAnsi="宋体"/>
                <w:color w:val="auto"/>
                <w:sz w:val="20"/>
                <w:highlight w:val="none"/>
                <w:lang w:val="en-US" w:eastAsia="zh-CN"/>
              </w:rPr>
              <w:t>2</w:t>
            </w:r>
            <w:r>
              <w:rPr>
                <w:rFonts w:ascii="宋体" w:hAnsi="宋体"/>
                <w:color w:val="auto"/>
                <w:sz w:val="20"/>
                <w:highlight w:val="none"/>
              </w:rPr>
              <w:t>.控制计划</w:t>
            </w:r>
            <w:r>
              <w:rPr>
                <w:rFonts w:hint="eastAsia" w:ascii="宋体" w:hAnsi="宋体"/>
                <w:color w:val="auto"/>
                <w:sz w:val="20"/>
                <w:highlight w:val="none"/>
              </w:rPr>
              <w:t>（或作业指导文件等相关文件）</w:t>
            </w:r>
          </w:p>
        </w:tc>
        <w:tc>
          <w:tcPr>
            <w:tcW w:w="863" w:type="dxa"/>
            <w:noWrap w:val="0"/>
            <w:vAlign w:val="top"/>
          </w:tcPr>
          <w:p w14:paraId="7FDED5AF">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w:t>
            </w:r>
          </w:p>
        </w:tc>
        <w:tc>
          <w:tcPr>
            <w:tcW w:w="3502" w:type="dxa"/>
            <w:noWrap w:val="0"/>
            <w:vAlign w:val="top"/>
          </w:tcPr>
          <w:p w14:paraId="7CB250E8">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复印件</w:t>
            </w:r>
          </w:p>
        </w:tc>
      </w:tr>
      <w:tr w14:paraId="49E00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6C427F4B">
            <w:pPr>
              <w:keepNext w:val="0"/>
              <w:keepLines w:val="0"/>
              <w:pageBreakBefore w:val="0"/>
              <w:kinsoku/>
              <w:wordWrap/>
              <w:overflowPunct/>
              <w:topLinePunct w:val="0"/>
              <w:bidi w:val="0"/>
              <w:snapToGrid/>
              <w:spacing w:line="440" w:lineRule="exact"/>
              <w:jc w:val="left"/>
              <w:rPr>
                <w:rFonts w:ascii="宋体" w:hAnsi="宋体" w:eastAsia="宋体"/>
                <w:color w:val="auto"/>
                <w:kern w:val="2"/>
                <w:sz w:val="20"/>
                <w:highlight w:val="none"/>
                <w:lang w:val="en-US" w:eastAsia="zh-CN" w:bidi="ar-SA"/>
              </w:rPr>
            </w:pPr>
            <w:r>
              <w:rPr>
                <w:rFonts w:hint="eastAsia" w:ascii="宋体" w:hAnsi="宋体"/>
                <w:color w:val="auto"/>
                <w:sz w:val="20"/>
                <w:highlight w:val="none"/>
                <w:lang w:val="en-US" w:eastAsia="zh-CN"/>
              </w:rPr>
              <w:t>3</w:t>
            </w:r>
            <w:r>
              <w:rPr>
                <w:rFonts w:ascii="宋体" w:hAnsi="宋体"/>
                <w:color w:val="auto"/>
                <w:sz w:val="20"/>
                <w:highlight w:val="none"/>
              </w:rPr>
              <w:t>.工程变更文件，如果有</w:t>
            </w:r>
          </w:p>
        </w:tc>
        <w:tc>
          <w:tcPr>
            <w:tcW w:w="863" w:type="dxa"/>
            <w:noWrap w:val="0"/>
            <w:vAlign w:val="top"/>
          </w:tcPr>
          <w:p w14:paraId="2BF2F007">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6E4AFE33">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05F43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71EF1FDC">
            <w:pPr>
              <w:keepNext w:val="0"/>
              <w:keepLines w:val="0"/>
              <w:pageBreakBefore w:val="0"/>
              <w:kinsoku/>
              <w:wordWrap/>
              <w:overflowPunct/>
              <w:topLinePunct w:val="0"/>
              <w:bidi w:val="0"/>
              <w:snapToGrid/>
              <w:spacing w:line="440" w:lineRule="exact"/>
              <w:jc w:val="left"/>
              <w:rPr>
                <w:rFonts w:hint="default" w:ascii="宋体" w:hAnsi="宋体" w:eastAsia="宋体"/>
                <w:color w:val="auto"/>
                <w:kern w:val="2"/>
                <w:sz w:val="20"/>
                <w:highlight w:val="none"/>
                <w:lang w:val="en-US" w:eastAsia="zh-CN" w:bidi="ar-SA"/>
              </w:rPr>
            </w:pPr>
            <w:r>
              <w:rPr>
                <w:rFonts w:hint="eastAsia" w:ascii="宋体" w:hAnsi="宋体"/>
                <w:color w:val="auto"/>
                <w:sz w:val="20"/>
                <w:highlight w:val="none"/>
                <w:lang w:val="en-US" w:eastAsia="zh-CN"/>
              </w:rPr>
              <w:t>4</w:t>
            </w:r>
            <w:r>
              <w:rPr>
                <w:rFonts w:ascii="宋体" w:hAnsi="宋体"/>
                <w:color w:val="auto"/>
                <w:sz w:val="20"/>
                <w:highlight w:val="none"/>
              </w:rPr>
              <w:t>.全尺寸测量结果</w:t>
            </w:r>
            <w:r>
              <w:rPr>
                <w:rFonts w:hint="eastAsia" w:ascii="宋体" w:hAnsi="宋体"/>
                <w:color w:val="auto"/>
                <w:sz w:val="20"/>
                <w:highlight w:val="none"/>
                <w:lang w:val="en-US" w:eastAsia="zh-CN"/>
              </w:rPr>
              <w:t>/三维扫描对比结果</w:t>
            </w:r>
          </w:p>
        </w:tc>
        <w:tc>
          <w:tcPr>
            <w:tcW w:w="863" w:type="dxa"/>
            <w:noWrap w:val="0"/>
            <w:vAlign w:val="top"/>
          </w:tcPr>
          <w:p w14:paraId="4D1B9DA6">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25FDBBBE">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66E4E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337735F9">
            <w:pPr>
              <w:keepNext w:val="0"/>
              <w:keepLines w:val="0"/>
              <w:pageBreakBefore w:val="0"/>
              <w:kinsoku/>
              <w:wordWrap/>
              <w:overflowPunct/>
              <w:topLinePunct w:val="0"/>
              <w:bidi w:val="0"/>
              <w:snapToGrid/>
              <w:spacing w:line="440" w:lineRule="exact"/>
              <w:jc w:val="left"/>
              <w:rPr>
                <w:rFonts w:ascii="宋体" w:hAnsi="宋体" w:eastAsia="宋体"/>
                <w:color w:val="auto"/>
                <w:kern w:val="2"/>
                <w:sz w:val="20"/>
                <w:highlight w:val="none"/>
                <w:lang w:val="en-US" w:eastAsia="zh-CN" w:bidi="ar-SA"/>
              </w:rPr>
            </w:pPr>
            <w:r>
              <w:rPr>
                <w:rFonts w:hint="eastAsia" w:ascii="宋体" w:hAnsi="宋体" w:cs="Times New Roman"/>
                <w:color w:val="auto"/>
                <w:sz w:val="20"/>
                <w:highlight w:val="none"/>
                <w:lang w:val="en-US" w:eastAsia="zh-CN"/>
              </w:rPr>
              <w:t>5</w:t>
            </w:r>
            <w:r>
              <w:rPr>
                <w:rFonts w:hint="eastAsia" w:ascii="宋体" w:hAnsi="宋体" w:eastAsia="宋体" w:cs="Times New Roman"/>
                <w:color w:val="auto"/>
                <w:sz w:val="20"/>
                <w:highlight w:val="none"/>
                <w:lang w:val="en-US" w:eastAsia="zh-CN"/>
              </w:rPr>
              <w:t>.模块</w:t>
            </w:r>
            <w:r>
              <w:rPr>
                <w:rFonts w:hint="eastAsia" w:ascii="宋体" w:hAnsi="宋体" w:eastAsia="宋体" w:cs="Times New Roman"/>
                <w:color w:val="auto"/>
                <w:sz w:val="20"/>
                <w:highlight w:val="none"/>
              </w:rPr>
              <w:t>超声波探伤结果报告</w:t>
            </w:r>
          </w:p>
        </w:tc>
        <w:tc>
          <w:tcPr>
            <w:tcW w:w="863" w:type="dxa"/>
            <w:noWrap w:val="0"/>
            <w:vAlign w:val="top"/>
          </w:tcPr>
          <w:p w14:paraId="0F09E80A">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5F9C4B00">
            <w:pPr>
              <w:keepNext w:val="0"/>
              <w:keepLines w:val="0"/>
              <w:pageBreakBefore w:val="0"/>
              <w:kinsoku/>
              <w:wordWrap/>
              <w:overflowPunct/>
              <w:topLinePunct w:val="0"/>
              <w:bidi w:val="0"/>
              <w:snapToGrid/>
              <w:spacing w:line="440" w:lineRule="exact"/>
              <w:jc w:val="center"/>
              <w:rPr>
                <w:rFonts w:hint="eastAsia"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54114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86" w:type="dxa"/>
            <w:noWrap w:val="0"/>
            <w:vAlign w:val="top"/>
          </w:tcPr>
          <w:p w14:paraId="70F5964B">
            <w:pPr>
              <w:keepNext w:val="0"/>
              <w:keepLines w:val="0"/>
              <w:pageBreakBefore w:val="0"/>
              <w:kinsoku/>
              <w:wordWrap/>
              <w:overflowPunct/>
              <w:topLinePunct w:val="0"/>
              <w:bidi w:val="0"/>
              <w:snapToGrid/>
              <w:spacing w:line="440" w:lineRule="exact"/>
              <w:jc w:val="left"/>
              <w:rPr>
                <w:rFonts w:hint="eastAsia" w:ascii="宋体" w:hAnsi="宋体" w:eastAsia="宋体" w:cs="Times New Roman"/>
                <w:color w:val="auto"/>
                <w:kern w:val="2"/>
                <w:sz w:val="20"/>
                <w:highlight w:val="none"/>
                <w:lang w:val="en-US" w:eastAsia="zh-CN" w:bidi="ar-SA"/>
              </w:rPr>
            </w:pPr>
            <w:r>
              <w:rPr>
                <w:rFonts w:hint="eastAsia" w:ascii="宋体" w:hAnsi="宋体"/>
                <w:color w:val="auto"/>
                <w:sz w:val="20"/>
                <w:highlight w:val="none"/>
                <w:lang w:val="en-US" w:eastAsia="zh-CN"/>
              </w:rPr>
              <w:t>6</w:t>
            </w:r>
            <w:r>
              <w:rPr>
                <w:rFonts w:ascii="宋体" w:hAnsi="宋体"/>
                <w:color w:val="auto"/>
                <w:sz w:val="20"/>
                <w:highlight w:val="none"/>
              </w:rPr>
              <w:t>.材料、性能试验结果</w:t>
            </w:r>
          </w:p>
        </w:tc>
        <w:tc>
          <w:tcPr>
            <w:tcW w:w="863" w:type="dxa"/>
            <w:noWrap w:val="0"/>
            <w:vAlign w:val="top"/>
          </w:tcPr>
          <w:p w14:paraId="57F89588">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0E5A7F1F">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6278A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026B22A6">
            <w:pPr>
              <w:keepNext w:val="0"/>
              <w:keepLines w:val="0"/>
              <w:pageBreakBefore w:val="0"/>
              <w:kinsoku/>
              <w:wordWrap/>
              <w:overflowPunct/>
              <w:topLinePunct w:val="0"/>
              <w:bidi w:val="0"/>
              <w:snapToGrid/>
              <w:spacing w:line="440" w:lineRule="exact"/>
              <w:jc w:val="left"/>
              <w:rPr>
                <w:rFonts w:hint="eastAsia" w:ascii="宋体" w:hAnsi="宋体" w:eastAsia="宋体" w:cs="Times New Roman"/>
                <w:color w:val="auto"/>
                <w:kern w:val="2"/>
                <w:sz w:val="20"/>
                <w:highlight w:val="none"/>
                <w:lang w:val="en-US" w:eastAsia="zh-CN" w:bidi="ar-SA"/>
              </w:rPr>
            </w:pPr>
            <w:r>
              <w:rPr>
                <w:rFonts w:hint="eastAsia" w:ascii="宋体" w:hAnsi="宋体" w:cs="Times New Roman"/>
                <w:color w:val="auto"/>
                <w:sz w:val="20"/>
                <w:highlight w:val="none"/>
                <w:lang w:val="en-US" w:eastAsia="zh-CN"/>
              </w:rPr>
              <w:t>7</w:t>
            </w:r>
            <w:r>
              <w:rPr>
                <w:rFonts w:hint="eastAsia" w:ascii="宋体" w:hAnsi="宋体" w:eastAsia="宋体" w:cs="Times New Roman"/>
                <w:color w:val="auto"/>
                <w:sz w:val="20"/>
                <w:highlight w:val="none"/>
                <w:lang w:val="en-US" w:eastAsia="zh-CN"/>
              </w:rPr>
              <w:t>.</w:t>
            </w:r>
            <w:r>
              <w:rPr>
                <w:rFonts w:hint="eastAsia" w:ascii="宋体" w:hAnsi="宋体" w:eastAsia="宋体" w:cs="Times New Roman"/>
                <w:color w:val="auto"/>
                <w:sz w:val="20"/>
                <w:highlight w:val="none"/>
              </w:rPr>
              <w:t>模块材料合格证明</w:t>
            </w:r>
            <w:r>
              <w:rPr>
                <w:rFonts w:hint="eastAsia" w:ascii="宋体" w:hAnsi="宋体" w:eastAsia="宋体" w:cs="Times New Roman"/>
                <w:color w:val="auto"/>
                <w:sz w:val="20"/>
                <w:highlight w:val="none"/>
                <w:lang w:eastAsia="zh-CN"/>
              </w:rPr>
              <w:t>（</w:t>
            </w:r>
            <w:r>
              <w:rPr>
                <w:rFonts w:hint="eastAsia" w:ascii="宋体" w:hAnsi="宋体" w:eastAsia="宋体" w:cs="Times New Roman"/>
                <w:color w:val="auto"/>
                <w:sz w:val="20"/>
                <w:highlight w:val="none"/>
                <w:lang w:val="en-US" w:eastAsia="zh-CN"/>
              </w:rPr>
              <w:t>新制</w:t>
            </w:r>
            <w:r>
              <w:rPr>
                <w:rFonts w:hint="eastAsia" w:ascii="宋体" w:hAnsi="宋体" w:eastAsia="宋体" w:cs="Times New Roman"/>
                <w:color w:val="auto"/>
                <w:sz w:val="20"/>
                <w:highlight w:val="none"/>
                <w:lang w:eastAsia="zh-CN"/>
              </w:rPr>
              <w:t>）</w:t>
            </w:r>
          </w:p>
        </w:tc>
        <w:tc>
          <w:tcPr>
            <w:tcW w:w="863" w:type="dxa"/>
            <w:noWrap w:val="0"/>
            <w:vAlign w:val="center"/>
          </w:tcPr>
          <w:p w14:paraId="28CD1BE6">
            <w:pPr>
              <w:keepNext w:val="0"/>
              <w:keepLines w:val="0"/>
              <w:pageBreakBefore w:val="0"/>
              <w:kinsoku/>
              <w:wordWrap/>
              <w:overflowPunct/>
              <w:topLinePunct w:val="0"/>
              <w:bidi w:val="0"/>
              <w:snapToGrid/>
              <w:spacing w:line="440" w:lineRule="exact"/>
              <w:jc w:val="center"/>
              <w:rPr>
                <w:rFonts w:ascii="宋体" w:hAnsi="宋体" w:eastAsia="宋体" w:cs="Times New Roman"/>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4647A04E">
            <w:pPr>
              <w:keepNext w:val="0"/>
              <w:keepLines w:val="0"/>
              <w:pageBreakBefore w:val="0"/>
              <w:kinsoku/>
              <w:wordWrap/>
              <w:overflowPunct/>
              <w:topLinePunct w:val="0"/>
              <w:bidi w:val="0"/>
              <w:snapToGrid/>
              <w:spacing w:line="440" w:lineRule="exact"/>
              <w:jc w:val="center"/>
              <w:rPr>
                <w:rFonts w:ascii="宋体" w:hAnsi="宋体" w:eastAsia="宋体" w:cs="Times New Roman"/>
                <w:color w:val="auto"/>
                <w:kern w:val="2"/>
                <w:sz w:val="20"/>
                <w:highlight w:val="none"/>
                <w:lang w:val="en-US" w:eastAsia="zh-CN" w:bidi="ar-SA"/>
              </w:rPr>
            </w:pPr>
            <w:r>
              <w:rPr>
                <w:rFonts w:ascii="宋体" w:hAnsi="宋体"/>
                <w:color w:val="auto"/>
                <w:sz w:val="20"/>
                <w:highlight w:val="none"/>
              </w:rPr>
              <w:t>复印件</w:t>
            </w:r>
          </w:p>
        </w:tc>
      </w:tr>
      <w:tr w14:paraId="6EE70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1D622196">
            <w:pPr>
              <w:keepNext w:val="0"/>
              <w:keepLines w:val="0"/>
              <w:pageBreakBefore w:val="0"/>
              <w:kinsoku/>
              <w:wordWrap/>
              <w:overflowPunct/>
              <w:topLinePunct w:val="0"/>
              <w:bidi w:val="0"/>
              <w:snapToGrid/>
              <w:spacing w:line="440" w:lineRule="exact"/>
              <w:jc w:val="left"/>
              <w:rPr>
                <w:rFonts w:hint="default" w:ascii="宋体" w:hAnsi="宋体" w:eastAsia="宋体" w:cs="Times New Roman"/>
                <w:color w:val="auto"/>
                <w:kern w:val="2"/>
                <w:sz w:val="20"/>
                <w:highlight w:val="none"/>
                <w:lang w:val="en-US" w:eastAsia="zh-CN" w:bidi="ar-SA"/>
              </w:rPr>
            </w:pPr>
            <w:r>
              <w:rPr>
                <w:rFonts w:hint="eastAsia" w:ascii="宋体" w:hAnsi="宋体" w:cs="Times New Roman"/>
                <w:color w:val="auto"/>
                <w:kern w:val="2"/>
                <w:sz w:val="20"/>
                <w:highlight w:val="none"/>
                <w:lang w:val="en-US" w:eastAsia="zh-CN" w:bidi="ar-SA"/>
              </w:rPr>
              <w:t>8.模具三维造型以及易损件二维图纸</w:t>
            </w:r>
          </w:p>
        </w:tc>
        <w:tc>
          <w:tcPr>
            <w:tcW w:w="863" w:type="dxa"/>
            <w:noWrap w:val="0"/>
            <w:vAlign w:val="center"/>
          </w:tcPr>
          <w:p w14:paraId="32F70AE1">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1643C281">
            <w:pPr>
              <w:keepNext w:val="0"/>
              <w:keepLines w:val="0"/>
              <w:pageBreakBefore w:val="0"/>
              <w:kinsoku/>
              <w:wordWrap/>
              <w:overflowPunct/>
              <w:topLinePunct w:val="0"/>
              <w:bidi w:val="0"/>
              <w:snapToGrid/>
              <w:spacing w:line="440" w:lineRule="exact"/>
              <w:jc w:val="center"/>
              <w:rPr>
                <w:rFonts w:hint="default" w:ascii="宋体" w:hAnsi="宋体" w:eastAsia="宋体"/>
                <w:color w:val="auto"/>
                <w:kern w:val="2"/>
                <w:sz w:val="20"/>
                <w:highlight w:val="none"/>
                <w:lang w:val="en-US" w:eastAsia="zh-CN" w:bidi="ar-SA"/>
              </w:rPr>
            </w:pPr>
            <w:r>
              <w:rPr>
                <w:rFonts w:hint="eastAsia" w:ascii="宋体" w:hAnsi="宋体"/>
                <w:color w:val="auto"/>
                <w:kern w:val="2"/>
                <w:sz w:val="20"/>
                <w:highlight w:val="none"/>
                <w:lang w:val="en-US" w:eastAsia="zh-CN" w:bidi="ar-SA"/>
              </w:rPr>
              <w:t>电子版</w:t>
            </w:r>
          </w:p>
        </w:tc>
      </w:tr>
    </w:tbl>
    <w:p w14:paraId="6138CB3D">
      <w:pPr>
        <w:keepNext w:val="0"/>
        <w:keepLines w:val="0"/>
        <w:pageBreakBefore w:val="0"/>
        <w:kinsoku/>
        <w:wordWrap/>
        <w:overflowPunct/>
        <w:topLinePunct w:val="0"/>
        <w:bidi w:val="0"/>
        <w:snapToGrid/>
        <w:spacing w:line="440" w:lineRule="exact"/>
        <w:rPr>
          <w:rFonts w:hint="eastAsia" w:ascii="宋体" w:hAnsi="宋体"/>
          <w:sz w:val="20"/>
          <w:highlight w:val="none"/>
        </w:rPr>
      </w:pPr>
      <w:r>
        <w:rPr>
          <w:rFonts w:ascii="宋体" w:hAnsi="宋体"/>
          <w:sz w:val="20"/>
          <w:highlight w:val="none"/>
        </w:rPr>
        <w:t>上表中“ √”表示乙方</w:t>
      </w:r>
      <w:r>
        <w:rPr>
          <w:rFonts w:hint="eastAsia" w:ascii="宋体" w:hAnsi="宋体"/>
          <w:sz w:val="20"/>
          <w:highlight w:val="none"/>
          <w:lang w:val="en-US" w:eastAsia="zh-CN"/>
        </w:rPr>
        <w:t>必须</w:t>
      </w:r>
      <w:r>
        <w:rPr>
          <w:rFonts w:ascii="宋体" w:hAnsi="宋体"/>
          <w:sz w:val="20"/>
          <w:highlight w:val="none"/>
        </w:rPr>
        <w:t>提交的资料</w:t>
      </w:r>
      <w:r>
        <w:rPr>
          <w:rFonts w:hint="eastAsia" w:ascii="宋体" w:hAnsi="宋体"/>
          <w:sz w:val="20"/>
          <w:highlight w:val="none"/>
          <w:lang w:eastAsia="zh-CN"/>
        </w:rPr>
        <w:t>，</w:t>
      </w:r>
      <w:r>
        <w:rPr>
          <w:rFonts w:ascii="宋体" w:hAnsi="宋体"/>
          <w:sz w:val="20"/>
          <w:highlight w:val="none"/>
        </w:rPr>
        <w:t>备注中填写数量、原件、复印件等说明</w:t>
      </w:r>
      <w:r>
        <w:rPr>
          <w:rFonts w:hint="eastAsia" w:ascii="宋体" w:hAnsi="宋体"/>
          <w:sz w:val="20"/>
          <w:highlight w:val="none"/>
        </w:rPr>
        <w:t>。</w:t>
      </w:r>
    </w:p>
    <w:p w14:paraId="0A730A7C">
      <w:pPr>
        <w:keepNext w:val="0"/>
        <w:keepLines w:val="0"/>
        <w:pageBreakBefore w:val="0"/>
        <w:kinsoku/>
        <w:wordWrap/>
        <w:overflowPunct/>
        <w:topLinePunct w:val="0"/>
        <w:bidi w:val="0"/>
        <w:snapToGrid/>
        <w:spacing w:line="440" w:lineRule="exact"/>
        <w:rPr>
          <w:rFonts w:hint="eastAsia" w:ascii="宋体" w:hAnsi="宋体"/>
          <w:sz w:val="20"/>
          <w:highlight w:val="none"/>
        </w:rPr>
      </w:pPr>
    </w:p>
    <w:p w14:paraId="78D343C3">
      <w:pPr>
        <w:spacing w:line="440" w:lineRule="exact"/>
        <w:jc w:val="center"/>
        <w:rPr>
          <w:rFonts w:hint="default" w:ascii="宋体" w:hAnsi="宋体" w:eastAsia="宋体"/>
          <w:b/>
          <w:sz w:val="20"/>
          <w:highlight w:val="none"/>
          <w:lang w:val="en-US" w:eastAsia="zh-CN"/>
        </w:rPr>
      </w:pPr>
      <w:r>
        <w:rPr>
          <w:rFonts w:hint="eastAsia" w:ascii="宋体" w:hAnsi="宋体"/>
          <w:b/>
          <w:sz w:val="20"/>
          <w:highlight w:val="none"/>
          <w:lang w:val="en-US" w:eastAsia="zh-CN"/>
        </w:rPr>
        <w:t>表2：关键配合尺寸公差要求</w:t>
      </w:r>
    </w:p>
    <w:tbl>
      <w:tblPr>
        <w:tblStyle w:val="36"/>
        <w:tblW w:w="8733" w:type="dxa"/>
        <w:tblInd w:w="10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675"/>
        <w:gridCol w:w="1243"/>
        <w:gridCol w:w="6815"/>
      </w:tblGrid>
      <w:tr w14:paraId="484BF0E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85" w:hRule="atLeast"/>
        </w:trPr>
        <w:tc>
          <w:tcPr>
            <w:tcW w:w="675" w:type="dxa"/>
            <w:tcBorders>
              <w:tl2br w:val="nil"/>
              <w:tr2bl w:val="nil"/>
            </w:tcBorders>
            <w:shd w:val="clear" w:color="auto" w:fill="auto"/>
            <w:noWrap/>
            <w:vAlign w:val="center"/>
          </w:tcPr>
          <w:p w14:paraId="55385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43" w:type="dxa"/>
            <w:tcBorders>
              <w:tl2br w:val="nil"/>
              <w:tr2bl w:val="nil"/>
            </w:tcBorders>
            <w:shd w:val="clear" w:color="auto" w:fill="auto"/>
            <w:noWrap/>
            <w:vAlign w:val="center"/>
          </w:tcPr>
          <w:p w14:paraId="1797D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模具类型</w:t>
            </w:r>
          </w:p>
        </w:tc>
        <w:tc>
          <w:tcPr>
            <w:tcW w:w="6815" w:type="dxa"/>
            <w:tcBorders>
              <w:tl2br w:val="nil"/>
              <w:tr2bl w:val="nil"/>
            </w:tcBorders>
            <w:shd w:val="clear" w:color="auto" w:fill="auto"/>
            <w:noWrap/>
            <w:vAlign w:val="center"/>
          </w:tcPr>
          <w:p w14:paraId="695400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关键尺寸公差要求</w:t>
            </w:r>
          </w:p>
        </w:tc>
      </w:tr>
      <w:tr w14:paraId="34175A2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A661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43" w:type="dxa"/>
            <w:vMerge w:val="restart"/>
            <w:tcBorders>
              <w:tl2br w:val="nil"/>
              <w:tr2bl w:val="nil"/>
            </w:tcBorders>
            <w:shd w:val="clear" w:color="auto" w:fill="auto"/>
            <w:noWrap/>
            <w:vAlign w:val="center"/>
          </w:tcPr>
          <w:p w14:paraId="37634D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锻模</w:t>
            </w:r>
          </w:p>
          <w:p w14:paraId="656A6B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（MP8000）</w:t>
            </w:r>
          </w:p>
        </w:tc>
        <w:tc>
          <w:tcPr>
            <w:tcW w:w="6815" w:type="dxa"/>
            <w:tcBorders>
              <w:tl2br w:val="nil"/>
              <w:tr2bl w:val="nil"/>
            </w:tcBorders>
            <w:shd w:val="clear" w:color="auto" w:fill="auto"/>
            <w:noWrap/>
            <w:vAlign w:val="center"/>
          </w:tcPr>
          <w:p w14:paraId="1395C01A">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键槽80H7mm，底部圆角R2；φ770±0.1mm，φ710（+2，0）mm</w:t>
            </w:r>
          </w:p>
        </w:tc>
      </w:tr>
      <w:tr w14:paraId="38481B6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487FF25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243" w:type="dxa"/>
            <w:vMerge w:val="continue"/>
            <w:tcBorders>
              <w:tl2br w:val="nil"/>
              <w:tr2bl w:val="nil"/>
            </w:tcBorders>
            <w:shd w:val="clear" w:color="auto" w:fill="auto"/>
            <w:noWrap/>
            <w:vAlign w:val="center"/>
          </w:tcPr>
          <w:p w14:paraId="4588B472">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484587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合模间隙预锻8mm、终锻6mm</w:t>
            </w:r>
            <w:r>
              <w:rPr>
                <w:rFonts w:hint="eastAsia" w:ascii="宋体" w:hAnsi="宋体" w:cs="宋体"/>
                <w:i w:val="0"/>
                <w:iCs w:val="0"/>
                <w:color w:val="000000"/>
                <w:kern w:val="0"/>
                <w:sz w:val="20"/>
                <w:szCs w:val="20"/>
                <w:u w:val="none"/>
                <w:lang w:val="en-US" w:eastAsia="zh-CN" w:bidi="ar"/>
              </w:rPr>
              <w:t>，终锻</w:t>
            </w:r>
            <w:r>
              <w:rPr>
                <w:rFonts w:hint="eastAsia" w:ascii="宋体" w:hAnsi="宋体" w:eastAsia="宋体" w:cs="宋体"/>
                <w:i w:val="0"/>
                <w:iCs w:val="0"/>
                <w:color w:val="000000"/>
                <w:kern w:val="0"/>
                <w:sz w:val="20"/>
                <w:szCs w:val="20"/>
                <w:u w:val="none"/>
                <w:lang w:val="en-US" w:eastAsia="zh-CN" w:bidi="ar"/>
              </w:rPr>
              <w:t>合模6</w:t>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5mm（包括6mm桥部）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合模错移±0.2mm</w:t>
            </w:r>
          </w:p>
        </w:tc>
      </w:tr>
      <w:tr w14:paraId="0101306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44D6EE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43" w:type="dxa"/>
            <w:vMerge w:val="continue"/>
            <w:tcBorders>
              <w:tl2br w:val="nil"/>
              <w:tr2bl w:val="nil"/>
            </w:tcBorders>
            <w:shd w:val="clear" w:color="auto" w:fill="auto"/>
            <w:noWrap/>
            <w:vAlign w:val="center"/>
          </w:tcPr>
          <w:p w14:paraId="55A603E9">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3066A069">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桥口平面与模体底面</w:t>
            </w:r>
            <w:r>
              <w:rPr>
                <w:rFonts w:hint="eastAsia" w:ascii="宋体" w:hAnsi="宋体" w:eastAsia="宋体" w:cs="宋体"/>
                <w:i w:val="0"/>
                <w:iCs w:val="0"/>
                <w:color w:val="000000"/>
                <w:kern w:val="0"/>
                <w:sz w:val="20"/>
                <w:szCs w:val="20"/>
                <w:u w:val="none"/>
                <w:lang w:val="en-US" w:eastAsia="zh-CN" w:bidi="ar"/>
              </w:rPr>
              <w:t>尺寸公差±0.2mm</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sz w:val="20"/>
                <w:szCs w:val="20"/>
                <w:u w:val="none"/>
                <w:lang w:val="en-US" w:eastAsia="zh-CN"/>
              </w:rPr>
              <w:t>平行度0.2mm</w:t>
            </w:r>
          </w:p>
        </w:tc>
      </w:tr>
      <w:tr w14:paraId="1623E64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266E3A0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243" w:type="dxa"/>
            <w:vMerge w:val="restart"/>
            <w:tcBorders>
              <w:tl2br w:val="nil"/>
              <w:tr2bl w:val="nil"/>
            </w:tcBorders>
            <w:shd w:val="clear" w:color="auto" w:fill="auto"/>
            <w:noWrap/>
            <w:vAlign w:val="center"/>
          </w:tcPr>
          <w:p w14:paraId="7EE1860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锻模</w:t>
            </w:r>
          </w:p>
          <w:p w14:paraId="1706E433">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（MP</w:t>
            </w:r>
            <w:r>
              <w:rPr>
                <w:rFonts w:hint="eastAsia" w:ascii="宋体" w:hAnsi="宋体" w:cs="宋体"/>
                <w:i w:val="0"/>
                <w:iCs w:val="0"/>
                <w:color w:val="000000"/>
                <w:kern w:val="0"/>
                <w:sz w:val="20"/>
                <w:szCs w:val="20"/>
                <w:u w:val="none"/>
                <w:lang w:val="en-US" w:eastAsia="zh-CN" w:bidi="ar"/>
              </w:rPr>
              <w:t>63</w:t>
            </w:r>
            <w:r>
              <w:rPr>
                <w:rFonts w:hint="eastAsia" w:ascii="宋体" w:hAnsi="宋体" w:eastAsia="宋体" w:cs="宋体"/>
                <w:i w:val="0"/>
                <w:iCs w:val="0"/>
                <w:color w:val="000000"/>
                <w:kern w:val="0"/>
                <w:sz w:val="20"/>
                <w:szCs w:val="20"/>
                <w:u w:val="none"/>
                <w:lang w:val="en-US" w:eastAsia="zh-CN" w:bidi="ar"/>
              </w:rPr>
              <w:t>00）</w:t>
            </w:r>
          </w:p>
        </w:tc>
        <w:tc>
          <w:tcPr>
            <w:tcW w:w="6815" w:type="dxa"/>
            <w:tcBorders>
              <w:tl2br w:val="nil"/>
              <w:tr2bl w:val="nil"/>
            </w:tcBorders>
            <w:shd w:val="clear" w:color="auto" w:fill="auto"/>
            <w:noWrap/>
            <w:vAlign w:val="center"/>
          </w:tcPr>
          <w:p w14:paraId="199840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合模间隙预锻8mm、终锻6mm</w:t>
            </w:r>
            <w:r>
              <w:rPr>
                <w:rFonts w:hint="eastAsia" w:ascii="宋体" w:hAnsi="宋体" w:cs="宋体"/>
                <w:i w:val="0"/>
                <w:iCs w:val="0"/>
                <w:color w:val="000000"/>
                <w:kern w:val="0"/>
                <w:sz w:val="20"/>
                <w:szCs w:val="20"/>
                <w:u w:val="none"/>
                <w:lang w:val="en-US" w:eastAsia="zh-CN" w:bidi="ar"/>
              </w:rPr>
              <w:t>，终锻</w:t>
            </w:r>
            <w:r>
              <w:rPr>
                <w:rFonts w:hint="eastAsia" w:ascii="宋体" w:hAnsi="宋体" w:eastAsia="宋体" w:cs="宋体"/>
                <w:i w:val="0"/>
                <w:iCs w:val="0"/>
                <w:color w:val="000000"/>
                <w:kern w:val="0"/>
                <w:sz w:val="20"/>
                <w:szCs w:val="20"/>
                <w:u w:val="none"/>
                <w:lang w:val="en-US" w:eastAsia="zh-CN" w:bidi="ar"/>
              </w:rPr>
              <w:t>合模6</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5mm（包括6mm桥部）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合模错移±0.2mm，模体底面距桥口面尺寸公差±0.2mm</w:t>
            </w:r>
          </w:p>
        </w:tc>
      </w:tr>
      <w:tr w14:paraId="35D0E0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69444A5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243" w:type="dxa"/>
            <w:vMerge w:val="continue"/>
            <w:tcBorders>
              <w:tl2br w:val="nil"/>
              <w:tr2bl w:val="nil"/>
            </w:tcBorders>
            <w:shd w:val="clear" w:color="auto" w:fill="auto"/>
            <w:noWrap/>
            <w:vAlign w:val="center"/>
          </w:tcPr>
          <w:p w14:paraId="469E721E">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7EF4A43F">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型腔中心与模块中心偏差±0.05mm，压紧面15°±10′，模体平面相对装配基准面平行度0.05mm</w:t>
            </w:r>
          </w:p>
        </w:tc>
      </w:tr>
      <w:tr w14:paraId="30EE4B7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5105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43" w:type="dxa"/>
            <w:vMerge w:val="restart"/>
            <w:tcBorders>
              <w:tl2br w:val="nil"/>
              <w:tr2bl w:val="nil"/>
            </w:tcBorders>
            <w:shd w:val="clear" w:color="auto" w:fill="auto"/>
            <w:noWrap/>
            <w:vAlign w:val="center"/>
          </w:tcPr>
          <w:p w14:paraId="08B86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切边模（MP8000）</w:t>
            </w:r>
          </w:p>
        </w:tc>
        <w:tc>
          <w:tcPr>
            <w:tcW w:w="6815" w:type="dxa"/>
            <w:tcBorders>
              <w:tl2br w:val="nil"/>
              <w:tr2bl w:val="nil"/>
            </w:tcBorders>
            <w:shd w:val="clear" w:color="auto" w:fill="auto"/>
            <w:vAlign w:val="center"/>
          </w:tcPr>
          <w:p w14:paraId="44188B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凹模装配用键槽宽度36H7mm</w:t>
            </w:r>
          </w:p>
        </w:tc>
      </w:tr>
      <w:tr w14:paraId="01E9F80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6751A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43" w:type="dxa"/>
            <w:vMerge w:val="continue"/>
            <w:tcBorders>
              <w:tl2br w:val="nil"/>
              <w:tr2bl w:val="nil"/>
            </w:tcBorders>
            <w:shd w:val="clear" w:color="auto" w:fill="auto"/>
            <w:noWrap/>
            <w:vAlign w:val="center"/>
          </w:tcPr>
          <w:p w14:paraId="7A002B2B">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02371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凹模刃口平面度0.05mm，底面平面度0.05mm，刃口平面与底面平行度0.05mm</w:t>
            </w:r>
          </w:p>
        </w:tc>
      </w:tr>
      <w:tr w14:paraId="3CDD1CE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6D45D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43" w:type="dxa"/>
            <w:vMerge w:val="continue"/>
            <w:tcBorders>
              <w:tl2br w:val="nil"/>
              <w:tr2bl w:val="nil"/>
            </w:tcBorders>
            <w:shd w:val="clear" w:color="auto" w:fill="auto"/>
            <w:noWrap/>
            <w:vAlign w:val="center"/>
          </w:tcPr>
          <w:p w14:paraId="6DA38963">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118F23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上下凸模（冲头）底面装配用3个键槽宽度28H7mm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2方向键槽中心线垂直度0.05mm</w:t>
            </w:r>
          </w:p>
        </w:tc>
      </w:tr>
      <w:tr w14:paraId="7D9A06D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25F43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43" w:type="dxa"/>
            <w:vMerge w:val="restart"/>
            <w:tcBorders>
              <w:tl2br w:val="nil"/>
              <w:tr2bl w:val="nil"/>
            </w:tcBorders>
            <w:shd w:val="clear" w:color="auto" w:fill="auto"/>
            <w:noWrap/>
            <w:vAlign w:val="center"/>
          </w:tcPr>
          <w:p w14:paraId="6866F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切边模（MP</w:t>
            </w:r>
            <w:r>
              <w:rPr>
                <w:rFonts w:hint="eastAsia" w:ascii="宋体" w:hAnsi="宋体" w:cs="宋体"/>
                <w:i w:val="0"/>
                <w:iCs w:val="0"/>
                <w:color w:val="000000"/>
                <w:kern w:val="0"/>
                <w:sz w:val="20"/>
                <w:szCs w:val="20"/>
                <w:u w:val="none"/>
                <w:lang w:val="en-US" w:eastAsia="zh-CN" w:bidi="ar"/>
              </w:rPr>
              <w:t>63</w:t>
            </w:r>
            <w:r>
              <w:rPr>
                <w:rFonts w:hint="eastAsia" w:ascii="宋体" w:hAnsi="宋体" w:eastAsia="宋体" w:cs="宋体"/>
                <w:i w:val="0"/>
                <w:iCs w:val="0"/>
                <w:color w:val="000000"/>
                <w:kern w:val="0"/>
                <w:sz w:val="20"/>
                <w:szCs w:val="20"/>
                <w:u w:val="none"/>
                <w:lang w:val="en-US" w:eastAsia="zh-CN" w:bidi="ar"/>
              </w:rPr>
              <w:t>00）</w:t>
            </w:r>
          </w:p>
        </w:tc>
        <w:tc>
          <w:tcPr>
            <w:tcW w:w="6815" w:type="dxa"/>
            <w:tcBorders>
              <w:tl2br w:val="nil"/>
              <w:tr2bl w:val="nil"/>
            </w:tcBorders>
            <w:shd w:val="clear" w:color="auto" w:fill="auto"/>
            <w:noWrap/>
            <w:vAlign w:val="center"/>
          </w:tcPr>
          <w:p w14:paraId="365F7C64">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抱切上模、凹模装配键槽20N9mm</w:t>
            </w:r>
          </w:p>
        </w:tc>
      </w:tr>
      <w:tr w14:paraId="128E22E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430B8BE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w:t>
            </w:r>
          </w:p>
        </w:tc>
        <w:tc>
          <w:tcPr>
            <w:tcW w:w="1243" w:type="dxa"/>
            <w:vMerge w:val="continue"/>
            <w:tcBorders>
              <w:tl2br w:val="nil"/>
              <w:tr2bl w:val="nil"/>
            </w:tcBorders>
            <w:shd w:val="clear" w:color="auto" w:fill="auto"/>
            <w:noWrap/>
            <w:vAlign w:val="center"/>
          </w:tcPr>
          <w:p w14:paraId="371FC5AB">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4494D695">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抱切下模φ550±0.1mm，261±0.1mm，紧固螺纹孔φ360±0.1mm</w:t>
            </w:r>
          </w:p>
        </w:tc>
      </w:tr>
      <w:tr w14:paraId="3158E73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4DEDC0C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w:t>
            </w:r>
          </w:p>
        </w:tc>
        <w:tc>
          <w:tcPr>
            <w:tcW w:w="1243" w:type="dxa"/>
            <w:vMerge w:val="continue"/>
            <w:tcBorders>
              <w:tl2br w:val="nil"/>
              <w:tr2bl w:val="nil"/>
            </w:tcBorders>
            <w:shd w:val="clear" w:color="auto" w:fill="auto"/>
            <w:noWrap/>
            <w:vAlign w:val="center"/>
          </w:tcPr>
          <w:p w14:paraId="020AF7C3">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4A4D7D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凹模刃口平面度0.05mm，底面平面度0.05mm，刃口平面与底面平行度0.05mm</w:t>
            </w:r>
          </w:p>
        </w:tc>
      </w:tr>
    </w:tbl>
    <w:p w14:paraId="19D3493F">
      <w:pPr>
        <w:adjustRightInd w:val="0"/>
        <w:snapToGrid w:val="0"/>
        <w:spacing w:line="360" w:lineRule="auto"/>
        <w:ind w:firstLine="480" w:firstLineChars="200"/>
        <w:rPr>
          <w:rFonts w:ascii="宋体" w:hAnsi="宋体" w:eastAsia="宋体" w:cs="宋体"/>
          <w:sz w:val="24"/>
          <w:szCs w:val="24"/>
        </w:rPr>
      </w:pPr>
    </w:p>
    <w:p w14:paraId="249BF836">
      <w:pPr>
        <w:adjustRightInd w:val="0"/>
        <w:snapToGrid w:val="0"/>
        <w:spacing w:line="360" w:lineRule="auto"/>
        <w:ind w:firstLine="480" w:firstLineChars="200"/>
        <w:rPr>
          <w:rFonts w:ascii="宋体" w:hAnsi="宋体" w:eastAsia="宋体" w:cs="宋体"/>
          <w:sz w:val="24"/>
          <w:szCs w:val="24"/>
        </w:rPr>
      </w:pPr>
    </w:p>
    <w:p w14:paraId="0E8DF17C">
      <w:pPr>
        <w:adjustRightInd w:val="0"/>
        <w:snapToGrid w:val="0"/>
        <w:spacing w:line="360" w:lineRule="auto"/>
        <w:ind w:firstLine="480" w:firstLineChars="200"/>
        <w:rPr>
          <w:rFonts w:ascii="宋体" w:hAnsi="宋体" w:eastAsia="宋体" w:cs="宋体"/>
          <w:sz w:val="24"/>
          <w:szCs w:val="24"/>
        </w:rPr>
      </w:pPr>
    </w:p>
    <w:p w14:paraId="7675C88F">
      <w:pPr>
        <w:adjustRightInd w:val="0"/>
        <w:snapToGrid w:val="0"/>
        <w:spacing w:line="360" w:lineRule="auto"/>
        <w:ind w:firstLine="480" w:firstLineChars="200"/>
        <w:rPr>
          <w:rFonts w:ascii="宋体" w:hAnsi="宋体" w:eastAsia="宋体" w:cs="宋体"/>
          <w:sz w:val="24"/>
          <w:szCs w:val="24"/>
        </w:rPr>
      </w:pPr>
    </w:p>
    <w:p w14:paraId="1F9BFDBA">
      <w:pPr>
        <w:adjustRightInd w:val="0"/>
        <w:snapToGrid w:val="0"/>
        <w:spacing w:line="360" w:lineRule="auto"/>
        <w:ind w:firstLine="480" w:firstLineChars="200"/>
        <w:rPr>
          <w:rFonts w:ascii="宋体" w:hAnsi="宋体" w:eastAsia="宋体" w:cs="宋体"/>
          <w:sz w:val="24"/>
          <w:szCs w:val="24"/>
        </w:rPr>
      </w:pPr>
    </w:p>
    <w:p w14:paraId="3E619213">
      <w:pPr>
        <w:adjustRightInd w:val="0"/>
        <w:snapToGrid w:val="0"/>
        <w:spacing w:line="360" w:lineRule="auto"/>
        <w:ind w:firstLine="480" w:firstLineChars="200"/>
        <w:rPr>
          <w:rFonts w:ascii="宋体" w:hAnsi="宋体" w:eastAsia="宋体" w:cs="宋体"/>
          <w:sz w:val="24"/>
          <w:szCs w:val="24"/>
        </w:rPr>
      </w:pPr>
    </w:p>
    <w:p w14:paraId="402DC402">
      <w:pPr>
        <w:adjustRightInd w:val="0"/>
        <w:snapToGrid w:val="0"/>
        <w:spacing w:line="360" w:lineRule="auto"/>
        <w:ind w:firstLine="480" w:firstLineChars="200"/>
        <w:rPr>
          <w:rFonts w:ascii="宋体" w:hAnsi="宋体" w:eastAsia="宋体" w:cs="宋体"/>
          <w:sz w:val="24"/>
          <w:szCs w:val="24"/>
        </w:rPr>
      </w:pPr>
    </w:p>
    <w:p w14:paraId="36C56A27">
      <w:pPr>
        <w:adjustRightInd w:val="0"/>
        <w:snapToGrid w:val="0"/>
        <w:spacing w:line="360" w:lineRule="auto"/>
        <w:ind w:firstLine="480" w:firstLineChars="200"/>
        <w:rPr>
          <w:rFonts w:ascii="宋体" w:hAnsi="宋体" w:eastAsia="宋体" w:cs="宋体"/>
          <w:sz w:val="24"/>
          <w:szCs w:val="24"/>
        </w:rPr>
      </w:pPr>
    </w:p>
    <w:p w14:paraId="4E862373">
      <w:pPr>
        <w:adjustRightInd w:val="0"/>
        <w:snapToGrid w:val="0"/>
        <w:spacing w:line="360" w:lineRule="auto"/>
        <w:ind w:firstLine="480" w:firstLineChars="200"/>
        <w:rPr>
          <w:rFonts w:ascii="宋体" w:hAnsi="宋体" w:eastAsia="宋体" w:cs="宋体"/>
          <w:sz w:val="24"/>
          <w:szCs w:val="24"/>
        </w:rPr>
      </w:pPr>
    </w:p>
    <w:p w14:paraId="0B0ABEFC">
      <w:pPr>
        <w:adjustRightInd w:val="0"/>
        <w:snapToGrid w:val="0"/>
        <w:spacing w:line="360" w:lineRule="auto"/>
        <w:ind w:firstLine="480" w:firstLineChars="200"/>
        <w:rPr>
          <w:rFonts w:ascii="宋体" w:hAnsi="宋体" w:eastAsia="宋体" w:cs="宋体"/>
          <w:sz w:val="24"/>
          <w:szCs w:val="24"/>
        </w:rPr>
      </w:pPr>
    </w:p>
    <w:p w14:paraId="364D729C">
      <w:pPr>
        <w:adjustRightInd w:val="0"/>
        <w:snapToGrid w:val="0"/>
        <w:spacing w:line="360" w:lineRule="auto"/>
        <w:ind w:firstLine="480" w:firstLineChars="200"/>
        <w:rPr>
          <w:rFonts w:ascii="宋体" w:hAnsi="宋体" w:eastAsia="宋体" w:cs="宋体"/>
          <w:sz w:val="24"/>
          <w:szCs w:val="24"/>
        </w:rPr>
      </w:pPr>
    </w:p>
    <w:p w14:paraId="543292D4">
      <w:pPr>
        <w:adjustRightInd w:val="0"/>
        <w:snapToGrid w:val="0"/>
        <w:spacing w:line="360" w:lineRule="auto"/>
        <w:ind w:firstLine="480" w:firstLineChars="200"/>
        <w:rPr>
          <w:rFonts w:ascii="宋体" w:hAnsi="宋体" w:eastAsia="宋体" w:cs="宋体"/>
          <w:sz w:val="24"/>
          <w:szCs w:val="24"/>
        </w:rPr>
      </w:pPr>
    </w:p>
    <w:p w14:paraId="3337A5C9">
      <w:pPr>
        <w:adjustRightInd w:val="0"/>
        <w:snapToGrid w:val="0"/>
        <w:spacing w:line="360" w:lineRule="auto"/>
        <w:ind w:firstLine="480" w:firstLineChars="200"/>
        <w:rPr>
          <w:rFonts w:ascii="宋体" w:hAnsi="宋体" w:eastAsia="宋体" w:cs="宋体"/>
          <w:sz w:val="24"/>
          <w:szCs w:val="24"/>
        </w:rPr>
      </w:pPr>
    </w:p>
    <w:p w14:paraId="78DFD088">
      <w:pPr>
        <w:adjustRightInd w:val="0"/>
        <w:snapToGrid w:val="0"/>
        <w:spacing w:line="360" w:lineRule="auto"/>
        <w:ind w:firstLine="480" w:firstLineChars="200"/>
        <w:rPr>
          <w:rFonts w:ascii="宋体" w:hAnsi="宋体" w:eastAsia="宋体" w:cs="宋体"/>
          <w:sz w:val="24"/>
          <w:szCs w:val="24"/>
        </w:rPr>
      </w:pPr>
    </w:p>
    <w:p w14:paraId="3D4FDA4E">
      <w:pPr>
        <w:adjustRightInd w:val="0"/>
        <w:snapToGrid w:val="0"/>
        <w:spacing w:line="360" w:lineRule="auto"/>
        <w:jc w:val="center"/>
        <w:rPr>
          <w:rFonts w:ascii="宋体" w:hAnsi="宋体" w:eastAsia="宋体" w:cs="宋体"/>
          <w:sz w:val="24"/>
          <w:szCs w:val="24"/>
        </w:rPr>
      </w:pPr>
    </w:p>
    <w:p w14:paraId="3B76C791">
      <w:pPr>
        <w:adjustRightInd w:val="0"/>
        <w:snapToGrid w:val="0"/>
        <w:spacing w:line="360" w:lineRule="auto"/>
        <w:jc w:val="center"/>
        <w:rPr>
          <w:rFonts w:ascii="宋体" w:hAnsi="宋体" w:eastAsia="宋体" w:cs="宋体"/>
          <w:sz w:val="24"/>
          <w:szCs w:val="24"/>
        </w:rPr>
      </w:pPr>
    </w:p>
    <w:p w14:paraId="56D2C85C">
      <w:pPr>
        <w:adjustRightInd w:val="0"/>
        <w:snapToGrid w:val="0"/>
        <w:spacing w:line="360" w:lineRule="auto"/>
        <w:jc w:val="center"/>
        <w:rPr>
          <w:rFonts w:ascii="宋体" w:hAnsi="宋体" w:eastAsia="宋体" w:cs="宋体"/>
          <w:sz w:val="24"/>
          <w:szCs w:val="24"/>
        </w:rPr>
      </w:pPr>
    </w:p>
    <w:p w14:paraId="6F5D6496">
      <w:pPr>
        <w:adjustRightInd w:val="0"/>
        <w:snapToGrid w:val="0"/>
        <w:spacing w:line="360" w:lineRule="auto"/>
        <w:rPr>
          <w:rFonts w:ascii="宋体" w:hAnsi="宋体" w:eastAsia="宋体" w:cs="宋体"/>
          <w:sz w:val="24"/>
          <w:szCs w:val="24"/>
        </w:rPr>
      </w:pPr>
    </w:p>
    <w:p w14:paraId="6CE8AF4C">
      <w:pPr>
        <w:adjustRightInd w:val="0"/>
        <w:snapToGrid w:val="0"/>
        <w:spacing w:line="360" w:lineRule="auto"/>
        <w:ind w:firstLine="480" w:firstLineChars="200"/>
        <w:rPr>
          <w:rFonts w:ascii="宋体" w:hAnsi="宋体" w:eastAsia="宋体" w:cs="宋体"/>
          <w:sz w:val="24"/>
          <w:szCs w:val="24"/>
        </w:rPr>
      </w:pPr>
    </w:p>
    <w:p w14:paraId="3599EA86">
      <w:pPr>
        <w:adjustRightInd w:val="0"/>
        <w:snapToGrid w:val="0"/>
        <w:spacing w:line="360" w:lineRule="auto"/>
        <w:ind w:firstLine="480" w:firstLineChars="200"/>
        <w:rPr>
          <w:rFonts w:ascii="宋体" w:hAnsi="宋体" w:eastAsia="宋体" w:cs="宋体"/>
          <w:sz w:val="24"/>
          <w:szCs w:val="24"/>
        </w:rPr>
      </w:pPr>
    </w:p>
    <w:bookmarkEnd w:id="34"/>
    <w:bookmarkEnd w:id="35"/>
    <w:p w14:paraId="1EB838FD">
      <w:pPr>
        <w:spacing w:line="360" w:lineRule="auto"/>
        <w:jc w:val="center"/>
        <w:outlineLvl w:val="0"/>
        <w:rPr>
          <w:rFonts w:hint="eastAsia" w:ascii="宋体" w:hAnsi="宋体" w:eastAsia="宋体" w:cs="Times New Roman"/>
          <w:b/>
          <w:sz w:val="36"/>
          <w:szCs w:val="36"/>
        </w:rPr>
      </w:pPr>
      <w:bookmarkStart w:id="36" w:name="_Toc28859"/>
    </w:p>
    <w:p w14:paraId="7CDF6369">
      <w:pPr>
        <w:spacing w:line="360" w:lineRule="auto"/>
        <w:jc w:val="center"/>
        <w:outlineLvl w:val="0"/>
        <w:rPr>
          <w:rFonts w:hint="eastAsia" w:ascii="宋体" w:hAnsi="宋体" w:eastAsia="宋体" w:cs="Times New Roman"/>
          <w:b/>
          <w:sz w:val="36"/>
          <w:szCs w:val="36"/>
        </w:rPr>
      </w:pPr>
    </w:p>
    <w:p w14:paraId="09DD89AE">
      <w:pPr>
        <w:spacing w:line="360" w:lineRule="auto"/>
        <w:jc w:val="center"/>
        <w:outlineLvl w:val="0"/>
        <w:rPr>
          <w:rFonts w:hint="eastAsia" w:ascii="宋体" w:hAnsi="宋体" w:eastAsia="宋体" w:cs="Times New Roman"/>
          <w:b/>
          <w:sz w:val="36"/>
          <w:szCs w:val="36"/>
        </w:rPr>
      </w:pPr>
    </w:p>
    <w:p w14:paraId="3227C2C2">
      <w:pPr>
        <w:rPr>
          <w:rFonts w:hint="eastAsia" w:ascii="宋体" w:hAnsi="宋体" w:eastAsia="宋体" w:cs="Times New Roman"/>
          <w:b/>
          <w:sz w:val="36"/>
          <w:szCs w:val="36"/>
        </w:rPr>
      </w:pPr>
      <w:r>
        <w:rPr>
          <w:rFonts w:hint="eastAsia" w:ascii="宋体" w:hAnsi="宋体" w:eastAsia="宋体" w:cs="Times New Roman"/>
          <w:b/>
          <w:sz w:val="36"/>
          <w:szCs w:val="36"/>
        </w:rPr>
        <w:br w:type="page"/>
      </w:r>
    </w:p>
    <w:p w14:paraId="461BD875">
      <w:pPr>
        <w:spacing w:line="360" w:lineRule="auto"/>
        <w:jc w:val="center"/>
        <w:outlineLvl w:val="0"/>
        <w:rPr>
          <w:rFonts w:hint="eastAsia" w:ascii="宋体" w:hAnsi="宋体" w:eastAsia="宋体" w:cs="Times New Roman"/>
          <w:b/>
          <w:sz w:val="36"/>
          <w:szCs w:val="36"/>
        </w:rPr>
      </w:pPr>
    </w:p>
    <w:p w14:paraId="69A2F3D9">
      <w:pPr>
        <w:pStyle w:val="2"/>
        <w:tabs>
          <w:tab w:val="center" w:pos="4535"/>
        </w:tabs>
        <w:spacing w:line="360" w:lineRule="auto"/>
        <w:jc w:val="center"/>
        <w:rPr>
          <w:color w:val="auto"/>
          <w:sz w:val="21"/>
          <w:szCs w:val="21"/>
          <w:highlight w:val="none"/>
          <w:u w:val="none"/>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color w:val="auto"/>
          <w:szCs w:val="36"/>
          <w:highlight w:val="none"/>
          <w:u w:val="none"/>
        </w:rPr>
        <w:t>加  工  合  同  </w:t>
      </w:r>
    </w:p>
    <w:p w14:paraId="4D2BA057">
      <w:pPr>
        <w:spacing w:line="360" w:lineRule="auto"/>
        <w:jc w:val="left"/>
        <w:rPr>
          <w:color w:val="auto"/>
          <w:szCs w:val="21"/>
          <w:highlight w:val="none"/>
          <w:u w:val="none"/>
        </w:rPr>
      </w:pPr>
      <w:r>
        <w:rPr>
          <w:rFonts w:hAnsi="宋体"/>
          <w:color w:val="auto"/>
          <w:szCs w:val="21"/>
          <w:highlight w:val="none"/>
          <w:u w:val="none"/>
        </w:rPr>
        <w:t>合同编号：</w:t>
      </w:r>
    </w:p>
    <w:p w14:paraId="62C37D5F">
      <w:pPr>
        <w:spacing w:line="360" w:lineRule="auto"/>
        <w:jc w:val="left"/>
        <w:rPr>
          <w:color w:val="auto"/>
          <w:szCs w:val="21"/>
          <w:highlight w:val="none"/>
          <w:u w:val="none"/>
        </w:rPr>
      </w:pPr>
      <w:r>
        <w:rPr>
          <w:rFonts w:hAnsi="宋体"/>
          <w:color w:val="auto"/>
          <w:szCs w:val="21"/>
          <w:highlight w:val="none"/>
          <w:u w:val="none"/>
        </w:rPr>
        <w:t>签</w:t>
      </w:r>
      <w:r>
        <w:rPr>
          <w:rFonts w:hAnsi="宋体"/>
          <w:color w:val="auto"/>
          <w:spacing w:val="20"/>
          <w:szCs w:val="21"/>
          <w:highlight w:val="none"/>
          <w:u w:val="none"/>
        </w:rPr>
        <w:t>订</w:t>
      </w:r>
      <w:r>
        <w:rPr>
          <w:rFonts w:hAnsi="宋体"/>
          <w:color w:val="auto"/>
          <w:szCs w:val="21"/>
          <w:highlight w:val="none"/>
          <w:u w:val="none"/>
        </w:rPr>
        <w:t>地点：济南市</w:t>
      </w:r>
    </w:p>
    <w:p w14:paraId="1AB269C6">
      <w:pPr>
        <w:spacing w:line="360" w:lineRule="auto"/>
        <w:jc w:val="left"/>
        <w:rPr>
          <w:rFonts w:hAnsi="宋体"/>
          <w:color w:val="auto"/>
          <w:szCs w:val="21"/>
          <w:highlight w:val="none"/>
          <w:u w:val="none"/>
        </w:rPr>
      </w:pPr>
      <w:r>
        <w:rPr>
          <w:rFonts w:hAnsi="宋体"/>
          <w:color w:val="auto"/>
          <w:szCs w:val="21"/>
          <w:highlight w:val="none"/>
          <w:u w:val="none"/>
        </w:rPr>
        <w:t>签</w:t>
      </w:r>
      <w:r>
        <w:rPr>
          <w:rFonts w:hAnsi="宋体"/>
          <w:color w:val="auto"/>
          <w:spacing w:val="20"/>
          <w:szCs w:val="21"/>
          <w:highlight w:val="none"/>
          <w:u w:val="none"/>
        </w:rPr>
        <w:t>订</w:t>
      </w:r>
      <w:r>
        <w:rPr>
          <w:rFonts w:hAnsi="宋体"/>
          <w:color w:val="auto"/>
          <w:szCs w:val="21"/>
          <w:highlight w:val="none"/>
          <w:u w:val="none"/>
        </w:rPr>
        <w:t>时间：</w:t>
      </w:r>
    </w:p>
    <w:p w14:paraId="692AD104">
      <w:pPr>
        <w:spacing w:line="360" w:lineRule="auto"/>
        <w:rPr>
          <w:color w:val="auto"/>
          <w:szCs w:val="21"/>
          <w:highlight w:val="none"/>
          <w:u w:val="none"/>
        </w:rPr>
      </w:pPr>
      <w:r>
        <w:rPr>
          <w:rFonts w:hAnsi="宋体"/>
          <w:color w:val="auto"/>
          <w:szCs w:val="21"/>
          <w:highlight w:val="none"/>
          <w:u w:val="none"/>
        </w:rPr>
        <w:t>需方</w:t>
      </w:r>
      <w:r>
        <w:rPr>
          <w:color w:val="auto"/>
          <w:szCs w:val="21"/>
          <w:highlight w:val="none"/>
          <w:u w:val="none"/>
        </w:rPr>
        <w:t>:</w:t>
      </w:r>
      <w:r>
        <w:rPr>
          <w:rFonts w:hint="eastAsia" w:hAnsi="宋体"/>
          <w:color w:val="auto"/>
          <w:szCs w:val="21"/>
          <w:highlight w:val="none"/>
          <w:u w:val="none"/>
          <w:lang w:eastAsia="zh-CN"/>
        </w:rPr>
        <w:t>中国重汽集团济南智能装备公司</w:t>
      </w:r>
      <w:r>
        <w:rPr>
          <w:color w:val="auto"/>
          <w:szCs w:val="21"/>
          <w:highlight w:val="none"/>
          <w:u w:val="none"/>
        </w:rPr>
        <w:t xml:space="preserve">     </w:t>
      </w:r>
      <w:r>
        <w:rPr>
          <w:rFonts w:hint="eastAsia"/>
          <w:color w:val="auto"/>
          <w:szCs w:val="21"/>
          <w:highlight w:val="none"/>
          <w:u w:val="none"/>
          <w:lang w:val="en-US" w:eastAsia="zh-CN"/>
        </w:rPr>
        <w:t xml:space="preserve">  </w:t>
      </w:r>
      <w:r>
        <w:rPr>
          <w:rFonts w:hAnsi="宋体"/>
          <w:color w:val="auto"/>
          <w:szCs w:val="21"/>
          <w:highlight w:val="none"/>
          <w:u w:val="none"/>
        </w:rPr>
        <w:t>（以下简称需方）</w:t>
      </w:r>
      <w:r>
        <w:rPr>
          <w:color w:val="auto"/>
          <w:szCs w:val="21"/>
          <w:highlight w:val="none"/>
          <w:u w:val="none"/>
        </w:rPr>
        <w:t xml:space="preserve">   </w:t>
      </w:r>
    </w:p>
    <w:p w14:paraId="10FCF3F4">
      <w:pPr>
        <w:spacing w:line="360" w:lineRule="auto"/>
        <w:rPr>
          <w:color w:val="auto"/>
          <w:szCs w:val="21"/>
          <w:highlight w:val="none"/>
          <w:u w:val="none"/>
        </w:rPr>
      </w:pPr>
      <w:r>
        <w:rPr>
          <w:rFonts w:ascii="Times New Roman" w:hAnsi="宋体" w:eastAsia="宋体" w:cs="Times New Roman"/>
          <w:color w:val="auto"/>
          <w:szCs w:val="21"/>
          <w:highlight w:val="none"/>
          <w:u w:val="none"/>
        </w:rPr>
        <w:t>供方:</w:t>
      </w:r>
      <w:r>
        <w:rPr>
          <w:rFonts w:hint="eastAsia" w:ascii="Times New Roman" w:hAnsi="宋体" w:eastAsia="宋体" w:cs="Times New Roman"/>
          <w:color w:val="auto"/>
          <w:szCs w:val="21"/>
          <w:highlight w:val="none"/>
          <w:u w:val="none"/>
          <w:lang w:val="en-US" w:eastAsia="zh-CN"/>
        </w:rPr>
        <w:t xml:space="preserve">                    </w:t>
      </w:r>
      <w:r>
        <w:rPr>
          <w:rFonts w:hint="eastAsia" w:ascii="Helvetica" w:hAnsi="Helvetica" w:eastAsia="Helvetica" w:cs="Helvetica"/>
          <w:i w:val="0"/>
          <w:iCs w:val="0"/>
          <w:caps w:val="0"/>
          <w:color w:val="auto"/>
          <w:spacing w:val="0"/>
          <w:kern w:val="0"/>
          <w:sz w:val="18"/>
          <w:szCs w:val="18"/>
          <w:highlight w:val="none"/>
          <w:u w:val="none"/>
          <w:lang w:val="en-US" w:eastAsia="zh-CN" w:bidi="ar"/>
        </w:rPr>
        <w:t xml:space="preserve">     </w:t>
      </w:r>
      <w:r>
        <w:rPr>
          <w:color w:val="auto"/>
          <w:szCs w:val="21"/>
          <w:highlight w:val="none"/>
          <w:u w:val="none"/>
        </w:rPr>
        <w:t xml:space="preserve"> </w:t>
      </w:r>
      <w:r>
        <w:rPr>
          <w:rFonts w:hint="eastAsia"/>
          <w:color w:val="auto"/>
          <w:szCs w:val="21"/>
          <w:highlight w:val="none"/>
          <w:u w:val="none"/>
          <w:lang w:val="en-US" w:eastAsia="zh-CN"/>
        </w:rPr>
        <w:t xml:space="preserve">        </w:t>
      </w:r>
      <w:r>
        <w:rPr>
          <w:rFonts w:hAnsi="宋体"/>
          <w:color w:val="auto"/>
          <w:szCs w:val="21"/>
          <w:highlight w:val="none"/>
          <w:u w:val="none"/>
        </w:rPr>
        <w:t>（以下简称供方）</w:t>
      </w:r>
      <w:r>
        <w:rPr>
          <w:color w:val="auto"/>
          <w:szCs w:val="21"/>
          <w:highlight w:val="none"/>
          <w:u w:val="none"/>
        </w:rPr>
        <w:t xml:space="preserve">   </w:t>
      </w:r>
    </w:p>
    <w:p w14:paraId="1265420C">
      <w:pPr>
        <w:spacing w:line="360" w:lineRule="auto"/>
        <w:ind w:firstLine="525" w:firstLineChars="250"/>
        <w:rPr>
          <w:color w:val="auto"/>
          <w:spacing w:val="20"/>
          <w:szCs w:val="21"/>
          <w:highlight w:val="none"/>
          <w:u w:val="none"/>
        </w:rPr>
      </w:pPr>
      <w:r>
        <w:rPr>
          <w:rFonts w:ascii="Times New Roman" w:hAnsi="宋体" w:eastAsia="宋体" w:cs="Times New Roman"/>
          <w:color w:val="auto"/>
          <w:szCs w:val="21"/>
          <w:highlight w:val="none"/>
          <w:u w:val="none"/>
        </w:rPr>
        <w:t>根据《</w:t>
      </w:r>
      <w:r>
        <w:rPr>
          <w:rFonts w:hint="eastAsia" w:ascii="Times New Roman" w:hAnsi="宋体" w:eastAsia="宋体" w:cs="Times New Roman"/>
          <w:color w:val="auto"/>
          <w:szCs w:val="21"/>
          <w:highlight w:val="none"/>
          <w:u w:val="none"/>
        </w:rPr>
        <w:t>中华人民共和国民法典</w:t>
      </w:r>
      <w:r>
        <w:rPr>
          <w:rFonts w:ascii="Times New Roman" w:hAnsi="宋体" w:eastAsia="宋体" w:cs="Times New Roman"/>
          <w:color w:val="auto"/>
          <w:szCs w:val="21"/>
          <w:highlight w:val="none"/>
          <w:u w:val="none"/>
        </w:rPr>
        <w:t>》及有关规定，为明确双方的权利和义务关系，经双方友好协商一致，签订本合同。</w:t>
      </w:r>
    </w:p>
    <w:p w14:paraId="168D0AE9">
      <w:pPr>
        <w:numPr>
          <w:ilvl w:val="0"/>
          <w:numId w:val="12"/>
        </w:numPr>
        <w:spacing w:line="360" w:lineRule="auto"/>
        <w:rPr>
          <w:rFonts w:hint="eastAsia" w:eastAsia="黑体"/>
          <w:color w:val="auto"/>
          <w:szCs w:val="21"/>
          <w:highlight w:val="none"/>
          <w:u w:val="none"/>
        </w:rPr>
      </w:pPr>
      <w:r>
        <w:rPr>
          <w:rFonts w:eastAsia="黑体"/>
          <w:b/>
          <w:color w:val="auto"/>
          <w:szCs w:val="21"/>
          <w:highlight w:val="none"/>
          <w:u w:val="none"/>
        </w:rPr>
        <w:t>标的、价格及支付</w:t>
      </w:r>
    </w:p>
    <w:p w14:paraId="75207C07">
      <w:pPr>
        <w:spacing w:line="360" w:lineRule="auto"/>
        <w:ind w:firstLine="420" w:firstLineChars="200"/>
        <w:rPr>
          <w:rFonts w:hAnsi="宋体"/>
          <w:color w:val="auto"/>
          <w:szCs w:val="21"/>
          <w:highlight w:val="none"/>
          <w:u w:val="none"/>
        </w:rPr>
      </w:pPr>
      <w:r>
        <w:rPr>
          <w:color w:val="auto"/>
          <w:szCs w:val="21"/>
          <w:highlight w:val="none"/>
          <w:u w:val="none"/>
        </w:rPr>
        <w:t>1.1</w:t>
      </w:r>
      <w:r>
        <w:rPr>
          <w:rFonts w:ascii="Times New Roman" w:hAnsi="宋体" w:eastAsia="宋体" w:cs="Times New Roman"/>
          <w:color w:val="auto"/>
          <w:szCs w:val="21"/>
          <w:highlight w:val="none"/>
          <w:u w:val="none"/>
        </w:rPr>
        <w:t>供货产品名称、编号</w:t>
      </w:r>
      <w:r>
        <w:rPr>
          <w:rFonts w:hint="eastAsia" w:ascii="Times New Roman" w:hAnsi="宋体" w:eastAsia="宋体" w:cs="Times New Roman"/>
          <w:color w:val="auto"/>
          <w:szCs w:val="21"/>
          <w:highlight w:val="none"/>
          <w:u w:val="none"/>
          <w:lang w:eastAsia="zh-CN"/>
        </w:rPr>
        <w:t>、</w:t>
      </w:r>
      <w:r>
        <w:rPr>
          <w:rFonts w:hint="eastAsia" w:ascii="Times New Roman" w:hAnsi="宋体" w:eastAsia="宋体" w:cs="Times New Roman"/>
          <w:color w:val="auto"/>
          <w:szCs w:val="21"/>
          <w:highlight w:val="none"/>
          <w:u w:val="none"/>
        </w:rPr>
        <w:t>价格</w:t>
      </w:r>
      <w:r>
        <w:rPr>
          <w:rFonts w:hint="eastAsia" w:ascii="Times New Roman" w:hAnsi="宋体" w:eastAsia="宋体" w:cs="Times New Roman"/>
          <w:color w:val="auto"/>
          <w:szCs w:val="21"/>
          <w:highlight w:val="none"/>
          <w:u w:val="none"/>
          <w:lang w:eastAsia="zh-CN"/>
        </w:rPr>
        <w:t>、</w:t>
      </w:r>
      <w:r>
        <w:rPr>
          <w:rFonts w:hint="eastAsia" w:ascii="Times New Roman" w:hAnsi="宋体" w:eastAsia="宋体" w:cs="Times New Roman"/>
          <w:color w:val="auto"/>
          <w:szCs w:val="21"/>
          <w:highlight w:val="none"/>
          <w:u w:val="none"/>
          <w:lang w:val="en-US" w:eastAsia="zh-CN"/>
        </w:rPr>
        <w:t>承诺寿命</w:t>
      </w:r>
      <w:r>
        <w:rPr>
          <w:rFonts w:hint="eastAsia" w:ascii="Times New Roman" w:hAnsi="宋体" w:eastAsia="宋体" w:cs="Times New Roman"/>
          <w:color w:val="auto"/>
          <w:szCs w:val="21"/>
          <w:highlight w:val="none"/>
          <w:u w:val="none"/>
        </w:rPr>
        <w:t>等</w:t>
      </w:r>
      <w:r>
        <w:rPr>
          <w:rFonts w:ascii="Times New Roman" w:hAnsi="宋体" w:eastAsia="宋体" w:cs="Times New Roman"/>
          <w:color w:val="auto"/>
          <w:szCs w:val="21"/>
          <w:highlight w:val="none"/>
          <w:u w:val="none"/>
        </w:rPr>
        <w:t>详见</w:t>
      </w:r>
      <w:r>
        <w:rPr>
          <w:rFonts w:hint="eastAsia" w:ascii="Times New Roman" w:hAnsi="宋体" w:eastAsia="宋体" w:cs="Times New Roman"/>
          <w:color w:val="auto"/>
          <w:szCs w:val="21"/>
          <w:highlight w:val="none"/>
          <w:u w:val="none"/>
          <w:lang w:val="en-US" w:eastAsia="zh-CN"/>
        </w:rPr>
        <w:t>下表</w:t>
      </w:r>
      <w:r>
        <w:rPr>
          <w:rFonts w:hAnsi="宋体"/>
          <w:color w:val="auto"/>
          <w:szCs w:val="21"/>
          <w:highlight w:val="none"/>
          <w:u w:val="none"/>
        </w:rPr>
        <w:t>。</w:t>
      </w:r>
    </w:p>
    <w:tbl>
      <w:tblPr>
        <w:tblStyle w:val="36"/>
        <w:tblW w:w="10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866"/>
        <w:gridCol w:w="1954"/>
        <w:gridCol w:w="421"/>
        <w:gridCol w:w="1487"/>
        <w:gridCol w:w="607"/>
        <w:gridCol w:w="961"/>
        <w:gridCol w:w="2574"/>
      </w:tblGrid>
      <w:tr w14:paraId="0F71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571" w:type="dxa"/>
            <w:noWrap w:val="0"/>
            <w:vAlign w:val="center"/>
          </w:tcPr>
          <w:p w14:paraId="02853C4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866" w:type="dxa"/>
            <w:noWrap w:val="0"/>
            <w:vAlign w:val="center"/>
          </w:tcPr>
          <w:p w14:paraId="00C8731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工装名称</w:t>
            </w:r>
          </w:p>
        </w:tc>
        <w:tc>
          <w:tcPr>
            <w:tcW w:w="1954" w:type="dxa"/>
            <w:noWrap w:val="0"/>
            <w:vAlign w:val="center"/>
          </w:tcPr>
          <w:p w14:paraId="00DFBE4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工装编号</w:t>
            </w:r>
          </w:p>
        </w:tc>
        <w:tc>
          <w:tcPr>
            <w:tcW w:w="421" w:type="dxa"/>
            <w:noWrap w:val="0"/>
            <w:vAlign w:val="center"/>
          </w:tcPr>
          <w:p w14:paraId="0F5BC3E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487" w:type="dxa"/>
            <w:noWrap w:val="0"/>
            <w:vAlign w:val="center"/>
          </w:tcPr>
          <w:p w14:paraId="6956C4F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单价（不含税）</w:t>
            </w:r>
          </w:p>
        </w:tc>
        <w:tc>
          <w:tcPr>
            <w:tcW w:w="607" w:type="dxa"/>
            <w:noWrap w:val="0"/>
            <w:vAlign w:val="center"/>
          </w:tcPr>
          <w:p w14:paraId="37BD4E3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税率</w:t>
            </w:r>
          </w:p>
        </w:tc>
        <w:tc>
          <w:tcPr>
            <w:tcW w:w="961" w:type="dxa"/>
            <w:noWrap w:val="0"/>
            <w:vAlign w:val="center"/>
          </w:tcPr>
          <w:p w14:paraId="0D1F268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税额</w:t>
            </w:r>
          </w:p>
        </w:tc>
        <w:tc>
          <w:tcPr>
            <w:tcW w:w="2574" w:type="dxa"/>
            <w:noWrap w:val="0"/>
            <w:vAlign w:val="center"/>
          </w:tcPr>
          <w:p w14:paraId="55F2167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技术定额/承诺寿命（件）</w:t>
            </w:r>
          </w:p>
        </w:tc>
      </w:tr>
      <w:tr w14:paraId="0191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71" w:type="dxa"/>
            <w:noWrap/>
            <w:vAlign w:val="center"/>
          </w:tcPr>
          <w:p w14:paraId="5BFFB8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866" w:type="dxa"/>
            <w:noWrap w:val="0"/>
            <w:vAlign w:val="center"/>
          </w:tcPr>
          <w:p w14:paraId="17321D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954" w:type="dxa"/>
            <w:noWrap w:val="0"/>
            <w:vAlign w:val="center"/>
          </w:tcPr>
          <w:p w14:paraId="58D307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421" w:type="dxa"/>
            <w:noWrap w:val="0"/>
            <w:vAlign w:val="center"/>
          </w:tcPr>
          <w:p w14:paraId="0DF40B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487" w:type="dxa"/>
            <w:noWrap w:val="0"/>
            <w:vAlign w:val="center"/>
          </w:tcPr>
          <w:p w14:paraId="5023FD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07" w:type="dxa"/>
            <w:noWrap w:val="0"/>
            <w:vAlign w:val="center"/>
          </w:tcPr>
          <w:p w14:paraId="08A44F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961" w:type="dxa"/>
            <w:noWrap/>
            <w:vAlign w:val="center"/>
          </w:tcPr>
          <w:p w14:paraId="5A3264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2574" w:type="dxa"/>
            <w:noWrap w:val="0"/>
            <w:vAlign w:val="center"/>
          </w:tcPr>
          <w:p w14:paraId="6116A7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0B91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71" w:type="dxa"/>
            <w:noWrap/>
            <w:vAlign w:val="center"/>
          </w:tcPr>
          <w:p w14:paraId="25CF7F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866" w:type="dxa"/>
            <w:noWrap w:val="0"/>
            <w:vAlign w:val="center"/>
          </w:tcPr>
          <w:p w14:paraId="79CED7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954" w:type="dxa"/>
            <w:noWrap w:val="0"/>
            <w:vAlign w:val="center"/>
          </w:tcPr>
          <w:p w14:paraId="6253CF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421" w:type="dxa"/>
            <w:noWrap w:val="0"/>
            <w:vAlign w:val="center"/>
          </w:tcPr>
          <w:p w14:paraId="09B130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487" w:type="dxa"/>
            <w:noWrap w:val="0"/>
            <w:vAlign w:val="center"/>
          </w:tcPr>
          <w:p w14:paraId="71F438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07" w:type="dxa"/>
            <w:noWrap w:val="0"/>
            <w:vAlign w:val="center"/>
          </w:tcPr>
          <w:p w14:paraId="273FAC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961" w:type="dxa"/>
            <w:noWrap/>
            <w:vAlign w:val="center"/>
          </w:tcPr>
          <w:p w14:paraId="178368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2574" w:type="dxa"/>
            <w:noWrap w:val="0"/>
            <w:vAlign w:val="center"/>
          </w:tcPr>
          <w:p w14:paraId="55D3E2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6316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71" w:type="dxa"/>
            <w:noWrap/>
            <w:vAlign w:val="center"/>
          </w:tcPr>
          <w:p w14:paraId="33ED08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866" w:type="dxa"/>
            <w:noWrap w:val="0"/>
            <w:vAlign w:val="center"/>
          </w:tcPr>
          <w:p w14:paraId="26D53D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954" w:type="dxa"/>
            <w:noWrap w:val="0"/>
            <w:vAlign w:val="center"/>
          </w:tcPr>
          <w:p w14:paraId="5F836B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421" w:type="dxa"/>
            <w:noWrap w:val="0"/>
            <w:vAlign w:val="center"/>
          </w:tcPr>
          <w:p w14:paraId="35B6C7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487" w:type="dxa"/>
            <w:noWrap w:val="0"/>
            <w:vAlign w:val="center"/>
          </w:tcPr>
          <w:p w14:paraId="578090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07" w:type="dxa"/>
            <w:noWrap w:val="0"/>
            <w:vAlign w:val="center"/>
          </w:tcPr>
          <w:p w14:paraId="7B70F2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961" w:type="dxa"/>
            <w:noWrap/>
            <w:vAlign w:val="center"/>
          </w:tcPr>
          <w:p w14:paraId="23729D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2574" w:type="dxa"/>
            <w:noWrap w:val="0"/>
            <w:vAlign w:val="center"/>
          </w:tcPr>
          <w:p w14:paraId="7606F8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bl>
    <w:p w14:paraId="087ABD57">
      <w:pPr>
        <w:spacing w:line="360" w:lineRule="auto"/>
        <w:rPr>
          <w:rFonts w:hint="eastAsia" w:eastAsia="宋体"/>
          <w:color w:val="auto"/>
          <w:szCs w:val="21"/>
          <w:highlight w:val="none"/>
          <w:u w:val="none"/>
          <w:lang w:val="en-US" w:eastAsia="zh-CN"/>
        </w:rPr>
      </w:pPr>
      <w:r>
        <w:rPr>
          <w:rFonts w:hint="eastAsia"/>
          <w:color w:val="auto"/>
          <w:szCs w:val="21"/>
          <w:highlight w:val="none"/>
          <w:u w:val="none"/>
          <w:lang w:val="en-US" w:eastAsia="zh-CN"/>
        </w:rPr>
        <w:t>注：</w:t>
      </w:r>
      <w:r>
        <w:rPr>
          <w:rFonts w:hint="eastAsia"/>
          <w:color w:val="auto"/>
          <w:highlight w:val="none"/>
          <w:u w:val="none"/>
          <w:lang w:val="en-US" w:eastAsia="zh-CN"/>
        </w:rPr>
        <w:t>派工维修过程中，供方需将图纸编号刻制于模具本体上。</w:t>
      </w:r>
    </w:p>
    <w:p w14:paraId="30B9C4AF">
      <w:pPr>
        <w:spacing w:line="360" w:lineRule="auto"/>
        <w:ind w:firstLine="420" w:firstLineChars="200"/>
        <w:rPr>
          <w:rFonts w:hint="eastAsia" w:hAnsi="宋体"/>
          <w:color w:val="auto"/>
          <w:szCs w:val="21"/>
          <w:highlight w:val="none"/>
          <w:u w:val="none"/>
        </w:rPr>
      </w:pPr>
      <w:r>
        <w:rPr>
          <w:color w:val="auto"/>
          <w:szCs w:val="21"/>
          <w:highlight w:val="none"/>
          <w:u w:val="none"/>
        </w:rPr>
        <w:t>1.1.1</w:t>
      </w:r>
      <w:r>
        <w:rPr>
          <w:rFonts w:hint="eastAsia" w:hAnsi="宋体"/>
          <w:color w:val="auto"/>
          <w:szCs w:val="21"/>
          <w:highlight w:val="none"/>
          <w:u w:val="none"/>
          <w:lang w:eastAsia="zh-CN"/>
        </w:rPr>
        <w:t>以实际派工数量为准。</w:t>
      </w:r>
      <w:r>
        <w:rPr>
          <w:rFonts w:hAnsi="宋体"/>
          <w:color w:val="auto"/>
          <w:szCs w:val="21"/>
          <w:highlight w:val="none"/>
          <w:u w:val="none"/>
        </w:rPr>
        <w:t>实际要货</w:t>
      </w:r>
      <w:r>
        <w:rPr>
          <w:rFonts w:hint="eastAsia" w:hAnsi="宋体"/>
          <w:color w:val="auto"/>
          <w:szCs w:val="21"/>
          <w:highlight w:val="none"/>
          <w:u w:val="none"/>
          <w:lang w:val="en-US" w:eastAsia="zh-CN"/>
        </w:rPr>
        <w:t>时间</w:t>
      </w:r>
      <w:r>
        <w:rPr>
          <w:rFonts w:hAnsi="宋体"/>
          <w:color w:val="auto"/>
          <w:szCs w:val="21"/>
          <w:highlight w:val="none"/>
          <w:u w:val="none"/>
        </w:rPr>
        <w:t>以需方发出的派工单</w:t>
      </w:r>
      <w:r>
        <w:rPr>
          <w:rFonts w:hint="eastAsia" w:hAnsi="宋体"/>
          <w:color w:val="auto"/>
          <w:szCs w:val="21"/>
          <w:highlight w:val="none"/>
          <w:u w:val="none"/>
          <w:lang w:val="en-US" w:eastAsia="zh-CN"/>
        </w:rPr>
        <w:t>或订单</w:t>
      </w:r>
      <w:r>
        <w:rPr>
          <w:rFonts w:hint="eastAsia" w:hAnsi="宋体"/>
          <w:color w:val="auto"/>
          <w:szCs w:val="21"/>
          <w:highlight w:val="none"/>
          <w:u w:val="none"/>
          <w:lang w:eastAsia="zh-CN"/>
        </w:rPr>
        <w:t>要求</w:t>
      </w:r>
      <w:r>
        <w:rPr>
          <w:rFonts w:hAnsi="宋体"/>
          <w:color w:val="auto"/>
          <w:szCs w:val="21"/>
          <w:highlight w:val="none"/>
          <w:u w:val="none"/>
        </w:rPr>
        <w:t>为准。</w:t>
      </w:r>
    </w:p>
    <w:p w14:paraId="1C2D373C">
      <w:pPr>
        <w:spacing w:line="360" w:lineRule="auto"/>
        <w:ind w:firstLine="420" w:firstLineChars="200"/>
        <w:rPr>
          <w:rFonts w:hint="eastAsia" w:eastAsia="宋体"/>
          <w:color w:val="auto"/>
          <w:szCs w:val="21"/>
          <w:highlight w:val="none"/>
          <w:u w:val="none"/>
          <w:lang w:eastAsia="zh-CN"/>
        </w:rPr>
      </w:pPr>
      <w:r>
        <w:rPr>
          <w:rFonts w:hint="eastAsia" w:hAnsi="宋体"/>
          <w:color w:val="auto"/>
          <w:szCs w:val="21"/>
          <w:highlight w:val="none"/>
          <w:u w:val="none"/>
        </w:rPr>
        <w:t>1.1.2合同内容为按要求进行焊修的，包含同类工装间的改制焊修。</w:t>
      </w:r>
    </w:p>
    <w:p w14:paraId="32E165F6">
      <w:pPr>
        <w:spacing w:line="360" w:lineRule="auto"/>
        <w:ind w:firstLine="420" w:firstLineChars="200"/>
        <w:rPr>
          <w:rFonts w:hAnsi="宋体"/>
          <w:color w:val="auto"/>
          <w:szCs w:val="21"/>
          <w:highlight w:val="none"/>
          <w:u w:val="none"/>
        </w:rPr>
      </w:pPr>
      <w:r>
        <w:rPr>
          <w:color w:val="auto"/>
          <w:szCs w:val="21"/>
          <w:highlight w:val="none"/>
          <w:u w:val="none"/>
        </w:rPr>
        <w:t>1.1.</w:t>
      </w:r>
      <w:r>
        <w:rPr>
          <w:rFonts w:hint="eastAsia"/>
          <w:color w:val="auto"/>
          <w:szCs w:val="21"/>
          <w:highlight w:val="none"/>
          <w:u w:val="none"/>
        </w:rPr>
        <w:t>3</w:t>
      </w:r>
      <w:r>
        <w:rPr>
          <w:rFonts w:hAnsi="宋体"/>
          <w:color w:val="auto"/>
          <w:szCs w:val="21"/>
          <w:highlight w:val="none"/>
          <w:u w:val="none"/>
        </w:rPr>
        <w:t>本合同单价是指产品到达需方指定地点的不含税价格，包括但不限于合同设备、外购、外协、配套件、原材料及设计、生产制造、检验、油漆、包装、随机备品备件、易损件、保险、管理、运</w:t>
      </w:r>
      <w:r>
        <w:rPr>
          <w:rFonts w:hint="eastAsia" w:hAnsi="宋体"/>
          <w:color w:val="auto"/>
          <w:szCs w:val="21"/>
          <w:highlight w:val="none"/>
          <w:u w:val="none"/>
        </w:rPr>
        <w:t>输</w:t>
      </w:r>
      <w:r>
        <w:rPr>
          <w:rFonts w:hAnsi="宋体"/>
          <w:color w:val="auto"/>
          <w:szCs w:val="21"/>
          <w:highlight w:val="none"/>
          <w:u w:val="none"/>
        </w:rPr>
        <w:t>、安装、调试、培训、配合、图纸资料及双方约定的交货方式相关费用等全部费用。</w:t>
      </w:r>
    </w:p>
    <w:p w14:paraId="2075C2BC">
      <w:pPr>
        <w:spacing w:line="360" w:lineRule="auto"/>
        <w:ind w:firstLine="420" w:firstLineChars="200"/>
        <w:rPr>
          <w:color w:val="auto"/>
          <w:szCs w:val="21"/>
          <w:highlight w:val="none"/>
          <w:u w:val="none"/>
        </w:rPr>
      </w:pPr>
      <w:r>
        <w:rPr>
          <w:color w:val="auto"/>
          <w:szCs w:val="21"/>
          <w:highlight w:val="none"/>
          <w:u w:val="none"/>
        </w:rPr>
        <w:t>1.2</w:t>
      </w:r>
      <w:r>
        <w:rPr>
          <w:rFonts w:hAnsi="宋体"/>
          <w:color w:val="auto"/>
          <w:szCs w:val="21"/>
          <w:highlight w:val="none"/>
          <w:u w:val="none"/>
        </w:rPr>
        <w:t>本合同执行</w:t>
      </w:r>
      <w:r>
        <w:rPr>
          <w:color w:val="auto"/>
          <w:szCs w:val="21"/>
          <w:highlight w:val="none"/>
          <w:u w:val="none"/>
        </w:rPr>
        <w:t>13%</w:t>
      </w:r>
      <w:r>
        <w:rPr>
          <w:rFonts w:hAnsi="宋体"/>
          <w:color w:val="auto"/>
          <w:szCs w:val="21"/>
          <w:highlight w:val="none"/>
          <w:u w:val="none"/>
        </w:rPr>
        <w:t>的税率，如国家出台新政策对增值税率进行了调整，则不含税价款不变，本合同含税总价在不含税价基础上根据国家最新税率进行相应的调整。</w:t>
      </w:r>
    </w:p>
    <w:p w14:paraId="4F9871DE">
      <w:pPr>
        <w:spacing w:line="360" w:lineRule="auto"/>
        <w:ind w:firstLine="420" w:firstLineChars="200"/>
        <w:rPr>
          <w:rFonts w:hint="eastAsia"/>
          <w:color w:val="auto"/>
          <w:highlight w:val="none"/>
          <w:u w:val="none"/>
          <w:lang w:val="en-US" w:eastAsia="zh-CN"/>
        </w:rPr>
      </w:pPr>
      <w:r>
        <w:rPr>
          <w:rFonts w:ascii="Times New Roman" w:hAnsi="宋体" w:eastAsia="宋体" w:cs="Times New Roman"/>
          <w:color w:val="auto"/>
          <w:szCs w:val="21"/>
          <w:highlight w:val="none"/>
          <w:u w:val="none"/>
        </w:rPr>
        <w:t>1.3</w:t>
      </w:r>
      <w:r>
        <w:rPr>
          <w:rFonts w:hAnsi="宋体"/>
          <w:color w:val="auto"/>
          <w:szCs w:val="21"/>
          <w:highlight w:val="none"/>
          <w:u w:val="none"/>
        </w:rPr>
        <w:t>结算方式：</w:t>
      </w:r>
      <w:r>
        <w:rPr>
          <w:rFonts w:hint="eastAsia" w:ascii="Times New Roman" w:hAnsi="宋体" w:eastAsia="宋体" w:cs="Times New Roman"/>
          <w:color w:val="auto"/>
          <w:szCs w:val="21"/>
          <w:highlight w:val="none"/>
          <w:u w:val="none"/>
          <w:lang w:val="en-US" w:eastAsia="zh-CN"/>
        </w:rPr>
        <w:t>采用发票挂账 90 天，半年期商业汇票（商业汇票包括银行承兑汇票和商业承兑汇票）付款。需方不付预付款，产品检验合格后，</w:t>
      </w:r>
      <w:r>
        <w:rPr>
          <w:rFonts w:hint="eastAsia" w:ascii="Times New Roman" w:hAnsi="宋体" w:eastAsia="宋体" w:cs="Times New Roman"/>
          <w:color w:val="auto"/>
          <w:kern w:val="2"/>
          <w:sz w:val="21"/>
          <w:szCs w:val="21"/>
          <w:highlight w:val="none"/>
          <w:u w:val="none"/>
          <w:lang w:val="en-US" w:eastAsia="zh-CN" w:bidi="ar-SA"/>
        </w:rPr>
        <w:t>需方按照约定扣除质量保证金后，</w:t>
      </w:r>
      <w:r>
        <w:rPr>
          <w:rFonts w:hint="eastAsia" w:ascii="Times New Roman" w:hAnsi="宋体" w:eastAsia="宋体" w:cs="Times New Roman"/>
          <w:color w:val="auto"/>
          <w:szCs w:val="21"/>
          <w:highlight w:val="none"/>
          <w:u w:val="none"/>
          <w:lang w:val="en-US" w:eastAsia="zh-CN"/>
        </w:rPr>
        <w:t>供方全额开具税率13%的增值税专用发票，需方依据入库单进行挂账。需方财务流程审核通过后以半年期商业汇票付款据实结算。供方开具增值税专用发票，因发票违规给需方造成的增值税、所得税等损失，由供方承担相关责任，包括但不限于税款、滞纳金、罚款及其它相关损失。</w:t>
      </w:r>
    </w:p>
    <w:p w14:paraId="4CFE3B5C">
      <w:pPr>
        <w:shd w:val="clear" w:color="auto" w:fill="auto"/>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hAnsi="宋体"/>
          <w:color w:val="auto"/>
          <w:szCs w:val="21"/>
          <w:highlight w:val="none"/>
          <w:u w:val="none"/>
          <w:lang w:val="en-US" w:eastAsia="zh-CN"/>
        </w:rPr>
        <w:t>质量保证金的收取按照</w:t>
      </w:r>
      <w:r>
        <w:rPr>
          <w:rFonts w:hAnsi="宋体"/>
          <w:color w:val="auto"/>
          <w:szCs w:val="21"/>
          <w:highlight w:val="none"/>
          <w:u w:val="none"/>
        </w:rPr>
        <w:t>《</w:t>
      </w:r>
      <w:r>
        <w:rPr>
          <w:rFonts w:hint="eastAsia" w:hAnsi="宋体"/>
          <w:color w:val="auto"/>
          <w:szCs w:val="21"/>
          <w:highlight w:val="none"/>
          <w:u w:val="none"/>
        </w:rPr>
        <w:t>采购产品质量保证与服务协议</w:t>
      </w:r>
      <w:r>
        <w:rPr>
          <w:rFonts w:hAnsi="宋体"/>
          <w:color w:val="auto"/>
          <w:szCs w:val="21"/>
          <w:highlight w:val="none"/>
          <w:u w:val="none"/>
        </w:rPr>
        <w:t>》</w:t>
      </w:r>
      <w:r>
        <w:rPr>
          <w:rFonts w:hint="eastAsia" w:hAnsi="宋体"/>
          <w:color w:val="auto"/>
          <w:szCs w:val="21"/>
          <w:highlight w:val="none"/>
          <w:u w:val="none"/>
          <w:lang w:val="en-US" w:eastAsia="zh-CN"/>
        </w:rPr>
        <w:t>执行</w:t>
      </w:r>
      <w:r>
        <w:rPr>
          <w:rFonts w:hint="eastAsia" w:ascii="Times New Roman" w:hAnsi="宋体" w:eastAsia="宋体" w:cs="Times New Roman"/>
          <w:color w:val="auto"/>
          <w:szCs w:val="21"/>
          <w:highlight w:val="none"/>
          <w:u w:val="none"/>
          <w:lang w:val="en-US" w:eastAsia="zh-CN"/>
        </w:rPr>
        <w:t>，维修后使用过程中达不到技术定额、承诺寿命的按照质量保证协议相关条款进行考核、追偿。</w:t>
      </w:r>
    </w:p>
    <w:p w14:paraId="288513B7">
      <w:pPr>
        <w:spacing w:line="360" w:lineRule="auto"/>
        <w:ind w:left="420"/>
        <w:rPr>
          <w:rFonts w:hint="eastAsia" w:hAnsi="宋体" w:eastAsia="宋体"/>
          <w:strike w:val="0"/>
          <w:dstrike w:val="0"/>
          <w:color w:val="auto"/>
          <w:szCs w:val="21"/>
          <w:highlight w:val="none"/>
          <w:u w:val="none"/>
          <w:lang w:eastAsia="zh-CN"/>
        </w:rPr>
      </w:pPr>
      <w:r>
        <w:rPr>
          <w:rFonts w:hint="eastAsia" w:hAnsi="宋体"/>
          <w:color w:val="auto"/>
          <w:szCs w:val="21"/>
          <w:highlight w:val="none"/>
          <w:u w:val="none"/>
        </w:rPr>
        <w:t>1.</w:t>
      </w:r>
      <w:r>
        <w:rPr>
          <w:rFonts w:hAnsi="宋体"/>
          <w:color w:val="auto"/>
          <w:szCs w:val="21"/>
          <w:highlight w:val="none"/>
          <w:u w:val="none"/>
        </w:rPr>
        <w:t>4</w:t>
      </w:r>
      <w:r>
        <w:rPr>
          <w:rFonts w:hint="eastAsia" w:hAnsi="宋体"/>
          <w:color w:val="auto"/>
          <w:szCs w:val="21"/>
          <w:highlight w:val="none"/>
          <w:u w:val="none"/>
        </w:rPr>
        <w:t>供方开</w:t>
      </w:r>
      <w:r>
        <w:rPr>
          <w:rFonts w:hint="eastAsia" w:hAnsi="宋体"/>
          <w:strike w:val="0"/>
          <w:dstrike w:val="0"/>
          <w:color w:val="auto"/>
          <w:szCs w:val="21"/>
          <w:highlight w:val="none"/>
          <w:u w:val="none"/>
        </w:rPr>
        <w:t>户行：</w:t>
      </w:r>
    </w:p>
    <w:p w14:paraId="3626FCF7">
      <w:pPr>
        <w:spacing w:line="360" w:lineRule="auto"/>
        <w:ind w:left="420" w:firstLine="630" w:firstLineChars="300"/>
        <w:rPr>
          <w:rFonts w:hint="eastAsia" w:hAnsi="宋体"/>
          <w:strike w:val="0"/>
          <w:dstrike w:val="0"/>
          <w:color w:val="auto"/>
          <w:szCs w:val="21"/>
          <w:highlight w:val="none"/>
          <w:u w:val="none"/>
        </w:rPr>
      </w:pPr>
      <w:r>
        <w:rPr>
          <w:rFonts w:hint="eastAsia" w:hAnsi="宋体"/>
          <w:strike w:val="0"/>
          <w:dstrike w:val="0"/>
          <w:color w:val="auto"/>
          <w:szCs w:val="21"/>
          <w:highlight w:val="none"/>
          <w:u w:val="none"/>
        </w:rPr>
        <w:t>账   号：</w:t>
      </w:r>
    </w:p>
    <w:p w14:paraId="66D1778A">
      <w:pPr>
        <w:spacing w:line="360" w:lineRule="auto"/>
        <w:ind w:firstLine="420" w:firstLineChars="200"/>
        <w:rPr>
          <w:rFonts w:hint="eastAsia" w:hAnsi="宋体" w:eastAsia="宋体"/>
          <w:color w:val="auto"/>
          <w:szCs w:val="21"/>
          <w:highlight w:val="none"/>
          <w:u w:val="none"/>
          <w:lang w:eastAsia="zh-CN"/>
        </w:rPr>
      </w:pPr>
      <w:r>
        <w:rPr>
          <w:rFonts w:hAnsi="宋体"/>
          <w:color w:val="auto"/>
          <w:szCs w:val="21"/>
          <w:highlight w:val="none"/>
          <w:u w:val="none"/>
        </w:rPr>
        <w:t>1.</w:t>
      </w:r>
      <w:r>
        <w:rPr>
          <w:rFonts w:hint="eastAsia" w:hAnsi="宋体"/>
          <w:color w:val="auto"/>
          <w:szCs w:val="21"/>
          <w:highlight w:val="none"/>
          <w:u w:val="none"/>
        </w:rPr>
        <w:t>5</w:t>
      </w:r>
      <w:r>
        <w:rPr>
          <w:rFonts w:hAnsi="宋体"/>
          <w:color w:val="auto"/>
          <w:szCs w:val="21"/>
          <w:highlight w:val="none"/>
          <w:u w:val="none"/>
        </w:rPr>
        <w:t>供方在收到需方发出的索赔费用</w:t>
      </w:r>
      <w:r>
        <w:rPr>
          <w:rFonts w:hint="eastAsia" w:hAnsi="宋体"/>
          <w:color w:val="auto"/>
          <w:szCs w:val="21"/>
          <w:highlight w:val="none"/>
          <w:u w:val="none"/>
        </w:rPr>
        <w:t>、经济考核</w:t>
      </w:r>
      <w:r>
        <w:rPr>
          <w:rFonts w:hAnsi="宋体"/>
          <w:color w:val="auto"/>
          <w:szCs w:val="21"/>
          <w:highlight w:val="none"/>
          <w:u w:val="none"/>
        </w:rPr>
        <w:t>等通知后</w:t>
      </w:r>
      <w:r>
        <w:rPr>
          <w:rFonts w:hint="eastAsia" w:hAnsi="宋体"/>
          <w:color w:val="auto"/>
          <w:szCs w:val="21"/>
          <w:highlight w:val="none"/>
          <w:u w:val="none"/>
        </w:rPr>
        <w:t>3</w:t>
      </w:r>
      <w:r>
        <w:rPr>
          <w:rFonts w:hAnsi="宋体"/>
          <w:color w:val="auto"/>
          <w:szCs w:val="21"/>
          <w:highlight w:val="none"/>
          <w:u w:val="none"/>
        </w:rPr>
        <w:t>日内应给予书面的答复</w:t>
      </w:r>
      <w:r>
        <w:rPr>
          <w:rFonts w:hint="eastAsia" w:hAnsi="宋体"/>
          <w:color w:val="auto"/>
          <w:szCs w:val="21"/>
          <w:highlight w:val="none"/>
          <w:u w:val="none"/>
        </w:rPr>
        <w:t>或申诉，</w:t>
      </w:r>
      <w:r>
        <w:rPr>
          <w:rFonts w:hAnsi="宋体"/>
          <w:color w:val="auto"/>
          <w:szCs w:val="21"/>
          <w:highlight w:val="none"/>
          <w:u w:val="none"/>
        </w:rPr>
        <w:t>否则视为同意</w:t>
      </w:r>
      <w:r>
        <w:rPr>
          <w:rFonts w:hint="eastAsia" w:hAnsi="宋体"/>
          <w:color w:val="auto"/>
          <w:szCs w:val="21"/>
          <w:highlight w:val="none"/>
          <w:u w:val="none"/>
        </w:rPr>
        <w:t>。索赔费用需方有权从应付货款中直接扣除,应付货款不足时在质量保证金中扣除；经济考核由供方以电汇或现金的方式结算</w:t>
      </w:r>
      <w:r>
        <w:rPr>
          <w:rFonts w:hint="eastAsia" w:hAnsi="宋体"/>
          <w:color w:val="auto"/>
          <w:szCs w:val="21"/>
          <w:highlight w:val="none"/>
          <w:u w:val="none"/>
          <w:lang w:eastAsia="zh-CN"/>
        </w:rPr>
        <w:t>，</w:t>
      </w:r>
      <w:r>
        <w:rPr>
          <w:rFonts w:hint="eastAsia" w:hAnsi="宋体"/>
          <w:color w:val="auto"/>
          <w:szCs w:val="21"/>
          <w:highlight w:val="none"/>
          <w:u w:val="none"/>
          <w:lang w:val="en-US" w:eastAsia="zh-CN"/>
        </w:rPr>
        <w:t>考核发生后</w:t>
      </w:r>
      <w:r>
        <w:rPr>
          <w:rFonts w:hint="eastAsia" w:hAnsi="宋体"/>
          <w:b/>
          <w:bCs/>
          <w:color w:val="auto"/>
          <w:szCs w:val="21"/>
          <w:highlight w:val="none"/>
          <w:u w:val="none"/>
          <w:lang w:eastAsia="zh-CN"/>
        </w:rPr>
        <w:t>供方拒不支付的，</w:t>
      </w:r>
      <w:r>
        <w:rPr>
          <w:rFonts w:hint="eastAsia" w:hAnsi="宋体"/>
          <w:color w:val="auto"/>
          <w:szCs w:val="21"/>
          <w:highlight w:val="none"/>
          <w:u w:val="none"/>
        </w:rPr>
        <w:t>需方有权从应付货款中直接扣除</w:t>
      </w:r>
      <w:r>
        <w:rPr>
          <w:rFonts w:hint="eastAsia" w:hAnsi="宋体"/>
          <w:b/>
          <w:bCs/>
          <w:color w:val="auto"/>
          <w:szCs w:val="21"/>
          <w:highlight w:val="none"/>
          <w:u w:val="none"/>
          <w:lang w:eastAsia="zh-CN"/>
        </w:rPr>
        <w:t>，</w:t>
      </w:r>
      <w:r>
        <w:rPr>
          <w:rFonts w:hint="eastAsia" w:hAnsi="宋体"/>
          <w:color w:val="auto"/>
          <w:szCs w:val="21"/>
          <w:highlight w:val="none"/>
          <w:u w:val="none"/>
        </w:rPr>
        <w:t>应付货款不足时在质量保证金中扣除</w:t>
      </w:r>
      <w:r>
        <w:rPr>
          <w:rFonts w:hint="eastAsia" w:hAnsi="宋体"/>
          <w:color w:val="auto"/>
          <w:szCs w:val="21"/>
          <w:highlight w:val="none"/>
          <w:u w:val="none"/>
          <w:lang w:eastAsia="zh-CN"/>
        </w:rPr>
        <w:t>。</w:t>
      </w:r>
    </w:p>
    <w:p w14:paraId="784F309A">
      <w:pPr>
        <w:spacing w:line="360" w:lineRule="auto"/>
        <w:rPr>
          <w:rFonts w:hint="eastAsia" w:eastAsia="黑体"/>
          <w:b/>
          <w:color w:val="auto"/>
          <w:szCs w:val="21"/>
          <w:highlight w:val="none"/>
          <w:u w:val="none"/>
        </w:rPr>
      </w:pPr>
      <w:r>
        <w:rPr>
          <w:rFonts w:hint="eastAsia" w:eastAsia="黑体"/>
          <w:b/>
          <w:color w:val="auto"/>
          <w:szCs w:val="21"/>
          <w:highlight w:val="none"/>
          <w:u w:val="none"/>
        </w:rPr>
        <w:t>二、</w:t>
      </w:r>
      <w:r>
        <w:rPr>
          <w:rFonts w:hint="eastAsia" w:eastAsia="黑体"/>
          <w:b/>
          <w:color w:val="auto"/>
          <w:szCs w:val="21"/>
          <w:highlight w:val="none"/>
          <w:u w:val="none"/>
          <w:lang w:val="en-US" w:eastAsia="zh-CN"/>
        </w:rPr>
        <w:t>合同</w:t>
      </w:r>
      <w:r>
        <w:rPr>
          <w:rFonts w:hint="eastAsia" w:eastAsia="黑体"/>
          <w:b/>
          <w:color w:val="auto"/>
          <w:szCs w:val="21"/>
          <w:highlight w:val="none"/>
          <w:u w:val="none"/>
          <w:lang w:eastAsia="zh-CN"/>
        </w:rPr>
        <w:t>派工单</w:t>
      </w:r>
      <w:r>
        <w:rPr>
          <w:rFonts w:hint="eastAsia" w:eastAsia="黑体"/>
          <w:b/>
          <w:color w:val="auto"/>
          <w:szCs w:val="21"/>
          <w:highlight w:val="none"/>
          <w:u w:val="none"/>
          <w:lang w:val="en-US" w:eastAsia="zh-CN"/>
        </w:rPr>
        <w:t>或订单</w:t>
      </w:r>
      <w:r>
        <w:rPr>
          <w:rFonts w:hint="eastAsia" w:eastAsia="黑体"/>
          <w:b/>
          <w:color w:val="auto"/>
          <w:szCs w:val="21"/>
          <w:highlight w:val="none"/>
          <w:u w:val="none"/>
        </w:rPr>
        <w:t>的执行</w:t>
      </w:r>
    </w:p>
    <w:p w14:paraId="4989B302">
      <w:pPr>
        <w:spacing w:line="360" w:lineRule="auto"/>
        <w:ind w:firstLine="420" w:firstLineChars="200"/>
        <w:rPr>
          <w:rFonts w:hint="eastAsia"/>
          <w:color w:val="auto"/>
          <w:szCs w:val="21"/>
          <w:highlight w:val="none"/>
          <w:u w:val="none"/>
        </w:rPr>
      </w:pPr>
      <w:r>
        <w:rPr>
          <w:rFonts w:hint="eastAsia"/>
          <w:color w:val="auto"/>
          <w:szCs w:val="21"/>
          <w:highlight w:val="none"/>
          <w:u w:val="none"/>
        </w:rPr>
        <w:t>2.1、</w:t>
      </w:r>
      <w:r>
        <w:rPr>
          <w:rFonts w:hint="eastAsia"/>
          <w:color w:val="auto"/>
          <w:szCs w:val="21"/>
          <w:highlight w:val="none"/>
          <w:u w:val="none"/>
          <w:lang w:val="en-US" w:eastAsia="zh-CN"/>
        </w:rPr>
        <w:t>派工单或订单</w:t>
      </w:r>
      <w:r>
        <w:rPr>
          <w:rFonts w:hint="eastAsia"/>
          <w:color w:val="auto"/>
          <w:szCs w:val="21"/>
          <w:highlight w:val="none"/>
          <w:u w:val="none"/>
        </w:rPr>
        <w:t>的执行</w:t>
      </w:r>
      <w:r>
        <w:rPr>
          <w:rFonts w:hint="eastAsia"/>
          <w:color w:val="auto"/>
          <w:szCs w:val="21"/>
          <w:highlight w:val="none"/>
          <w:u w:val="none"/>
        </w:rPr>
        <w:tab/>
      </w:r>
    </w:p>
    <w:p w14:paraId="375E8226">
      <w:pPr>
        <w:spacing w:line="360" w:lineRule="auto"/>
        <w:ind w:firstLine="420" w:firstLineChars="200"/>
        <w:rPr>
          <w:rFonts w:hint="eastAsia"/>
          <w:strike w:val="0"/>
          <w:dstrike w:val="0"/>
          <w:color w:val="auto"/>
          <w:szCs w:val="21"/>
          <w:highlight w:val="none"/>
          <w:u w:val="none"/>
        </w:rPr>
      </w:pPr>
      <w:r>
        <w:rPr>
          <w:rFonts w:hint="eastAsia"/>
          <w:color w:val="auto"/>
          <w:szCs w:val="21"/>
          <w:highlight w:val="none"/>
          <w:u w:val="none"/>
        </w:rPr>
        <w:t>2.1.1</w:t>
      </w:r>
      <w:r>
        <w:rPr>
          <w:rFonts w:hint="eastAsia" w:ascii="Times New Roman" w:hAnsi="Times New Roman" w:eastAsia="宋体" w:cs="Times New Roman"/>
          <w:color w:val="auto"/>
          <w:szCs w:val="21"/>
          <w:highlight w:val="none"/>
          <w:u w:val="none"/>
          <w:lang w:val="en-US" w:eastAsia="zh-CN"/>
        </w:rPr>
        <w:t>交货期</w:t>
      </w:r>
      <w:r>
        <w:rPr>
          <w:rFonts w:hint="eastAsia" w:ascii="Times New Roman" w:hAnsi="Times New Roman" w:eastAsia="宋体" w:cs="Times New Roman"/>
          <w:color w:val="auto"/>
          <w:szCs w:val="21"/>
          <w:highlight w:val="none"/>
          <w:u w:val="none"/>
        </w:rPr>
        <w:t>以实际派工日期开始计算</w:t>
      </w:r>
      <w:r>
        <w:rPr>
          <w:rFonts w:hint="eastAsia" w:ascii="Times New Roman" w:hAnsi="Times New Roman" w:eastAsia="宋体" w:cs="Times New Roman"/>
          <w:color w:val="auto"/>
          <w:szCs w:val="21"/>
          <w:highlight w:val="none"/>
          <w:u w:val="none"/>
          <w:lang w:eastAsia="zh-CN"/>
        </w:rPr>
        <w:t>，</w:t>
      </w:r>
      <w:r>
        <w:rPr>
          <w:rFonts w:hint="eastAsia" w:ascii="Times New Roman" w:hAnsi="Times New Roman" w:eastAsia="宋体" w:cs="Times New Roman"/>
          <w:color w:val="auto"/>
          <w:szCs w:val="21"/>
          <w:highlight w:val="none"/>
          <w:u w:val="none"/>
          <w:lang w:val="en-US" w:eastAsia="zh-CN"/>
        </w:rPr>
        <w:t>80天</w:t>
      </w:r>
      <w:r>
        <w:rPr>
          <w:rFonts w:hint="eastAsia" w:ascii="Times New Roman" w:hAnsi="Times New Roman" w:eastAsia="宋体" w:cs="Times New Roman"/>
          <w:color w:val="auto"/>
          <w:szCs w:val="21"/>
          <w:highlight w:val="none"/>
          <w:u w:val="none"/>
        </w:rPr>
        <w:t>内完成</w:t>
      </w:r>
      <w:r>
        <w:rPr>
          <w:rFonts w:hint="eastAsia" w:ascii="Times New Roman" w:hAnsi="Times New Roman" w:eastAsia="宋体" w:cs="Times New Roman"/>
          <w:color w:val="auto"/>
          <w:szCs w:val="21"/>
          <w:highlight w:val="none"/>
          <w:u w:val="none"/>
          <w:lang w:val="en-US" w:eastAsia="zh-CN"/>
        </w:rPr>
        <w:t>制作，</w:t>
      </w:r>
      <w:r>
        <w:rPr>
          <w:rFonts w:hint="eastAsia"/>
          <w:color w:val="auto"/>
          <w:szCs w:val="21"/>
          <w:highlight w:val="none"/>
          <w:u w:val="none"/>
        </w:rPr>
        <w:t>供方应根据派工单</w:t>
      </w:r>
      <w:r>
        <w:rPr>
          <w:rFonts w:hint="eastAsia"/>
          <w:color w:val="auto"/>
          <w:szCs w:val="21"/>
          <w:highlight w:val="none"/>
          <w:u w:val="none"/>
          <w:lang w:val="en-US" w:eastAsia="zh-CN"/>
        </w:rPr>
        <w:t>或订单</w:t>
      </w:r>
      <w:r>
        <w:rPr>
          <w:rFonts w:hint="eastAsia"/>
          <w:color w:val="auto"/>
          <w:szCs w:val="21"/>
          <w:highlight w:val="none"/>
          <w:u w:val="none"/>
        </w:rPr>
        <w:t>，满足需方交货数量和交货时间</w:t>
      </w:r>
      <w:r>
        <w:rPr>
          <w:rFonts w:hint="eastAsia"/>
          <w:color w:val="auto"/>
          <w:szCs w:val="21"/>
          <w:highlight w:val="none"/>
          <w:u w:val="none"/>
          <w:lang w:eastAsia="zh-CN"/>
        </w:rPr>
        <w:t>等</w:t>
      </w:r>
      <w:r>
        <w:rPr>
          <w:rFonts w:hint="eastAsia"/>
          <w:color w:val="auto"/>
          <w:szCs w:val="21"/>
          <w:highlight w:val="none"/>
          <w:u w:val="none"/>
        </w:rPr>
        <w:t>要求，需方按照双方确认的实际交付</w:t>
      </w:r>
      <w:r>
        <w:rPr>
          <w:rFonts w:hint="eastAsia"/>
          <w:strike w:val="0"/>
          <w:dstrike w:val="0"/>
          <w:color w:val="auto"/>
          <w:szCs w:val="21"/>
          <w:highlight w:val="none"/>
          <w:u w:val="none"/>
        </w:rPr>
        <w:t>的数</w:t>
      </w:r>
      <w:r>
        <w:rPr>
          <w:rFonts w:hint="eastAsia"/>
          <w:color w:val="auto"/>
          <w:szCs w:val="21"/>
          <w:highlight w:val="none"/>
          <w:u w:val="none"/>
        </w:rPr>
        <w:t>量进行结算。</w:t>
      </w:r>
      <w:r>
        <w:rPr>
          <w:rFonts w:hint="eastAsia"/>
          <w:strike w:val="0"/>
          <w:dstrike w:val="0"/>
          <w:color w:val="auto"/>
          <w:szCs w:val="21"/>
          <w:highlight w:val="none"/>
          <w:u w:val="none"/>
        </w:rPr>
        <w:t>需方通过派工单要求供方交付但供方未实际供货的工具工装产品，如供方欲事后再次交付，需方有权</w:t>
      </w:r>
      <w:r>
        <w:rPr>
          <w:rFonts w:hint="eastAsia"/>
          <w:strike w:val="0"/>
          <w:dstrike w:val="0"/>
          <w:color w:val="auto"/>
          <w:szCs w:val="21"/>
          <w:highlight w:val="none"/>
          <w:u w:val="none"/>
          <w:lang w:val="en-US" w:eastAsia="zh-CN"/>
        </w:rPr>
        <w:t>取消订单，并根据实际情况按违约责任5.2条款进行处罚</w:t>
      </w:r>
      <w:r>
        <w:rPr>
          <w:rFonts w:hint="eastAsia"/>
          <w:strike w:val="0"/>
          <w:dstrike w:val="0"/>
          <w:color w:val="auto"/>
          <w:szCs w:val="21"/>
          <w:highlight w:val="none"/>
          <w:u w:val="none"/>
        </w:rPr>
        <w:t>。</w:t>
      </w:r>
    </w:p>
    <w:p w14:paraId="2C2223C0">
      <w:pPr>
        <w:spacing w:line="360" w:lineRule="auto"/>
        <w:ind w:firstLine="420" w:firstLineChars="200"/>
        <w:rPr>
          <w:rFonts w:hint="eastAsia"/>
          <w:color w:val="auto"/>
          <w:szCs w:val="21"/>
          <w:highlight w:val="none"/>
          <w:u w:val="none"/>
        </w:rPr>
      </w:pPr>
      <w:r>
        <w:rPr>
          <w:rFonts w:hint="eastAsia"/>
          <w:color w:val="auto"/>
          <w:szCs w:val="21"/>
          <w:highlight w:val="none"/>
          <w:u w:val="none"/>
        </w:rPr>
        <w:t>2.1.2</w:t>
      </w:r>
      <w:r>
        <w:rPr>
          <w:rFonts w:hint="eastAsia"/>
          <w:color w:val="auto"/>
          <w:szCs w:val="21"/>
          <w:highlight w:val="none"/>
          <w:u w:val="none"/>
          <w:lang w:eastAsia="zh-CN"/>
        </w:rPr>
        <w:t>供方需积极配合完成需方的生产保供工作，</w:t>
      </w:r>
      <w:r>
        <w:rPr>
          <w:rFonts w:hint="eastAsia"/>
          <w:color w:val="auto"/>
          <w:szCs w:val="21"/>
          <w:highlight w:val="none"/>
          <w:u w:val="none"/>
        </w:rPr>
        <w:t>当需方为满足紧急生产需要向供方提出紧急派工</w:t>
      </w:r>
      <w:r>
        <w:rPr>
          <w:rFonts w:hint="eastAsia"/>
          <w:color w:val="auto"/>
          <w:szCs w:val="21"/>
          <w:highlight w:val="none"/>
          <w:u w:val="none"/>
          <w:lang w:val="en-US" w:eastAsia="zh-CN"/>
        </w:rPr>
        <w:t>时</w:t>
      </w:r>
      <w:r>
        <w:rPr>
          <w:rFonts w:hint="eastAsia"/>
          <w:color w:val="auto"/>
          <w:szCs w:val="21"/>
          <w:highlight w:val="none"/>
          <w:u w:val="none"/>
        </w:rPr>
        <w:t>，供方在接到派工单</w:t>
      </w:r>
      <w:r>
        <w:rPr>
          <w:rFonts w:hint="eastAsia"/>
          <w:color w:val="auto"/>
          <w:szCs w:val="21"/>
          <w:highlight w:val="none"/>
          <w:u w:val="none"/>
          <w:lang w:val="en-US" w:eastAsia="zh-CN"/>
        </w:rPr>
        <w:t>或订单</w:t>
      </w:r>
      <w:r>
        <w:rPr>
          <w:rFonts w:hint="eastAsia"/>
          <w:color w:val="auto"/>
          <w:szCs w:val="21"/>
          <w:highlight w:val="none"/>
          <w:u w:val="none"/>
        </w:rPr>
        <w:t>后应在1个小时内做出反应，</w:t>
      </w:r>
      <w:r>
        <w:rPr>
          <w:rFonts w:hint="eastAsia"/>
          <w:color w:val="auto"/>
          <w:szCs w:val="21"/>
          <w:highlight w:val="none"/>
          <w:u w:val="none"/>
          <w:lang w:eastAsia="zh-CN"/>
        </w:rPr>
        <w:t>策划方案满足需方要求，</w:t>
      </w:r>
      <w:r>
        <w:rPr>
          <w:rFonts w:hint="eastAsia"/>
          <w:strike w:val="0"/>
          <w:dstrike w:val="0"/>
          <w:color w:val="auto"/>
          <w:szCs w:val="21"/>
          <w:highlight w:val="none"/>
          <w:u w:val="none"/>
          <w:lang w:eastAsia="zh-CN"/>
        </w:rPr>
        <w:t>特殊情况</w:t>
      </w:r>
      <w:r>
        <w:rPr>
          <w:rFonts w:hint="eastAsia"/>
          <w:strike w:val="0"/>
          <w:color w:val="auto"/>
          <w:szCs w:val="21"/>
          <w:highlight w:val="none"/>
          <w:u w:val="none"/>
          <w:lang w:eastAsia="zh-CN"/>
        </w:rPr>
        <w:t>双方协调解决，或</w:t>
      </w:r>
      <w:r>
        <w:rPr>
          <w:rFonts w:hint="eastAsia"/>
          <w:color w:val="auto"/>
          <w:szCs w:val="21"/>
          <w:highlight w:val="none"/>
          <w:u w:val="none"/>
        </w:rPr>
        <w:t>采取其它的应急措施。</w:t>
      </w:r>
    </w:p>
    <w:p w14:paraId="443DC105">
      <w:pPr>
        <w:numPr>
          <w:ilvl w:val="0"/>
          <w:numId w:val="0"/>
        </w:numPr>
        <w:spacing w:line="360" w:lineRule="auto"/>
        <w:ind w:leftChars="0" w:firstLine="420" w:firstLineChars="200"/>
        <w:rPr>
          <w:rFonts w:hint="eastAsia"/>
          <w:strike w:val="0"/>
          <w:dstrike w:val="0"/>
          <w:color w:val="auto"/>
          <w:szCs w:val="21"/>
          <w:highlight w:val="none"/>
          <w:u w:val="none"/>
          <w:lang w:val="en-US" w:eastAsia="zh-CN"/>
        </w:rPr>
      </w:pPr>
      <w:r>
        <w:rPr>
          <w:rFonts w:hint="eastAsia"/>
          <w:color w:val="auto"/>
          <w:szCs w:val="21"/>
          <w:highlight w:val="none"/>
          <w:u w:val="none"/>
        </w:rPr>
        <w:t>2.1.3</w:t>
      </w:r>
      <w:r>
        <w:rPr>
          <w:rFonts w:hint="eastAsia"/>
          <w:color w:val="auto"/>
          <w:szCs w:val="21"/>
          <w:highlight w:val="none"/>
          <w:u w:val="none"/>
          <w:lang w:val="en-US" w:eastAsia="zh-CN"/>
        </w:rPr>
        <w:t>合</w:t>
      </w:r>
      <w:r>
        <w:rPr>
          <w:rFonts w:hint="eastAsia"/>
          <w:strike w:val="0"/>
          <w:dstrike w:val="0"/>
          <w:color w:val="auto"/>
          <w:szCs w:val="21"/>
          <w:highlight w:val="none"/>
          <w:u w:val="none"/>
          <w:lang w:val="en-US" w:eastAsia="zh-CN"/>
        </w:rPr>
        <w:t>同执行过程中供方无法按期交货时，应以书面形式向需方反馈，需方根据实际生产情况按照违约责任5.2条款进行处理。</w:t>
      </w:r>
    </w:p>
    <w:p w14:paraId="0BDF5C65">
      <w:pPr>
        <w:spacing w:line="360" w:lineRule="auto"/>
        <w:ind w:left="420" w:leftChars="200" w:firstLine="0" w:firstLineChars="0"/>
        <w:rPr>
          <w:rFonts w:hint="eastAsia"/>
          <w:color w:val="auto"/>
          <w:szCs w:val="21"/>
          <w:highlight w:val="none"/>
          <w:u w:val="none"/>
        </w:rPr>
      </w:pPr>
      <w:r>
        <w:rPr>
          <w:rFonts w:hint="eastAsia"/>
          <w:color w:val="auto"/>
          <w:szCs w:val="21"/>
          <w:highlight w:val="none"/>
          <w:u w:val="none"/>
        </w:rPr>
        <w:t>2.2、工具工装产品包装规定</w:t>
      </w:r>
    </w:p>
    <w:p w14:paraId="4E228FB2">
      <w:pPr>
        <w:spacing w:line="360" w:lineRule="auto"/>
        <w:ind w:firstLine="420" w:firstLineChars="200"/>
        <w:rPr>
          <w:rFonts w:hint="eastAsia"/>
          <w:color w:val="auto"/>
          <w:szCs w:val="21"/>
          <w:highlight w:val="none"/>
          <w:u w:val="none"/>
        </w:rPr>
      </w:pPr>
      <w:r>
        <w:rPr>
          <w:rFonts w:hint="eastAsia"/>
          <w:color w:val="auto"/>
          <w:szCs w:val="21"/>
          <w:highlight w:val="none"/>
          <w:u w:val="none"/>
        </w:rPr>
        <w:t>供方须对其所供工具工装产品的包装质量负责，须保证工具工装产品的品质在运输、装卸与仓储过程中无变化。因包装防护不当造成的工具工装产品品质变化及其它损失，全部由供方承担。</w:t>
      </w:r>
    </w:p>
    <w:p w14:paraId="4A1B3EC8">
      <w:pPr>
        <w:spacing w:line="360" w:lineRule="auto"/>
        <w:ind w:firstLine="420" w:firstLineChars="200"/>
        <w:rPr>
          <w:rFonts w:hint="eastAsia"/>
          <w:color w:val="auto"/>
          <w:szCs w:val="21"/>
          <w:highlight w:val="none"/>
          <w:u w:val="none"/>
        </w:rPr>
      </w:pPr>
      <w:r>
        <w:rPr>
          <w:rFonts w:hint="eastAsia"/>
          <w:color w:val="auto"/>
          <w:szCs w:val="21"/>
          <w:highlight w:val="none"/>
          <w:u w:val="none"/>
        </w:rPr>
        <w:t>2.3、履行地</w:t>
      </w:r>
    </w:p>
    <w:p w14:paraId="37423811">
      <w:pPr>
        <w:spacing w:line="360" w:lineRule="auto"/>
        <w:ind w:firstLine="420" w:firstLineChars="200"/>
        <w:rPr>
          <w:rFonts w:hint="eastAsia"/>
          <w:color w:val="auto"/>
          <w:szCs w:val="21"/>
          <w:highlight w:val="none"/>
          <w:u w:val="none"/>
        </w:rPr>
      </w:pPr>
      <w:r>
        <w:rPr>
          <w:rFonts w:hint="eastAsia"/>
          <w:color w:val="auto"/>
          <w:szCs w:val="21"/>
          <w:highlight w:val="none"/>
          <w:u w:val="none"/>
        </w:rPr>
        <w:t>2.3.</w:t>
      </w:r>
      <w:r>
        <w:rPr>
          <w:rFonts w:hint="eastAsia"/>
          <w:color w:val="auto"/>
          <w:szCs w:val="21"/>
          <w:highlight w:val="none"/>
          <w:u w:val="none"/>
          <w:lang w:val="en-US" w:eastAsia="zh-CN"/>
        </w:rPr>
        <w:t>1</w:t>
      </w:r>
      <w:r>
        <w:rPr>
          <w:rFonts w:hint="eastAsia"/>
          <w:color w:val="auto"/>
          <w:szCs w:val="21"/>
          <w:highlight w:val="none"/>
          <w:u w:val="none"/>
        </w:rPr>
        <w:t>供方承担工具工装产品的运输，工具工装产品在需方相关人员确认签收以前，工具工装产品丢失、损毁等所有风险由供方承担。</w:t>
      </w:r>
    </w:p>
    <w:p w14:paraId="03C45307">
      <w:pPr>
        <w:spacing w:line="360" w:lineRule="auto"/>
        <w:rPr>
          <w:rFonts w:eastAsia="黑体"/>
          <w:b/>
          <w:color w:val="auto"/>
          <w:szCs w:val="21"/>
          <w:highlight w:val="none"/>
          <w:u w:val="none"/>
        </w:rPr>
      </w:pPr>
      <w:r>
        <w:rPr>
          <w:rFonts w:hint="eastAsia" w:eastAsia="黑体"/>
          <w:b/>
          <w:color w:val="auto"/>
          <w:szCs w:val="21"/>
          <w:highlight w:val="none"/>
          <w:u w:val="none"/>
        </w:rPr>
        <w:t>三</w:t>
      </w:r>
      <w:r>
        <w:rPr>
          <w:rFonts w:eastAsia="黑体"/>
          <w:b/>
          <w:color w:val="auto"/>
          <w:szCs w:val="21"/>
          <w:highlight w:val="none"/>
          <w:u w:val="none"/>
        </w:rPr>
        <w:t>、技术</w:t>
      </w:r>
      <w:r>
        <w:rPr>
          <w:rFonts w:hint="eastAsia" w:eastAsia="黑体"/>
          <w:b/>
          <w:color w:val="auto"/>
          <w:szCs w:val="21"/>
          <w:highlight w:val="none"/>
          <w:u w:val="none"/>
        </w:rPr>
        <w:t>要求</w:t>
      </w:r>
    </w:p>
    <w:p w14:paraId="733C4C3C">
      <w:pPr>
        <w:spacing w:line="360" w:lineRule="auto"/>
        <w:ind w:firstLine="420" w:firstLineChars="200"/>
        <w:rPr>
          <w:rFonts w:hint="eastAsia"/>
          <w:color w:val="auto"/>
          <w:szCs w:val="21"/>
          <w:highlight w:val="none"/>
          <w:u w:val="none"/>
        </w:rPr>
      </w:pPr>
      <w:r>
        <w:rPr>
          <w:rFonts w:hint="eastAsia"/>
          <w:color w:val="auto"/>
          <w:szCs w:val="21"/>
          <w:highlight w:val="none"/>
          <w:u w:val="none"/>
        </w:rPr>
        <w:t>3.1供方所供工具工装产品的规格型号、技术标准、产品技术性能必须</w:t>
      </w:r>
      <w:r>
        <w:rPr>
          <w:rFonts w:hAnsi="宋体"/>
          <w:color w:val="auto"/>
          <w:szCs w:val="21"/>
          <w:highlight w:val="none"/>
          <w:u w:val="none"/>
        </w:rPr>
        <w:t>与合同附件：《</w:t>
      </w:r>
      <w:r>
        <w:rPr>
          <w:rFonts w:hint="eastAsia" w:hAnsi="宋体"/>
          <w:color w:val="auto"/>
          <w:szCs w:val="21"/>
          <w:highlight w:val="none"/>
          <w:u w:val="none"/>
        </w:rPr>
        <w:t>模具产品技术协议（锻造）</w:t>
      </w:r>
      <w:r>
        <w:rPr>
          <w:rFonts w:hAnsi="宋体"/>
          <w:color w:val="auto"/>
          <w:szCs w:val="21"/>
          <w:highlight w:val="none"/>
          <w:u w:val="none"/>
        </w:rPr>
        <w:t>》中规定的相应标准一致</w:t>
      </w:r>
      <w:r>
        <w:rPr>
          <w:rFonts w:hint="eastAsia" w:hAnsi="宋体"/>
          <w:color w:val="auto"/>
          <w:szCs w:val="21"/>
          <w:highlight w:val="none"/>
          <w:u w:val="none"/>
        </w:rPr>
        <w:t>。若无相应规定，则应</w:t>
      </w:r>
      <w:r>
        <w:rPr>
          <w:rFonts w:hint="eastAsia"/>
          <w:color w:val="auto"/>
          <w:szCs w:val="21"/>
          <w:highlight w:val="none"/>
          <w:u w:val="none"/>
        </w:rPr>
        <w:t>符合国家行业标准以及相关的环保、能源等方面的法律法规要求和标准。如供方所供工具工装产品不符合前述要求和标准，需方有权拒绝接受，且供方应赔偿因此给需方造成的全部损失。</w:t>
      </w:r>
    </w:p>
    <w:p w14:paraId="355D3606">
      <w:pPr>
        <w:spacing w:line="360" w:lineRule="auto"/>
        <w:ind w:firstLine="420" w:firstLineChars="200"/>
        <w:rPr>
          <w:rFonts w:hint="eastAsia"/>
          <w:color w:val="auto"/>
          <w:szCs w:val="21"/>
          <w:highlight w:val="none"/>
          <w:u w:val="none"/>
        </w:rPr>
      </w:pPr>
      <w:r>
        <w:rPr>
          <w:rFonts w:hint="eastAsia"/>
          <w:color w:val="auto"/>
          <w:szCs w:val="21"/>
          <w:highlight w:val="none"/>
          <w:u w:val="none"/>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5EB5A56A">
      <w:pPr>
        <w:spacing w:line="360" w:lineRule="auto"/>
        <w:ind w:firstLine="420" w:firstLineChars="200"/>
        <w:rPr>
          <w:rFonts w:hint="eastAsia"/>
          <w:color w:val="auto"/>
          <w:szCs w:val="21"/>
          <w:highlight w:val="none"/>
          <w:u w:val="none"/>
        </w:rPr>
      </w:pPr>
      <w:r>
        <w:rPr>
          <w:rFonts w:hint="eastAsia"/>
          <w:color w:val="auto"/>
          <w:szCs w:val="21"/>
          <w:highlight w:val="none"/>
          <w:u w:val="none"/>
        </w:rPr>
        <w:t>3.3需方</w:t>
      </w:r>
      <w:r>
        <w:rPr>
          <w:rFonts w:hAnsi="宋体"/>
          <w:color w:val="auto"/>
          <w:szCs w:val="21"/>
          <w:highlight w:val="none"/>
          <w:u w:val="none"/>
        </w:rPr>
        <w:t>委托</w:t>
      </w:r>
      <w:r>
        <w:rPr>
          <w:rFonts w:hint="eastAsia"/>
          <w:color w:val="auto"/>
          <w:szCs w:val="21"/>
          <w:highlight w:val="none"/>
          <w:u w:val="none"/>
        </w:rPr>
        <w:t>供</w:t>
      </w:r>
      <w:r>
        <w:rPr>
          <w:rFonts w:hAnsi="宋体"/>
          <w:color w:val="auto"/>
          <w:szCs w:val="21"/>
          <w:highlight w:val="none"/>
          <w:u w:val="none"/>
        </w:rPr>
        <w:t>方进行产品设计时，</w:t>
      </w:r>
      <w:r>
        <w:rPr>
          <w:rFonts w:hint="eastAsia" w:hAnsi="宋体"/>
          <w:color w:val="auto"/>
          <w:szCs w:val="21"/>
          <w:highlight w:val="none"/>
          <w:u w:val="none"/>
        </w:rPr>
        <w:t>供</w:t>
      </w:r>
      <w:r>
        <w:rPr>
          <w:rFonts w:hAnsi="宋体"/>
          <w:color w:val="auto"/>
          <w:szCs w:val="21"/>
          <w:highlight w:val="none"/>
          <w:u w:val="none"/>
        </w:rPr>
        <w:t>方应在收到</w:t>
      </w:r>
      <w:r>
        <w:rPr>
          <w:rFonts w:hint="eastAsia" w:hAnsi="宋体"/>
          <w:color w:val="auto"/>
          <w:szCs w:val="21"/>
          <w:highlight w:val="none"/>
          <w:u w:val="none"/>
        </w:rPr>
        <w:t>需</w:t>
      </w:r>
      <w:r>
        <w:rPr>
          <w:rFonts w:hAnsi="宋体"/>
          <w:color w:val="auto"/>
          <w:szCs w:val="21"/>
          <w:highlight w:val="none"/>
          <w:u w:val="none"/>
        </w:rPr>
        <w:t>方委托通知后，在十五个工作日内完成该产品的初级设计，经</w:t>
      </w:r>
      <w:r>
        <w:rPr>
          <w:rFonts w:hint="eastAsia" w:hAnsi="宋体"/>
          <w:color w:val="auto"/>
          <w:szCs w:val="21"/>
          <w:highlight w:val="none"/>
          <w:u w:val="none"/>
        </w:rPr>
        <w:t>需</w:t>
      </w:r>
      <w:r>
        <w:rPr>
          <w:rFonts w:hAnsi="宋体"/>
          <w:color w:val="auto"/>
          <w:szCs w:val="21"/>
          <w:highlight w:val="none"/>
          <w:u w:val="none"/>
        </w:rPr>
        <w:t>方签字确认后，</w:t>
      </w:r>
      <w:r>
        <w:rPr>
          <w:rFonts w:hint="eastAsia" w:hAnsi="宋体"/>
          <w:color w:val="auto"/>
          <w:szCs w:val="21"/>
          <w:highlight w:val="none"/>
          <w:u w:val="none"/>
        </w:rPr>
        <w:t>供方</w:t>
      </w:r>
      <w:r>
        <w:rPr>
          <w:rFonts w:hAnsi="宋体"/>
          <w:color w:val="auto"/>
          <w:szCs w:val="21"/>
          <w:highlight w:val="none"/>
          <w:u w:val="none"/>
        </w:rPr>
        <w:t>再进行加工制作</w:t>
      </w:r>
      <w:r>
        <w:rPr>
          <w:rFonts w:hint="eastAsia" w:hAnsi="宋体"/>
          <w:color w:val="auto"/>
          <w:szCs w:val="21"/>
          <w:highlight w:val="none"/>
          <w:u w:val="none"/>
        </w:rPr>
        <w:t>，</w:t>
      </w:r>
      <w:r>
        <w:rPr>
          <w:rFonts w:hAnsi="宋体"/>
          <w:color w:val="auto"/>
          <w:spacing w:val="20"/>
          <w:szCs w:val="21"/>
          <w:highlight w:val="none"/>
          <w:u w:val="none"/>
        </w:rPr>
        <w:t>产品制作完成后，应同时提供整套设计产品的工装图纸</w:t>
      </w:r>
      <w:r>
        <w:rPr>
          <w:rFonts w:hint="eastAsia" w:hAnsi="宋体"/>
          <w:color w:val="auto"/>
          <w:spacing w:val="20"/>
          <w:szCs w:val="21"/>
          <w:highlight w:val="none"/>
          <w:u w:val="none"/>
        </w:rPr>
        <w:t>、易损件清单、三维造型等技术资料</w:t>
      </w:r>
      <w:r>
        <w:rPr>
          <w:rFonts w:hAnsi="宋体"/>
          <w:color w:val="auto"/>
          <w:spacing w:val="20"/>
          <w:szCs w:val="21"/>
          <w:highlight w:val="none"/>
          <w:u w:val="none"/>
        </w:rPr>
        <w:t>（电子版及打印白图各一份）</w:t>
      </w:r>
      <w:r>
        <w:rPr>
          <w:rFonts w:hint="eastAsia" w:hAnsi="宋体"/>
          <w:color w:val="auto"/>
          <w:spacing w:val="20"/>
          <w:szCs w:val="21"/>
          <w:highlight w:val="none"/>
          <w:u w:val="none"/>
        </w:rPr>
        <w:t>，需</w:t>
      </w:r>
      <w:r>
        <w:rPr>
          <w:rFonts w:hAnsi="宋体"/>
          <w:color w:val="auto"/>
          <w:spacing w:val="20"/>
          <w:szCs w:val="21"/>
          <w:highlight w:val="none"/>
          <w:u w:val="none"/>
        </w:rPr>
        <w:t>方依据该图纸对工装模具进行检验。</w:t>
      </w:r>
      <w:r>
        <w:rPr>
          <w:rFonts w:hint="eastAsia" w:hAnsi="宋体"/>
          <w:color w:val="auto"/>
          <w:szCs w:val="21"/>
          <w:highlight w:val="none"/>
          <w:u w:val="none"/>
        </w:rPr>
        <w:t>若产品设计未经需方签字认可，供方</w:t>
      </w:r>
      <w:r>
        <w:rPr>
          <w:rFonts w:hint="eastAsia"/>
          <w:color w:val="auto"/>
          <w:szCs w:val="21"/>
          <w:highlight w:val="none"/>
          <w:u w:val="none"/>
        </w:rPr>
        <w:t>所供工具工装产品不符合需方要求和标准，需方有权拒绝接受，且供方应赔偿因此给需方造成的全部损失。</w:t>
      </w:r>
    </w:p>
    <w:p w14:paraId="1C722EFE">
      <w:pPr>
        <w:spacing w:line="360" w:lineRule="auto"/>
        <w:ind w:firstLine="420"/>
        <w:rPr>
          <w:rFonts w:hint="eastAsia"/>
          <w:color w:val="auto"/>
          <w:szCs w:val="21"/>
          <w:highlight w:val="none"/>
          <w:u w:val="none"/>
        </w:rPr>
      </w:pPr>
      <w:r>
        <w:rPr>
          <w:rFonts w:hint="eastAsia"/>
          <w:color w:val="auto"/>
          <w:szCs w:val="21"/>
          <w:highlight w:val="none"/>
          <w:u w:val="none"/>
        </w:rPr>
        <w:t>3.4若有需方</w:t>
      </w:r>
      <w:r>
        <w:rPr>
          <w:rFonts w:hint="eastAsia"/>
          <w:color w:val="auto"/>
          <w:szCs w:val="21"/>
          <w:highlight w:val="none"/>
          <w:u w:val="none"/>
          <w:lang w:val="en-US" w:eastAsia="zh-CN"/>
        </w:rPr>
        <w:t>遇到</w:t>
      </w:r>
      <w:r>
        <w:rPr>
          <w:rFonts w:hint="eastAsia"/>
          <w:color w:val="auto"/>
          <w:szCs w:val="21"/>
          <w:highlight w:val="none"/>
          <w:u w:val="none"/>
        </w:rPr>
        <w:t>难以处理的问题时，供方须免费及时派遣专业的技术人员到现场配合需方解决和处理问题。</w:t>
      </w:r>
    </w:p>
    <w:p w14:paraId="1FEAE0E9">
      <w:pPr>
        <w:spacing w:line="360" w:lineRule="auto"/>
        <w:rPr>
          <w:rFonts w:eastAsia="黑体"/>
          <w:b/>
          <w:color w:val="auto"/>
          <w:szCs w:val="21"/>
          <w:highlight w:val="none"/>
          <w:u w:val="none"/>
        </w:rPr>
      </w:pPr>
      <w:r>
        <w:rPr>
          <w:rFonts w:hint="eastAsia" w:eastAsia="黑体"/>
          <w:b/>
          <w:color w:val="auto"/>
          <w:szCs w:val="21"/>
          <w:highlight w:val="none"/>
          <w:u w:val="none"/>
        </w:rPr>
        <w:t>四</w:t>
      </w:r>
      <w:r>
        <w:rPr>
          <w:rFonts w:eastAsia="黑体"/>
          <w:b/>
          <w:color w:val="auto"/>
          <w:szCs w:val="21"/>
          <w:highlight w:val="none"/>
          <w:u w:val="none"/>
        </w:rPr>
        <w:t>、质量保证</w:t>
      </w:r>
    </w:p>
    <w:p w14:paraId="4F2441C9">
      <w:pPr>
        <w:spacing w:line="360" w:lineRule="auto"/>
        <w:ind w:firstLine="420"/>
        <w:rPr>
          <w:rFonts w:hint="eastAsia" w:hAnsi="宋体"/>
          <w:color w:val="auto"/>
          <w:szCs w:val="21"/>
          <w:highlight w:val="none"/>
          <w:u w:val="none"/>
        </w:rPr>
      </w:pPr>
      <w:r>
        <w:rPr>
          <w:rFonts w:hint="eastAsia"/>
          <w:color w:val="auto"/>
          <w:szCs w:val="21"/>
          <w:highlight w:val="none"/>
          <w:u w:val="none"/>
        </w:rPr>
        <w:t>4.1供方</w:t>
      </w:r>
      <w:r>
        <w:rPr>
          <w:rFonts w:hAnsi="宋体"/>
          <w:color w:val="auto"/>
          <w:szCs w:val="21"/>
          <w:highlight w:val="none"/>
          <w:u w:val="none"/>
        </w:rPr>
        <w:t>应保证其提供的合同产品在各个方面符合本合同规定的质量、规格和性能要求。</w:t>
      </w:r>
      <w:r>
        <w:rPr>
          <w:rFonts w:hint="eastAsia"/>
          <w:color w:val="auto"/>
          <w:szCs w:val="21"/>
          <w:highlight w:val="none"/>
          <w:u w:val="none"/>
        </w:rPr>
        <w:t>供</w:t>
      </w:r>
      <w:r>
        <w:rPr>
          <w:rFonts w:hAnsi="宋体"/>
          <w:color w:val="auto"/>
          <w:szCs w:val="21"/>
          <w:highlight w:val="none"/>
          <w:u w:val="none"/>
        </w:rPr>
        <w:t>方应保证其合同产品经过合理使用和维护保养，在合同产品寿命期内使用良好</w:t>
      </w:r>
      <w:r>
        <w:rPr>
          <w:rFonts w:hint="eastAsia" w:hAnsi="宋体"/>
          <w:color w:val="auto"/>
          <w:szCs w:val="21"/>
          <w:highlight w:val="none"/>
          <w:u w:val="none"/>
        </w:rPr>
        <w:t>，对因产品质量引起的相关损失负责，承担与己有关的售后服务相关费用。</w:t>
      </w:r>
    </w:p>
    <w:p w14:paraId="52E04E02">
      <w:pPr>
        <w:spacing w:line="360" w:lineRule="auto"/>
        <w:ind w:firstLine="420"/>
        <w:rPr>
          <w:rFonts w:hint="eastAsia"/>
          <w:color w:val="auto"/>
          <w:highlight w:val="none"/>
          <w:u w:val="none"/>
          <w:lang w:val="en-US" w:eastAsia="zh-CN"/>
        </w:rPr>
      </w:pPr>
      <w:r>
        <w:rPr>
          <w:rFonts w:hint="eastAsia" w:hAnsi="宋体"/>
          <w:color w:val="auto"/>
          <w:szCs w:val="21"/>
          <w:highlight w:val="none"/>
          <w:u w:val="none"/>
        </w:rPr>
        <w:t>4.2</w:t>
      </w:r>
      <w:r>
        <w:rPr>
          <w:rFonts w:hint="eastAsia"/>
          <w:color w:val="auto"/>
          <w:szCs w:val="21"/>
          <w:highlight w:val="none"/>
          <w:u w:val="none"/>
        </w:rPr>
        <w:t>供方须对其所供工具工装产品做出服务承诺，并承担质量保证责任，</w:t>
      </w:r>
      <w:r>
        <w:rPr>
          <w:rFonts w:hint="eastAsia" w:ascii="Times New Roman" w:hAnsi="Times New Roman" w:eastAsia="宋体" w:cs="Times New Roman"/>
          <w:color w:val="auto"/>
          <w:szCs w:val="21"/>
          <w:highlight w:val="none"/>
          <w:u w:val="none"/>
        </w:rPr>
        <w:t>对于有定额要求的工具工装，质量保征期内供方投产少于定额的，超出质量保证期后未达定额出现质量问题的，供方原因造成的，供方也应承担相应的质量责任。</w:t>
      </w:r>
    </w:p>
    <w:p w14:paraId="23F267F3">
      <w:pPr>
        <w:spacing w:line="360" w:lineRule="auto"/>
        <w:ind w:firstLine="420"/>
        <w:rPr>
          <w:rFonts w:hint="eastAsia"/>
          <w:color w:val="auto"/>
          <w:szCs w:val="21"/>
          <w:highlight w:val="none"/>
          <w:u w:val="none"/>
        </w:rPr>
      </w:pPr>
      <w:r>
        <w:rPr>
          <w:rFonts w:hint="eastAsia"/>
          <w:color w:val="auto"/>
          <w:szCs w:val="21"/>
          <w:highlight w:val="none"/>
          <w:u w:val="none"/>
        </w:rPr>
        <w:t>4.3</w:t>
      </w:r>
      <w:r>
        <w:rPr>
          <w:rFonts w:hAnsi="宋体"/>
          <w:color w:val="auto"/>
          <w:szCs w:val="21"/>
          <w:highlight w:val="none"/>
          <w:u w:val="none"/>
        </w:rPr>
        <w:t>在合同规定的质量保证期内，</w:t>
      </w:r>
      <w:r>
        <w:rPr>
          <w:rFonts w:hint="eastAsia"/>
          <w:color w:val="auto"/>
          <w:szCs w:val="21"/>
          <w:highlight w:val="none"/>
          <w:u w:val="none"/>
        </w:rPr>
        <w:t>供</w:t>
      </w:r>
      <w:r>
        <w:rPr>
          <w:rFonts w:hAnsi="宋体"/>
          <w:color w:val="auto"/>
          <w:szCs w:val="21"/>
          <w:highlight w:val="none"/>
          <w:u w:val="none"/>
        </w:rPr>
        <w:t>方应对由于制作工艺或材料的缺陷而造成的任何事情负责</w:t>
      </w:r>
      <w:r>
        <w:rPr>
          <w:rFonts w:hint="eastAsia" w:hAnsi="宋体"/>
          <w:color w:val="auto"/>
          <w:szCs w:val="21"/>
          <w:highlight w:val="none"/>
          <w:u w:val="none"/>
        </w:rPr>
        <w:t>，</w:t>
      </w:r>
      <w:r>
        <w:rPr>
          <w:rFonts w:hAnsi="宋体"/>
          <w:color w:val="auto"/>
          <w:szCs w:val="21"/>
          <w:highlight w:val="none"/>
          <w:u w:val="none"/>
        </w:rPr>
        <w:t>如果</w:t>
      </w:r>
      <w:r>
        <w:rPr>
          <w:rFonts w:hint="eastAsia" w:hAnsi="宋体"/>
          <w:color w:val="auto"/>
          <w:szCs w:val="21"/>
          <w:highlight w:val="none"/>
          <w:u w:val="none"/>
        </w:rPr>
        <w:t>出现工装工具</w:t>
      </w:r>
      <w:r>
        <w:rPr>
          <w:rFonts w:hAnsi="宋体"/>
          <w:color w:val="auto"/>
          <w:szCs w:val="21"/>
          <w:highlight w:val="none"/>
          <w:u w:val="none"/>
        </w:rPr>
        <w:t>的质量或规格与合同规定不符或证明产品有缺陷（包括潜在的缺陷或使用不合适的原材料等）</w:t>
      </w:r>
      <w:r>
        <w:rPr>
          <w:rFonts w:hint="eastAsia" w:hAnsi="宋体"/>
          <w:color w:val="auto"/>
          <w:szCs w:val="21"/>
          <w:highlight w:val="none"/>
          <w:u w:val="none"/>
        </w:rPr>
        <w:t>，对需方</w:t>
      </w:r>
      <w:r>
        <w:rPr>
          <w:rFonts w:hAnsi="宋体"/>
          <w:color w:val="auto"/>
          <w:szCs w:val="21"/>
          <w:highlight w:val="none"/>
          <w:u w:val="none"/>
        </w:rPr>
        <w:t>造成的损失</w:t>
      </w:r>
      <w:r>
        <w:rPr>
          <w:rFonts w:hint="eastAsia"/>
          <w:color w:val="auto"/>
          <w:szCs w:val="21"/>
          <w:highlight w:val="none"/>
          <w:u w:val="none"/>
        </w:rPr>
        <w:t>，需</w:t>
      </w:r>
      <w:r>
        <w:rPr>
          <w:rFonts w:hAnsi="宋体"/>
          <w:color w:val="auto"/>
          <w:szCs w:val="21"/>
          <w:highlight w:val="none"/>
          <w:u w:val="none"/>
        </w:rPr>
        <w:t>方有权向供方索赔</w:t>
      </w:r>
      <w:r>
        <w:rPr>
          <w:rFonts w:hint="eastAsia" w:hAnsi="宋体"/>
          <w:color w:val="auto"/>
          <w:szCs w:val="21"/>
          <w:highlight w:val="none"/>
          <w:u w:val="none"/>
        </w:rPr>
        <w:t>及考核</w:t>
      </w:r>
      <w:r>
        <w:rPr>
          <w:color w:val="auto"/>
          <w:szCs w:val="21"/>
          <w:highlight w:val="none"/>
          <w:u w:val="none"/>
        </w:rPr>
        <w:t>,</w:t>
      </w:r>
      <w:r>
        <w:rPr>
          <w:rFonts w:hint="eastAsia"/>
          <w:color w:val="auto"/>
          <w:szCs w:val="21"/>
          <w:highlight w:val="none"/>
          <w:u w:val="none"/>
        </w:rPr>
        <w:t>具体处置</w:t>
      </w:r>
      <w:r>
        <w:rPr>
          <w:rFonts w:hAnsi="宋体"/>
          <w:color w:val="auto"/>
          <w:szCs w:val="21"/>
          <w:highlight w:val="none"/>
          <w:u w:val="none"/>
        </w:rPr>
        <w:t>详见《</w:t>
      </w:r>
      <w:r>
        <w:rPr>
          <w:rFonts w:hint="eastAsia" w:hAnsi="宋体"/>
          <w:color w:val="auto"/>
          <w:szCs w:val="21"/>
          <w:highlight w:val="none"/>
          <w:u w:val="none"/>
        </w:rPr>
        <w:t>采购产品质量保证与服务协议（工装、夹具类2023）</w:t>
      </w:r>
      <w:r>
        <w:rPr>
          <w:rFonts w:hAnsi="宋体"/>
          <w:color w:val="auto"/>
          <w:szCs w:val="21"/>
          <w:highlight w:val="none"/>
          <w:u w:val="none"/>
        </w:rPr>
        <w:t>》。</w:t>
      </w:r>
      <w:r>
        <w:rPr>
          <w:rFonts w:hint="eastAsia"/>
          <w:color w:val="auto"/>
          <w:szCs w:val="21"/>
          <w:highlight w:val="none"/>
          <w:u w:val="none"/>
        </w:rPr>
        <w:t>必要时需</w:t>
      </w:r>
      <w:r>
        <w:rPr>
          <w:rFonts w:hAnsi="宋体"/>
          <w:color w:val="auto"/>
          <w:szCs w:val="21"/>
          <w:highlight w:val="none"/>
          <w:u w:val="none"/>
        </w:rPr>
        <w:t>方有权申请到</w:t>
      </w:r>
      <w:r>
        <w:rPr>
          <w:rFonts w:hint="eastAsia"/>
          <w:color w:val="auto"/>
          <w:szCs w:val="21"/>
          <w:highlight w:val="none"/>
          <w:u w:val="none"/>
        </w:rPr>
        <w:t>需</w:t>
      </w:r>
      <w:r>
        <w:rPr>
          <w:rFonts w:hAnsi="宋体"/>
          <w:color w:val="auto"/>
          <w:szCs w:val="21"/>
          <w:highlight w:val="none"/>
          <w:u w:val="none"/>
        </w:rPr>
        <w:t>方所在地技术监督部门检验，并可根据技术监督证书及质量保证条款立即向</w:t>
      </w:r>
      <w:r>
        <w:rPr>
          <w:color w:val="auto"/>
          <w:szCs w:val="21"/>
          <w:highlight w:val="none"/>
          <w:u w:val="none"/>
        </w:rPr>
        <w:t>供方</w:t>
      </w:r>
      <w:r>
        <w:rPr>
          <w:rFonts w:hAnsi="宋体"/>
          <w:color w:val="auto"/>
          <w:szCs w:val="21"/>
          <w:highlight w:val="none"/>
          <w:u w:val="none"/>
        </w:rPr>
        <w:t>提出索赔。如有</w:t>
      </w:r>
      <w:r>
        <w:rPr>
          <w:rFonts w:hint="eastAsia"/>
          <w:color w:val="auto"/>
          <w:szCs w:val="21"/>
          <w:highlight w:val="none"/>
          <w:u w:val="none"/>
        </w:rPr>
        <w:t>需</w:t>
      </w:r>
      <w:r>
        <w:rPr>
          <w:rFonts w:hAnsi="宋体"/>
          <w:color w:val="auto"/>
          <w:szCs w:val="21"/>
          <w:highlight w:val="none"/>
          <w:u w:val="none"/>
        </w:rPr>
        <w:t>方原因造成的问题，</w:t>
      </w:r>
      <w:r>
        <w:rPr>
          <w:rFonts w:hint="eastAsia"/>
          <w:color w:val="auto"/>
          <w:szCs w:val="21"/>
          <w:highlight w:val="none"/>
          <w:u w:val="none"/>
        </w:rPr>
        <w:t>供</w:t>
      </w:r>
      <w:r>
        <w:rPr>
          <w:rFonts w:hAnsi="宋体"/>
          <w:color w:val="auto"/>
          <w:szCs w:val="21"/>
          <w:highlight w:val="none"/>
          <w:u w:val="none"/>
        </w:rPr>
        <w:t>方也应及时修复和更换，但费用由</w:t>
      </w:r>
      <w:r>
        <w:rPr>
          <w:rFonts w:hint="eastAsia"/>
          <w:color w:val="auto"/>
          <w:szCs w:val="21"/>
          <w:highlight w:val="none"/>
          <w:u w:val="none"/>
        </w:rPr>
        <w:t>需方</w:t>
      </w:r>
      <w:r>
        <w:rPr>
          <w:rFonts w:hAnsi="宋体"/>
          <w:color w:val="auto"/>
          <w:szCs w:val="21"/>
          <w:highlight w:val="none"/>
          <w:u w:val="none"/>
        </w:rPr>
        <w:t>承担。</w:t>
      </w:r>
    </w:p>
    <w:p w14:paraId="502BD04C">
      <w:pPr>
        <w:spacing w:line="360" w:lineRule="auto"/>
        <w:ind w:firstLine="420"/>
        <w:rPr>
          <w:rFonts w:hint="eastAsia"/>
          <w:color w:val="auto"/>
          <w:szCs w:val="21"/>
          <w:highlight w:val="none"/>
          <w:u w:val="none"/>
        </w:rPr>
      </w:pPr>
      <w:r>
        <w:rPr>
          <w:rFonts w:hint="eastAsia"/>
          <w:color w:val="auto"/>
          <w:szCs w:val="21"/>
          <w:highlight w:val="none"/>
          <w:u w:val="none"/>
        </w:rPr>
        <w:t>4.</w:t>
      </w:r>
      <w:r>
        <w:rPr>
          <w:color w:val="auto"/>
          <w:szCs w:val="21"/>
          <w:highlight w:val="none"/>
          <w:u w:val="none"/>
        </w:rPr>
        <w:t>4</w:t>
      </w:r>
      <w:r>
        <w:rPr>
          <w:rFonts w:hint="eastAsia" w:ascii="宋体" w:hAnsi="宋体"/>
          <w:color w:val="auto"/>
          <w:highlight w:val="none"/>
          <w:u w:val="none"/>
        </w:rPr>
        <w:t>质量保证期满后，</w:t>
      </w:r>
      <w:r>
        <w:rPr>
          <w:rFonts w:hint="eastAsia"/>
          <w:color w:val="auto"/>
          <w:szCs w:val="21"/>
          <w:highlight w:val="none"/>
          <w:u w:val="none"/>
        </w:rPr>
        <w:t>供</w:t>
      </w:r>
      <w:r>
        <w:rPr>
          <w:color w:val="auto"/>
          <w:szCs w:val="21"/>
          <w:highlight w:val="none"/>
          <w:u w:val="none"/>
        </w:rPr>
        <w:t>方也应向</w:t>
      </w:r>
      <w:r>
        <w:rPr>
          <w:rFonts w:hint="eastAsia"/>
          <w:color w:val="auto"/>
          <w:szCs w:val="21"/>
          <w:highlight w:val="none"/>
          <w:u w:val="none"/>
        </w:rPr>
        <w:t>需</w:t>
      </w:r>
      <w:r>
        <w:rPr>
          <w:color w:val="auto"/>
          <w:szCs w:val="21"/>
          <w:highlight w:val="none"/>
          <w:u w:val="none"/>
        </w:rPr>
        <w:t>方提供及时的、质优的、价格优惠的技术服务和备品备件供应。</w:t>
      </w:r>
    </w:p>
    <w:p w14:paraId="12ABDF8C">
      <w:pPr>
        <w:spacing w:line="360" w:lineRule="auto"/>
        <w:ind w:firstLine="420"/>
        <w:rPr>
          <w:rFonts w:hint="eastAsia"/>
          <w:color w:val="auto"/>
          <w:szCs w:val="21"/>
          <w:highlight w:val="none"/>
          <w:u w:val="none"/>
        </w:rPr>
      </w:pPr>
      <w:r>
        <w:rPr>
          <w:rFonts w:hint="eastAsia"/>
          <w:color w:val="auto"/>
          <w:szCs w:val="21"/>
          <w:highlight w:val="none"/>
          <w:u w:val="none"/>
        </w:rPr>
        <w:t>4.</w:t>
      </w:r>
      <w:r>
        <w:rPr>
          <w:color w:val="auto"/>
          <w:szCs w:val="21"/>
          <w:highlight w:val="none"/>
          <w:u w:val="none"/>
        </w:rPr>
        <w:t>5</w:t>
      </w:r>
      <w:r>
        <w:rPr>
          <w:rFonts w:hint="eastAsia"/>
          <w:color w:val="auto"/>
          <w:szCs w:val="21"/>
          <w:highlight w:val="none"/>
          <w:u w:val="none"/>
        </w:rPr>
        <w:t>检验</w:t>
      </w:r>
    </w:p>
    <w:p w14:paraId="2C1F0C6D">
      <w:pPr>
        <w:spacing w:line="360" w:lineRule="auto"/>
        <w:ind w:firstLine="420"/>
        <w:rPr>
          <w:rFonts w:hint="eastAsia"/>
          <w:color w:val="auto"/>
          <w:szCs w:val="21"/>
          <w:highlight w:val="none"/>
          <w:u w:val="none"/>
        </w:rPr>
      </w:pPr>
      <w:r>
        <w:rPr>
          <w:rFonts w:hint="eastAsia"/>
          <w:color w:val="auto"/>
          <w:szCs w:val="21"/>
          <w:highlight w:val="none"/>
          <w:u w:val="none"/>
        </w:rPr>
        <w:t>4.</w:t>
      </w:r>
      <w:r>
        <w:rPr>
          <w:color w:val="auto"/>
          <w:szCs w:val="21"/>
          <w:highlight w:val="none"/>
          <w:u w:val="none"/>
        </w:rPr>
        <w:t>5</w:t>
      </w:r>
      <w:r>
        <w:rPr>
          <w:rFonts w:hint="eastAsia"/>
          <w:color w:val="auto"/>
          <w:szCs w:val="21"/>
          <w:highlight w:val="none"/>
          <w:u w:val="none"/>
        </w:rPr>
        <w:t>.1供方应根据需方的工具工装产品质量要求，制定产品的检验规范、标准，配置必要的检测器具和试验设备。</w:t>
      </w:r>
    </w:p>
    <w:p w14:paraId="2434CDC9">
      <w:pPr>
        <w:spacing w:line="360" w:lineRule="auto"/>
        <w:ind w:firstLine="420" w:firstLineChars="200"/>
        <w:rPr>
          <w:rFonts w:hint="eastAsia" w:ascii="Times New Roman" w:hAnsi="Times New Roman" w:eastAsia="宋体" w:cs="Times New Roman"/>
          <w:color w:val="auto"/>
          <w:szCs w:val="21"/>
          <w:highlight w:val="none"/>
          <w:u w:val="none"/>
        </w:rPr>
      </w:pPr>
      <w:r>
        <w:rPr>
          <w:rFonts w:hint="eastAsia"/>
          <w:color w:val="auto"/>
          <w:szCs w:val="21"/>
          <w:highlight w:val="none"/>
          <w:u w:val="none"/>
        </w:rPr>
        <w:t>4.</w:t>
      </w:r>
      <w:r>
        <w:rPr>
          <w:color w:val="auto"/>
          <w:szCs w:val="21"/>
          <w:highlight w:val="none"/>
          <w:u w:val="none"/>
        </w:rPr>
        <w:t>5</w:t>
      </w:r>
      <w:r>
        <w:rPr>
          <w:rFonts w:hint="eastAsia"/>
          <w:color w:val="auto"/>
          <w:szCs w:val="21"/>
          <w:highlight w:val="none"/>
          <w:u w:val="none"/>
        </w:rPr>
        <w:t>.2</w:t>
      </w:r>
      <w:r>
        <w:rPr>
          <w:rFonts w:hint="eastAsia" w:ascii="Times New Roman" w:hAnsi="Times New Roman" w:eastAsia="宋体" w:cs="Times New Roman"/>
          <w:color w:val="auto"/>
          <w:szCs w:val="21"/>
          <w:highlight w:val="none"/>
          <w:u w:val="none"/>
        </w:rPr>
        <w:t>供方在发货之前，对合同产品的有关内在和外观质量、规格、性能、数量或重量进行准确的和全面的检验，并出具其产品符合本合同规定的质量证书。但不应将其视为是对质量、规格、性能、数量或重量的最终定论。货到需方后，再由需方依据图纸及相关标准进行检验。</w:t>
      </w:r>
    </w:p>
    <w:p w14:paraId="2FEAD2B7">
      <w:pPr>
        <w:spacing w:line="360" w:lineRule="auto"/>
        <w:ind w:firstLine="420"/>
        <w:rPr>
          <w:color w:val="auto"/>
          <w:szCs w:val="21"/>
          <w:highlight w:val="none"/>
          <w:u w:val="none"/>
        </w:rPr>
      </w:pPr>
      <w:r>
        <w:rPr>
          <w:color w:val="auto"/>
          <w:szCs w:val="21"/>
          <w:highlight w:val="none"/>
          <w:u w:val="none"/>
        </w:rPr>
        <w:t>4</w:t>
      </w:r>
      <w:r>
        <w:rPr>
          <w:rFonts w:hint="eastAsia"/>
          <w:color w:val="auto"/>
          <w:szCs w:val="21"/>
          <w:highlight w:val="none"/>
          <w:u w:val="none"/>
        </w:rPr>
        <w:t>.</w:t>
      </w:r>
      <w:r>
        <w:rPr>
          <w:color w:val="auto"/>
          <w:szCs w:val="21"/>
          <w:highlight w:val="none"/>
          <w:u w:val="none"/>
        </w:rPr>
        <w:t>5</w:t>
      </w:r>
      <w:r>
        <w:rPr>
          <w:rFonts w:hint="eastAsia"/>
          <w:color w:val="auto"/>
          <w:szCs w:val="21"/>
          <w:highlight w:val="none"/>
          <w:u w:val="none"/>
        </w:rPr>
        <w:t>.3供方应主动地将产品状态、质量隐患信息及时地向需方通报，以便跟踪并进行及时有效地处理。</w:t>
      </w:r>
      <w:r>
        <w:rPr>
          <w:rFonts w:hAnsi="宋体"/>
          <w:color w:val="auto"/>
          <w:szCs w:val="21"/>
          <w:highlight w:val="none"/>
          <w:u w:val="none"/>
        </w:rPr>
        <w:t>锻造模具焊修过程中，</w:t>
      </w:r>
      <w:r>
        <w:rPr>
          <w:rFonts w:hint="eastAsia" w:hAnsi="宋体"/>
          <w:color w:val="auto"/>
          <w:szCs w:val="21"/>
          <w:highlight w:val="none"/>
          <w:u w:val="none"/>
        </w:rPr>
        <w:t>供</w:t>
      </w:r>
      <w:r>
        <w:rPr>
          <w:rFonts w:hAnsi="宋体"/>
          <w:color w:val="auto"/>
          <w:szCs w:val="21"/>
          <w:highlight w:val="none"/>
          <w:u w:val="none"/>
        </w:rPr>
        <w:t>方应对模体硬度</w:t>
      </w:r>
      <w:r>
        <w:rPr>
          <w:rFonts w:hint="eastAsia" w:hAnsi="宋体"/>
          <w:color w:val="auto"/>
          <w:szCs w:val="21"/>
          <w:highlight w:val="none"/>
          <w:u w:val="none"/>
        </w:rPr>
        <w:t>及基体状况</w:t>
      </w:r>
      <w:r>
        <w:rPr>
          <w:rFonts w:hAnsi="宋体"/>
          <w:color w:val="auto"/>
          <w:szCs w:val="21"/>
          <w:highlight w:val="none"/>
          <w:u w:val="none"/>
        </w:rPr>
        <w:t>进行检测，若发现模体硬度未达到使用标准</w:t>
      </w:r>
      <w:r>
        <w:rPr>
          <w:rFonts w:hint="eastAsia" w:hAnsi="宋体"/>
          <w:color w:val="auto"/>
          <w:szCs w:val="21"/>
          <w:highlight w:val="none"/>
          <w:u w:val="none"/>
        </w:rPr>
        <w:t>或有基体存在深度裂纹等异常情况时</w:t>
      </w:r>
      <w:r>
        <w:rPr>
          <w:rFonts w:hAnsi="宋体"/>
          <w:color w:val="auto"/>
          <w:szCs w:val="21"/>
          <w:highlight w:val="none"/>
          <w:u w:val="none"/>
        </w:rPr>
        <w:t>应及时通知</w:t>
      </w:r>
      <w:r>
        <w:rPr>
          <w:rFonts w:hint="eastAsia" w:hAnsi="宋体"/>
          <w:color w:val="auto"/>
          <w:szCs w:val="21"/>
          <w:highlight w:val="none"/>
          <w:u w:val="none"/>
        </w:rPr>
        <w:t>需</w:t>
      </w:r>
      <w:r>
        <w:rPr>
          <w:rFonts w:hAnsi="宋体"/>
          <w:color w:val="auto"/>
          <w:szCs w:val="21"/>
          <w:highlight w:val="none"/>
          <w:u w:val="none"/>
        </w:rPr>
        <w:t>方进行处理，因</w:t>
      </w:r>
      <w:r>
        <w:rPr>
          <w:rFonts w:hint="eastAsia" w:hAnsi="宋体"/>
          <w:color w:val="auto"/>
          <w:szCs w:val="21"/>
          <w:highlight w:val="none"/>
          <w:u w:val="none"/>
        </w:rPr>
        <w:t>供</w:t>
      </w:r>
      <w:r>
        <w:rPr>
          <w:rFonts w:hAnsi="宋体"/>
          <w:color w:val="auto"/>
          <w:szCs w:val="21"/>
          <w:highlight w:val="none"/>
          <w:u w:val="none"/>
        </w:rPr>
        <w:t>方未进行模体硬度</w:t>
      </w:r>
      <w:r>
        <w:rPr>
          <w:rFonts w:hint="eastAsia" w:hAnsi="宋体"/>
          <w:color w:val="auto"/>
          <w:szCs w:val="21"/>
          <w:highlight w:val="none"/>
          <w:u w:val="none"/>
        </w:rPr>
        <w:t>或基体</w:t>
      </w:r>
      <w:r>
        <w:rPr>
          <w:rFonts w:hAnsi="宋体"/>
          <w:color w:val="auto"/>
          <w:szCs w:val="21"/>
          <w:highlight w:val="none"/>
          <w:u w:val="none"/>
        </w:rPr>
        <w:t>检测而造成的一切后果由</w:t>
      </w:r>
      <w:r>
        <w:rPr>
          <w:rFonts w:hint="eastAsia" w:hAnsi="宋体"/>
          <w:color w:val="auto"/>
          <w:szCs w:val="21"/>
          <w:highlight w:val="none"/>
          <w:u w:val="none"/>
        </w:rPr>
        <w:t>供</w:t>
      </w:r>
      <w:r>
        <w:rPr>
          <w:rFonts w:hAnsi="宋体"/>
          <w:color w:val="auto"/>
          <w:szCs w:val="21"/>
          <w:highlight w:val="none"/>
          <w:u w:val="none"/>
        </w:rPr>
        <w:t>方承担。</w:t>
      </w:r>
    </w:p>
    <w:p w14:paraId="37CEAA15">
      <w:pPr>
        <w:spacing w:line="360" w:lineRule="auto"/>
        <w:ind w:firstLine="420"/>
        <w:rPr>
          <w:rFonts w:hint="eastAsia"/>
          <w:color w:val="auto"/>
          <w:szCs w:val="21"/>
          <w:highlight w:val="none"/>
          <w:u w:val="none"/>
        </w:rPr>
      </w:pPr>
      <w:r>
        <w:rPr>
          <w:rFonts w:hint="eastAsia"/>
          <w:color w:val="auto"/>
          <w:szCs w:val="21"/>
          <w:highlight w:val="none"/>
          <w:u w:val="none"/>
        </w:rPr>
        <w:t>4.</w:t>
      </w:r>
      <w:r>
        <w:rPr>
          <w:color w:val="auto"/>
          <w:szCs w:val="21"/>
          <w:highlight w:val="none"/>
          <w:u w:val="none"/>
        </w:rPr>
        <w:t>5</w:t>
      </w:r>
      <w:r>
        <w:rPr>
          <w:rFonts w:hint="eastAsia"/>
          <w:color w:val="auto"/>
          <w:szCs w:val="21"/>
          <w:highlight w:val="none"/>
          <w:u w:val="none"/>
        </w:rPr>
        <w:t>.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对于新制模块还需提供材料合格证明、超声波探伤结果报告等证明材料。</w:t>
      </w:r>
    </w:p>
    <w:p w14:paraId="78E65C0E">
      <w:pPr>
        <w:tabs>
          <w:tab w:val="left" w:pos="0"/>
        </w:tabs>
        <w:adjustRightInd w:val="0"/>
        <w:snapToGrid w:val="0"/>
        <w:spacing w:line="360" w:lineRule="auto"/>
        <w:ind w:firstLine="420" w:firstLineChars="200"/>
        <w:rPr>
          <w:rFonts w:hint="eastAsia"/>
          <w:color w:val="auto"/>
          <w:szCs w:val="21"/>
          <w:highlight w:val="none"/>
          <w:u w:val="none"/>
        </w:rPr>
      </w:pPr>
      <w:r>
        <w:rPr>
          <w:rFonts w:hint="eastAsia"/>
          <w:color w:val="auto"/>
          <w:szCs w:val="21"/>
          <w:highlight w:val="none"/>
          <w:u w:val="none"/>
        </w:rPr>
        <w:t>4.</w:t>
      </w:r>
      <w:r>
        <w:rPr>
          <w:color w:val="auto"/>
          <w:szCs w:val="21"/>
          <w:highlight w:val="none"/>
          <w:u w:val="none"/>
        </w:rPr>
        <w:t>5</w:t>
      </w:r>
      <w:r>
        <w:rPr>
          <w:rFonts w:hint="eastAsia"/>
          <w:color w:val="auto"/>
          <w:szCs w:val="21"/>
          <w:highlight w:val="none"/>
          <w:u w:val="none"/>
        </w:rPr>
        <w:t>.5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7A36A965">
      <w:pPr>
        <w:spacing w:line="360" w:lineRule="auto"/>
        <w:ind w:firstLine="420"/>
        <w:rPr>
          <w:color w:val="auto"/>
          <w:szCs w:val="21"/>
          <w:highlight w:val="none"/>
          <w:u w:val="none"/>
        </w:rPr>
      </w:pPr>
      <w:r>
        <w:rPr>
          <w:rFonts w:hint="eastAsia"/>
          <w:color w:val="auto"/>
          <w:szCs w:val="21"/>
          <w:highlight w:val="none"/>
          <w:u w:val="none"/>
        </w:rPr>
        <w:t>4.</w:t>
      </w:r>
      <w:r>
        <w:rPr>
          <w:color w:val="auto"/>
          <w:szCs w:val="21"/>
          <w:highlight w:val="none"/>
          <w:u w:val="none"/>
        </w:rPr>
        <w:t>5</w:t>
      </w:r>
      <w:r>
        <w:rPr>
          <w:rFonts w:hint="eastAsia"/>
          <w:color w:val="auto"/>
          <w:szCs w:val="21"/>
          <w:highlight w:val="none"/>
          <w:u w:val="none"/>
        </w:rPr>
        <w:t>.6为加大对工具工装产品的质量控制力度，需方将适时地开展质量稽查工作。必要时，派员赴供方处进行产品稽查，供方应给予配合。稽查结果纳入需方对供方的评价。</w:t>
      </w:r>
    </w:p>
    <w:p w14:paraId="0C5B74EE">
      <w:pPr>
        <w:spacing w:line="360" w:lineRule="auto"/>
        <w:ind w:firstLine="420"/>
        <w:rPr>
          <w:color w:val="auto"/>
          <w:szCs w:val="21"/>
          <w:highlight w:val="none"/>
          <w:u w:val="none"/>
        </w:rPr>
      </w:pPr>
      <w:r>
        <w:rPr>
          <w:rFonts w:hint="eastAsia"/>
          <w:color w:val="auto"/>
          <w:szCs w:val="21"/>
          <w:highlight w:val="none"/>
          <w:u w:val="none"/>
        </w:rPr>
        <w:t>4.</w:t>
      </w:r>
      <w:r>
        <w:rPr>
          <w:color w:val="auto"/>
          <w:szCs w:val="21"/>
          <w:highlight w:val="none"/>
          <w:u w:val="none"/>
        </w:rPr>
        <w:t>5</w:t>
      </w:r>
      <w:r>
        <w:rPr>
          <w:rFonts w:hint="eastAsia"/>
          <w:color w:val="auto"/>
          <w:szCs w:val="21"/>
          <w:highlight w:val="none"/>
          <w:u w:val="none"/>
        </w:rPr>
        <w:t>.7合同双方都有责任和义务针对反馈的质量信息进行分析，并将分析的结论与质量纠正和改进联系起来，有针对性地实施纠正和改进，从而不断改进和提高产品质量。</w:t>
      </w:r>
    </w:p>
    <w:p w14:paraId="3E55C121">
      <w:pPr>
        <w:spacing w:line="360" w:lineRule="auto"/>
        <w:rPr>
          <w:rFonts w:eastAsia="黑体"/>
          <w:b/>
          <w:color w:val="auto"/>
          <w:szCs w:val="21"/>
          <w:highlight w:val="none"/>
          <w:u w:val="none"/>
        </w:rPr>
      </w:pPr>
      <w:r>
        <w:rPr>
          <w:rFonts w:hint="eastAsia" w:eastAsia="黑体"/>
          <w:b/>
          <w:color w:val="auto"/>
          <w:szCs w:val="21"/>
          <w:highlight w:val="none"/>
          <w:u w:val="none"/>
        </w:rPr>
        <w:t>五</w:t>
      </w:r>
      <w:r>
        <w:rPr>
          <w:rFonts w:eastAsia="黑体"/>
          <w:b/>
          <w:color w:val="auto"/>
          <w:szCs w:val="21"/>
          <w:highlight w:val="none"/>
          <w:u w:val="none"/>
        </w:rPr>
        <w:t>、</w:t>
      </w:r>
      <w:r>
        <w:rPr>
          <w:rFonts w:hint="eastAsia" w:eastAsia="黑体"/>
          <w:b/>
          <w:color w:val="auto"/>
          <w:szCs w:val="21"/>
          <w:highlight w:val="none"/>
          <w:u w:val="none"/>
        </w:rPr>
        <w:t>违约责任</w:t>
      </w:r>
    </w:p>
    <w:p w14:paraId="5D7A7FBB">
      <w:pPr>
        <w:spacing w:line="360" w:lineRule="auto"/>
        <w:ind w:firstLine="420"/>
        <w:rPr>
          <w:color w:val="auto"/>
          <w:szCs w:val="21"/>
          <w:highlight w:val="none"/>
          <w:u w:val="none"/>
        </w:rPr>
      </w:pPr>
      <w:r>
        <w:rPr>
          <w:color w:val="auto"/>
          <w:szCs w:val="21"/>
          <w:highlight w:val="none"/>
          <w:u w:val="none"/>
        </w:rPr>
        <w:t>供方</w:t>
      </w:r>
      <w:r>
        <w:rPr>
          <w:rFonts w:hAnsi="宋体"/>
          <w:color w:val="auto"/>
          <w:szCs w:val="21"/>
          <w:highlight w:val="none"/>
          <w:u w:val="none"/>
        </w:rPr>
        <w:t>应承担合同产品与合同</w:t>
      </w:r>
      <w:r>
        <w:rPr>
          <w:rFonts w:hint="eastAsia" w:ascii="宋体" w:hAnsi="宋体"/>
          <w:color w:val="auto"/>
          <w:highlight w:val="none"/>
          <w:u w:val="none"/>
        </w:rPr>
        <w:t>（包括本合同及所有附件）</w:t>
      </w:r>
      <w:r>
        <w:rPr>
          <w:rFonts w:hAnsi="宋体"/>
          <w:color w:val="auto"/>
          <w:szCs w:val="21"/>
          <w:highlight w:val="none"/>
          <w:u w:val="none"/>
        </w:rPr>
        <w:t>要求不符情况下的一切责任</w:t>
      </w:r>
      <w:r>
        <w:rPr>
          <w:rFonts w:hint="eastAsia" w:hAnsi="宋体"/>
          <w:color w:val="auto"/>
          <w:szCs w:val="21"/>
          <w:highlight w:val="none"/>
          <w:u w:val="none"/>
        </w:rPr>
        <w:t>和全部经济损失</w:t>
      </w:r>
      <w:r>
        <w:rPr>
          <w:rFonts w:hAnsi="宋体"/>
          <w:color w:val="auto"/>
          <w:szCs w:val="21"/>
          <w:highlight w:val="none"/>
          <w:u w:val="none"/>
        </w:rPr>
        <w:t>，</w:t>
      </w:r>
      <w:r>
        <w:rPr>
          <w:rFonts w:hint="eastAsia"/>
          <w:color w:val="auto"/>
          <w:szCs w:val="21"/>
          <w:highlight w:val="none"/>
          <w:u w:val="none"/>
        </w:rPr>
        <w:t>需方有权取消供方的供货资格或进行经济考核，必要时追究其法律责任。</w:t>
      </w:r>
    </w:p>
    <w:p w14:paraId="5FAC8BE2">
      <w:pPr>
        <w:spacing w:line="360" w:lineRule="auto"/>
        <w:ind w:firstLine="420"/>
        <w:rPr>
          <w:color w:val="auto"/>
          <w:szCs w:val="21"/>
          <w:highlight w:val="none"/>
          <w:u w:val="none"/>
        </w:rPr>
      </w:pPr>
      <w:r>
        <w:rPr>
          <w:rFonts w:hAnsi="宋体"/>
          <w:color w:val="auto"/>
          <w:szCs w:val="21"/>
          <w:highlight w:val="none"/>
          <w:u w:val="none"/>
        </w:rPr>
        <w:t>5.1在</w:t>
      </w:r>
      <w:r>
        <w:rPr>
          <w:color w:val="auto"/>
          <w:szCs w:val="21"/>
          <w:highlight w:val="none"/>
          <w:u w:val="none"/>
        </w:rPr>
        <w:t>需方</w:t>
      </w:r>
      <w:r>
        <w:rPr>
          <w:rFonts w:hAnsi="宋体"/>
          <w:color w:val="auto"/>
          <w:szCs w:val="21"/>
          <w:highlight w:val="none"/>
          <w:u w:val="none"/>
        </w:rPr>
        <w:t>已于规定的检验和质量保证期内提出索赔的情况下，</w:t>
      </w:r>
      <w:r>
        <w:rPr>
          <w:color w:val="auto"/>
          <w:szCs w:val="21"/>
          <w:highlight w:val="none"/>
          <w:u w:val="none"/>
        </w:rPr>
        <w:t>供方</w:t>
      </w:r>
      <w:r>
        <w:rPr>
          <w:rFonts w:hAnsi="宋体"/>
          <w:color w:val="auto"/>
          <w:szCs w:val="21"/>
          <w:highlight w:val="none"/>
          <w:u w:val="none"/>
        </w:rPr>
        <w:t>应按</w:t>
      </w:r>
      <w:r>
        <w:rPr>
          <w:color w:val="auto"/>
          <w:szCs w:val="21"/>
          <w:highlight w:val="none"/>
          <w:u w:val="none"/>
        </w:rPr>
        <w:t>需方</w:t>
      </w:r>
      <w:r>
        <w:rPr>
          <w:rFonts w:hAnsi="宋体"/>
          <w:color w:val="auto"/>
          <w:szCs w:val="21"/>
          <w:highlight w:val="none"/>
          <w:u w:val="none"/>
        </w:rPr>
        <w:t>同意的下述一种或多种方法解决索赔事宜：</w:t>
      </w:r>
    </w:p>
    <w:p w14:paraId="396EEF9D">
      <w:pPr>
        <w:spacing w:line="360" w:lineRule="auto"/>
        <w:ind w:firstLine="420"/>
        <w:rPr>
          <w:color w:val="auto"/>
          <w:szCs w:val="21"/>
          <w:highlight w:val="none"/>
          <w:u w:val="none"/>
        </w:rPr>
      </w:pPr>
      <w:r>
        <w:rPr>
          <w:rFonts w:hAnsi="宋体"/>
          <w:color w:val="auto"/>
          <w:szCs w:val="21"/>
          <w:highlight w:val="none"/>
          <w:u w:val="none"/>
        </w:rPr>
        <w:t>（</w:t>
      </w:r>
      <w:r>
        <w:rPr>
          <w:color w:val="auto"/>
          <w:szCs w:val="21"/>
          <w:highlight w:val="none"/>
          <w:u w:val="none"/>
        </w:rPr>
        <w:t>1</w:t>
      </w:r>
      <w:r>
        <w:rPr>
          <w:rFonts w:hAnsi="宋体"/>
          <w:color w:val="auto"/>
          <w:szCs w:val="21"/>
          <w:highlight w:val="none"/>
          <w:u w:val="none"/>
        </w:rPr>
        <w:t>）</w:t>
      </w:r>
      <w:r>
        <w:rPr>
          <w:color w:val="auto"/>
          <w:szCs w:val="21"/>
          <w:highlight w:val="none"/>
          <w:u w:val="none"/>
        </w:rPr>
        <w:t>供方</w:t>
      </w:r>
      <w:r>
        <w:rPr>
          <w:rFonts w:hAnsi="宋体"/>
          <w:color w:val="auto"/>
          <w:szCs w:val="21"/>
          <w:highlight w:val="none"/>
          <w:u w:val="none"/>
        </w:rPr>
        <w:t>同意</w:t>
      </w:r>
      <w:r>
        <w:rPr>
          <w:color w:val="auto"/>
          <w:szCs w:val="21"/>
          <w:highlight w:val="none"/>
          <w:u w:val="none"/>
        </w:rPr>
        <w:t>需方</w:t>
      </w:r>
      <w:r>
        <w:rPr>
          <w:rFonts w:hAnsi="宋体"/>
          <w:color w:val="auto"/>
          <w:szCs w:val="21"/>
          <w:highlight w:val="none"/>
          <w:u w:val="none"/>
        </w:rPr>
        <w:t>拒收合同产品，</w:t>
      </w:r>
      <w:r>
        <w:rPr>
          <w:color w:val="auto"/>
          <w:szCs w:val="21"/>
          <w:highlight w:val="none"/>
          <w:u w:val="none"/>
        </w:rPr>
        <w:t>供方</w:t>
      </w:r>
      <w:r>
        <w:rPr>
          <w:rFonts w:hAnsi="宋体"/>
          <w:color w:val="auto"/>
          <w:szCs w:val="21"/>
          <w:highlight w:val="none"/>
          <w:u w:val="none"/>
        </w:rPr>
        <w:t>负责发生的一切损失和费用，包括利息、银行费用、运输和保险费、检验费、仓储和装卸费以及为保管和保护被拒绝产品所需要的其他必需的费用。</w:t>
      </w:r>
    </w:p>
    <w:p w14:paraId="0798753A">
      <w:pPr>
        <w:spacing w:line="360" w:lineRule="auto"/>
        <w:rPr>
          <w:color w:val="auto"/>
          <w:szCs w:val="21"/>
          <w:highlight w:val="none"/>
          <w:u w:val="none"/>
        </w:rPr>
      </w:pPr>
      <w:r>
        <w:rPr>
          <w:color w:val="auto"/>
          <w:szCs w:val="21"/>
          <w:highlight w:val="none"/>
          <w:u w:val="none"/>
        </w:rPr>
        <w:t xml:space="preserve">    </w:t>
      </w:r>
      <w:r>
        <w:rPr>
          <w:rFonts w:hAnsi="宋体"/>
          <w:color w:val="auto"/>
          <w:szCs w:val="21"/>
          <w:highlight w:val="none"/>
          <w:u w:val="none"/>
        </w:rPr>
        <w:t>（</w:t>
      </w:r>
      <w:r>
        <w:rPr>
          <w:color w:val="auto"/>
          <w:szCs w:val="21"/>
          <w:highlight w:val="none"/>
          <w:u w:val="none"/>
        </w:rPr>
        <w:t>2</w:t>
      </w:r>
      <w:r>
        <w:rPr>
          <w:rFonts w:hAnsi="宋体"/>
          <w:color w:val="auto"/>
          <w:szCs w:val="21"/>
          <w:highlight w:val="none"/>
          <w:u w:val="none"/>
        </w:rPr>
        <w:t>）根据产品的疵劣和受损程度以及</w:t>
      </w:r>
      <w:r>
        <w:rPr>
          <w:color w:val="auto"/>
          <w:szCs w:val="21"/>
          <w:highlight w:val="none"/>
          <w:u w:val="none"/>
        </w:rPr>
        <w:t>需方</w:t>
      </w:r>
      <w:r>
        <w:rPr>
          <w:rFonts w:hAnsi="宋体"/>
          <w:color w:val="auto"/>
          <w:szCs w:val="21"/>
          <w:highlight w:val="none"/>
          <w:u w:val="none"/>
        </w:rPr>
        <w:t>遭受损失的金额，经双方同意降低产品价格。</w:t>
      </w:r>
    </w:p>
    <w:p w14:paraId="618FE650">
      <w:pPr>
        <w:spacing w:line="360" w:lineRule="auto"/>
        <w:rPr>
          <w:rFonts w:hint="eastAsia"/>
          <w:color w:val="auto"/>
          <w:szCs w:val="21"/>
          <w:highlight w:val="none"/>
          <w:u w:val="none"/>
        </w:rPr>
      </w:pPr>
      <w:r>
        <w:rPr>
          <w:color w:val="auto"/>
          <w:szCs w:val="21"/>
          <w:highlight w:val="none"/>
          <w:u w:val="none"/>
        </w:rPr>
        <w:t xml:space="preserve">    </w:t>
      </w:r>
      <w:r>
        <w:rPr>
          <w:rFonts w:hAnsi="宋体"/>
          <w:color w:val="auto"/>
          <w:szCs w:val="21"/>
          <w:highlight w:val="none"/>
          <w:u w:val="none"/>
        </w:rPr>
        <w:t>（</w:t>
      </w:r>
      <w:r>
        <w:rPr>
          <w:color w:val="auto"/>
          <w:szCs w:val="21"/>
          <w:highlight w:val="none"/>
          <w:u w:val="none"/>
        </w:rPr>
        <w:t>3</w:t>
      </w:r>
      <w:r>
        <w:rPr>
          <w:rFonts w:hAnsi="宋体"/>
          <w:color w:val="auto"/>
          <w:szCs w:val="21"/>
          <w:highlight w:val="none"/>
          <w:u w:val="none"/>
        </w:rPr>
        <w:t>）更换有缺陷的零件、部件、或修理缺陷部分，以达到合同规定的规格、质量和性能，</w:t>
      </w:r>
      <w:r>
        <w:rPr>
          <w:color w:val="auto"/>
          <w:szCs w:val="21"/>
          <w:highlight w:val="none"/>
          <w:u w:val="none"/>
        </w:rPr>
        <w:t>供方</w:t>
      </w:r>
      <w:r>
        <w:rPr>
          <w:rFonts w:hAnsi="宋体"/>
          <w:color w:val="auto"/>
          <w:szCs w:val="21"/>
          <w:highlight w:val="none"/>
          <w:u w:val="none"/>
        </w:rPr>
        <w:t>承担一切费用和风险并负担</w:t>
      </w:r>
      <w:r>
        <w:rPr>
          <w:color w:val="auto"/>
          <w:szCs w:val="21"/>
          <w:highlight w:val="none"/>
          <w:u w:val="none"/>
        </w:rPr>
        <w:t>需方</w:t>
      </w:r>
      <w:r>
        <w:rPr>
          <w:rFonts w:hAnsi="宋体"/>
          <w:color w:val="auto"/>
          <w:szCs w:val="21"/>
          <w:highlight w:val="none"/>
          <w:u w:val="none"/>
        </w:rPr>
        <w:t>遭受的一切损失，同时</w:t>
      </w:r>
      <w:r>
        <w:rPr>
          <w:color w:val="auto"/>
          <w:szCs w:val="21"/>
          <w:highlight w:val="none"/>
          <w:u w:val="none"/>
        </w:rPr>
        <w:t>供方</w:t>
      </w:r>
      <w:r>
        <w:rPr>
          <w:rFonts w:hAnsi="宋体"/>
          <w:color w:val="auto"/>
          <w:szCs w:val="21"/>
          <w:highlight w:val="none"/>
          <w:u w:val="none"/>
        </w:rPr>
        <w:t>应相应延长被更换产品的质量保证期。</w:t>
      </w:r>
    </w:p>
    <w:p w14:paraId="6A07CBF8">
      <w:pPr>
        <w:spacing w:line="360" w:lineRule="auto"/>
        <w:ind w:firstLine="420"/>
        <w:rPr>
          <w:rFonts w:hint="default" w:eastAsia="宋体"/>
          <w:color w:val="auto"/>
          <w:szCs w:val="21"/>
          <w:highlight w:val="none"/>
          <w:u w:val="none"/>
          <w:lang w:val="en-US" w:eastAsia="zh-CN"/>
        </w:rPr>
      </w:pPr>
      <w:r>
        <w:rPr>
          <w:rFonts w:hint="eastAsia"/>
          <w:color w:val="auto"/>
          <w:szCs w:val="21"/>
          <w:highlight w:val="none"/>
          <w:u w:val="none"/>
        </w:rPr>
        <w:t>5.2凡因供方产品的交货时间和数量没有按需方</w:t>
      </w:r>
      <w:r>
        <w:rPr>
          <w:rFonts w:hint="eastAsia"/>
          <w:strike w:val="0"/>
          <w:dstrike w:val="0"/>
          <w:color w:val="auto"/>
          <w:szCs w:val="21"/>
          <w:highlight w:val="none"/>
          <w:u w:val="none"/>
        </w:rPr>
        <w:t>的</w:t>
      </w:r>
      <w:r>
        <w:rPr>
          <w:rFonts w:hint="eastAsia"/>
          <w:strike w:val="0"/>
          <w:dstrike w:val="0"/>
          <w:color w:val="auto"/>
          <w:szCs w:val="21"/>
          <w:highlight w:val="none"/>
          <w:u w:val="none"/>
          <w:lang w:eastAsia="zh-CN"/>
        </w:rPr>
        <w:t>派工单</w:t>
      </w:r>
      <w:r>
        <w:rPr>
          <w:rFonts w:hint="eastAsia"/>
          <w:strike w:val="0"/>
          <w:dstrike w:val="0"/>
          <w:color w:val="auto"/>
          <w:szCs w:val="21"/>
          <w:highlight w:val="none"/>
          <w:u w:val="none"/>
          <w:lang w:val="en-US" w:eastAsia="zh-CN"/>
        </w:rPr>
        <w:t>或订单</w:t>
      </w:r>
      <w:r>
        <w:rPr>
          <w:rFonts w:hint="eastAsia"/>
          <w:color w:val="auto"/>
          <w:szCs w:val="21"/>
          <w:highlight w:val="none"/>
          <w:u w:val="none"/>
        </w:rPr>
        <w:t>执行，需方有权对供方进行经济考核，每发生一起考核</w:t>
      </w:r>
      <w:r>
        <w:rPr>
          <w:color w:val="auto"/>
          <w:szCs w:val="21"/>
          <w:highlight w:val="none"/>
          <w:u w:val="none"/>
        </w:rPr>
        <w:t>5</w:t>
      </w:r>
      <w:r>
        <w:rPr>
          <w:rFonts w:hint="eastAsia"/>
          <w:color w:val="auto"/>
          <w:szCs w:val="21"/>
          <w:highlight w:val="none"/>
          <w:u w:val="none"/>
        </w:rPr>
        <w:t>00-2000元，且供方需承担因此给需方造成的一切损失。情况严重的，考核2000-10000元，且需方有权单方减少供方的供货份额或终止本合同的执行</w:t>
      </w:r>
      <w:r>
        <w:rPr>
          <w:rFonts w:hint="eastAsia"/>
          <w:color w:val="auto"/>
          <w:szCs w:val="21"/>
          <w:highlight w:val="none"/>
          <w:u w:val="none"/>
          <w:lang w:eastAsia="zh-CN"/>
        </w:rPr>
        <w:t>。</w:t>
      </w:r>
      <w:r>
        <w:rPr>
          <w:rFonts w:hint="eastAsia"/>
          <w:color w:val="auto"/>
          <w:szCs w:val="21"/>
          <w:highlight w:val="none"/>
          <w:u w:val="none"/>
          <w:lang w:val="en-US" w:eastAsia="zh-CN"/>
        </w:rPr>
        <w:t>因供方未及时交货，造成产品交付、客户停线等重大生产事故，供方将被拉入黑名单，三至五年内不得参与类似项目的投标。</w:t>
      </w:r>
      <w:r>
        <w:rPr>
          <w:rFonts w:hint="eastAsia"/>
          <w:strike w:val="0"/>
          <w:dstrike w:val="0"/>
          <w:color w:val="auto"/>
          <w:szCs w:val="21"/>
          <w:highlight w:val="none"/>
          <w:u w:val="none"/>
          <w:lang w:eastAsia="zh-CN"/>
        </w:rPr>
        <w:t>相关考核、</w:t>
      </w:r>
      <w:r>
        <w:rPr>
          <w:rFonts w:hint="eastAsia"/>
          <w:strike w:val="0"/>
          <w:dstrike w:val="0"/>
          <w:color w:val="auto"/>
          <w:szCs w:val="21"/>
          <w:highlight w:val="none"/>
          <w:u w:val="none"/>
          <w:lang w:val="en-US" w:eastAsia="zh-CN"/>
        </w:rPr>
        <w:t>索赔</w:t>
      </w:r>
      <w:r>
        <w:rPr>
          <w:rFonts w:hint="eastAsia"/>
          <w:strike w:val="0"/>
          <w:dstrike w:val="0"/>
          <w:color w:val="auto"/>
          <w:szCs w:val="21"/>
          <w:highlight w:val="none"/>
          <w:u w:val="none"/>
          <w:lang w:eastAsia="zh-CN"/>
        </w:rPr>
        <w:t>需方有权</w:t>
      </w:r>
      <w:r>
        <w:rPr>
          <w:rFonts w:hint="eastAsia"/>
          <w:color w:val="auto"/>
          <w:szCs w:val="21"/>
          <w:highlight w:val="none"/>
          <w:u w:val="none"/>
        </w:rPr>
        <w:t>从货款中直接扣除。</w:t>
      </w:r>
    </w:p>
    <w:p w14:paraId="3E2EF625">
      <w:pPr>
        <w:spacing w:line="360" w:lineRule="auto"/>
        <w:ind w:firstLine="420"/>
        <w:rPr>
          <w:rFonts w:hint="eastAsia"/>
          <w:color w:val="auto"/>
          <w:szCs w:val="21"/>
          <w:highlight w:val="none"/>
          <w:u w:val="none"/>
        </w:rPr>
      </w:pPr>
      <w:r>
        <w:rPr>
          <w:rFonts w:hint="eastAsia"/>
          <w:color w:val="auto"/>
          <w:szCs w:val="21"/>
          <w:highlight w:val="none"/>
          <w:u w:val="none"/>
        </w:rPr>
        <w:t>5.3供方在未经过需方允许的情况下，不得</w:t>
      </w:r>
      <w:r>
        <w:rPr>
          <w:color w:val="auto"/>
          <w:szCs w:val="21"/>
          <w:highlight w:val="none"/>
          <w:u w:val="none"/>
        </w:rPr>
        <w:t>将</w:t>
      </w:r>
      <w:r>
        <w:rPr>
          <w:rFonts w:hint="eastAsia"/>
          <w:color w:val="auto"/>
          <w:szCs w:val="21"/>
          <w:highlight w:val="none"/>
          <w:u w:val="none"/>
        </w:rPr>
        <w:t>中标业务</w:t>
      </w:r>
      <w:r>
        <w:rPr>
          <w:color w:val="auto"/>
          <w:szCs w:val="21"/>
          <w:highlight w:val="none"/>
          <w:u w:val="none"/>
        </w:rPr>
        <w:t>转包</w:t>
      </w:r>
      <w:r>
        <w:rPr>
          <w:rFonts w:hint="eastAsia"/>
          <w:color w:val="auto"/>
          <w:szCs w:val="21"/>
          <w:highlight w:val="none"/>
          <w:u w:val="none"/>
        </w:rPr>
        <w:t>或</w:t>
      </w:r>
      <w:r>
        <w:rPr>
          <w:color w:val="auto"/>
          <w:szCs w:val="21"/>
          <w:highlight w:val="none"/>
          <w:u w:val="none"/>
        </w:rPr>
        <w:t>分包</w:t>
      </w:r>
      <w:r>
        <w:rPr>
          <w:rFonts w:hint="eastAsia"/>
          <w:color w:val="auto"/>
          <w:szCs w:val="21"/>
          <w:highlight w:val="none"/>
          <w:u w:val="none"/>
        </w:rPr>
        <w:t>给他人，否则，需方有权解除合同并要求需方支付2000-10000元的违约金。</w:t>
      </w:r>
    </w:p>
    <w:p w14:paraId="6EE16B9F">
      <w:pPr>
        <w:spacing w:line="360" w:lineRule="auto"/>
        <w:rPr>
          <w:rFonts w:hint="eastAsia" w:ascii="宋体" w:hAnsi="宋体"/>
          <w:b/>
          <w:color w:val="auto"/>
          <w:highlight w:val="none"/>
          <w:u w:val="none"/>
        </w:rPr>
      </w:pPr>
      <w:r>
        <w:rPr>
          <w:rFonts w:hint="eastAsia" w:ascii="宋体" w:hAnsi="宋体" w:cs="宋体"/>
          <w:b/>
          <w:color w:val="auto"/>
          <w:highlight w:val="none"/>
          <w:u w:val="none"/>
        </w:rPr>
        <w:t>六、其他约定</w:t>
      </w:r>
    </w:p>
    <w:p w14:paraId="4CAA608E">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6.1产品安全</w:t>
      </w:r>
    </w:p>
    <w:p w14:paraId="226177DE">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供方应遵守国家及地方所有相关的产品安全法规与法律要求，尤其是关于产品安全、标签与包装、危险物质使用的法律规定。</w:t>
      </w:r>
    </w:p>
    <w:p w14:paraId="07D66373">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6.2劳工使用</w:t>
      </w:r>
    </w:p>
    <w:p w14:paraId="5C3401DA">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作为基本要求和一般要求，供方应遵守我国现行的关于保护劳动者的法规，其中包括不得雇佣强迫劳动力和童工；确保工作场所健康、安全，进一步提高和改善工作环境；确保职工获得有法律效力并受法律保障的相应报酬。</w:t>
      </w:r>
    </w:p>
    <w:p w14:paraId="7A52B40A">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6.3环境保护</w:t>
      </w:r>
    </w:p>
    <w:p w14:paraId="7FD3A25E">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供方应具有责任感，遵守所有有关环境的法律法规，节约适用自然资源，将生产流程及产品造成的环境污染最小化，为减少能源消耗和二氧化碳排放作出贡献。供方应不断提高环保绩效，执行适合的环境管理体系（如符合ISO14001）。</w:t>
      </w:r>
    </w:p>
    <w:p w14:paraId="1CCE75AE">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6.4透明的业务关系</w:t>
      </w:r>
    </w:p>
    <w:p w14:paraId="1EFF8657">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供方不得通过贿赂影响竞争，不得有任何形式的贪污腐败和损害需方的行为；确保其员工、分包商和代表不会向客户、官员及第三方提供、给予贿赂、回扣、未经许可的赠品、款项或其他好处；不得直接或间接地通过赠送礼物、款待或发出邀请的方式，向需方的员工提供任何不适当的好处，以此不当地影响他们的行为。供方在与政府、当局及事业单位往来时，应始终遵守严格的法律规定；参加公开招投标时，应遵守相关法律法规及自由竞争与公平竞争的原则。</w:t>
      </w:r>
    </w:p>
    <w:p w14:paraId="78F17D75">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6.5公平市场行为</w:t>
      </w:r>
    </w:p>
    <w:p w14:paraId="38C1D78C">
      <w:pPr>
        <w:spacing w:line="360" w:lineRule="auto"/>
        <w:ind w:firstLine="420" w:firstLineChars="200"/>
        <w:rPr>
          <w:rFonts w:hint="eastAsia" w:hAnsi="宋体"/>
          <w:color w:val="auto"/>
          <w:szCs w:val="21"/>
          <w:highlight w:val="none"/>
          <w:u w:val="none"/>
        </w:rPr>
      </w:pPr>
      <w:r>
        <w:rPr>
          <w:rFonts w:hint="eastAsia" w:hAnsi="宋体"/>
          <w:color w:val="auto"/>
          <w:szCs w:val="21"/>
          <w:highlight w:val="none"/>
          <w:u w:val="none"/>
        </w:rPr>
        <w:t>供方应遵守相关反垄断法，不与竞争者、供方或客户签订反竞争协议；按照现行法律要求，如实地发布商业信息，汇报商业活动情况。如果供方在市场上占据支配地位，不得滥用其市场支配地位。供方应仅与他们认为是诚信的商业合作伙伴建立业务关系，此外，还应确保不违反任何有关反洗钱的法律规定。</w:t>
      </w:r>
    </w:p>
    <w:p w14:paraId="55D43270">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6.6知识产权和商业秘密保护 </w:t>
      </w:r>
    </w:p>
    <w:p w14:paraId="650B230D">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为确保双方之间的各项协议和/或合同的签署和履行既不侵犯他人的知识产权和商业秘密，同时保证双方的相关权利不被侵犯和泄漏，维护双方的共同利益，特约定如下: </w:t>
      </w:r>
    </w:p>
    <w:p w14:paraId="18E9983F">
      <w:p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6.6.1供方除应执行与需方和/或中国重汽及附属、关联单位（如中国重汽、中国重汽汽车研究总院、中国重汽济南动力有限公司等）签署的保密协议外，本协议约定的商业秘密包括但不限于：供方根据需方或需方关联公司提供的技术要求或图纸所知悉、掌握或改进的任何技术、信息（包括但不限于商标、专利、产品外观或产品生产制造的过程、方法、技术），以需方月度、季度及年度的配套产品的计划和实际需求信息、采购资料、采购价格、质量信息及需方对外不公开的财务资料等形式体现的全部知识产权（包括但不限于所有权、使用权、申请权、许可权等）。以上商业秘密均归需方或需方关联公司所有，供方非经需方书面同意不得对第三方透露，或因供方原因使第三方得知。</w:t>
      </w:r>
    </w:p>
    <w:p w14:paraId="0E06863C">
      <w:pPr>
        <w:numPr>
          <w:ilvl w:val="0"/>
          <w:numId w:val="0"/>
        </w:num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6.6.2上述商业秘密无论以何种形式或载于何种载体，无论是以口头、图像、电子、书面方式均不影响其商业秘密属性。对于属需方受法律保护的商业秘密，如供方侵权或泄漏给第三方，供方应承担赔偿责任。对于需方的商业秘密，供方承诺：</w:t>
      </w:r>
    </w:p>
    <w:p w14:paraId="1B1CEB05">
      <w:p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6.6.2.1未经需方或中国重汽及附属、关联单位书面许可，供方不得使用上述商业秘密；已经需方或需方关联公司许可的，供方仅为履行与需方的加工合同项下的义务使用；</w:t>
      </w:r>
    </w:p>
    <w:p w14:paraId="3BB056F6">
      <w:pPr>
        <w:spacing w:line="360" w:lineRule="auto"/>
        <w:ind w:left="420" w:leftChars="200" w:firstLine="0" w:firstLineChars="0"/>
        <w:jc w:val="both"/>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6.6.2.2供方同意按照需方或中国重汽及附属、关联单位的技术文件和相关要求生产产品并进行标识；6.6.2.3供方承诺不将涉及需方或中国重汽及附属、关联单位的商业秘密的产品销售给任何需方或需方关联公司（重汽（济南）后市场智慧服务有限公司等）之外的第三人；</w:t>
      </w:r>
    </w:p>
    <w:p w14:paraId="53934141">
      <w:pPr>
        <w:spacing w:line="360" w:lineRule="auto"/>
        <w:ind w:left="420" w:leftChars="200" w:firstLine="0" w:firstLineChars="0"/>
        <w:jc w:val="both"/>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6.6.2.4供方承诺不以任何形式和理由将需方或中国重汽及附属、关联单位的商业秘密许可第三方使用；</w:t>
      </w:r>
    </w:p>
    <w:p w14:paraId="69234C7C">
      <w:pPr>
        <w:spacing w:line="360" w:lineRule="auto"/>
        <w:ind w:left="420" w:leftChars="200" w:firstLine="0" w:firstLineChars="0"/>
        <w:jc w:val="both"/>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6.6.2.5供方承诺任何时间、任何形式、任何理由不得向第三人泄露本单位所知悉、掌握的需方或中国重汽及附属、关联单位的商业秘密，并要求其员工保密和保护，除非中国有关政府或司法机关的依法调查，即使在供方与需方的实际业务合作终止后；</w:t>
      </w:r>
    </w:p>
    <w:p w14:paraId="572AFC73">
      <w:p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6.6.2.6供方与需方的实际业务合作终止后，供方承诺立即停止使用本单位所知悉、掌握的需方或中国重汽及附属、关联单位的商业秘密；</w:t>
      </w:r>
    </w:p>
    <w:p w14:paraId="513A33A3">
      <w:p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6.6.2.7不复制或通过反向工程使用该秘密。</w:t>
      </w:r>
    </w:p>
    <w:p w14:paraId="7FB39C85">
      <w:p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6.6.2.8商业秘密的保密期限为：</w:t>
      </w:r>
    </w:p>
    <w:p w14:paraId="237343E6">
      <w:pPr>
        <w:numPr>
          <w:ilvl w:val="0"/>
          <w:numId w:val="13"/>
        </w:num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在本协议执行期间全程有效。</w:t>
      </w:r>
    </w:p>
    <w:p w14:paraId="0B2430E3">
      <w:pPr>
        <w:numPr>
          <w:ilvl w:val="0"/>
          <w:numId w:val="13"/>
        </w:num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双方在本协议执行期结束后，双方在5年内仍承担全部的保密义务。 </w:t>
      </w:r>
    </w:p>
    <w:p w14:paraId="6A333507">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6.6.2.9保护需方免受损害</w:t>
      </w:r>
    </w:p>
    <w:p w14:paraId="2A4CFD34">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a.供方保证过去、现在以及将来供应给需方的所有产品、材料，不侵害任何第三人的知识产权或其他权利，保证使需方和中国重汽及附属、关联单位免受因车辆装配使用或销售供方的产品而发生其他第三人因此向需方或中国重汽及附属、关联单位提出任何有关知识产权及其他的权利请求。对涉及第三人知识产权的配套产品，供方须向需方提供产品所涉的知识产权及其权属、效力、有权使用的证明文件等，并对该文件负责。如证明文件内容发生变动，供方应第一时间书面通知需方。</w:t>
      </w:r>
    </w:p>
    <w:p w14:paraId="0C3AB946">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b.如供方提供给需方产品、材料存在侵犯第三人知识产权或其他权利的问题，发生第三人向需方或中国重汽及附属、关联单位提出任何请求或赔偿，由供方承担由此产生的全部责任，并保证需方或中国重汽的利益不受任何损害。</w:t>
      </w:r>
    </w:p>
    <w:p w14:paraId="03B2A124">
      <w:p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c.如发生第三人向需方或中国重汽及附属、关联单位提出有关知识产权或其他权利方面的请求，供方有义务在接到需方通知的第一时间内向需方提供相关产品或材料的权利证明资料，并积极向第三人或有权机关进行解释、协商，采取必要的补救措施，妥善处理争议，确保需方或中国重汽及附属、关联单位利益不受任何的损失（包括声誉损害）。需方及中国重汽及附属、关联单位有权根据具体情况，本着减少不利影响及损失的原则，采取一切必要措施，包括但不限于暂停或终止使用争议产品，要求供方做出不侵权担保，对需方或中国重汽采取的处理措施，供方应予积极协助，且需方及中国重汽及附属、关联单位无须因此承担对供货合作的任何违约责任。</w:t>
      </w:r>
    </w:p>
    <w:p w14:paraId="0026E590">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d.如第三人因此向需方或中国重汽及附属、关联单位提出任何形式的索赔，包括但不限于直接和间接的经济损失、调查取证费、差旅费、诉讼费、律师费等，均应由供方承担，在确定赔偿金额后，供方应直接向第三人全额赔偿；如需方或中国重汽因此被有权机关决定承担罚款及赔偿等责任时，供方应按有权机关规定（包括支付方式和时间等）向有权机关缴纳或向第三人支付需方或中国重汽及附属、关联单位承担的全部金额。对于需方或中国重汽及附属、关联单位的经销商因此被第三人进行的任何索赔，供方也应按此向需方、中国重汽及附属、关联单位以及中国重汽的经销商进行立即支付。 </w:t>
      </w:r>
    </w:p>
    <w:p w14:paraId="435A5389">
      <w:p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e.需方或中国重汽及附属、关联单位因使用供方产品被第三人主张权利而导致需方或中国重汽集团损失包括但不限于：需方或中国重汽及附属、关联单位紧急更换其他产品而增加的费用，需方或中国重汽因此不能履行交货义务而被要求承担的违约责任，需方及中国重汽及附属、关联单位声誉损失等，供方应予赔偿。同时，需方或中国重汽及附属、关联单位为处理与第三人争议而支出之费用，包括但不限于调查取证费、审计鉴定费、差旅费、律师费等，由供方全额承担，需方或中国重汽及附属、关联单位有权在争议发生时即要求供方先行预付。</w:t>
      </w:r>
    </w:p>
    <w:p w14:paraId="11F5858E">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f.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中国重汽及其关联方所有。供方确认并同意： </w:t>
      </w:r>
    </w:p>
    <w:p w14:paraId="5BDA22AB">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1）未经需方书面许可，供方不得行使上述知识产权；已经需方许可的，供方仅为履行 </w:t>
      </w:r>
    </w:p>
    <w:p w14:paraId="761A5C1A">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本协议项下的义务使用； </w:t>
      </w:r>
    </w:p>
    <w:p w14:paraId="57600445">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2）严格按照需方技术文件和要求生产产品并进行标识，； </w:t>
      </w:r>
    </w:p>
    <w:p w14:paraId="18FA275C">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3）不将涉及需方知识产权的产品销售给任何需方及其关联公司之外的第三人； </w:t>
      </w:r>
    </w:p>
    <w:p w14:paraId="3738557C">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4)不以任何形式和理由将需方知识产权许可第三方使用； </w:t>
      </w:r>
    </w:p>
    <w:p w14:paraId="62B70302">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5)不得向第三人泄露上述知识产权，即使在本协议终止后； </w:t>
      </w:r>
    </w:p>
    <w:p w14:paraId="13094A76">
      <w:pPr>
        <w:spacing w:line="360" w:lineRule="auto"/>
        <w:ind w:firstLine="420" w:firstLineChars="200"/>
        <w:rPr>
          <w:rFonts w:hint="eastAsia" w:ascii="Times New Roman" w:hAnsi="宋体" w:eastAsia="宋体" w:cs="Times New Roman"/>
          <w:color w:val="auto"/>
          <w:szCs w:val="21"/>
          <w:highlight w:val="none"/>
          <w:u w:val="none"/>
        </w:rPr>
      </w:pPr>
      <w:r>
        <w:rPr>
          <w:rFonts w:hint="eastAsia" w:ascii="Times New Roman" w:hAnsi="宋体" w:eastAsia="宋体" w:cs="Times New Roman"/>
          <w:color w:val="auto"/>
          <w:szCs w:val="21"/>
          <w:highlight w:val="none"/>
          <w:u w:val="none"/>
          <w:lang w:val="en-US" w:eastAsia="zh-CN"/>
        </w:rPr>
        <w:t xml:space="preserve">6)本协议终止后，供方立即停止使用上述知识产权。 </w:t>
      </w:r>
    </w:p>
    <w:p w14:paraId="12212C9B">
      <w:pPr>
        <w:spacing w:line="360" w:lineRule="auto"/>
        <w:ind w:firstLine="420" w:firstLineChars="200"/>
        <w:rPr>
          <w:rFonts w:hint="eastAsia" w:ascii="Times New Roman" w:hAnsi="宋体" w:eastAsia="宋体" w:cs="Times New Roman"/>
          <w:color w:val="auto"/>
          <w:szCs w:val="21"/>
          <w:highlight w:val="none"/>
          <w:u w:val="none"/>
          <w:lang w:val="en-US" w:eastAsia="zh-CN"/>
        </w:rPr>
      </w:pPr>
      <w:r>
        <w:rPr>
          <w:rFonts w:hint="eastAsia" w:ascii="Times New Roman" w:hAnsi="宋体" w:eastAsia="宋体" w:cs="Times New Roman"/>
          <w:color w:val="auto"/>
          <w:szCs w:val="21"/>
          <w:highlight w:val="none"/>
          <w:u w:val="none"/>
          <w:lang w:val="en-US" w:eastAsia="zh-CN"/>
        </w:rPr>
        <w:t>g.供方如未按上述约定承担相关责任，供方同意需方有权自行决定从需方应付供方产品货款或其他款项中直接扣除上述款项，不足部分有权要求供方补偿。</w:t>
      </w:r>
    </w:p>
    <w:p w14:paraId="29BEA072">
      <w:pPr>
        <w:spacing w:line="360" w:lineRule="auto"/>
        <w:rPr>
          <w:rFonts w:eastAsia="黑体"/>
          <w:b/>
          <w:color w:val="auto"/>
          <w:szCs w:val="21"/>
          <w:highlight w:val="none"/>
          <w:u w:val="none"/>
        </w:rPr>
      </w:pPr>
      <w:r>
        <w:rPr>
          <w:rFonts w:hint="eastAsia" w:eastAsia="黑体"/>
          <w:b/>
          <w:color w:val="auto"/>
          <w:szCs w:val="21"/>
          <w:highlight w:val="none"/>
          <w:u w:val="none"/>
        </w:rPr>
        <w:t>七</w:t>
      </w:r>
      <w:r>
        <w:rPr>
          <w:rFonts w:eastAsia="黑体"/>
          <w:b/>
          <w:color w:val="auto"/>
          <w:szCs w:val="21"/>
          <w:highlight w:val="none"/>
          <w:u w:val="none"/>
        </w:rPr>
        <w:t>、争议解决</w:t>
      </w:r>
    </w:p>
    <w:p w14:paraId="19A0059B">
      <w:pPr>
        <w:spacing w:line="360" w:lineRule="auto"/>
        <w:ind w:firstLine="426"/>
        <w:rPr>
          <w:color w:val="auto"/>
          <w:szCs w:val="21"/>
          <w:highlight w:val="none"/>
          <w:u w:val="none"/>
        </w:rPr>
      </w:pPr>
      <w:r>
        <w:rPr>
          <w:rFonts w:hAnsi="宋体"/>
          <w:color w:val="auto"/>
          <w:szCs w:val="21"/>
          <w:highlight w:val="none"/>
          <w:u w:val="none"/>
        </w:rPr>
        <w:t>执行本合同如发生争议，由双方协商解决，协商不成，双方均可向</w:t>
      </w:r>
      <w:r>
        <w:rPr>
          <w:rFonts w:hAnsi="宋体"/>
          <w:b/>
          <w:color w:val="auto"/>
          <w:szCs w:val="21"/>
          <w:highlight w:val="none"/>
          <w:u w:val="none"/>
        </w:rPr>
        <w:t>需方所在地人民法院诉讼</w:t>
      </w:r>
      <w:r>
        <w:rPr>
          <w:rFonts w:hAnsi="宋体"/>
          <w:color w:val="auto"/>
          <w:szCs w:val="21"/>
          <w:highlight w:val="none"/>
          <w:u w:val="none"/>
        </w:rPr>
        <w:t>。</w:t>
      </w:r>
    </w:p>
    <w:p w14:paraId="0501347D">
      <w:pPr>
        <w:spacing w:line="360" w:lineRule="auto"/>
        <w:rPr>
          <w:rFonts w:eastAsia="黑体"/>
          <w:color w:val="auto"/>
          <w:szCs w:val="21"/>
          <w:highlight w:val="none"/>
          <w:u w:val="none"/>
        </w:rPr>
      </w:pPr>
      <w:r>
        <w:rPr>
          <w:rFonts w:hint="eastAsia" w:eastAsia="黑体"/>
          <w:b/>
          <w:color w:val="auto"/>
          <w:szCs w:val="21"/>
          <w:highlight w:val="none"/>
          <w:u w:val="none"/>
        </w:rPr>
        <w:t>八</w:t>
      </w:r>
      <w:r>
        <w:rPr>
          <w:rFonts w:eastAsia="黑体"/>
          <w:b/>
          <w:color w:val="auto"/>
          <w:szCs w:val="21"/>
          <w:highlight w:val="none"/>
          <w:u w:val="none"/>
        </w:rPr>
        <w:t>、合同生效及其它</w:t>
      </w:r>
      <w:r>
        <w:rPr>
          <w:rFonts w:eastAsia="黑体"/>
          <w:color w:val="auto"/>
          <w:szCs w:val="21"/>
          <w:highlight w:val="none"/>
          <w:u w:val="none"/>
        </w:rPr>
        <w:t xml:space="preserve">    </w:t>
      </w:r>
    </w:p>
    <w:p w14:paraId="01596D48">
      <w:pPr>
        <w:spacing w:line="360" w:lineRule="auto"/>
        <w:ind w:firstLine="420" w:firstLineChars="200"/>
        <w:rPr>
          <w:rFonts w:hAnsi="宋体"/>
          <w:color w:val="auto"/>
          <w:szCs w:val="21"/>
          <w:highlight w:val="none"/>
          <w:u w:val="none"/>
        </w:rPr>
      </w:pPr>
      <w:r>
        <w:rPr>
          <w:rFonts w:hint="eastAsia" w:hAnsi="宋体"/>
          <w:color w:val="auto"/>
          <w:szCs w:val="21"/>
          <w:highlight w:val="none"/>
          <w:u w:val="none"/>
        </w:rPr>
        <w:t>8.1双方签订的</w:t>
      </w:r>
      <w:r>
        <w:rPr>
          <w:rFonts w:hAnsi="宋体"/>
          <w:color w:val="auto"/>
          <w:szCs w:val="21"/>
          <w:highlight w:val="none"/>
          <w:u w:val="none"/>
        </w:rPr>
        <w:t>《</w:t>
      </w:r>
      <w:r>
        <w:rPr>
          <w:rFonts w:hint="eastAsia" w:hAnsi="宋体"/>
          <w:color w:val="auto"/>
          <w:szCs w:val="21"/>
          <w:highlight w:val="none"/>
          <w:u w:val="none"/>
        </w:rPr>
        <w:t>模具产品技术协议（锻造）</w:t>
      </w:r>
      <w:r>
        <w:rPr>
          <w:rFonts w:hAnsi="宋体"/>
          <w:color w:val="auto"/>
          <w:szCs w:val="21"/>
          <w:highlight w:val="none"/>
          <w:u w:val="none"/>
        </w:rPr>
        <w:t>》</w:t>
      </w:r>
      <w:r>
        <w:rPr>
          <w:rFonts w:hint="eastAsia" w:hAnsi="宋体"/>
          <w:color w:val="auto"/>
          <w:szCs w:val="21"/>
          <w:highlight w:val="none"/>
          <w:u w:val="none"/>
        </w:rPr>
        <w:t>、</w:t>
      </w:r>
      <w:r>
        <w:rPr>
          <w:rFonts w:hAnsi="宋体"/>
          <w:color w:val="auto"/>
          <w:szCs w:val="21"/>
          <w:highlight w:val="none"/>
          <w:u w:val="none"/>
        </w:rPr>
        <w:t>《</w:t>
      </w:r>
      <w:r>
        <w:rPr>
          <w:rFonts w:hint="eastAsia" w:hAnsi="宋体"/>
          <w:color w:val="auto"/>
          <w:szCs w:val="21"/>
          <w:highlight w:val="none"/>
          <w:u w:val="none"/>
        </w:rPr>
        <w:t>采购产品质量保证与服务协议（工装、夹具类2023）</w:t>
      </w:r>
      <w:r>
        <w:rPr>
          <w:rFonts w:hAnsi="宋体"/>
          <w:color w:val="auto"/>
          <w:szCs w:val="21"/>
          <w:highlight w:val="none"/>
          <w:u w:val="none"/>
        </w:rPr>
        <w:t>》均</w:t>
      </w:r>
      <w:r>
        <w:rPr>
          <w:rFonts w:hint="eastAsia" w:hAnsi="宋体"/>
          <w:color w:val="auto"/>
          <w:szCs w:val="21"/>
          <w:highlight w:val="none"/>
          <w:u w:val="none"/>
        </w:rPr>
        <w:t>作为本合同的附件</w:t>
      </w:r>
      <w:r>
        <w:rPr>
          <w:rFonts w:hAnsi="宋体"/>
          <w:color w:val="auto"/>
          <w:szCs w:val="21"/>
          <w:highlight w:val="none"/>
          <w:u w:val="none"/>
        </w:rPr>
        <w:t>为本合同不可分割部分</w:t>
      </w:r>
      <w:r>
        <w:rPr>
          <w:rFonts w:hint="eastAsia" w:hAnsi="宋体"/>
          <w:color w:val="auto"/>
          <w:szCs w:val="21"/>
          <w:highlight w:val="none"/>
          <w:u w:val="none"/>
        </w:rPr>
        <w:t>，具有同等的法律效力，遇到不一致时，按本合同规定执行。合同未尽事宜，须经双方共同协商，做出补充协议，补充协议与本合同具有同等效力。</w:t>
      </w:r>
    </w:p>
    <w:p w14:paraId="4CEA0947">
      <w:pPr>
        <w:spacing w:line="360" w:lineRule="auto"/>
        <w:ind w:firstLine="420" w:firstLineChars="200"/>
        <w:rPr>
          <w:color w:val="auto"/>
          <w:szCs w:val="21"/>
          <w:highlight w:val="none"/>
          <w:u w:val="none"/>
        </w:rPr>
      </w:pPr>
      <w:r>
        <w:rPr>
          <w:rFonts w:hint="eastAsia"/>
          <w:color w:val="auto"/>
          <w:szCs w:val="21"/>
          <w:highlight w:val="none"/>
          <w:u w:val="none"/>
        </w:rPr>
        <w:t>8.2</w:t>
      </w:r>
      <w:r>
        <w:rPr>
          <w:rFonts w:hAnsi="宋体"/>
          <w:color w:val="auto"/>
          <w:szCs w:val="21"/>
          <w:highlight w:val="none"/>
          <w:u w:val="none"/>
        </w:rPr>
        <w:t>合同经双方代表签署后生效</w:t>
      </w:r>
      <w:r>
        <w:rPr>
          <w:rFonts w:hint="eastAsia" w:hAnsi="宋体"/>
          <w:color w:val="auto"/>
          <w:szCs w:val="21"/>
          <w:highlight w:val="none"/>
          <w:u w:val="none"/>
        </w:rPr>
        <w:t>，合同生效后，供需双方签订的同类合同同时废止</w:t>
      </w:r>
      <w:r>
        <w:rPr>
          <w:rFonts w:hAnsi="宋体"/>
          <w:color w:val="auto"/>
          <w:szCs w:val="21"/>
          <w:highlight w:val="none"/>
          <w:u w:val="none"/>
        </w:rPr>
        <w:t>。</w:t>
      </w:r>
    </w:p>
    <w:p w14:paraId="29570CD2">
      <w:pPr>
        <w:spacing w:line="360" w:lineRule="auto"/>
        <w:ind w:firstLine="420" w:firstLineChars="200"/>
        <w:rPr>
          <w:rFonts w:hAnsi="宋体"/>
          <w:color w:val="auto"/>
          <w:szCs w:val="21"/>
          <w:highlight w:val="none"/>
          <w:u w:val="none"/>
        </w:rPr>
      </w:pPr>
      <w:r>
        <w:rPr>
          <w:rFonts w:hint="eastAsia"/>
          <w:color w:val="auto"/>
          <w:szCs w:val="21"/>
          <w:highlight w:val="none"/>
          <w:u w:val="none"/>
        </w:rPr>
        <w:t>8.3</w:t>
      </w:r>
      <w:r>
        <w:rPr>
          <w:rFonts w:hAnsi="宋体"/>
          <w:color w:val="auto"/>
          <w:szCs w:val="21"/>
          <w:highlight w:val="none"/>
          <w:u w:val="none"/>
        </w:rPr>
        <w:t>合同有效期限为：</w:t>
      </w:r>
      <w:r>
        <w:rPr>
          <w:rFonts w:hint="eastAsia" w:hAnsi="宋体"/>
          <w:color w:val="auto"/>
          <w:szCs w:val="21"/>
          <w:highlight w:val="none"/>
          <w:u w:val="none"/>
          <w:lang w:val="en-US" w:eastAsia="zh-CN"/>
        </w:rPr>
        <w:t>2025</w:t>
      </w:r>
      <w:r>
        <w:rPr>
          <w:rFonts w:hint="eastAsia" w:hAnsi="宋体"/>
          <w:color w:val="auto"/>
          <w:szCs w:val="21"/>
          <w:highlight w:val="none"/>
          <w:u w:val="none"/>
        </w:rPr>
        <w:t>年</w:t>
      </w:r>
      <w:r>
        <w:rPr>
          <w:rFonts w:hint="eastAsia" w:hAnsi="宋体"/>
          <w:color w:val="auto"/>
          <w:szCs w:val="21"/>
          <w:highlight w:val="none"/>
          <w:u w:val="none"/>
          <w:lang w:val="en-US" w:eastAsia="zh-CN"/>
        </w:rPr>
        <w:t>1</w:t>
      </w:r>
      <w:r>
        <w:rPr>
          <w:rFonts w:hint="eastAsia" w:hAnsi="宋体"/>
          <w:color w:val="auto"/>
          <w:szCs w:val="21"/>
          <w:highlight w:val="none"/>
          <w:u w:val="none"/>
        </w:rPr>
        <w:t>月</w:t>
      </w:r>
      <w:r>
        <w:rPr>
          <w:rFonts w:hint="eastAsia" w:hAnsi="宋体"/>
          <w:color w:val="auto"/>
          <w:szCs w:val="21"/>
          <w:highlight w:val="none"/>
          <w:u w:val="none"/>
          <w:lang w:val="en-US" w:eastAsia="zh-CN"/>
        </w:rPr>
        <w:t>1</w:t>
      </w:r>
      <w:r>
        <w:rPr>
          <w:rFonts w:hint="eastAsia" w:hAnsi="宋体"/>
          <w:color w:val="auto"/>
          <w:szCs w:val="21"/>
          <w:highlight w:val="none"/>
          <w:u w:val="none"/>
        </w:rPr>
        <w:t>日</w:t>
      </w:r>
      <w:r>
        <w:rPr>
          <w:rFonts w:hint="eastAsia" w:hAnsi="宋体"/>
          <w:color w:val="auto"/>
          <w:szCs w:val="21"/>
          <w:highlight w:val="none"/>
          <w:u w:val="none"/>
          <w:lang w:val="en-US" w:eastAsia="zh-CN"/>
        </w:rPr>
        <w:t>起</w:t>
      </w:r>
      <w:r>
        <w:rPr>
          <w:rFonts w:hint="eastAsia" w:hAnsi="宋体"/>
          <w:color w:val="auto"/>
          <w:szCs w:val="21"/>
          <w:highlight w:val="none"/>
          <w:u w:val="none"/>
        </w:rPr>
        <w:t>至</w:t>
      </w:r>
      <w:r>
        <w:rPr>
          <w:rFonts w:hint="eastAsia" w:hAnsi="宋体"/>
          <w:color w:val="auto"/>
          <w:szCs w:val="21"/>
          <w:highlight w:val="none"/>
          <w:u w:val="none"/>
          <w:lang w:val="en-US" w:eastAsia="zh-CN"/>
        </w:rPr>
        <w:t>2025</w:t>
      </w:r>
      <w:r>
        <w:rPr>
          <w:rFonts w:hint="eastAsia" w:hAnsi="宋体"/>
          <w:color w:val="auto"/>
          <w:szCs w:val="21"/>
          <w:highlight w:val="none"/>
          <w:u w:val="none"/>
        </w:rPr>
        <w:t>年</w:t>
      </w:r>
      <w:r>
        <w:rPr>
          <w:rFonts w:hint="eastAsia" w:hAnsi="宋体"/>
          <w:color w:val="auto"/>
          <w:szCs w:val="21"/>
          <w:highlight w:val="none"/>
          <w:u w:val="none"/>
          <w:lang w:val="en-US" w:eastAsia="zh-CN"/>
        </w:rPr>
        <w:t>12</w:t>
      </w:r>
      <w:r>
        <w:rPr>
          <w:rFonts w:hint="eastAsia" w:hAnsi="宋体"/>
          <w:color w:val="auto"/>
          <w:szCs w:val="21"/>
          <w:highlight w:val="none"/>
          <w:u w:val="none"/>
        </w:rPr>
        <w:t>月</w:t>
      </w:r>
      <w:r>
        <w:rPr>
          <w:rFonts w:hint="eastAsia" w:hAnsi="宋体"/>
          <w:color w:val="auto"/>
          <w:szCs w:val="21"/>
          <w:highlight w:val="none"/>
          <w:u w:val="none"/>
          <w:lang w:val="en-US" w:eastAsia="zh-CN"/>
        </w:rPr>
        <w:t>30</w:t>
      </w:r>
      <w:r>
        <w:rPr>
          <w:rFonts w:hint="eastAsia" w:hAnsi="宋体"/>
          <w:color w:val="auto"/>
          <w:szCs w:val="21"/>
          <w:highlight w:val="none"/>
          <w:u w:val="none"/>
        </w:rPr>
        <w:t>日</w:t>
      </w:r>
      <w:r>
        <w:rPr>
          <w:rFonts w:hint="eastAsia" w:hAnsi="宋体"/>
          <w:color w:val="auto"/>
          <w:szCs w:val="21"/>
          <w:highlight w:val="none"/>
          <w:u w:val="none"/>
          <w:lang w:val="en-US" w:eastAsia="zh-CN"/>
        </w:rPr>
        <w:t>止</w:t>
      </w:r>
      <w:r>
        <w:rPr>
          <w:rFonts w:hint="eastAsia" w:hAnsi="宋体"/>
          <w:color w:val="auto"/>
          <w:szCs w:val="21"/>
          <w:highlight w:val="none"/>
          <w:u w:val="none"/>
        </w:rPr>
        <w:t>。合同到期后，供需双方继续合作的，双方另行招标签订合同。双方另行签订合同之前，如需方持续</w:t>
      </w:r>
      <w:r>
        <w:rPr>
          <w:rFonts w:hint="eastAsia" w:hAnsi="宋体"/>
          <w:color w:val="auto"/>
          <w:szCs w:val="21"/>
          <w:highlight w:val="none"/>
          <w:u w:val="none"/>
          <w:lang w:val="en-US" w:eastAsia="zh-CN"/>
        </w:rPr>
        <w:t>派工</w:t>
      </w:r>
      <w:r>
        <w:rPr>
          <w:rFonts w:hint="eastAsia" w:hAnsi="宋体"/>
          <w:color w:val="auto"/>
          <w:szCs w:val="21"/>
          <w:highlight w:val="none"/>
          <w:u w:val="none"/>
        </w:rPr>
        <w:t>，供方持续供货的，则双方暂按本合同供货价格及双方权利义务继续延期执行，延期执行期间的供货价格仅为临时价格，不作为最终结算依据，待另行招标签订合同后，按照双方另行签订的合同价格执行，在最终结算时予以多退少补。延期执行期间不超过12个月。</w:t>
      </w:r>
    </w:p>
    <w:p w14:paraId="216E798B">
      <w:pPr>
        <w:spacing w:line="360" w:lineRule="auto"/>
        <w:ind w:firstLine="420" w:firstLineChars="200"/>
        <w:rPr>
          <w:color w:val="auto"/>
          <w:szCs w:val="21"/>
          <w:highlight w:val="none"/>
          <w:u w:val="none"/>
        </w:rPr>
      </w:pPr>
      <w:r>
        <w:rPr>
          <w:rFonts w:hint="eastAsia"/>
          <w:color w:val="auto"/>
          <w:szCs w:val="21"/>
          <w:highlight w:val="none"/>
          <w:u w:val="none"/>
        </w:rPr>
        <w:t>8.4</w:t>
      </w:r>
      <w:r>
        <w:rPr>
          <w:color w:val="auto"/>
          <w:szCs w:val="21"/>
          <w:highlight w:val="none"/>
          <w:u w:val="none"/>
        </w:rPr>
        <w:t>本合同书共肆份，需方叁份，供方壹份。</w:t>
      </w:r>
    </w:p>
    <w:p w14:paraId="0B9E2102">
      <w:pPr>
        <w:spacing w:line="360" w:lineRule="auto"/>
        <w:ind w:firstLine="420" w:firstLineChars="200"/>
        <w:rPr>
          <w:rFonts w:hint="eastAsia"/>
          <w:color w:val="auto"/>
          <w:szCs w:val="21"/>
          <w:highlight w:val="none"/>
          <w:u w:val="none"/>
        </w:rPr>
      </w:pPr>
      <w:r>
        <w:rPr>
          <w:rFonts w:hint="eastAsia"/>
          <w:color w:val="auto"/>
          <w:szCs w:val="21"/>
          <w:highlight w:val="none"/>
          <w:u w:val="none"/>
        </w:rPr>
        <w:t>8.</w:t>
      </w:r>
      <w:r>
        <w:rPr>
          <w:rFonts w:hint="eastAsia"/>
          <w:color w:val="auto"/>
          <w:szCs w:val="21"/>
          <w:highlight w:val="none"/>
          <w:u w:val="none"/>
          <w:lang w:val="en-US" w:eastAsia="zh-CN"/>
        </w:rPr>
        <w:t>5</w:t>
      </w:r>
      <w:r>
        <w:rPr>
          <w:rFonts w:hint="eastAsia"/>
          <w:color w:val="auto"/>
          <w:szCs w:val="21"/>
          <w:highlight w:val="none"/>
          <w:u w:val="none"/>
        </w:rPr>
        <w:t>特别提示：供需双方已对本合同的所有条款进行了充分协商。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67DFD61A">
      <w:pPr>
        <w:pStyle w:val="4"/>
        <w:ind w:firstLine="361" w:firstLineChars="200"/>
        <w:rPr>
          <w:rFonts w:hint="eastAsia" w:ascii="Times New Roman" w:hAnsi="Times New Roman" w:eastAsia="宋体" w:cs="Times New Roman"/>
          <w:b/>
          <w:bCs/>
          <w:color w:val="auto"/>
          <w:kern w:val="2"/>
          <w:sz w:val="18"/>
          <w:szCs w:val="18"/>
          <w:highlight w:val="none"/>
          <w:u w:val="none"/>
          <w:lang w:val="en-US" w:eastAsia="zh-CN" w:bidi="ar-SA"/>
        </w:rPr>
      </w:pPr>
      <w:r>
        <w:rPr>
          <w:rFonts w:hint="eastAsia" w:ascii="Times New Roman" w:hAnsi="Times New Roman" w:eastAsia="宋体" w:cs="Times New Roman"/>
          <w:b/>
          <w:bCs/>
          <w:color w:val="auto"/>
          <w:kern w:val="2"/>
          <w:sz w:val="18"/>
          <w:szCs w:val="18"/>
          <w:highlight w:val="none"/>
          <w:u w:val="none"/>
          <w:lang w:val="en-US" w:eastAsia="zh-CN" w:bidi="ar-SA"/>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D17E133">
      <w:pPr>
        <w:pStyle w:val="4"/>
        <w:ind w:firstLine="361" w:firstLineChars="200"/>
        <w:rPr>
          <w:rFonts w:hint="eastAsia" w:ascii="Times New Roman" w:hAnsi="Times New Roman" w:eastAsia="宋体" w:cs="Times New Roman"/>
          <w:b/>
          <w:bCs/>
          <w:color w:val="auto"/>
          <w:kern w:val="2"/>
          <w:sz w:val="18"/>
          <w:szCs w:val="18"/>
          <w:highlight w:val="none"/>
          <w:u w:val="none"/>
          <w:lang w:val="en-US" w:eastAsia="zh-CN" w:bidi="ar-SA"/>
        </w:rPr>
      </w:pPr>
      <w:r>
        <w:rPr>
          <w:rFonts w:hint="eastAsia" w:ascii="Times New Roman" w:hAnsi="Times New Roman" w:eastAsia="宋体" w:cs="Times New Roman"/>
          <w:b/>
          <w:bCs/>
          <w:color w:val="auto"/>
          <w:kern w:val="2"/>
          <w:sz w:val="18"/>
          <w:szCs w:val="18"/>
          <w:highlight w:val="none"/>
          <w:u w:val="none"/>
          <w:lang w:val="en-US" w:eastAsia="zh-CN" w:bidi="ar-SA"/>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EAAC6BE">
      <w:pPr>
        <w:spacing w:line="360" w:lineRule="auto"/>
        <w:ind w:firstLine="420" w:firstLineChars="200"/>
        <w:rPr>
          <w:color w:val="auto"/>
          <w:szCs w:val="21"/>
          <w:highlight w:val="none"/>
          <w:u w:val="none"/>
        </w:rPr>
      </w:pPr>
    </w:p>
    <w:tbl>
      <w:tblPr>
        <w:tblStyle w:val="36"/>
        <w:tblW w:w="97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860"/>
        <w:gridCol w:w="4860"/>
      </w:tblGrid>
      <w:tr w14:paraId="358963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4860" w:type="dxa"/>
            <w:tcBorders>
              <w:top w:val="single" w:color="auto" w:sz="4" w:space="0"/>
              <w:left w:val="single" w:color="auto" w:sz="4" w:space="0"/>
              <w:bottom w:val="single" w:color="auto" w:sz="6" w:space="0"/>
              <w:right w:val="single" w:color="auto" w:sz="6" w:space="0"/>
            </w:tcBorders>
            <w:noWrap w:val="0"/>
            <w:vAlign w:val="center"/>
          </w:tcPr>
          <w:p w14:paraId="030C6413">
            <w:pPr>
              <w:pStyle w:val="6"/>
              <w:spacing w:line="360" w:lineRule="auto"/>
              <w:jc w:val="center"/>
              <w:rPr>
                <w:rFonts w:eastAsia="Times New Roman"/>
                <w:color w:val="auto"/>
                <w:sz w:val="21"/>
                <w:szCs w:val="21"/>
                <w:highlight w:val="none"/>
                <w:u w:val="none"/>
              </w:rPr>
            </w:pPr>
            <w:r>
              <w:rPr>
                <w:rFonts w:hint="eastAsia"/>
                <w:color w:val="auto"/>
                <w:sz w:val="21"/>
                <w:szCs w:val="21"/>
                <w:highlight w:val="none"/>
                <w:u w:val="none"/>
              </w:rPr>
              <w:t>需</w:t>
            </w:r>
            <w:r>
              <w:rPr>
                <w:rFonts w:eastAsia="Times New Roman"/>
                <w:color w:val="auto"/>
                <w:sz w:val="21"/>
                <w:szCs w:val="21"/>
                <w:highlight w:val="none"/>
                <w:u w:val="none"/>
              </w:rPr>
              <w:t xml:space="preserve">  </w:t>
            </w:r>
            <w:r>
              <w:rPr>
                <w:color w:val="auto"/>
                <w:sz w:val="21"/>
                <w:szCs w:val="21"/>
                <w:highlight w:val="none"/>
                <w:u w:val="none"/>
              </w:rPr>
              <w:t>方</w:t>
            </w:r>
          </w:p>
        </w:tc>
        <w:tc>
          <w:tcPr>
            <w:tcW w:w="4860" w:type="dxa"/>
            <w:tcBorders>
              <w:top w:val="single" w:color="auto" w:sz="4" w:space="0"/>
              <w:left w:val="single" w:color="auto" w:sz="6" w:space="0"/>
              <w:bottom w:val="single" w:color="auto" w:sz="6" w:space="0"/>
              <w:right w:val="single" w:color="auto" w:sz="4" w:space="0"/>
            </w:tcBorders>
            <w:noWrap w:val="0"/>
            <w:vAlign w:val="center"/>
          </w:tcPr>
          <w:p w14:paraId="56D34775">
            <w:pPr>
              <w:pStyle w:val="6"/>
              <w:spacing w:line="360" w:lineRule="auto"/>
              <w:jc w:val="center"/>
              <w:rPr>
                <w:rFonts w:eastAsia="Times New Roman"/>
                <w:color w:val="auto"/>
                <w:sz w:val="21"/>
                <w:szCs w:val="21"/>
                <w:highlight w:val="none"/>
                <w:u w:val="none"/>
              </w:rPr>
            </w:pPr>
            <w:r>
              <w:rPr>
                <w:rFonts w:hint="eastAsia"/>
                <w:color w:val="auto"/>
                <w:sz w:val="21"/>
                <w:szCs w:val="21"/>
                <w:highlight w:val="none"/>
                <w:u w:val="none"/>
              </w:rPr>
              <w:t>供</w:t>
            </w:r>
            <w:r>
              <w:rPr>
                <w:rFonts w:eastAsia="Times New Roman"/>
                <w:color w:val="auto"/>
                <w:sz w:val="21"/>
                <w:szCs w:val="21"/>
                <w:highlight w:val="none"/>
                <w:u w:val="none"/>
              </w:rPr>
              <w:t xml:space="preserve">  </w:t>
            </w:r>
            <w:r>
              <w:rPr>
                <w:color w:val="auto"/>
                <w:sz w:val="21"/>
                <w:szCs w:val="21"/>
                <w:highlight w:val="none"/>
                <w:u w:val="none"/>
              </w:rPr>
              <w:t>方</w:t>
            </w:r>
          </w:p>
        </w:tc>
      </w:tr>
      <w:tr w14:paraId="09404C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95" w:hRule="atLeast"/>
          <w:jc w:val="center"/>
        </w:trPr>
        <w:tc>
          <w:tcPr>
            <w:tcW w:w="4860" w:type="dxa"/>
            <w:tcBorders>
              <w:top w:val="single" w:color="auto" w:sz="6" w:space="0"/>
              <w:left w:val="single" w:color="auto" w:sz="4" w:space="0"/>
              <w:bottom w:val="single" w:color="auto" w:sz="6" w:space="0"/>
              <w:right w:val="single" w:color="auto" w:sz="6" w:space="0"/>
            </w:tcBorders>
            <w:noWrap w:val="0"/>
            <w:vAlign w:val="top"/>
          </w:tcPr>
          <w:p w14:paraId="29635C98">
            <w:pPr>
              <w:spacing w:line="360" w:lineRule="auto"/>
              <w:ind w:left="1680" w:hanging="1680" w:hangingChars="800"/>
              <w:rPr>
                <w:color w:val="auto"/>
                <w:szCs w:val="21"/>
                <w:highlight w:val="none"/>
                <w:u w:val="none"/>
              </w:rPr>
            </w:pPr>
            <w:r>
              <w:rPr>
                <w:rFonts w:hint="eastAsia"/>
                <w:color w:val="auto"/>
                <w:szCs w:val="21"/>
                <w:highlight w:val="none"/>
                <w:u w:val="none"/>
              </w:rPr>
              <w:t xml:space="preserve">需 </w:t>
            </w:r>
            <w:r>
              <w:rPr>
                <w:color w:val="auto"/>
                <w:szCs w:val="21"/>
                <w:highlight w:val="none"/>
                <w:u w:val="none"/>
              </w:rPr>
              <w:t xml:space="preserve">方（章）： </w:t>
            </w:r>
          </w:p>
          <w:p w14:paraId="39BDDE25">
            <w:pPr>
              <w:spacing w:line="360" w:lineRule="auto"/>
              <w:rPr>
                <w:rFonts w:hint="eastAsia" w:eastAsia="宋体"/>
                <w:color w:val="auto"/>
                <w:szCs w:val="21"/>
                <w:highlight w:val="none"/>
                <w:u w:val="none"/>
                <w:lang w:eastAsia="zh-CN"/>
              </w:rPr>
            </w:pPr>
            <w:r>
              <w:rPr>
                <w:rFonts w:hint="eastAsia"/>
                <w:color w:val="auto"/>
                <w:szCs w:val="21"/>
                <w:highlight w:val="none"/>
                <w:u w:val="none"/>
                <w:lang w:eastAsia="zh-CN"/>
              </w:rPr>
              <w:t>中国重汽集团济南智能装备公司</w:t>
            </w:r>
          </w:p>
        </w:tc>
        <w:tc>
          <w:tcPr>
            <w:tcW w:w="4860" w:type="dxa"/>
            <w:tcBorders>
              <w:top w:val="single" w:color="auto" w:sz="6" w:space="0"/>
              <w:left w:val="single" w:color="auto" w:sz="6" w:space="0"/>
              <w:bottom w:val="single" w:color="auto" w:sz="6" w:space="0"/>
              <w:right w:val="single" w:color="auto" w:sz="4" w:space="0"/>
            </w:tcBorders>
            <w:noWrap w:val="0"/>
            <w:vAlign w:val="top"/>
          </w:tcPr>
          <w:p w14:paraId="05093158">
            <w:pPr>
              <w:spacing w:line="360" w:lineRule="auto"/>
              <w:rPr>
                <w:color w:val="auto"/>
                <w:szCs w:val="21"/>
                <w:highlight w:val="none"/>
                <w:u w:val="none"/>
              </w:rPr>
            </w:pPr>
            <w:r>
              <w:rPr>
                <w:rFonts w:hint="eastAsia"/>
                <w:color w:val="auto"/>
                <w:szCs w:val="21"/>
                <w:highlight w:val="none"/>
                <w:u w:val="none"/>
              </w:rPr>
              <w:t>供</w:t>
            </w:r>
            <w:r>
              <w:rPr>
                <w:color w:val="auto"/>
                <w:szCs w:val="21"/>
                <w:highlight w:val="none"/>
                <w:u w:val="none"/>
              </w:rPr>
              <w:t xml:space="preserve"> 方（章）：</w:t>
            </w:r>
          </w:p>
          <w:p w14:paraId="493A4515">
            <w:pPr>
              <w:spacing w:line="360" w:lineRule="auto"/>
              <w:ind w:firstLine="210" w:firstLineChars="100"/>
              <w:rPr>
                <w:color w:val="auto"/>
                <w:szCs w:val="21"/>
                <w:highlight w:val="none"/>
                <w:u w:val="none"/>
              </w:rPr>
            </w:pPr>
            <w:r>
              <w:rPr>
                <w:color w:val="auto"/>
                <w:szCs w:val="21"/>
                <w:highlight w:val="none"/>
                <w:u w:val="none"/>
              </w:rPr>
              <w:t xml:space="preserve"> </w:t>
            </w:r>
          </w:p>
        </w:tc>
      </w:tr>
      <w:tr w14:paraId="544C26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4860" w:type="dxa"/>
            <w:tcBorders>
              <w:top w:val="single" w:color="auto" w:sz="6" w:space="0"/>
              <w:left w:val="single" w:color="auto" w:sz="4" w:space="0"/>
              <w:bottom w:val="single" w:color="auto" w:sz="6" w:space="0"/>
              <w:right w:val="single" w:color="auto" w:sz="6" w:space="0"/>
            </w:tcBorders>
            <w:noWrap w:val="0"/>
            <w:vAlign w:val="top"/>
          </w:tcPr>
          <w:p w14:paraId="2EF9B6AE">
            <w:pPr>
              <w:spacing w:line="360" w:lineRule="auto"/>
              <w:rPr>
                <w:color w:val="auto"/>
                <w:szCs w:val="21"/>
                <w:highlight w:val="none"/>
                <w:u w:val="none"/>
              </w:rPr>
            </w:pPr>
            <w:r>
              <w:rPr>
                <w:rFonts w:hAnsi="宋体"/>
                <w:color w:val="auto"/>
                <w:szCs w:val="21"/>
                <w:highlight w:val="none"/>
                <w:u w:val="none"/>
              </w:rPr>
              <w:t>住</w:t>
            </w:r>
            <w:r>
              <w:rPr>
                <w:color w:val="auto"/>
                <w:szCs w:val="21"/>
                <w:highlight w:val="none"/>
                <w:u w:val="none"/>
              </w:rPr>
              <w:t xml:space="preserve">   </w:t>
            </w:r>
            <w:r>
              <w:rPr>
                <w:rFonts w:hAnsi="宋体"/>
                <w:color w:val="auto"/>
                <w:szCs w:val="21"/>
                <w:highlight w:val="none"/>
                <w:u w:val="none"/>
              </w:rPr>
              <w:t>所：济南市章丘区世纪大道</w:t>
            </w:r>
            <w:r>
              <w:rPr>
                <w:color w:val="auto"/>
                <w:szCs w:val="21"/>
                <w:highlight w:val="none"/>
                <w:u w:val="none"/>
              </w:rPr>
              <w:t>6677</w:t>
            </w:r>
            <w:r>
              <w:rPr>
                <w:rFonts w:hAnsi="宋体"/>
                <w:color w:val="auto"/>
                <w:szCs w:val="21"/>
                <w:highlight w:val="none"/>
                <w:u w:val="none"/>
              </w:rPr>
              <w:t>号</w:t>
            </w:r>
          </w:p>
        </w:tc>
        <w:tc>
          <w:tcPr>
            <w:tcW w:w="4860" w:type="dxa"/>
            <w:tcBorders>
              <w:top w:val="single" w:color="auto" w:sz="6" w:space="0"/>
              <w:left w:val="single" w:color="auto" w:sz="6" w:space="0"/>
              <w:bottom w:val="single" w:color="auto" w:sz="6" w:space="0"/>
              <w:right w:val="single" w:color="auto" w:sz="4" w:space="0"/>
            </w:tcBorders>
            <w:noWrap w:val="0"/>
            <w:vAlign w:val="top"/>
          </w:tcPr>
          <w:p w14:paraId="0CFA2CB6">
            <w:pPr>
              <w:spacing w:line="360" w:lineRule="auto"/>
              <w:rPr>
                <w:color w:val="auto"/>
                <w:szCs w:val="21"/>
                <w:highlight w:val="none"/>
                <w:u w:val="none"/>
              </w:rPr>
            </w:pPr>
            <w:r>
              <w:rPr>
                <w:rFonts w:hAnsi="宋体"/>
                <w:color w:val="auto"/>
                <w:szCs w:val="21"/>
                <w:highlight w:val="none"/>
                <w:u w:val="none"/>
              </w:rPr>
              <w:t>住</w:t>
            </w:r>
            <w:r>
              <w:rPr>
                <w:color w:val="auto"/>
                <w:szCs w:val="21"/>
                <w:highlight w:val="none"/>
                <w:u w:val="none"/>
              </w:rPr>
              <w:t xml:space="preserve">   </w:t>
            </w:r>
            <w:r>
              <w:rPr>
                <w:rFonts w:hAnsi="宋体"/>
                <w:color w:val="auto"/>
                <w:szCs w:val="21"/>
                <w:highlight w:val="none"/>
                <w:u w:val="none"/>
              </w:rPr>
              <w:t>所：</w:t>
            </w:r>
          </w:p>
        </w:tc>
      </w:tr>
      <w:tr w14:paraId="24A2E5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860" w:type="dxa"/>
            <w:tcBorders>
              <w:top w:val="single" w:color="auto" w:sz="6" w:space="0"/>
              <w:left w:val="single" w:color="auto" w:sz="4" w:space="0"/>
              <w:bottom w:val="single" w:color="auto" w:sz="6" w:space="0"/>
              <w:right w:val="single" w:color="auto" w:sz="6" w:space="0"/>
            </w:tcBorders>
            <w:noWrap w:val="0"/>
            <w:vAlign w:val="top"/>
          </w:tcPr>
          <w:p w14:paraId="41C2A1B3">
            <w:pPr>
              <w:spacing w:line="360" w:lineRule="auto"/>
              <w:rPr>
                <w:color w:val="auto"/>
                <w:szCs w:val="21"/>
                <w:highlight w:val="none"/>
                <w:u w:val="none"/>
              </w:rPr>
            </w:pPr>
            <w:r>
              <w:rPr>
                <w:rFonts w:hAnsi="宋体"/>
                <w:color w:val="auto"/>
                <w:szCs w:val="21"/>
                <w:highlight w:val="none"/>
                <w:u w:val="none"/>
              </w:rPr>
              <w:t>需方代表：</w:t>
            </w:r>
            <w:r>
              <w:rPr>
                <w:color w:val="auto"/>
                <w:szCs w:val="21"/>
                <w:highlight w:val="none"/>
                <w:u w:val="none"/>
              </w:rPr>
              <w:t xml:space="preserve">     </w:t>
            </w:r>
          </w:p>
        </w:tc>
        <w:tc>
          <w:tcPr>
            <w:tcW w:w="4860" w:type="dxa"/>
            <w:tcBorders>
              <w:top w:val="single" w:color="auto" w:sz="6" w:space="0"/>
              <w:left w:val="single" w:color="auto" w:sz="6" w:space="0"/>
              <w:bottom w:val="single" w:color="auto" w:sz="6" w:space="0"/>
              <w:right w:val="single" w:color="auto" w:sz="4" w:space="0"/>
            </w:tcBorders>
            <w:noWrap w:val="0"/>
            <w:vAlign w:val="top"/>
          </w:tcPr>
          <w:p w14:paraId="45ACF3E3">
            <w:pPr>
              <w:spacing w:line="360" w:lineRule="auto"/>
              <w:rPr>
                <w:color w:val="auto"/>
                <w:szCs w:val="21"/>
                <w:highlight w:val="none"/>
                <w:u w:val="none"/>
              </w:rPr>
            </w:pPr>
            <w:r>
              <w:rPr>
                <w:rFonts w:hAnsi="宋体"/>
                <w:color w:val="auto"/>
                <w:szCs w:val="21"/>
                <w:highlight w:val="none"/>
                <w:u w:val="none"/>
              </w:rPr>
              <w:t>供方代表：</w:t>
            </w:r>
            <w:r>
              <w:rPr>
                <w:color w:val="auto"/>
                <w:szCs w:val="21"/>
                <w:highlight w:val="none"/>
                <w:u w:val="none"/>
              </w:rPr>
              <w:t xml:space="preserve">     </w:t>
            </w:r>
          </w:p>
        </w:tc>
      </w:tr>
    </w:tbl>
    <w:p w14:paraId="68090DD1">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36"/>
          <w:szCs w:val="36"/>
          <w:highlight w:val="none"/>
        </w:rPr>
      </w:pPr>
      <w:r>
        <w:rPr>
          <w:rFonts w:eastAsia="华文中宋"/>
          <w:b/>
          <w:color w:val="auto"/>
          <w:sz w:val="36"/>
          <w:szCs w:val="36"/>
          <w:highlight w:val="none"/>
          <w:u w:val="none"/>
        </w:rPr>
        <w:br w:type="page"/>
      </w:r>
      <w:r>
        <w:rPr>
          <w:rFonts w:hint="eastAsia" w:asciiTheme="majorEastAsia" w:hAnsiTheme="majorEastAsia" w:eastAsiaTheme="majorEastAsia" w:cstheme="majorEastAsia"/>
          <w:b/>
          <w:sz w:val="36"/>
          <w:szCs w:val="36"/>
          <w:highlight w:val="none"/>
        </w:rPr>
        <w:t>技  术  协  议</w:t>
      </w:r>
    </w:p>
    <w:p w14:paraId="42D08F8B">
      <w:pPr>
        <w:keepNext w:val="0"/>
        <w:keepLines w:val="0"/>
        <w:pageBreakBefore w:val="0"/>
        <w:tabs>
          <w:tab w:val="left" w:pos="2865"/>
        </w:tabs>
        <w:kinsoku/>
        <w:wordWrap/>
        <w:overflowPunct/>
        <w:topLinePunct w:val="0"/>
        <w:bidi w:val="0"/>
        <w:snapToGrid/>
        <w:spacing w:line="440" w:lineRule="exact"/>
        <w:jc w:val="center"/>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 xml:space="preserve">总  要  求   </w:t>
      </w:r>
    </w:p>
    <w:p w14:paraId="26D2BF7B">
      <w:pPr>
        <w:keepNext w:val="0"/>
        <w:keepLines w:val="0"/>
        <w:pageBreakBefore w:val="0"/>
        <w:tabs>
          <w:tab w:val="left" w:pos="2865"/>
        </w:tabs>
        <w:kinsoku/>
        <w:wordWrap/>
        <w:overflowPunct/>
        <w:topLinePunct w:val="0"/>
        <w:bidi w:val="0"/>
        <w:snapToGrid/>
        <w:spacing w:line="440" w:lineRule="exact"/>
        <w:textAlignment w:val="baseline"/>
        <w:rPr>
          <w:rFonts w:ascii="宋体" w:hAnsi="宋体"/>
          <w:sz w:val="20"/>
          <w:highlight w:val="none"/>
        </w:rPr>
      </w:pPr>
      <w:r>
        <w:rPr>
          <w:rFonts w:hint="eastAsia" w:ascii="宋体" w:hAnsi="宋体"/>
          <w:sz w:val="20"/>
          <w:highlight w:val="none"/>
        </w:rPr>
        <w:t xml:space="preserve">甲方：                      </w:t>
      </w:r>
      <w:r>
        <w:rPr>
          <w:rFonts w:hint="eastAsia" w:ascii="宋体" w:hAnsi="宋体"/>
          <w:sz w:val="20"/>
          <w:highlight w:val="none"/>
          <w:lang w:val="en-US" w:eastAsia="zh-CN"/>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ascii="宋体" w:hAnsi="宋体"/>
          <w:sz w:val="20"/>
          <w:highlight w:val="none"/>
        </w:rPr>
        <w:t>（以下简称甲方）</w:t>
      </w:r>
    </w:p>
    <w:p w14:paraId="6D800984">
      <w:pPr>
        <w:keepNext w:val="0"/>
        <w:keepLines w:val="0"/>
        <w:pageBreakBefore w:val="0"/>
        <w:kinsoku/>
        <w:wordWrap/>
        <w:overflowPunct/>
        <w:topLinePunct w:val="0"/>
        <w:bidi w:val="0"/>
        <w:snapToGrid/>
        <w:spacing w:line="440" w:lineRule="exact"/>
        <w:textAlignment w:val="baseline"/>
        <w:rPr>
          <w:rFonts w:ascii="宋体" w:hAnsi="宋体"/>
          <w:sz w:val="20"/>
          <w:highlight w:val="none"/>
        </w:rPr>
      </w:pPr>
      <w:r>
        <w:rPr>
          <w:rFonts w:ascii="宋体" w:hAnsi="宋体"/>
          <w:sz w:val="20"/>
          <w:highlight w:val="none"/>
        </w:rPr>
        <w:t>乙方</w:t>
      </w:r>
      <w:r>
        <w:rPr>
          <w:rFonts w:hint="eastAsia" w:ascii="宋体" w:hAnsi="宋体"/>
          <w:sz w:val="20"/>
          <w:highlight w:val="none"/>
          <w:lang w:eastAsia="zh-CN"/>
        </w:rPr>
        <w:t>：</w:t>
      </w:r>
      <w:r>
        <w:rPr>
          <w:rFonts w:hint="eastAsia" w:ascii="宋体" w:hAnsi="宋体"/>
          <w:sz w:val="20"/>
          <w:highlight w:val="none"/>
          <w:lang w:val="en-US" w:eastAsia="zh-CN"/>
        </w:rPr>
        <w:t xml:space="preserve">         </w:t>
      </w:r>
      <w:r>
        <w:rPr>
          <w:rFonts w:hint="eastAsia" w:ascii="宋体" w:hAnsi="宋体"/>
          <w:highlight w:val="none"/>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ascii="宋体" w:hAnsi="宋体"/>
          <w:sz w:val="20"/>
          <w:highlight w:val="none"/>
        </w:rPr>
        <w:t>（以下简称乙方）</w:t>
      </w:r>
    </w:p>
    <w:p w14:paraId="5A54A222">
      <w:pPr>
        <w:keepNext w:val="0"/>
        <w:keepLines w:val="0"/>
        <w:pageBreakBefore w:val="0"/>
        <w:tabs>
          <w:tab w:val="left" w:pos="2865"/>
        </w:tabs>
        <w:kinsoku/>
        <w:wordWrap/>
        <w:overflowPunct/>
        <w:topLinePunct w:val="0"/>
        <w:bidi w:val="0"/>
        <w:snapToGrid/>
        <w:spacing w:line="440" w:lineRule="exact"/>
        <w:ind w:firstLine="400" w:firstLineChars="200"/>
        <w:textAlignment w:val="baseline"/>
        <w:rPr>
          <w:rFonts w:ascii="宋体" w:hAnsi="宋体"/>
          <w:sz w:val="20"/>
          <w:highlight w:val="none"/>
        </w:rPr>
      </w:pPr>
      <w:r>
        <w:rPr>
          <w:rFonts w:ascii="宋体" w:hAnsi="宋体"/>
          <w:sz w:val="20"/>
          <w:highlight w:val="none"/>
        </w:rPr>
        <w:t>乙方作为合格</w:t>
      </w:r>
      <w:r>
        <w:rPr>
          <w:rFonts w:hint="eastAsia" w:ascii="宋体" w:hAnsi="宋体"/>
          <w:sz w:val="20"/>
          <w:highlight w:val="none"/>
          <w:lang w:eastAsia="zh-CN"/>
        </w:rPr>
        <w:t>乙方</w:t>
      </w:r>
      <w:r>
        <w:rPr>
          <w:rFonts w:ascii="宋体" w:hAnsi="宋体"/>
          <w:sz w:val="20"/>
          <w:highlight w:val="none"/>
        </w:rPr>
        <w:t>，其工艺保证能力、生产能力、质量保证能力须经甲方技术、生产、质量、采购等部门考察评审，并予以认可。</w:t>
      </w:r>
    </w:p>
    <w:p w14:paraId="35374423">
      <w:pPr>
        <w:keepNext w:val="0"/>
        <w:keepLines w:val="0"/>
        <w:pageBreakBefore w:val="0"/>
        <w:tabs>
          <w:tab w:val="left" w:pos="2865"/>
        </w:tabs>
        <w:kinsoku/>
        <w:wordWrap/>
        <w:overflowPunct/>
        <w:topLinePunct w:val="0"/>
        <w:bidi w:val="0"/>
        <w:snapToGrid/>
        <w:spacing w:line="440" w:lineRule="exact"/>
        <w:ind w:firstLine="400" w:firstLineChars="200"/>
        <w:textAlignment w:val="baseline"/>
        <w:rPr>
          <w:rFonts w:hint="eastAsia" w:ascii="宋体" w:hAnsi="宋体"/>
          <w:sz w:val="20"/>
          <w:highlight w:val="none"/>
        </w:rPr>
      </w:pPr>
      <w:r>
        <w:rPr>
          <w:rFonts w:ascii="宋体" w:hAnsi="宋体"/>
          <w:sz w:val="20"/>
          <w:highlight w:val="none"/>
        </w:rPr>
        <w:t>为了保证模具外委制作的质量，就乙方向甲方供货的技术要求、产品技术认证、产品质量等事宜经双方充分协商达成以下协议，作为乙方今后供货时，双方共同执行的依据。</w:t>
      </w:r>
    </w:p>
    <w:p w14:paraId="7A617CE2">
      <w:pPr>
        <w:keepNext w:val="0"/>
        <w:keepLines w:val="0"/>
        <w:pageBreakBefore w:val="0"/>
        <w:tabs>
          <w:tab w:val="left" w:pos="2865"/>
        </w:tabs>
        <w:kinsoku/>
        <w:wordWrap/>
        <w:overflowPunct/>
        <w:topLinePunct w:val="0"/>
        <w:bidi w:val="0"/>
        <w:snapToGrid/>
        <w:spacing w:line="440" w:lineRule="exact"/>
        <w:jc w:val="center"/>
        <w:rPr>
          <w:rFonts w:hint="eastAsia" w:ascii="宋体" w:hAnsi="宋体"/>
          <w:b/>
          <w:color w:val="auto"/>
          <w:sz w:val="20"/>
          <w:highlight w:val="none"/>
          <w:lang w:eastAsia="zh-CN"/>
        </w:rPr>
      </w:pPr>
      <w:r>
        <w:rPr>
          <w:rFonts w:hint="eastAsia" w:ascii="宋体" w:hAnsi="宋体"/>
          <w:b/>
          <w:color w:val="auto"/>
          <w:sz w:val="20"/>
          <w:highlight w:val="none"/>
        </w:rPr>
        <w:t xml:space="preserve">第一条  </w:t>
      </w:r>
      <w:r>
        <w:rPr>
          <w:rFonts w:hint="eastAsia" w:ascii="宋体" w:hAnsi="宋体"/>
          <w:b/>
          <w:color w:val="auto"/>
          <w:sz w:val="20"/>
          <w:highlight w:val="none"/>
          <w:lang w:val="en-US" w:eastAsia="zh-CN"/>
        </w:rPr>
        <w:t>基本要求</w:t>
      </w:r>
    </w:p>
    <w:p w14:paraId="3CF8310A">
      <w:pPr>
        <w:keepNext w:val="0"/>
        <w:keepLines w:val="0"/>
        <w:pageBreakBefore w:val="0"/>
        <w:tabs>
          <w:tab w:val="left" w:pos="2865"/>
        </w:tabs>
        <w:kinsoku/>
        <w:wordWrap/>
        <w:overflowPunct/>
        <w:topLinePunct w:val="0"/>
        <w:bidi w:val="0"/>
        <w:snapToGrid/>
        <w:spacing w:line="440" w:lineRule="exact"/>
        <w:ind w:firstLine="400" w:firstLineChars="200"/>
        <w:textAlignment w:val="baseline"/>
        <w:rPr>
          <w:rFonts w:hint="eastAsia" w:ascii="宋体" w:hAnsi="宋体"/>
          <w:sz w:val="20"/>
          <w:highlight w:val="none"/>
        </w:rPr>
      </w:pPr>
      <w:r>
        <w:rPr>
          <w:rFonts w:hint="eastAsia" w:ascii="宋体" w:hAnsi="宋体"/>
          <w:sz w:val="20"/>
          <w:highlight w:val="none"/>
        </w:rPr>
        <w:t>1、</w:t>
      </w:r>
      <w:r>
        <w:rPr>
          <w:rFonts w:hint="eastAsia" w:ascii="宋体" w:hAnsi="宋体"/>
          <w:sz w:val="20"/>
          <w:highlight w:val="none"/>
          <w:lang w:val="en-US" w:eastAsia="zh-CN"/>
        </w:rPr>
        <w:t>乙方</w:t>
      </w:r>
      <w:r>
        <w:rPr>
          <w:rFonts w:hint="eastAsia" w:ascii="宋体" w:hAnsi="宋体"/>
          <w:sz w:val="20"/>
          <w:highlight w:val="none"/>
        </w:rPr>
        <w:t>所供的货物，必须符合中国最新版的法律、法规和相关标准、规范的要求，符合项目所在地政府有关特殊要求。</w:t>
      </w:r>
    </w:p>
    <w:p w14:paraId="3A82CE7A">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00" w:firstLineChars="200"/>
        <w:textAlignment w:val="baseline"/>
        <w:rPr>
          <w:rFonts w:hint="eastAsia" w:ascii="宋体" w:hAnsi="宋体"/>
          <w:sz w:val="20"/>
          <w:highlight w:val="none"/>
          <w:lang w:eastAsia="zh-CN"/>
        </w:rPr>
      </w:pPr>
      <w:r>
        <w:rPr>
          <w:rFonts w:hint="eastAsia" w:ascii="宋体" w:hAnsi="宋体"/>
          <w:sz w:val="20"/>
          <w:highlight w:val="none"/>
          <w:lang w:val="en-US" w:eastAsia="zh-CN"/>
        </w:rPr>
        <w:t>2、乙方</w:t>
      </w:r>
      <w:r>
        <w:rPr>
          <w:rFonts w:hint="eastAsia" w:ascii="宋体" w:hAnsi="宋体"/>
          <w:sz w:val="20"/>
          <w:highlight w:val="none"/>
        </w:rPr>
        <w:t>应保证所供货物的完整性</w:t>
      </w:r>
      <w:r>
        <w:rPr>
          <w:rFonts w:hint="eastAsia" w:ascii="宋体" w:hAnsi="宋体"/>
          <w:sz w:val="20"/>
          <w:highlight w:val="none"/>
          <w:lang w:eastAsia="zh-CN"/>
        </w:rPr>
        <w:t>、</w:t>
      </w:r>
      <w:r>
        <w:rPr>
          <w:rFonts w:hint="eastAsia" w:ascii="宋体" w:hAnsi="宋体"/>
          <w:sz w:val="20"/>
          <w:highlight w:val="none"/>
        </w:rPr>
        <w:t>成套性</w:t>
      </w:r>
      <w:r>
        <w:rPr>
          <w:rFonts w:hint="eastAsia" w:ascii="宋体" w:hAnsi="宋体"/>
          <w:sz w:val="20"/>
          <w:highlight w:val="none"/>
          <w:lang w:eastAsia="zh-CN"/>
        </w:rPr>
        <w:t>、</w:t>
      </w:r>
      <w:r>
        <w:rPr>
          <w:rFonts w:hint="eastAsia" w:ascii="宋体" w:hAnsi="宋体"/>
          <w:sz w:val="20"/>
          <w:highlight w:val="none"/>
          <w:lang w:val="en-US" w:eastAsia="zh-CN"/>
        </w:rPr>
        <w:t>全新性</w:t>
      </w:r>
      <w:r>
        <w:rPr>
          <w:rFonts w:hint="eastAsia" w:ascii="宋体" w:hAnsi="宋体"/>
          <w:sz w:val="20"/>
          <w:highlight w:val="none"/>
        </w:rPr>
        <w:t>，能保证货物的正常运行、使用</w:t>
      </w:r>
      <w:r>
        <w:rPr>
          <w:rFonts w:hint="eastAsia" w:ascii="宋体" w:hAnsi="宋体"/>
          <w:sz w:val="20"/>
          <w:highlight w:val="none"/>
          <w:lang w:eastAsia="zh-CN"/>
        </w:rPr>
        <w:t>。</w:t>
      </w:r>
    </w:p>
    <w:p w14:paraId="1F22F770">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00" w:firstLineChars="200"/>
        <w:textAlignment w:val="baseline"/>
        <w:rPr>
          <w:rFonts w:hint="eastAsia" w:ascii="宋体" w:hAnsi="宋体"/>
          <w:sz w:val="20"/>
          <w:highlight w:val="none"/>
        </w:rPr>
      </w:pPr>
      <w:r>
        <w:rPr>
          <w:rFonts w:hint="eastAsia" w:ascii="宋体" w:hAnsi="宋体"/>
          <w:sz w:val="20"/>
          <w:highlight w:val="none"/>
          <w:lang w:val="en-US" w:eastAsia="zh-CN"/>
        </w:rPr>
        <w:t>3、</w:t>
      </w:r>
      <w:r>
        <w:rPr>
          <w:rFonts w:hint="eastAsia" w:ascii="宋体" w:hAnsi="宋体"/>
          <w:sz w:val="20"/>
          <w:highlight w:val="none"/>
          <w:lang w:eastAsia="zh-CN"/>
        </w:rPr>
        <w:t>甲方</w:t>
      </w:r>
      <w:r>
        <w:rPr>
          <w:rFonts w:hint="eastAsia" w:ascii="宋体" w:hAnsi="宋体"/>
          <w:sz w:val="20"/>
          <w:highlight w:val="none"/>
        </w:rPr>
        <w:t>提供给</w:t>
      </w:r>
      <w:r>
        <w:rPr>
          <w:rFonts w:hint="eastAsia" w:ascii="宋体" w:hAnsi="宋体"/>
          <w:sz w:val="20"/>
          <w:highlight w:val="none"/>
          <w:lang w:eastAsia="zh-CN"/>
        </w:rPr>
        <w:t>乙方</w:t>
      </w:r>
      <w:r>
        <w:rPr>
          <w:rFonts w:hint="eastAsia" w:ascii="宋体" w:hAnsi="宋体"/>
          <w:sz w:val="20"/>
          <w:highlight w:val="none"/>
        </w:rPr>
        <w:t>PDF版图纸及</w:t>
      </w:r>
      <w:r>
        <w:rPr>
          <w:rFonts w:hint="eastAsia" w:ascii="宋体" w:hAnsi="宋体"/>
          <w:sz w:val="20"/>
          <w:highlight w:val="none"/>
          <w:lang w:val="en-US" w:eastAsia="zh-CN"/>
        </w:rPr>
        <w:t>模体/锻件</w:t>
      </w:r>
      <w:r>
        <w:rPr>
          <w:rFonts w:hint="eastAsia" w:ascii="宋体" w:hAnsi="宋体"/>
          <w:sz w:val="20"/>
          <w:highlight w:val="none"/>
        </w:rPr>
        <w:t>三维造型</w:t>
      </w:r>
      <w:r>
        <w:rPr>
          <w:rFonts w:hint="eastAsia" w:ascii="宋体" w:hAnsi="宋体"/>
          <w:sz w:val="20"/>
          <w:highlight w:val="none"/>
          <w:lang w:val="en-US" w:eastAsia="zh-CN"/>
        </w:rPr>
        <w:t>等</w:t>
      </w:r>
      <w:r>
        <w:rPr>
          <w:rFonts w:hint="eastAsia" w:ascii="宋体" w:hAnsi="宋体"/>
          <w:sz w:val="20"/>
          <w:highlight w:val="none"/>
        </w:rPr>
        <w:t>，</w:t>
      </w:r>
      <w:r>
        <w:rPr>
          <w:rFonts w:hint="eastAsia" w:ascii="宋体" w:hAnsi="宋体"/>
          <w:sz w:val="20"/>
          <w:highlight w:val="none"/>
          <w:lang w:eastAsia="zh-CN"/>
        </w:rPr>
        <w:t>甲方</w:t>
      </w:r>
      <w:r>
        <w:rPr>
          <w:rFonts w:hint="eastAsia" w:ascii="宋体" w:hAnsi="宋体"/>
          <w:sz w:val="20"/>
          <w:highlight w:val="none"/>
        </w:rPr>
        <w:t>拥有对图纸的知识产权，</w:t>
      </w:r>
      <w:r>
        <w:rPr>
          <w:rFonts w:hint="eastAsia" w:ascii="宋体" w:hAnsi="宋体"/>
          <w:sz w:val="20"/>
          <w:highlight w:val="none"/>
          <w:lang w:eastAsia="zh-CN"/>
        </w:rPr>
        <w:t>乙方</w:t>
      </w:r>
      <w:r>
        <w:rPr>
          <w:rFonts w:hint="eastAsia" w:ascii="宋体" w:hAnsi="宋体"/>
          <w:sz w:val="20"/>
          <w:highlight w:val="none"/>
        </w:rPr>
        <w:t>应对</w:t>
      </w:r>
      <w:r>
        <w:rPr>
          <w:rFonts w:hint="eastAsia" w:ascii="宋体" w:hAnsi="宋体"/>
          <w:sz w:val="20"/>
          <w:highlight w:val="none"/>
          <w:lang w:eastAsia="zh-CN"/>
        </w:rPr>
        <w:t>甲方</w:t>
      </w:r>
      <w:r>
        <w:rPr>
          <w:rFonts w:hint="eastAsia" w:ascii="宋体" w:hAnsi="宋体"/>
          <w:sz w:val="20"/>
          <w:highlight w:val="none"/>
        </w:rPr>
        <w:t>采购的货物所涉及的技术、产能等信息负有保密义务。</w:t>
      </w:r>
    </w:p>
    <w:p w14:paraId="6C0385F2">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00" w:firstLineChars="200"/>
        <w:textAlignment w:val="baseline"/>
        <w:rPr>
          <w:rFonts w:hint="eastAsia" w:ascii="宋体" w:hAnsi="宋体"/>
          <w:sz w:val="20"/>
          <w:highlight w:val="none"/>
        </w:rPr>
      </w:pPr>
      <w:r>
        <w:rPr>
          <w:rFonts w:hint="eastAsia" w:ascii="宋体" w:hAnsi="宋体"/>
          <w:sz w:val="20"/>
          <w:highlight w:val="none"/>
          <w:lang w:val="en-US" w:eastAsia="zh-CN"/>
        </w:rPr>
        <w:t>4、</w:t>
      </w:r>
      <w:r>
        <w:rPr>
          <w:rFonts w:hint="eastAsia" w:ascii="宋体" w:hAnsi="宋体"/>
          <w:sz w:val="20"/>
          <w:highlight w:val="none"/>
          <w:lang w:eastAsia="zh-CN"/>
        </w:rPr>
        <w:t>乙方</w:t>
      </w:r>
      <w:r>
        <w:rPr>
          <w:rFonts w:hint="eastAsia" w:ascii="宋体" w:hAnsi="宋体"/>
          <w:sz w:val="20"/>
          <w:highlight w:val="none"/>
        </w:rPr>
        <w:t>在委托外协加工时，必须征得</w:t>
      </w:r>
      <w:r>
        <w:rPr>
          <w:rFonts w:hint="eastAsia" w:ascii="宋体" w:hAnsi="宋体"/>
          <w:sz w:val="20"/>
          <w:highlight w:val="none"/>
          <w:lang w:eastAsia="zh-CN"/>
        </w:rPr>
        <w:t>甲方</w:t>
      </w:r>
      <w:r>
        <w:rPr>
          <w:rFonts w:hint="eastAsia" w:ascii="宋体" w:hAnsi="宋体"/>
          <w:sz w:val="20"/>
          <w:highlight w:val="none"/>
        </w:rPr>
        <w:t>的书面认可，并对外协方提出技术保密要求，不得将图纸外传，加工完成后，应将外协图纸收回。</w:t>
      </w:r>
    </w:p>
    <w:p w14:paraId="4AEE1792">
      <w:pPr>
        <w:keepNext w:val="0"/>
        <w:keepLines w:val="0"/>
        <w:pageBreakBefore w:val="0"/>
        <w:widowControl w:val="0"/>
        <w:tabs>
          <w:tab w:val="left" w:pos="2865"/>
        </w:tabs>
        <w:kinsoku/>
        <w:wordWrap/>
        <w:overflowPunct/>
        <w:topLinePunct w:val="0"/>
        <w:autoSpaceDE/>
        <w:autoSpaceDN/>
        <w:bidi w:val="0"/>
        <w:adjustRightInd/>
        <w:snapToGrid/>
        <w:spacing w:line="440" w:lineRule="exact"/>
        <w:ind w:firstLine="400" w:firstLineChars="200"/>
        <w:textAlignment w:val="baseline"/>
        <w:rPr>
          <w:rFonts w:hint="eastAsia" w:ascii="宋体" w:hAnsi="宋体"/>
          <w:sz w:val="20"/>
          <w:highlight w:val="none"/>
        </w:rPr>
      </w:pPr>
      <w:r>
        <w:rPr>
          <w:rFonts w:hint="eastAsia" w:ascii="宋体" w:hAnsi="宋体"/>
          <w:sz w:val="20"/>
          <w:highlight w:val="none"/>
          <w:lang w:val="en-US" w:eastAsia="zh-CN"/>
        </w:rPr>
        <w:t>5、</w:t>
      </w:r>
      <w:r>
        <w:rPr>
          <w:rFonts w:hint="eastAsia" w:ascii="宋体" w:hAnsi="宋体"/>
          <w:sz w:val="20"/>
          <w:highlight w:val="none"/>
          <w:lang w:eastAsia="zh-CN"/>
        </w:rPr>
        <w:t>乙方</w:t>
      </w:r>
      <w:r>
        <w:rPr>
          <w:rFonts w:hint="eastAsia" w:ascii="宋体" w:hAnsi="宋体"/>
          <w:sz w:val="20"/>
          <w:highlight w:val="none"/>
        </w:rPr>
        <w:t>不得自行改变</w:t>
      </w:r>
      <w:r>
        <w:rPr>
          <w:rFonts w:hint="eastAsia" w:ascii="宋体" w:hAnsi="宋体"/>
          <w:sz w:val="20"/>
          <w:highlight w:val="none"/>
          <w:lang w:eastAsia="zh-CN"/>
        </w:rPr>
        <w:t>甲方</w:t>
      </w:r>
      <w:r>
        <w:rPr>
          <w:rFonts w:hint="eastAsia" w:ascii="宋体" w:hAnsi="宋体"/>
          <w:sz w:val="20"/>
          <w:highlight w:val="none"/>
        </w:rPr>
        <w:t>提供的技术资料和技术质量要求，如确实需要更改，须事先征得</w:t>
      </w:r>
      <w:r>
        <w:rPr>
          <w:rFonts w:hint="eastAsia" w:ascii="宋体" w:hAnsi="宋体"/>
          <w:sz w:val="20"/>
          <w:highlight w:val="none"/>
          <w:lang w:eastAsia="zh-CN"/>
        </w:rPr>
        <w:t>甲方</w:t>
      </w:r>
      <w:r>
        <w:rPr>
          <w:rFonts w:hint="eastAsia" w:ascii="宋体" w:hAnsi="宋体"/>
          <w:sz w:val="20"/>
          <w:highlight w:val="none"/>
        </w:rPr>
        <w:t>的书面同意。</w:t>
      </w:r>
    </w:p>
    <w:p w14:paraId="619B4ECD">
      <w:pPr>
        <w:keepNext w:val="0"/>
        <w:keepLines w:val="0"/>
        <w:pageBreakBefore w:val="0"/>
        <w:tabs>
          <w:tab w:val="left" w:pos="2865"/>
        </w:tabs>
        <w:kinsoku/>
        <w:wordWrap/>
        <w:overflowPunct/>
        <w:topLinePunct w:val="0"/>
        <w:bidi w:val="0"/>
        <w:snapToGrid/>
        <w:spacing w:line="440" w:lineRule="exact"/>
        <w:ind w:firstLine="400" w:firstLineChars="200"/>
        <w:textAlignment w:val="baseline"/>
        <w:rPr>
          <w:rFonts w:hint="eastAsia" w:ascii="宋体" w:hAnsi="宋体"/>
          <w:sz w:val="20"/>
          <w:highlight w:val="none"/>
          <w:lang w:eastAsia="zh-CN"/>
        </w:rPr>
      </w:pPr>
      <w:r>
        <w:rPr>
          <w:rFonts w:hint="eastAsia" w:ascii="宋体" w:hAnsi="宋体"/>
          <w:sz w:val="20"/>
          <w:highlight w:val="none"/>
          <w:lang w:val="en-US" w:eastAsia="zh-CN"/>
        </w:rPr>
        <w:t>6、</w:t>
      </w:r>
      <w:r>
        <w:rPr>
          <w:rFonts w:hint="eastAsia" w:ascii="宋体" w:hAnsi="宋体"/>
          <w:sz w:val="20"/>
          <w:highlight w:val="none"/>
        </w:rPr>
        <w:t>在</w:t>
      </w:r>
      <w:r>
        <w:rPr>
          <w:rFonts w:hint="eastAsia" w:ascii="宋体" w:hAnsi="宋体"/>
          <w:sz w:val="20"/>
          <w:highlight w:val="none"/>
          <w:lang w:eastAsia="zh-CN"/>
        </w:rPr>
        <w:t>乙方</w:t>
      </w:r>
      <w:r>
        <w:rPr>
          <w:rFonts w:hint="eastAsia" w:ascii="宋体" w:hAnsi="宋体"/>
          <w:sz w:val="20"/>
          <w:highlight w:val="none"/>
        </w:rPr>
        <w:t>冶炼钢坯和锻造钢坯过程中</w:t>
      </w:r>
      <w:r>
        <w:rPr>
          <w:rFonts w:hint="eastAsia" w:ascii="宋体" w:hAnsi="宋体"/>
          <w:sz w:val="20"/>
          <w:highlight w:val="none"/>
          <w:lang w:eastAsia="zh-CN"/>
        </w:rPr>
        <w:t>甲方</w:t>
      </w:r>
      <w:r>
        <w:rPr>
          <w:rFonts w:hint="eastAsia" w:ascii="宋体" w:hAnsi="宋体"/>
          <w:sz w:val="20"/>
          <w:highlight w:val="none"/>
          <w:lang w:val="en-US" w:eastAsia="zh-CN"/>
        </w:rPr>
        <w:t>如需要可</w:t>
      </w:r>
      <w:r>
        <w:rPr>
          <w:rFonts w:hint="eastAsia" w:ascii="宋体" w:hAnsi="宋体"/>
          <w:sz w:val="20"/>
          <w:highlight w:val="none"/>
        </w:rPr>
        <w:t>到</w:t>
      </w:r>
      <w:r>
        <w:rPr>
          <w:rFonts w:hint="eastAsia" w:ascii="宋体" w:hAnsi="宋体"/>
          <w:sz w:val="20"/>
          <w:highlight w:val="none"/>
          <w:lang w:eastAsia="zh-CN"/>
        </w:rPr>
        <w:t>乙方</w:t>
      </w:r>
      <w:r>
        <w:rPr>
          <w:rFonts w:hint="eastAsia" w:ascii="宋体" w:hAnsi="宋体"/>
          <w:sz w:val="20"/>
          <w:highlight w:val="none"/>
        </w:rPr>
        <w:t>现场进行监制</w:t>
      </w:r>
      <w:r>
        <w:rPr>
          <w:rFonts w:hint="eastAsia" w:ascii="宋体" w:hAnsi="宋体"/>
          <w:sz w:val="20"/>
          <w:highlight w:val="none"/>
          <w:lang w:eastAsia="zh-CN"/>
        </w:rPr>
        <w:t>。</w:t>
      </w:r>
    </w:p>
    <w:p w14:paraId="1F155FB8">
      <w:pPr>
        <w:keepNext w:val="0"/>
        <w:keepLines w:val="0"/>
        <w:pageBreakBefore w:val="0"/>
        <w:tabs>
          <w:tab w:val="left" w:pos="2865"/>
        </w:tabs>
        <w:kinsoku/>
        <w:wordWrap/>
        <w:overflowPunct/>
        <w:topLinePunct w:val="0"/>
        <w:bidi w:val="0"/>
        <w:snapToGrid/>
        <w:spacing w:line="440" w:lineRule="exact"/>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第</w:t>
      </w:r>
      <w:r>
        <w:rPr>
          <w:rFonts w:hint="eastAsia" w:ascii="宋体" w:hAnsi="宋体" w:eastAsia="宋体" w:cs="宋体"/>
          <w:b/>
          <w:color w:val="auto"/>
          <w:sz w:val="20"/>
          <w:szCs w:val="20"/>
          <w:highlight w:val="none"/>
          <w:lang w:val="en-US" w:eastAsia="zh-CN"/>
        </w:rPr>
        <w:t>二</w:t>
      </w:r>
      <w:r>
        <w:rPr>
          <w:rFonts w:hint="eastAsia" w:ascii="宋体" w:hAnsi="宋体" w:eastAsia="宋体" w:cs="宋体"/>
          <w:b/>
          <w:color w:val="auto"/>
          <w:sz w:val="20"/>
          <w:szCs w:val="20"/>
          <w:highlight w:val="none"/>
        </w:rPr>
        <w:t>条  技术规范</w:t>
      </w:r>
    </w:p>
    <w:p w14:paraId="6380D426">
      <w:pPr>
        <w:keepNext w:val="0"/>
        <w:keepLines w:val="0"/>
        <w:pageBreakBefore w:val="0"/>
        <w:tabs>
          <w:tab w:val="left" w:pos="2865"/>
        </w:tabs>
        <w:kinsoku/>
        <w:wordWrap/>
        <w:overflowPunct/>
        <w:topLinePunct w:val="0"/>
        <w:bidi w:val="0"/>
        <w:snapToGrid/>
        <w:spacing w:line="440" w:lineRule="exact"/>
        <w:jc w:val="left"/>
        <w:rPr>
          <w:rFonts w:hint="default"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 xml:space="preserve">    一、新制模块</w:t>
      </w:r>
      <w:r>
        <w:rPr>
          <w:rFonts w:hint="eastAsia" w:ascii="宋体" w:hAnsi="宋体" w:cs="宋体"/>
          <w:b/>
          <w:color w:val="auto"/>
          <w:sz w:val="20"/>
          <w:szCs w:val="20"/>
          <w:highlight w:val="none"/>
          <w:lang w:val="en-US" w:eastAsia="zh-CN"/>
        </w:rPr>
        <w:t>技术要求</w:t>
      </w:r>
    </w:p>
    <w:p w14:paraId="1DA2DEF5">
      <w:pPr>
        <w:pStyle w:val="125"/>
        <w:keepNext w:val="0"/>
        <w:keepLines w:val="0"/>
        <w:pageBreakBefore w:val="0"/>
        <w:tabs>
          <w:tab w:val="left" w:pos="900"/>
        </w:tabs>
        <w:kinsoku/>
        <w:wordWrap/>
        <w:overflowPunct/>
        <w:topLinePunct w:val="0"/>
        <w:bidi w:val="0"/>
        <w:snapToGrid/>
        <w:spacing w:line="440" w:lineRule="exact"/>
        <w:ind w:firstLine="4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r>
        <w:rPr>
          <w:rFonts w:hint="eastAsia" w:ascii="宋体" w:hAnsi="宋体" w:cs="宋体"/>
          <w:color w:val="auto"/>
          <w:sz w:val="20"/>
          <w:szCs w:val="20"/>
          <w:highlight w:val="none"/>
          <w:lang w:val="en-US" w:eastAsia="zh-CN"/>
        </w:rPr>
        <w:t>乙方</w:t>
      </w:r>
      <w:r>
        <w:rPr>
          <w:rFonts w:hint="eastAsia" w:ascii="宋体" w:hAnsi="宋体" w:eastAsia="宋体" w:cs="宋体"/>
          <w:color w:val="auto"/>
          <w:sz w:val="20"/>
          <w:szCs w:val="20"/>
          <w:highlight w:val="none"/>
        </w:rPr>
        <w:t>提供的货物必须符合以下标准要求：</w:t>
      </w:r>
    </w:p>
    <w:p w14:paraId="584DFC65">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GB/T11880 模锻锤和大型机械压力机用模块技术条件</w:t>
      </w:r>
    </w:p>
    <w:p w14:paraId="3B8AE5D3">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GB3077 合金结构钢技术条件</w:t>
      </w:r>
    </w:p>
    <w:p w14:paraId="60C7AA73">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GB11352 一般工程用铸造碳钢件</w:t>
      </w:r>
    </w:p>
    <w:p w14:paraId="0203FDAC">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GB1184 形状和位置公差   未注公差的规定</w:t>
      </w:r>
    </w:p>
    <w:p w14:paraId="5867B59F">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GB/T1804 一般公差  线性尺寸的未注公差技术条件</w:t>
      </w:r>
    </w:p>
    <w:p w14:paraId="3C75170E">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GB/T222 钢的成品化学成分允许偏差</w:t>
      </w:r>
    </w:p>
    <w:p w14:paraId="31D010E0">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GB/T231.1 金属布氏硬度试验  第1部分  试验方法</w:t>
      </w:r>
    </w:p>
    <w:p w14:paraId="5651123B">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GB/T1299 合金工具钢</w:t>
      </w:r>
    </w:p>
    <w:p w14:paraId="2E24EDFE">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GB/T6402 钢锻材超声波检验方法</w:t>
      </w:r>
    </w:p>
    <w:p w14:paraId="006174E5">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GB/T10561 钢中非金属夹杂物含量的测定—标准评级图显微检验法</w:t>
      </w:r>
    </w:p>
    <w:p w14:paraId="687F456C">
      <w:pPr>
        <w:pStyle w:val="4"/>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GB/T</w:t>
      </w:r>
      <w:r>
        <w:rPr>
          <w:rFonts w:hint="eastAsia" w:ascii="宋体" w:hAnsi="宋体" w:eastAsia="宋体" w:cs="宋体"/>
          <w:color w:val="auto"/>
          <w:sz w:val="20"/>
          <w:szCs w:val="20"/>
          <w:highlight w:val="none"/>
          <w:lang w:val="en-US" w:eastAsia="zh-CN"/>
        </w:rPr>
        <w:t>16923 钢件的正火与退火</w:t>
      </w:r>
    </w:p>
    <w:p w14:paraId="352CB4FC">
      <w:pPr>
        <w:pStyle w:val="4"/>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GB/</w:t>
      </w:r>
      <w:r>
        <w:rPr>
          <w:rFonts w:hint="eastAsia" w:ascii="宋体" w:hAnsi="宋体" w:eastAsia="宋体" w:cs="宋体"/>
          <w:color w:val="auto"/>
          <w:sz w:val="20"/>
          <w:szCs w:val="20"/>
          <w:highlight w:val="none"/>
          <w:lang w:val="en-US" w:eastAsia="zh-CN"/>
        </w:rPr>
        <w:t>T16924 钢件的淬火与回火</w:t>
      </w:r>
    </w:p>
    <w:p w14:paraId="149D2454">
      <w:pPr>
        <w:pStyle w:val="4"/>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GB/T15824 热作模具钢热疲劳试验方法</w:t>
      </w:r>
    </w:p>
    <w:p w14:paraId="206F6C93">
      <w:pPr>
        <w:pStyle w:val="4"/>
        <w:keepNext w:val="0"/>
        <w:keepLines w:val="0"/>
        <w:pageBreakBefore w:val="0"/>
        <w:kinsoku/>
        <w:wordWrap/>
        <w:overflowPunct/>
        <w:topLinePunct w:val="0"/>
        <w:bidi w:val="0"/>
        <w:snapToGrid/>
        <w:spacing w:line="440" w:lineRule="exact"/>
        <w:ind w:firstLine="42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JB/T8431 锻模 热模锻用钢 技术条件</w:t>
      </w:r>
    </w:p>
    <w:p w14:paraId="35D26437">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以上标准中条款</w:t>
      </w:r>
      <w:r>
        <w:rPr>
          <w:rFonts w:hint="eastAsia" w:ascii="宋体" w:hAnsi="宋体" w:eastAsia="宋体" w:cs="宋体"/>
          <w:color w:val="auto"/>
          <w:sz w:val="20"/>
          <w:szCs w:val="20"/>
          <w:highlight w:val="none"/>
          <w:lang w:val="en-US" w:eastAsia="zh-CN"/>
        </w:rPr>
        <w:t>以及其引用的标准或条款</w:t>
      </w:r>
      <w:r>
        <w:rPr>
          <w:rFonts w:hint="eastAsia" w:ascii="宋体" w:hAnsi="宋体" w:eastAsia="宋体" w:cs="宋体"/>
          <w:color w:val="auto"/>
          <w:sz w:val="20"/>
          <w:szCs w:val="20"/>
          <w:highlight w:val="none"/>
        </w:rPr>
        <w:t>通过本</w:t>
      </w:r>
      <w:r>
        <w:rPr>
          <w:rFonts w:hint="eastAsia" w:ascii="宋体" w:hAnsi="宋体" w:eastAsia="宋体" w:cs="宋体"/>
          <w:color w:val="auto"/>
          <w:sz w:val="20"/>
          <w:szCs w:val="20"/>
          <w:highlight w:val="none"/>
          <w:lang w:val="en-US" w:eastAsia="zh-CN"/>
        </w:rPr>
        <w:t>协议</w:t>
      </w:r>
      <w:r>
        <w:rPr>
          <w:rFonts w:hint="eastAsia" w:ascii="宋体" w:hAnsi="宋体" w:eastAsia="宋体" w:cs="宋体"/>
          <w:color w:val="auto"/>
          <w:sz w:val="20"/>
          <w:szCs w:val="20"/>
          <w:highlight w:val="none"/>
        </w:rPr>
        <w:t>的引用而成为本</w:t>
      </w:r>
      <w:r>
        <w:rPr>
          <w:rFonts w:hint="eastAsia" w:ascii="宋体" w:hAnsi="宋体" w:eastAsia="宋体" w:cs="宋体"/>
          <w:color w:val="auto"/>
          <w:sz w:val="20"/>
          <w:szCs w:val="20"/>
          <w:highlight w:val="none"/>
          <w:lang w:val="en-US" w:eastAsia="zh-CN"/>
        </w:rPr>
        <w:t>协议</w:t>
      </w:r>
      <w:r>
        <w:rPr>
          <w:rFonts w:hint="eastAsia" w:ascii="宋体" w:hAnsi="宋体" w:eastAsia="宋体" w:cs="宋体"/>
          <w:color w:val="auto"/>
          <w:sz w:val="20"/>
          <w:szCs w:val="20"/>
          <w:highlight w:val="none"/>
        </w:rPr>
        <w:t>的条款。凡是注日期的引用文件，其随后所有的修改单（不包括勘误的内容）或修订版均不适用于本</w:t>
      </w:r>
      <w:r>
        <w:rPr>
          <w:rFonts w:hint="eastAsia" w:ascii="宋体" w:hAnsi="宋体" w:eastAsia="宋体" w:cs="宋体"/>
          <w:color w:val="auto"/>
          <w:sz w:val="20"/>
          <w:szCs w:val="20"/>
          <w:highlight w:val="none"/>
          <w:lang w:val="en-US" w:eastAsia="zh-CN"/>
        </w:rPr>
        <w:t>协议</w:t>
      </w:r>
      <w:r>
        <w:rPr>
          <w:rFonts w:hint="eastAsia" w:ascii="宋体" w:hAnsi="宋体" w:eastAsia="宋体" w:cs="宋体"/>
          <w:color w:val="auto"/>
          <w:sz w:val="20"/>
          <w:szCs w:val="20"/>
          <w:highlight w:val="none"/>
        </w:rPr>
        <w:t>，凡是不注日期的引用文件，其最新版本适用于本</w:t>
      </w:r>
      <w:r>
        <w:rPr>
          <w:rFonts w:hint="eastAsia" w:ascii="宋体" w:hAnsi="宋体" w:eastAsia="宋体" w:cs="宋体"/>
          <w:color w:val="auto"/>
          <w:sz w:val="20"/>
          <w:szCs w:val="20"/>
          <w:highlight w:val="none"/>
          <w:lang w:val="en-US" w:eastAsia="zh-CN"/>
        </w:rPr>
        <w:t>协议</w:t>
      </w:r>
      <w:r>
        <w:rPr>
          <w:rFonts w:hint="eastAsia" w:ascii="宋体" w:hAnsi="宋体" w:eastAsia="宋体" w:cs="宋体"/>
          <w:color w:val="auto"/>
          <w:sz w:val="20"/>
          <w:szCs w:val="20"/>
          <w:highlight w:val="none"/>
        </w:rPr>
        <w:t>。</w:t>
      </w:r>
    </w:p>
    <w:p w14:paraId="293DB1B2">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w:t>
      </w:r>
      <w:r>
        <w:rPr>
          <w:rFonts w:hint="eastAsia" w:ascii="宋体" w:hAnsi="宋体" w:eastAsia="宋体" w:cs="宋体"/>
          <w:color w:val="auto"/>
          <w:sz w:val="20"/>
          <w:szCs w:val="20"/>
          <w:highlight w:val="none"/>
        </w:rPr>
        <w:t>模块材料应采用电弧炉或其他特种冶金设备冶炼，并采用炉外精炼钢</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模箱、底板用模块要求采用双真空脱氧工艺或电渣重熔工艺精炼。</w:t>
      </w:r>
    </w:p>
    <w:p w14:paraId="4E4F6BF7">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lang w:val="en-US"/>
        </w:rPr>
      </w:pPr>
      <w:r>
        <w:rPr>
          <w:rFonts w:hint="eastAsia" w:ascii="宋体" w:hAnsi="宋体" w:eastAsia="宋体" w:cs="宋体"/>
          <w:color w:val="auto"/>
          <w:sz w:val="20"/>
          <w:szCs w:val="20"/>
          <w:highlight w:val="none"/>
          <w:lang w:val="en-US" w:eastAsia="zh-CN"/>
        </w:rPr>
        <w:t>3、模箱</w:t>
      </w:r>
      <w:r>
        <w:rPr>
          <w:rFonts w:hint="eastAsia" w:ascii="宋体" w:hAnsi="宋体" w:eastAsia="宋体" w:cs="宋体"/>
          <w:color w:val="auto"/>
          <w:sz w:val="20"/>
          <w:szCs w:val="20"/>
          <w:highlight w:val="none"/>
        </w:rPr>
        <w:t>的</w:t>
      </w:r>
      <w:r>
        <w:rPr>
          <w:rFonts w:hint="eastAsia" w:ascii="宋体" w:hAnsi="宋体" w:eastAsia="宋体" w:cs="宋体"/>
          <w:color w:val="auto"/>
          <w:sz w:val="20"/>
          <w:szCs w:val="20"/>
          <w:highlight w:val="none"/>
          <w:lang w:val="en-US" w:eastAsia="zh-CN"/>
        </w:rPr>
        <w:t>流线</w:t>
      </w:r>
      <w:r>
        <w:rPr>
          <w:rFonts w:hint="eastAsia" w:ascii="宋体" w:hAnsi="宋体" w:eastAsia="宋体" w:cs="宋体"/>
          <w:color w:val="auto"/>
          <w:sz w:val="20"/>
          <w:szCs w:val="20"/>
          <w:highlight w:val="none"/>
        </w:rPr>
        <w:t>必须符合图纸规定的要求</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锻模模块材料的的流线应垂直于打击方向，对于长轴类锻件，流线方向应当与锻件轴线平行（即平行锤锻模燕尾方向）。</w:t>
      </w:r>
    </w:p>
    <w:p w14:paraId="69B73200">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4、</w:t>
      </w:r>
      <w:r>
        <w:rPr>
          <w:rFonts w:hint="eastAsia" w:ascii="宋体" w:hAnsi="宋体" w:eastAsia="宋体" w:cs="宋体"/>
          <w:color w:val="auto"/>
          <w:sz w:val="20"/>
          <w:szCs w:val="20"/>
          <w:highlight w:val="none"/>
        </w:rPr>
        <w:t>用钢锭锻造模块，必须</w:t>
      </w:r>
      <w:r>
        <w:rPr>
          <w:rFonts w:hint="eastAsia" w:ascii="宋体" w:hAnsi="宋体" w:eastAsia="宋体" w:cs="宋体"/>
          <w:color w:val="auto"/>
          <w:sz w:val="20"/>
          <w:szCs w:val="20"/>
          <w:highlight w:val="none"/>
          <w:lang w:val="en-US" w:eastAsia="zh-CN"/>
        </w:rPr>
        <w:t>遵循“三镦三拔”工艺</w:t>
      </w:r>
      <w:r>
        <w:rPr>
          <w:rFonts w:hint="eastAsia" w:ascii="宋体" w:hAnsi="宋体" w:eastAsia="宋体" w:cs="宋体"/>
          <w:color w:val="auto"/>
          <w:sz w:val="20"/>
          <w:szCs w:val="20"/>
          <w:highlight w:val="none"/>
        </w:rPr>
        <w:t>，锻造比≥3，</w:t>
      </w:r>
      <w:r>
        <w:rPr>
          <w:rFonts w:hint="eastAsia" w:ascii="宋体" w:hAnsi="宋体" w:eastAsia="宋体" w:cs="宋体"/>
          <w:color w:val="auto"/>
          <w:sz w:val="20"/>
          <w:szCs w:val="20"/>
          <w:highlight w:val="none"/>
          <w:lang w:val="en-US" w:eastAsia="zh-CN"/>
        </w:rPr>
        <w:t>模箱锻造比≥3.5</w:t>
      </w:r>
      <w:r>
        <w:rPr>
          <w:rFonts w:hint="eastAsia" w:ascii="宋体" w:hAnsi="宋体" w:eastAsia="宋体" w:cs="宋体"/>
          <w:color w:val="auto"/>
          <w:sz w:val="20"/>
          <w:szCs w:val="20"/>
          <w:highlight w:val="none"/>
        </w:rPr>
        <w:t>。</w:t>
      </w:r>
    </w:p>
    <w:p w14:paraId="36A791EF">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5、</w:t>
      </w:r>
      <w:r>
        <w:rPr>
          <w:rFonts w:hint="eastAsia" w:ascii="宋体" w:hAnsi="宋体" w:eastAsia="宋体" w:cs="宋体"/>
          <w:color w:val="auto"/>
          <w:sz w:val="20"/>
          <w:szCs w:val="20"/>
          <w:highlight w:val="none"/>
        </w:rPr>
        <w:t>模块内部不允许有白点、裂纹、缩孔等缺陷。</w:t>
      </w:r>
    </w:p>
    <w:p w14:paraId="7AA824A0">
      <w:pPr>
        <w:pStyle w:val="4"/>
        <w:keepNext w:val="0"/>
        <w:keepLines w:val="0"/>
        <w:pageBreakBefore w:val="0"/>
        <w:kinsoku/>
        <w:wordWrap/>
        <w:overflowPunct/>
        <w:topLinePunct w:val="0"/>
        <w:bidi w:val="0"/>
        <w:snapToGrid/>
        <w:spacing w:line="440" w:lineRule="exact"/>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 xml:space="preserve">    6、热处理时，有效加热区的温度偏差应按照</w:t>
      </w:r>
      <w:r>
        <w:rPr>
          <w:rFonts w:hint="eastAsia" w:ascii="宋体" w:hAnsi="宋体" w:eastAsia="宋体" w:cs="宋体"/>
          <w:color w:val="auto"/>
          <w:sz w:val="20"/>
          <w:szCs w:val="20"/>
          <w:highlight w:val="none"/>
        </w:rPr>
        <w:t>GB/T</w:t>
      </w:r>
      <w:r>
        <w:rPr>
          <w:rFonts w:hint="eastAsia" w:ascii="宋体" w:hAnsi="宋体" w:eastAsia="宋体" w:cs="宋体"/>
          <w:color w:val="auto"/>
          <w:sz w:val="20"/>
          <w:szCs w:val="20"/>
          <w:highlight w:val="none"/>
          <w:lang w:val="en-US" w:eastAsia="zh-CN"/>
        </w:rPr>
        <w:t>16923 以及</w:t>
      </w:r>
      <w:r>
        <w:rPr>
          <w:rFonts w:hint="eastAsia" w:ascii="宋体" w:hAnsi="宋体" w:eastAsia="宋体" w:cs="宋体"/>
          <w:color w:val="auto"/>
          <w:sz w:val="20"/>
          <w:szCs w:val="20"/>
          <w:highlight w:val="none"/>
        </w:rPr>
        <w:t>GB/T</w:t>
      </w:r>
      <w:r>
        <w:rPr>
          <w:rFonts w:hint="eastAsia" w:ascii="宋体" w:hAnsi="宋体" w:eastAsia="宋体" w:cs="宋体"/>
          <w:color w:val="auto"/>
          <w:sz w:val="20"/>
          <w:szCs w:val="20"/>
          <w:highlight w:val="none"/>
          <w:lang w:val="en-US" w:eastAsia="zh-CN"/>
        </w:rPr>
        <w:t>16924的规定。淬火加热的温度偏差不应超出±10℃，并且保证不少于2次的回火，模箱精加工过程中增加一次低温去应力回火。</w:t>
      </w:r>
    </w:p>
    <w:p w14:paraId="4BE5B159">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7、</w:t>
      </w:r>
      <w:r>
        <w:rPr>
          <w:rFonts w:hint="eastAsia" w:ascii="宋体" w:hAnsi="宋体" w:eastAsia="宋体" w:cs="宋体"/>
          <w:color w:val="auto"/>
          <w:sz w:val="20"/>
          <w:szCs w:val="20"/>
          <w:highlight w:val="none"/>
        </w:rPr>
        <w:t>模块应进行超声波探伤检查，检测方法应符合GB/T6402的相关规定，超声波探伤检查判定符合GB/T11880的规定。</w:t>
      </w:r>
    </w:p>
    <w:p w14:paraId="34857A09">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8、</w:t>
      </w:r>
      <w:r>
        <w:rPr>
          <w:rFonts w:hint="eastAsia" w:ascii="宋体" w:hAnsi="宋体" w:eastAsia="宋体" w:cs="宋体"/>
          <w:color w:val="auto"/>
          <w:sz w:val="20"/>
          <w:szCs w:val="20"/>
          <w:highlight w:val="none"/>
        </w:rPr>
        <w:t>钢中的非金属夹杂物检测评级参照GB/T10561，应符合下述规定：</w:t>
      </w:r>
    </w:p>
    <w:p w14:paraId="466020A0">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r>
        <w:rPr>
          <w:rFonts w:hint="eastAsia" w:ascii="宋体" w:hAnsi="宋体" w:eastAsia="宋体" w:cs="宋体"/>
          <w:color w:val="auto"/>
          <w:sz w:val="20"/>
          <w:szCs w:val="20"/>
          <w:highlight w:val="none"/>
          <w:lang w:val="en-US" w:eastAsia="zh-CN"/>
        </w:rPr>
        <w:t>A、B、C、D类夹杂物</w:t>
      </w:r>
      <w:r>
        <w:rPr>
          <w:rFonts w:hint="eastAsia" w:ascii="宋体" w:hAnsi="宋体" w:eastAsia="宋体" w:cs="宋体"/>
          <w:color w:val="auto"/>
          <w:sz w:val="20"/>
          <w:szCs w:val="20"/>
          <w:highlight w:val="none"/>
        </w:rPr>
        <w:t>≤</w:t>
      </w:r>
      <w:r>
        <w:rPr>
          <w:rFonts w:hint="eastAsia" w:ascii="宋体" w:hAnsi="宋体" w:eastAsia="宋体" w:cs="宋体"/>
          <w:color w:val="auto"/>
          <w:sz w:val="20"/>
          <w:szCs w:val="20"/>
          <w:highlight w:val="none"/>
          <w:lang w:val="en-US" w:eastAsia="zh-CN"/>
        </w:rPr>
        <w:t>0.5</w:t>
      </w:r>
      <w:r>
        <w:rPr>
          <w:rFonts w:hint="eastAsia" w:ascii="宋体" w:hAnsi="宋体" w:eastAsia="宋体" w:cs="宋体"/>
          <w:color w:val="auto"/>
          <w:sz w:val="20"/>
          <w:szCs w:val="20"/>
          <w:highlight w:val="none"/>
        </w:rPr>
        <w:t>级。</w:t>
      </w:r>
    </w:p>
    <w:p w14:paraId="1C3900FC">
      <w:pPr>
        <w:keepNext w:val="0"/>
        <w:keepLines w:val="0"/>
        <w:pageBreakBefore w:val="0"/>
        <w:kinsoku/>
        <w:wordWrap/>
        <w:overflowPunct/>
        <w:topLinePunct w:val="0"/>
        <w:bidi w:val="0"/>
        <w:snapToGrid/>
        <w:spacing w:line="44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9、</w:t>
      </w:r>
      <w:r>
        <w:rPr>
          <w:rFonts w:hint="eastAsia" w:ascii="宋体" w:hAnsi="宋体" w:eastAsia="宋体" w:cs="宋体"/>
          <w:color w:val="auto"/>
          <w:sz w:val="20"/>
          <w:szCs w:val="20"/>
          <w:highlight w:val="none"/>
        </w:rPr>
        <w:t>模块试验方法及验收规则：必须符合GB/T11880的相关规定。</w:t>
      </w:r>
      <w:r>
        <w:rPr>
          <w:rFonts w:hint="eastAsia" w:ascii="宋体" w:hAnsi="宋体" w:eastAsia="宋体" w:cs="宋体"/>
          <w:color w:val="auto"/>
          <w:sz w:val="20"/>
          <w:szCs w:val="20"/>
          <w:highlight w:val="none"/>
          <w:lang w:val="en-US" w:eastAsia="zh-CN"/>
        </w:rPr>
        <w:t>如图纸有明确要求按照图纸要求执行。</w:t>
      </w:r>
    </w:p>
    <w:p w14:paraId="5ADB8FF2">
      <w:pPr>
        <w:pStyle w:val="5"/>
        <w:keepNext w:val="0"/>
        <w:keepLines w:val="0"/>
        <w:pageBreakBefore w:val="0"/>
        <w:numPr>
          <w:ilvl w:val="0"/>
          <w:numId w:val="0"/>
        </w:numPr>
        <w:kinsoku/>
        <w:wordWrap/>
        <w:overflowPunct/>
        <w:topLinePunct w:val="0"/>
        <w:bidi w:val="0"/>
        <w:snapToGrid/>
        <w:spacing w:line="440" w:lineRule="exact"/>
        <w:rPr>
          <w:rFonts w:hint="eastAsia" w:ascii="宋体" w:hAnsi="宋体" w:eastAsia="宋体" w:cs="宋体"/>
          <w:b/>
          <w:bCs/>
          <w:color w:val="auto"/>
          <w:sz w:val="20"/>
          <w:szCs w:val="20"/>
          <w:highlight w:val="none"/>
          <w:lang w:val="en-US" w:eastAsia="zh-CN"/>
        </w:rPr>
      </w:pPr>
      <w:r>
        <w:rPr>
          <w:rFonts w:hint="eastAsia" w:ascii="宋体" w:hAnsi="宋体" w:cs="宋体"/>
          <w:b/>
          <w:bCs/>
          <w:i w:val="0"/>
          <w:iCs w:val="0"/>
          <w:color w:val="auto"/>
          <w:kern w:val="0"/>
          <w:sz w:val="20"/>
          <w:szCs w:val="20"/>
          <w:highlight w:val="none"/>
          <w:u w:val="none"/>
          <w:lang w:val="en-US" w:eastAsia="zh-CN" w:bidi="ar"/>
        </w:rPr>
        <w:t>二、</w:t>
      </w:r>
      <w:r>
        <w:rPr>
          <w:rFonts w:hint="eastAsia" w:ascii="宋体" w:hAnsi="宋体" w:eastAsia="宋体" w:cs="宋体"/>
          <w:b/>
          <w:bCs/>
          <w:i w:val="0"/>
          <w:iCs w:val="0"/>
          <w:color w:val="auto"/>
          <w:kern w:val="0"/>
          <w:sz w:val="20"/>
          <w:szCs w:val="20"/>
          <w:highlight w:val="none"/>
          <w:u w:val="none"/>
          <w:lang w:val="en-US" w:eastAsia="zh-CN" w:bidi="ar"/>
        </w:rPr>
        <w:t>新制</w:t>
      </w:r>
      <w:r>
        <w:rPr>
          <w:rFonts w:hint="eastAsia" w:ascii="宋体" w:hAnsi="宋体" w:cs="宋体"/>
          <w:b/>
          <w:bCs/>
          <w:i w:val="0"/>
          <w:iCs w:val="0"/>
          <w:color w:val="auto"/>
          <w:kern w:val="0"/>
          <w:sz w:val="20"/>
          <w:szCs w:val="20"/>
          <w:highlight w:val="none"/>
          <w:u w:val="none"/>
          <w:lang w:val="en-US" w:eastAsia="zh-CN" w:bidi="ar"/>
        </w:rPr>
        <w:t>模具技术</w:t>
      </w:r>
      <w:r>
        <w:rPr>
          <w:rFonts w:hint="eastAsia" w:ascii="宋体" w:hAnsi="宋体" w:eastAsia="宋体" w:cs="宋体"/>
          <w:b/>
          <w:bCs/>
          <w:color w:val="auto"/>
          <w:sz w:val="20"/>
          <w:szCs w:val="20"/>
          <w:highlight w:val="none"/>
          <w:lang w:val="en-US" w:eastAsia="zh-CN"/>
        </w:rPr>
        <w:t>要求</w:t>
      </w:r>
    </w:p>
    <w:p w14:paraId="784C6648">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1、锻模，主要包括镦粗模、预锻模、终锻模以及配套顶料杆，材质均为5CrNiMo。</w:t>
      </w:r>
    </w:p>
    <w:p w14:paraId="791B4276">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default"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1.1、镦粗模、预锻模、终锻模淬火后至少两次回火，硬度要求HRC44-48；</w:t>
      </w:r>
      <w:r>
        <w:rPr>
          <w:rFonts w:hint="eastAsia" w:ascii="宋体" w:hAnsi="宋体"/>
          <w:sz w:val="20"/>
          <w:szCs w:val="20"/>
          <w:highlight w:val="none"/>
          <w:lang w:val="en-US" w:eastAsia="zh-CN"/>
        </w:rPr>
        <w:t>模具型腔表面粗糙度Ra0.8，其它Ra3.2；</w:t>
      </w:r>
      <w:r>
        <w:rPr>
          <w:rFonts w:hint="eastAsia" w:ascii="宋体" w:hAnsi="宋体" w:eastAsia="宋体" w:cs="宋体"/>
          <w:color w:val="auto"/>
          <w:kern w:val="2"/>
          <w:sz w:val="20"/>
          <w:szCs w:val="20"/>
          <w:highlight w:val="none"/>
          <w:lang w:val="en-US" w:eastAsia="zh-CN" w:bidi="ar-SA"/>
        </w:rPr>
        <w:t>模具加工完成后对模具表面进行精抛</w:t>
      </w:r>
      <w:r>
        <w:rPr>
          <w:rFonts w:hint="eastAsia" w:ascii="宋体" w:hAnsi="宋体" w:cs="宋体"/>
          <w:color w:val="auto"/>
          <w:kern w:val="2"/>
          <w:sz w:val="20"/>
          <w:szCs w:val="20"/>
          <w:highlight w:val="none"/>
          <w:lang w:val="en-US" w:eastAsia="zh-CN" w:bidi="ar-SA"/>
        </w:rPr>
        <w:t>，</w:t>
      </w:r>
      <w:r>
        <w:rPr>
          <w:rFonts w:hint="eastAsia" w:ascii="宋体" w:hAnsi="宋体" w:eastAsia="宋体" w:cs="宋体"/>
          <w:color w:val="auto"/>
          <w:kern w:val="2"/>
          <w:sz w:val="20"/>
          <w:szCs w:val="20"/>
          <w:highlight w:val="none"/>
          <w:lang w:val="en-US" w:eastAsia="zh-CN" w:bidi="ar-SA"/>
        </w:rPr>
        <w:t>抛光公差及加工公差合计不得超过±0.3mm。</w:t>
      </w:r>
    </w:p>
    <w:p w14:paraId="66574976">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default"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1.2、顶料杆调质处理，硬度要求HRC43-47，</w:t>
      </w:r>
      <w:r>
        <w:rPr>
          <w:rFonts w:hint="eastAsia" w:ascii="宋体" w:hAnsi="宋体"/>
          <w:sz w:val="20"/>
          <w:szCs w:val="20"/>
          <w:highlight w:val="none"/>
          <w:lang w:val="en-US" w:eastAsia="zh-CN"/>
        </w:rPr>
        <w:t>表面粗糙度Ra1.6；</w:t>
      </w:r>
      <w:r>
        <w:rPr>
          <w:rFonts w:hint="eastAsia" w:ascii="宋体" w:hAnsi="宋体"/>
          <w:sz w:val="20"/>
          <w:highlight w:val="none"/>
          <w:lang w:val="en-US" w:eastAsia="zh-CN"/>
        </w:rPr>
        <w:t>顶料杆两端面无中心孔，与锻件接触面无倒角；长度公差±0.05mm，与锻模配合直径公差（+0.1，0）mm。</w:t>
      </w:r>
    </w:p>
    <w:p w14:paraId="0955B484">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2、切边模具，主要包括上下凸模（抱切上下模）、凹模、卸料板、顶杆横梁、压板、字头压块以及配套顶料杆等。压板、字头压块、卸料板材质为45#钢，其余均为5CrNiMo。</w:t>
      </w:r>
    </w:p>
    <w:p w14:paraId="61ABED00">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default"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2.1、上下凸模（抱切上下模），调质处理HRC38-43，型腔按照终锻热锻件加工，所有凸圆角缩小至R0.8mm，所有凹圆角在终锻热锻件圆角基础上圆角半径+5mm；大小爪凸模模底向上30mm深度与终锻热锻件一致、凸模与锻件台阶连接处扩大2mm。上下凸模（抱切上下模）外轮廓与凹模刃口配做，单边间隙1.5mm，由凸模（抱切模）做出。冲头杆部单边放大1.4mm。</w:t>
      </w:r>
      <w:r>
        <w:rPr>
          <w:rFonts w:hint="eastAsia" w:ascii="宋体" w:hAnsi="宋体"/>
          <w:color w:val="auto"/>
          <w:sz w:val="20"/>
          <w:szCs w:val="20"/>
          <w:highlight w:val="none"/>
          <w:lang w:val="en-US" w:eastAsia="zh-CN"/>
        </w:rPr>
        <w:t>模具型腔表面粗糙度Ra0.8，其它Ra3.2。冲头字头槽可直接加工也可镶焊，选用字头大小需要与目前甲方在用统一。</w:t>
      </w:r>
      <w:r>
        <w:rPr>
          <w:rFonts w:hint="eastAsia" w:ascii="宋体" w:hAnsi="宋体" w:eastAsia="宋体" w:cs="宋体"/>
          <w:color w:val="auto"/>
          <w:kern w:val="2"/>
          <w:sz w:val="20"/>
          <w:szCs w:val="20"/>
          <w:highlight w:val="none"/>
          <w:lang w:val="en-US" w:eastAsia="zh-CN" w:bidi="ar-SA"/>
        </w:rPr>
        <w:t>抛光公差及加工公差合计不得超过±0.3mm。</w:t>
      </w:r>
    </w:p>
    <w:p w14:paraId="3B38B363">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00" w:firstLineChars="200"/>
        <w:rPr>
          <w:rFonts w:hint="default"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2.2、切边凹模基体调质处理，硬度要求HRC43-47，刃口堆焊HRC48-52。刃口尺寸按照终锻热锻件分模线单边放大0.7mm，刃口堆焊尺寸不小于15×15mm，刃口加工精度±0.1mm。刃口</w:t>
      </w:r>
      <w:r>
        <w:rPr>
          <w:rFonts w:hint="eastAsia" w:ascii="宋体" w:hAnsi="宋体"/>
          <w:color w:val="auto"/>
          <w:sz w:val="20"/>
          <w:szCs w:val="20"/>
          <w:highlight w:val="none"/>
          <w:lang w:val="en-US" w:eastAsia="zh-CN"/>
        </w:rPr>
        <w:t>表面粗糙度Ra0.8，其余Ra3.2。</w:t>
      </w:r>
    </w:p>
    <w:p w14:paraId="238633E3">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00" w:firstLineChars="200"/>
        <w:rPr>
          <w:rFonts w:hint="eastAsia" w:ascii="宋体" w:hAnsi="宋体" w:cs="宋体"/>
          <w:color w:val="FF0000"/>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2.3、压板、字头压块、卸料板调质处理HRC32-38、</w:t>
      </w:r>
      <w:r>
        <w:rPr>
          <w:rFonts w:hint="eastAsia" w:ascii="宋体" w:hAnsi="宋体"/>
          <w:color w:val="auto"/>
          <w:sz w:val="20"/>
          <w:szCs w:val="20"/>
          <w:highlight w:val="none"/>
          <w:lang w:val="en-US" w:eastAsia="zh-CN"/>
        </w:rPr>
        <w:t>表面粗糙度Ra6.3。</w:t>
      </w:r>
      <w:r>
        <w:rPr>
          <w:rFonts w:hint="eastAsia" w:ascii="宋体" w:hAnsi="宋体" w:cs="宋体"/>
          <w:color w:val="auto"/>
          <w:kern w:val="2"/>
          <w:sz w:val="20"/>
          <w:szCs w:val="20"/>
          <w:highlight w:val="none"/>
          <w:lang w:val="en-US" w:eastAsia="zh-CN" w:bidi="ar-SA"/>
        </w:rPr>
        <w:t>卸料板工作轮廓部分按照终锻热锻件分模线尺寸单边放大3mm。</w:t>
      </w:r>
    </w:p>
    <w:p w14:paraId="1B296059">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00" w:firstLineChars="200"/>
        <w:rPr>
          <w:rFonts w:hint="default" w:ascii="宋体" w:hAnsi="宋体" w:cs="宋体"/>
          <w:color w:val="FF0000"/>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2.4、顶杆横梁调质处理HRC38-43，未注倒角C1，</w:t>
      </w:r>
      <w:r>
        <w:rPr>
          <w:rFonts w:hint="eastAsia" w:ascii="宋体" w:hAnsi="宋体"/>
          <w:sz w:val="20"/>
          <w:szCs w:val="20"/>
          <w:highlight w:val="none"/>
          <w:lang w:val="en-US" w:eastAsia="zh-CN"/>
        </w:rPr>
        <w:t>表面粗糙度Ra1.6</w:t>
      </w:r>
      <w:r>
        <w:rPr>
          <w:rFonts w:hint="eastAsia" w:ascii="宋体" w:hAnsi="宋体" w:cs="宋体"/>
          <w:color w:val="auto"/>
          <w:kern w:val="2"/>
          <w:sz w:val="20"/>
          <w:szCs w:val="20"/>
          <w:highlight w:val="none"/>
          <w:lang w:val="en-US" w:eastAsia="zh-CN" w:bidi="ar-SA"/>
        </w:rPr>
        <w:t>。</w:t>
      </w:r>
    </w:p>
    <w:p w14:paraId="552690CD">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00" w:firstLineChars="200"/>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2.5、字头压块与冲头配合使用，选用甲方在用结构。</w:t>
      </w:r>
    </w:p>
    <w:p w14:paraId="02C7BE48">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eastAsia" w:ascii="宋体" w:hAnsi="宋体"/>
          <w:sz w:val="20"/>
          <w:highlight w:val="none"/>
          <w:lang w:val="en-US" w:eastAsia="zh-CN"/>
        </w:rPr>
      </w:pPr>
      <w:r>
        <w:rPr>
          <w:rFonts w:hint="eastAsia" w:ascii="宋体" w:hAnsi="宋体" w:cs="宋体"/>
          <w:color w:val="auto"/>
          <w:kern w:val="2"/>
          <w:sz w:val="20"/>
          <w:szCs w:val="20"/>
          <w:highlight w:val="none"/>
          <w:lang w:val="en-US" w:eastAsia="zh-CN" w:bidi="ar-SA"/>
        </w:rPr>
        <w:t>2.6、顶料杆调质处理，硬度要求HRC43-47，</w:t>
      </w:r>
      <w:r>
        <w:rPr>
          <w:rFonts w:hint="eastAsia" w:ascii="宋体" w:hAnsi="宋体"/>
          <w:sz w:val="20"/>
          <w:szCs w:val="20"/>
          <w:highlight w:val="none"/>
          <w:lang w:val="en-US" w:eastAsia="zh-CN"/>
        </w:rPr>
        <w:t>表面粗糙度Ra1.6；</w:t>
      </w:r>
      <w:r>
        <w:rPr>
          <w:rFonts w:hint="eastAsia" w:ascii="宋体" w:hAnsi="宋体"/>
          <w:sz w:val="20"/>
          <w:highlight w:val="none"/>
          <w:lang w:val="en-US" w:eastAsia="zh-CN"/>
        </w:rPr>
        <w:t>顶料杆两端面无中心孔，与锻件接触面无倒角；长度公差±0.05mm，与锻模配合直径公差（+0.1，0）mm。</w:t>
      </w:r>
    </w:p>
    <w:p w14:paraId="0F2558DA">
      <w:pPr>
        <w:pStyle w:val="5"/>
        <w:keepNext w:val="0"/>
        <w:keepLines w:val="0"/>
        <w:pageBreakBefore w:val="0"/>
        <w:numPr>
          <w:ilvl w:val="0"/>
          <w:numId w:val="0"/>
        </w:numPr>
        <w:kinsoku/>
        <w:wordWrap/>
        <w:overflowPunct/>
        <w:topLinePunct w:val="0"/>
        <w:bidi w:val="0"/>
        <w:snapToGrid/>
        <w:spacing w:line="440" w:lineRule="exact"/>
        <w:ind w:firstLine="400" w:firstLineChars="200"/>
        <w:rPr>
          <w:rFonts w:hint="eastAsia" w:ascii="宋体" w:hAnsi="宋体"/>
          <w:sz w:val="20"/>
          <w:highlight w:val="none"/>
          <w:lang w:val="en-US" w:eastAsia="zh-CN"/>
        </w:rPr>
      </w:pPr>
      <w:r>
        <w:rPr>
          <w:rFonts w:hint="eastAsia" w:ascii="宋体" w:hAnsi="宋体"/>
          <w:sz w:val="20"/>
          <w:highlight w:val="none"/>
          <w:lang w:val="en-US" w:eastAsia="zh-CN"/>
        </w:rPr>
        <w:t>3、</w:t>
      </w:r>
      <w:r>
        <w:rPr>
          <w:rFonts w:hint="eastAsia" w:ascii="宋体" w:hAnsi="宋体" w:cs="宋体"/>
          <w:color w:val="auto"/>
          <w:kern w:val="2"/>
          <w:sz w:val="20"/>
          <w:szCs w:val="20"/>
          <w:highlight w:val="none"/>
          <w:lang w:val="en-US" w:eastAsia="zh-CN" w:bidi="ar-SA"/>
        </w:rPr>
        <w:t>锻模/切边模体外形（与装配相关）必须满足甲方目前通用模座/部件装配要求，</w:t>
      </w:r>
      <w:r>
        <w:rPr>
          <w:rFonts w:hint="eastAsia" w:ascii="宋体" w:hAnsi="宋体"/>
          <w:sz w:val="20"/>
          <w:szCs w:val="20"/>
          <w:highlight w:val="none"/>
          <w:lang w:val="en-US" w:eastAsia="zh-CN"/>
        </w:rPr>
        <w:t>模具安装和配合部位形位尺寸公差执行GB/T1804-f，关键</w:t>
      </w:r>
      <w:r>
        <w:rPr>
          <w:rFonts w:hint="eastAsia" w:ascii="宋体" w:hAnsi="宋体"/>
          <w:sz w:val="20"/>
          <w:highlight w:val="none"/>
          <w:lang w:val="en-US" w:eastAsia="zh-CN"/>
        </w:rPr>
        <w:t>配合尺寸公差见表2要求，其它外形尺寸公差执行GB/T1804-m，未注倒角1×45°。</w:t>
      </w:r>
    </w:p>
    <w:p w14:paraId="65DE8001">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sz w:val="20"/>
          <w:highlight w:val="none"/>
          <w:lang w:val="en-US" w:eastAsia="zh-CN"/>
        </w:rPr>
        <w:t>4、模具标识、产品标识、生产单位代码、生产批次标识等</w:t>
      </w:r>
      <w:r>
        <w:rPr>
          <w:rFonts w:hint="eastAsia" w:ascii="宋体" w:hAnsi="宋体" w:eastAsia="宋体" w:cs="宋体"/>
          <w:sz w:val="20"/>
          <w:szCs w:val="20"/>
          <w:highlight w:val="none"/>
        </w:rPr>
        <w:t>可追溯性标识</w:t>
      </w:r>
      <w:r>
        <w:rPr>
          <w:rFonts w:hint="eastAsia" w:ascii="宋体" w:hAnsi="宋体" w:cs="宋体"/>
          <w:sz w:val="20"/>
          <w:szCs w:val="20"/>
          <w:highlight w:val="none"/>
          <w:lang w:val="en-US" w:eastAsia="zh-CN"/>
        </w:rPr>
        <w:t>必须</w:t>
      </w:r>
      <w:r>
        <w:rPr>
          <w:rFonts w:hint="eastAsia" w:ascii="宋体" w:hAnsi="宋体" w:eastAsia="宋体" w:cs="宋体"/>
          <w:sz w:val="20"/>
          <w:szCs w:val="20"/>
          <w:highlight w:val="none"/>
        </w:rPr>
        <w:t>满足甲方的特定标识要求。</w:t>
      </w:r>
    </w:p>
    <w:p w14:paraId="69AF21B0">
      <w:pPr>
        <w:keepNext w:val="0"/>
        <w:keepLines w:val="0"/>
        <w:pageBreakBefore w:val="0"/>
        <w:tabs>
          <w:tab w:val="left" w:pos="900"/>
        </w:tabs>
        <w:kinsoku/>
        <w:wordWrap/>
        <w:overflowPunct/>
        <w:topLinePunct w:val="0"/>
        <w:bidi w:val="0"/>
        <w:snapToGrid/>
        <w:spacing w:line="440" w:lineRule="exact"/>
        <w:ind w:firstLine="400" w:firstLineChars="200"/>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5、达到合同要求的模具最低寿命。</w:t>
      </w:r>
    </w:p>
    <w:p w14:paraId="172BD563">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6、保证模具成套可用，其它未尽事宜双方协商处理。</w:t>
      </w:r>
    </w:p>
    <w:p w14:paraId="3307162C">
      <w:pPr>
        <w:keepNext w:val="0"/>
        <w:keepLines w:val="0"/>
        <w:pageBreakBefore w:val="0"/>
        <w:tabs>
          <w:tab w:val="left" w:pos="2865"/>
        </w:tabs>
        <w:kinsoku/>
        <w:wordWrap/>
        <w:overflowPunct/>
        <w:topLinePunct w:val="0"/>
        <w:bidi w:val="0"/>
        <w:snapToGrid/>
        <w:spacing w:line="440" w:lineRule="exact"/>
        <w:jc w:val="center"/>
        <w:rPr>
          <w:rFonts w:hint="default" w:ascii="宋体" w:hAnsi="宋体" w:eastAsia="宋体" w:cs="宋体"/>
          <w:b/>
          <w:color w:val="auto"/>
          <w:sz w:val="20"/>
          <w:szCs w:val="20"/>
          <w:lang w:val="en-US" w:eastAsia="zh-CN"/>
        </w:rPr>
      </w:pPr>
      <w:r>
        <w:rPr>
          <w:rFonts w:hint="eastAsia" w:ascii="宋体" w:hAnsi="宋体" w:eastAsia="宋体" w:cs="宋体"/>
          <w:b/>
          <w:color w:val="auto"/>
          <w:sz w:val="20"/>
          <w:szCs w:val="20"/>
        </w:rPr>
        <w:t>第</w:t>
      </w:r>
      <w:r>
        <w:rPr>
          <w:rFonts w:hint="eastAsia" w:ascii="宋体" w:hAnsi="宋体" w:eastAsia="宋体" w:cs="宋体"/>
          <w:b/>
          <w:color w:val="auto"/>
          <w:sz w:val="20"/>
          <w:szCs w:val="20"/>
          <w:lang w:val="en-US" w:eastAsia="zh-CN"/>
        </w:rPr>
        <w:t>三</w:t>
      </w:r>
      <w:r>
        <w:rPr>
          <w:rFonts w:hint="eastAsia" w:ascii="宋体" w:hAnsi="宋体" w:eastAsia="宋体" w:cs="宋体"/>
          <w:b/>
          <w:color w:val="auto"/>
          <w:sz w:val="20"/>
          <w:szCs w:val="20"/>
        </w:rPr>
        <w:t xml:space="preserve">条  </w:t>
      </w:r>
      <w:r>
        <w:rPr>
          <w:rFonts w:hint="eastAsia" w:ascii="宋体" w:hAnsi="宋体" w:cs="宋体"/>
          <w:b/>
          <w:color w:val="auto"/>
          <w:sz w:val="20"/>
          <w:szCs w:val="20"/>
          <w:lang w:val="en-US" w:eastAsia="zh-CN"/>
        </w:rPr>
        <w:t>技术更改及技术文件</w:t>
      </w:r>
    </w:p>
    <w:p w14:paraId="11E6FCA6">
      <w:pPr>
        <w:keepNext w:val="0"/>
        <w:keepLines w:val="0"/>
        <w:pageBreakBefore w:val="0"/>
        <w:tabs>
          <w:tab w:val="left" w:pos="900"/>
        </w:tabs>
        <w:kinsoku/>
        <w:wordWrap/>
        <w:overflowPunct/>
        <w:topLinePunct w:val="0"/>
        <w:bidi w:val="0"/>
        <w:snapToGrid/>
        <w:spacing w:line="44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1、为确保产品质量乙方必须严格执行甲方提供的产品图纸、执行标准、工艺参数等相关的技术要求，并严格执行甲方评审认可的乙方提交的相关的技术文件（表1），加强生产过程中的质量控制。</w:t>
      </w:r>
    </w:p>
    <w:p w14:paraId="4E646947">
      <w:pPr>
        <w:keepNext w:val="0"/>
        <w:keepLines w:val="0"/>
        <w:pageBreakBefore w:val="0"/>
        <w:tabs>
          <w:tab w:val="left" w:pos="900"/>
        </w:tabs>
        <w:kinsoku/>
        <w:wordWrap/>
        <w:overflowPunct/>
        <w:topLinePunct w:val="0"/>
        <w:bidi w:val="0"/>
        <w:snapToGrid/>
        <w:spacing w:line="44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2、如在设计过程中遇到设计更改，甲方及时将技术更改通知乙方，乙方应按更改后的技术要求制造模具并负责将更改后的工装图（三维和二维）等技术文件及时提交给甲方。</w:t>
      </w:r>
    </w:p>
    <w:p w14:paraId="0D31EB13">
      <w:pPr>
        <w:tabs>
          <w:tab w:val="left" w:pos="360"/>
        </w:tabs>
        <w:spacing w:line="4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3、乙方不得自行改变双方共同确认的本协议附表中技术资料，如确实需要更改，应事先征得甲方同意。</w:t>
      </w:r>
    </w:p>
    <w:p w14:paraId="2AC0BADA">
      <w:pPr>
        <w:tabs>
          <w:tab w:val="left" w:pos="360"/>
        </w:tabs>
        <w:spacing w:line="4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4、乙方承诺：符合技术要求只是必要条件，满足使用要求和最终用户的要求是最终目的。</w:t>
      </w:r>
    </w:p>
    <w:p w14:paraId="015F6B97">
      <w:pPr>
        <w:keepNext w:val="0"/>
        <w:keepLines w:val="0"/>
        <w:pageBreakBefore w:val="0"/>
        <w:tabs>
          <w:tab w:val="left" w:pos="2865"/>
        </w:tabs>
        <w:kinsoku/>
        <w:wordWrap/>
        <w:overflowPunct/>
        <w:topLinePunct w:val="0"/>
        <w:bidi w:val="0"/>
        <w:snapToGrid/>
        <w:spacing w:line="440" w:lineRule="exact"/>
        <w:jc w:val="center"/>
        <w:rPr>
          <w:rFonts w:hint="default" w:ascii="宋体" w:hAnsi="宋体" w:eastAsia="宋体" w:cs="宋体"/>
          <w:b/>
          <w:color w:val="auto"/>
          <w:sz w:val="20"/>
          <w:szCs w:val="20"/>
          <w:lang w:val="en-US" w:eastAsia="zh-CN"/>
        </w:rPr>
      </w:pPr>
      <w:r>
        <w:rPr>
          <w:rFonts w:hint="eastAsia" w:ascii="宋体" w:hAnsi="宋体" w:eastAsia="宋体" w:cs="宋体"/>
          <w:b/>
          <w:color w:val="auto"/>
          <w:sz w:val="20"/>
          <w:szCs w:val="20"/>
        </w:rPr>
        <w:t>第</w:t>
      </w:r>
      <w:r>
        <w:rPr>
          <w:rFonts w:hint="eastAsia" w:ascii="宋体" w:hAnsi="宋体" w:cs="宋体"/>
          <w:b/>
          <w:color w:val="auto"/>
          <w:sz w:val="20"/>
          <w:szCs w:val="20"/>
          <w:lang w:val="en-US" w:eastAsia="zh-CN"/>
        </w:rPr>
        <w:t>四</w:t>
      </w:r>
      <w:r>
        <w:rPr>
          <w:rFonts w:hint="eastAsia" w:ascii="宋体" w:hAnsi="宋体" w:eastAsia="宋体" w:cs="宋体"/>
          <w:b/>
          <w:color w:val="auto"/>
          <w:sz w:val="20"/>
          <w:szCs w:val="20"/>
        </w:rPr>
        <w:t xml:space="preserve">条  </w:t>
      </w:r>
      <w:r>
        <w:rPr>
          <w:rFonts w:hint="eastAsia" w:ascii="宋体" w:hAnsi="宋体" w:cs="宋体"/>
          <w:b/>
          <w:color w:val="auto"/>
          <w:sz w:val="20"/>
          <w:szCs w:val="20"/>
          <w:lang w:val="en-US" w:eastAsia="zh-CN"/>
        </w:rPr>
        <w:t>制造过程变更</w:t>
      </w:r>
    </w:p>
    <w:p w14:paraId="71AFE92D">
      <w:pPr>
        <w:tabs>
          <w:tab w:val="left" w:pos="360"/>
        </w:tabs>
        <w:spacing w:line="4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w:t>
      </w:r>
      <w:r>
        <w:rPr>
          <w:rFonts w:hint="eastAsia" w:ascii="宋体" w:hAnsi="宋体" w:cs="宋体"/>
          <w:color w:val="auto"/>
          <w:kern w:val="2"/>
          <w:sz w:val="20"/>
          <w:szCs w:val="20"/>
          <w:highlight w:val="none"/>
          <w:lang w:val="en-US" w:eastAsia="zh-CN" w:bidi="ar-SA"/>
        </w:rPr>
        <w:t>乙方</w:t>
      </w:r>
      <w:r>
        <w:rPr>
          <w:rFonts w:hint="eastAsia" w:ascii="宋体" w:hAnsi="宋体" w:eastAsia="宋体" w:cs="宋体"/>
          <w:color w:val="auto"/>
          <w:kern w:val="2"/>
          <w:sz w:val="20"/>
          <w:szCs w:val="20"/>
          <w:highlight w:val="none"/>
          <w:lang w:val="en-US" w:eastAsia="zh-CN" w:bidi="ar-SA"/>
        </w:rPr>
        <w:t>必须保证产品在生产制造过程中达到</w:t>
      </w:r>
      <w:r>
        <w:rPr>
          <w:rFonts w:hint="eastAsia" w:ascii="宋体" w:hAnsi="宋体" w:cs="宋体"/>
          <w:color w:val="auto"/>
          <w:kern w:val="2"/>
          <w:sz w:val="20"/>
          <w:szCs w:val="20"/>
          <w:highlight w:val="none"/>
          <w:lang w:val="en-US" w:eastAsia="zh-CN" w:bidi="ar-SA"/>
        </w:rPr>
        <w:t>甲方</w:t>
      </w:r>
      <w:r>
        <w:rPr>
          <w:rFonts w:hint="eastAsia" w:ascii="宋体" w:hAnsi="宋体" w:eastAsia="宋体" w:cs="宋体"/>
          <w:color w:val="auto"/>
          <w:kern w:val="2"/>
          <w:sz w:val="20"/>
          <w:szCs w:val="20"/>
          <w:highlight w:val="none"/>
          <w:lang w:val="en-US" w:eastAsia="zh-CN" w:bidi="ar-SA"/>
        </w:rPr>
        <w:t>规定的质量要求并检测合格。</w:t>
      </w:r>
    </w:p>
    <w:p w14:paraId="11E5E23D">
      <w:pPr>
        <w:tabs>
          <w:tab w:val="left" w:pos="360"/>
        </w:tabs>
        <w:spacing w:line="4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w:t>
      </w:r>
      <w:r>
        <w:rPr>
          <w:rFonts w:hint="eastAsia" w:ascii="宋体" w:hAnsi="宋体" w:cs="宋体"/>
          <w:color w:val="auto"/>
          <w:kern w:val="2"/>
          <w:sz w:val="20"/>
          <w:szCs w:val="20"/>
          <w:highlight w:val="none"/>
          <w:lang w:val="en-US" w:eastAsia="zh-CN" w:bidi="ar-SA"/>
        </w:rPr>
        <w:t>甲方</w:t>
      </w:r>
      <w:r>
        <w:rPr>
          <w:rFonts w:hint="eastAsia" w:ascii="宋体" w:hAnsi="宋体" w:eastAsia="宋体" w:cs="宋体"/>
          <w:color w:val="auto"/>
          <w:kern w:val="2"/>
          <w:sz w:val="20"/>
          <w:szCs w:val="20"/>
          <w:highlight w:val="none"/>
          <w:lang w:val="en-US" w:eastAsia="zh-CN" w:bidi="ar-SA"/>
        </w:rPr>
        <w:t>根据产品质量升级等方面的要求，可向</w:t>
      </w:r>
      <w:r>
        <w:rPr>
          <w:rFonts w:hint="eastAsia" w:ascii="宋体" w:hAnsi="宋体" w:cs="宋体"/>
          <w:color w:val="auto"/>
          <w:kern w:val="2"/>
          <w:sz w:val="20"/>
          <w:szCs w:val="20"/>
          <w:highlight w:val="none"/>
          <w:lang w:val="en-US" w:eastAsia="zh-CN" w:bidi="ar-SA"/>
        </w:rPr>
        <w:t>乙方</w:t>
      </w:r>
      <w:r>
        <w:rPr>
          <w:rFonts w:hint="eastAsia" w:ascii="宋体" w:hAnsi="宋体" w:eastAsia="宋体" w:cs="宋体"/>
          <w:color w:val="auto"/>
          <w:kern w:val="2"/>
          <w:sz w:val="20"/>
          <w:szCs w:val="20"/>
          <w:highlight w:val="none"/>
          <w:lang w:val="en-US" w:eastAsia="zh-CN" w:bidi="ar-SA"/>
        </w:rPr>
        <w:t>提出对产品进行重新鉴定或认证的要求，</w:t>
      </w:r>
      <w:r>
        <w:rPr>
          <w:rFonts w:hint="eastAsia" w:ascii="宋体" w:hAnsi="宋体" w:cs="宋体"/>
          <w:color w:val="auto"/>
          <w:kern w:val="2"/>
          <w:sz w:val="20"/>
          <w:szCs w:val="20"/>
          <w:highlight w:val="none"/>
          <w:lang w:val="en-US" w:eastAsia="zh-CN" w:bidi="ar-SA"/>
        </w:rPr>
        <w:t>乙方</w:t>
      </w:r>
      <w:r>
        <w:rPr>
          <w:rFonts w:hint="eastAsia" w:ascii="宋体" w:hAnsi="宋体" w:eastAsia="宋体" w:cs="宋体"/>
          <w:color w:val="auto"/>
          <w:kern w:val="2"/>
          <w:sz w:val="20"/>
          <w:szCs w:val="20"/>
          <w:highlight w:val="none"/>
          <w:lang w:val="en-US" w:eastAsia="zh-CN" w:bidi="ar-SA"/>
        </w:rPr>
        <w:t>应提供足够的产品样本，并配合</w:t>
      </w:r>
      <w:r>
        <w:rPr>
          <w:rFonts w:hint="eastAsia" w:ascii="宋体" w:hAnsi="宋体" w:cs="宋体"/>
          <w:color w:val="auto"/>
          <w:kern w:val="2"/>
          <w:sz w:val="20"/>
          <w:szCs w:val="20"/>
          <w:highlight w:val="none"/>
          <w:lang w:val="en-US" w:eastAsia="zh-CN" w:bidi="ar-SA"/>
        </w:rPr>
        <w:t>甲方</w:t>
      </w:r>
      <w:r>
        <w:rPr>
          <w:rFonts w:hint="eastAsia" w:ascii="宋体" w:hAnsi="宋体" w:eastAsia="宋体" w:cs="宋体"/>
          <w:color w:val="auto"/>
          <w:kern w:val="2"/>
          <w:sz w:val="20"/>
          <w:szCs w:val="20"/>
          <w:highlight w:val="none"/>
          <w:lang w:val="en-US" w:eastAsia="zh-CN" w:bidi="ar-SA"/>
        </w:rPr>
        <w:t>共同完成产品的鉴定或认证工作，其结果双方共享。</w:t>
      </w:r>
    </w:p>
    <w:p w14:paraId="632C96E4">
      <w:pPr>
        <w:tabs>
          <w:tab w:val="left" w:pos="360"/>
        </w:tabs>
        <w:spacing w:line="460" w:lineRule="exact"/>
        <w:ind w:firstLine="400" w:firstLineChars="200"/>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3、如果</w:t>
      </w:r>
      <w:r>
        <w:rPr>
          <w:rFonts w:hint="eastAsia" w:ascii="宋体" w:hAnsi="宋体" w:cs="宋体"/>
          <w:color w:val="auto"/>
          <w:kern w:val="2"/>
          <w:sz w:val="20"/>
          <w:szCs w:val="20"/>
          <w:highlight w:val="none"/>
          <w:lang w:val="en-US" w:eastAsia="zh-CN" w:bidi="ar-SA"/>
        </w:rPr>
        <w:t>乙方</w:t>
      </w:r>
      <w:r>
        <w:rPr>
          <w:rFonts w:hint="eastAsia" w:ascii="宋体" w:hAnsi="宋体" w:eastAsia="宋体" w:cs="宋体"/>
          <w:color w:val="auto"/>
          <w:kern w:val="2"/>
          <w:sz w:val="20"/>
          <w:szCs w:val="20"/>
          <w:highlight w:val="none"/>
          <w:lang w:val="en-US" w:eastAsia="zh-CN" w:bidi="ar-SA"/>
        </w:rPr>
        <w:t>的生产基地、生产工艺、材料或配套厂商发生了改变，则应及时书面报告</w:t>
      </w:r>
      <w:r>
        <w:rPr>
          <w:rFonts w:hint="eastAsia" w:ascii="宋体" w:hAnsi="宋体" w:cs="宋体"/>
          <w:color w:val="auto"/>
          <w:kern w:val="2"/>
          <w:sz w:val="20"/>
          <w:szCs w:val="20"/>
          <w:highlight w:val="none"/>
          <w:lang w:val="en-US" w:eastAsia="zh-CN" w:bidi="ar-SA"/>
        </w:rPr>
        <w:t>甲方</w:t>
      </w:r>
      <w:r>
        <w:rPr>
          <w:rFonts w:hint="eastAsia" w:ascii="宋体" w:hAnsi="宋体" w:eastAsia="宋体" w:cs="宋体"/>
          <w:color w:val="auto"/>
          <w:kern w:val="2"/>
          <w:sz w:val="20"/>
          <w:szCs w:val="20"/>
          <w:highlight w:val="none"/>
          <w:lang w:val="en-US" w:eastAsia="zh-CN" w:bidi="ar-SA"/>
        </w:rPr>
        <w:t>，重新提供相关资料（表1）并取得甲方评审认可。</w:t>
      </w:r>
    </w:p>
    <w:p w14:paraId="23DE6259">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sz w:val="20"/>
          <w:szCs w:val="20"/>
          <w:highlight w:val="none"/>
        </w:rPr>
      </w:pPr>
      <w:r>
        <w:rPr>
          <w:rFonts w:hint="eastAsia" w:ascii="宋体" w:hAnsi="宋体" w:eastAsia="宋体" w:cs="宋体"/>
          <w:b/>
          <w:sz w:val="20"/>
          <w:szCs w:val="20"/>
          <w:highlight w:val="none"/>
        </w:rPr>
        <w:t>第</w:t>
      </w:r>
      <w:r>
        <w:rPr>
          <w:rFonts w:hint="eastAsia" w:ascii="宋体" w:hAnsi="宋体" w:cs="宋体"/>
          <w:b/>
          <w:sz w:val="20"/>
          <w:szCs w:val="20"/>
          <w:highlight w:val="none"/>
          <w:lang w:val="en-US" w:eastAsia="zh-CN"/>
        </w:rPr>
        <w:t>五</w:t>
      </w:r>
      <w:r>
        <w:rPr>
          <w:rFonts w:hint="eastAsia" w:ascii="宋体" w:hAnsi="宋体" w:eastAsia="宋体" w:cs="宋体"/>
          <w:b/>
          <w:sz w:val="20"/>
          <w:szCs w:val="20"/>
          <w:highlight w:val="none"/>
        </w:rPr>
        <w:t>条  产品包装</w:t>
      </w:r>
    </w:p>
    <w:p w14:paraId="1CC197F3">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1、乙方产品包装须严格执行甲方的企业标准或国家标准和行业有关标准及甲方的其它包装要求。</w:t>
      </w:r>
    </w:p>
    <w:p w14:paraId="7B97A359">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2、乙方的产品包装必须保证产品质量在运输、储存过程中不降低。</w:t>
      </w:r>
    </w:p>
    <w:p w14:paraId="26B2CF78">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cs="宋体"/>
          <w:sz w:val="20"/>
          <w:szCs w:val="20"/>
          <w:highlight w:val="none"/>
          <w:lang w:val="en-US" w:eastAsia="zh-CN"/>
        </w:rPr>
        <w:t>3</w:t>
      </w:r>
      <w:r>
        <w:rPr>
          <w:rFonts w:hint="eastAsia" w:ascii="宋体" w:hAnsi="宋体" w:eastAsia="宋体" w:cs="宋体"/>
          <w:sz w:val="20"/>
          <w:szCs w:val="20"/>
          <w:highlight w:val="none"/>
        </w:rPr>
        <w:t>、乙方对其供给甲方的产品必须进行可追溯性标识，同时须满足甲方的特定标识要求。</w:t>
      </w:r>
    </w:p>
    <w:p w14:paraId="3A8A72C7">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rPr>
        <w:t>、产品标识部位以不影响产品质量为原则，除甲方明确要求的标识部位外，乙方可自行选择部位，并将标识部位传给甲方备案。</w:t>
      </w:r>
    </w:p>
    <w:p w14:paraId="06A4601E">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cs="宋体"/>
          <w:b/>
          <w:sz w:val="20"/>
          <w:szCs w:val="20"/>
          <w:highlight w:val="none"/>
          <w:lang w:val="en-US" w:eastAsia="zh-CN"/>
        </w:rPr>
      </w:pPr>
      <w:r>
        <w:rPr>
          <w:rFonts w:hint="eastAsia" w:ascii="宋体" w:hAnsi="宋体" w:eastAsia="宋体" w:cs="宋体"/>
          <w:b/>
          <w:sz w:val="20"/>
          <w:szCs w:val="20"/>
          <w:highlight w:val="none"/>
        </w:rPr>
        <w:t>第</w:t>
      </w:r>
      <w:r>
        <w:rPr>
          <w:rFonts w:hint="eastAsia" w:ascii="宋体" w:hAnsi="宋体" w:cs="宋体"/>
          <w:b/>
          <w:sz w:val="20"/>
          <w:szCs w:val="20"/>
          <w:highlight w:val="none"/>
          <w:lang w:val="en-US" w:eastAsia="zh-CN"/>
        </w:rPr>
        <w:t>六</w:t>
      </w:r>
      <w:r>
        <w:rPr>
          <w:rFonts w:hint="eastAsia" w:ascii="宋体" w:hAnsi="宋体" w:eastAsia="宋体" w:cs="宋体"/>
          <w:b/>
          <w:sz w:val="20"/>
          <w:szCs w:val="20"/>
          <w:highlight w:val="none"/>
        </w:rPr>
        <w:t xml:space="preserve">条  </w:t>
      </w:r>
      <w:r>
        <w:rPr>
          <w:rFonts w:hint="eastAsia" w:ascii="宋体" w:hAnsi="宋体" w:cs="宋体"/>
          <w:b/>
          <w:sz w:val="20"/>
          <w:szCs w:val="20"/>
          <w:highlight w:val="none"/>
          <w:lang w:val="en-US" w:eastAsia="zh-CN"/>
        </w:rPr>
        <w:t>预验收及交货</w:t>
      </w:r>
    </w:p>
    <w:p w14:paraId="5D7FDBC7">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1、</w:t>
      </w:r>
      <w:r>
        <w:rPr>
          <w:rFonts w:hint="eastAsia" w:ascii="宋体" w:hAnsi="宋体" w:eastAsia="宋体" w:cs="宋体"/>
          <w:sz w:val="20"/>
          <w:szCs w:val="20"/>
          <w:highlight w:val="none"/>
        </w:rPr>
        <w:t>必要时</w:t>
      </w:r>
      <w:r>
        <w:rPr>
          <w:rFonts w:hint="eastAsia" w:ascii="宋体" w:hAnsi="宋体" w:cs="宋体"/>
          <w:sz w:val="20"/>
          <w:szCs w:val="20"/>
          <w:highlight w:val="none"/>
          <w:lang w:eastAsia="zh-CN"/>
        </w:rPr>
        <w:t>甲方</w:t>
      </w:r>
      <w:r>
        <w:rPr>
          <w:rFonts w:hint="eastAsia" w:ascii="宋体" w:hAnsi="宋体" w:eastAsia="宋体" w:cs="宋体"/>
          <w:sz w:val="20"/>
          <w:szCs w:val="20"/>
          <w:highlight w:val="none"/>
        </w:rPr>
        <w:t>派专业人员在发货前20天到乙方工厂进行预验收，检查确认</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数量及结构完整，并签署预验收备忘录。</w:t>
      </w:r>
    </w:p>
    <w:p w14:paraId="646915F8">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交货地点：济南成型厂。</w:t>
      </w:r>
    </w:p>
    <w:p w14:paraId="56BE1992">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3、</w:t>
      </w:r>
      <w:r>
        <w:rPr>
          <w:rFonts w:hint="eastAsia" w:ascii="宋体" w:hAnsi="宋体" w:eastAsia="宋体" w:cs="宋体"/>
          <w:sz w:val="20"/>
          <w:szCs w:val="20"/>
          <w:highlight w:val="none"/>
        </w:rPr>
        <w:t>进厂检验：新工装到厂后，质量部核对</w:t>
      </w:r>
      <w:r>
        <w:rPr>
          <w:rFonts w:hint="eastAsia" w:ascii="宋体" w:hAnsi="宋体" w:cs="宋体"/>
          <w:sz w:val="20"/>
          <w:szCs w:val="20"/>
          <w:highlight w:val="none"/>
          <w:lang w:val="en-US" w:eastAsia="zh-CN"/>
        </w:rPr>
        <w:t>乙</w:t>
      </w:r>
      <w:r>
        <w:rPr>
          <w:rFonts w:hint="eastAsia" w:ascii="宋体" w:hAnsi="宋体" w:eastAsia="宋体" w:cs="宋体"/>
          <w:sz w:val="20"/>
          <w:szCs w:val="20"/>
          <w:highlight w:val="none"/>
        </w:rPr>
        <w:t>方提供自检报告（</w:t>
      </w:r>
      <w:r>
        <w:rPr>
          <w:rFonts w:hint="eastAsia" w:ascii="宋体" w:hAnsi="宋体" w:eastAsia="宋体" w:cs="宋体"/>
          <w:sz w:val="20"/>
          <w:szCs w:val="20"/>
          <w:highlight w:val="none"/>
          <w:lang w:val="en-US" w:eastAsia="zh-CN"/>
        </w:rPr>
        <w:t>表1</w:t>
      </w:r>
      <w:r>
        <w:rPr>
          <w:rFonts w:hint="eastAsia" w:ascii="宋体" w:hAnsi="宋体" w:eastAsia="宋体" w:cs="宋体"/>
          <w:sz w:val="20"/>
          <w:szCs w:val="20"/>
          <w:highlight w:val="none"/>
        </w:rPr>
        <w:t>），</w:t>
      </w:r>
      <w:r>
        <w:rPr>
          <w:rFonts w:hint="eastAsia" w:ascii="宋体" w:hAnsi="宋体" w:eastAsia="宋体" w:cs="宋体"/>
          <w:sz w:val="20"/>
          <w:szCs w:val="20"/>
          <w:highlight w:val="none"/>
          <w:lang w:val="en-US" w:eastAsia="zh-CN"/>
        </w:rPr>
        <w:t>并进行硬度、三维扫描</w:t>
      </w:r>
      <w:r>
        <w:rPr>
          <w:rFonts w:hint="eastAsia" w:ascii="宋体" w:hAnsi="宋体" w:cs="宋体"/>
          <w:sz w:val="20"/>
          <w:szCs w:val="20"/>
          <w:highlight w:val="none"/>
          <w:lang w:val="en-US" w:eastAsia="zh-CN"/>
        </w:rPr>
        <w:t>对比</w:t>
      </w:r>
      <w:r>
        <w:rPr>
          <w:rFonts w:hint="eastAsia" w:ascii="宋体" w:hAnsi="宋体" w:eastAsia="宋体" w:cs="宋体"/>
          <w:sz w:val="20"/>
          <w:szCs w:val="20"/>
          <w:highlight w:val="none"/>
          <w:lang w:val="en-US" w:eastAsia="zh-CN"/>
        </w:rPr>
        <w:t>等检验。</w:t>
      </w:r>
    </w:p>
    <w:p w14:paraId="59506994">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4、</w:t>
      </w:r>
      <w:r>
        <w:rPr>
          <w:rFonts w:hint="eastAsia" w:ascii="宋体" w:hAnsi="宋体" w:cs="宋体"/>
          <w:sz w:val="20"/>
          <w:szCs w:val="20"/>
          <w:highlight w:val="none"/>
          <w:lang w:eastAsia="zh-CN"/>
        </w:rPr>
        <w:t>乙方</w:t>
      </w:r>
      <w:r>
        <w:rPr>
          <w:rFonts w:hint="eastAsia" w:ascii="宋体" w:hAnsi="宋体" w:eastAsia="宋体" w:cs="宋体"/>
          <w:sz w:val="20"/>
          <w:szCs w:val="20"/>
          <w:highlight w:val="none"/>
        </w:rPr>
        <w:t>提供完整的</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清单及图纸</w:t>
      </w:r>
      <w:r>
        <w:rPr>
          <w:rFonts w:hint="eastAsia" w:ascii="宋体" w:hAnsi="宋体" w:eastAsia="宋体" w:cs="宋体"/>
          <w:sz w:val="20"/>
          <w:szCs w:val="20"/>
          <w:highlight w:val="none"/>
          <w:lang w:eastAsia="zh-CN"/>
        </w:rPr>
        <w:t>。</w:t>
      </w:r>
    </w:p>
    <w:p w14:paraId="20CB3462">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5、</w:t>
      </w:r>
      <w:r>
        <w:rPr>
          <w:rFonts w:hint="eastAsia" w:ascii="宋体" w:hAnsi="宋体" w:eastAsia="宋体" w:cs="宋体"/>
          <w:sz w:val="20"/>
          <w:szCs w:val="20"/>
          <w:highlight w:val="none"/>
        </w:rPr>
        <w:t>模具做防锈处理。</w:t>
      </w:r>
    </w:p>
    <w:p w14:paraId="0708752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b/>
          <w:sz w:val="20"/>
          <w:szCs w:val="20"/>
          <w:highlight w:val="none"/>
        </w:rPr>
        <w:t>第</w:t>
      </w:r>
      <w:r>
        <w:rPr>
          <w:rFonts w:hint="eastAsia" w:ascii="宋体" w:hAnsi="宋体" w:cs="宋体"/>
          <w:b/>
          <w:sz w:val="20"/>
          <w:szCs w:val="20"/>
          <w:highlight w:val="none"/>
          <w:lang w:val="en-US" w:eastAsia="zh-CN"/>
        </w:rPr>
        <w:t>七</w:t>
      </w:r>
      <w:r>
        <w:rPr>
          <w:rFonts w:hint="eastAsia" w:ascii="宋体" w:hAnsi="宋体" w:eastAsia="宋体" w:cs="宋体"/>
          <w:b/>
          <w:sz w:val="20"/>
          <w:szCs w:val="20"/>
          <w:highlight w:val="none"/>
        </w:rPr>
        <w:t xml:space="preserve">条  </w:t>
      </w:r>
      <w:r>
        <w:rPr>
          <w:rFonts w:hint="eastAsia" w:ascii="宋体" w:hAnsi="宋体" w:cs="宋体"/>
          <w:b/>
          <w:sz w:val="20"/>
          <w:szCs w:val="20"/>
          <w:highlight w:val="none"/>
          <w:lang w:val="en-US" w:eastAsia="zh-CN"/>
        </w:rPr>
        <w:t>调试、验证</w:t>
      </w:r>
    </w:p>
    <w:p w14:paraId="47F1DEEF">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1、</w:t>
      </w:r>
      <w:r>
        <w:rPr>
          <w:rFonts w:hint="eastAsia" w:ascii="宋体" w:hAnsi="宋体" w:eastAsia="宋体" w:cs="宋体"/>
          <w:sz w:val="20"/>
          <w:szCs w:val="20"/>
          <w:highlight w:val="none"/>
        </w:rPr>
        <w:t>模具安装后进行空载运行，模具活动部分动作正常、可靠。</w:t>
      </w:r>
    </w:p>
    <w:p w14:paraId="632F19EC">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新</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需连续生产一个班</w:t>
      </w:r>
      <w:r>
        <w:rPr>
          <w:rFonts w:hint="eastAsia" w:ascii="宋体" w:hAnsi="宋体" w:eastAsia="宋体" w:cs="宋体"/>
          <w:sz w:val="20"/>
          <w:szCs w:val="20"/>
          <w:highlight w:val="none"/>
          <w:lang w:val="en-US" w:eastAsia="zh-CN"/>
        </w:rPr>
        <w:t>或者</w:t>
      </w:r>
      <w:r>
        <w:rPr>
          <w:rFonts w:hint="eastAsia" w:ascii="宋体" w:hAnsi="宋体" w:cs="宋体"/>
          <w:sz w:val="20"/>
          <w:szCs w:val="20"/>
          <w:highlight w:val="none"/>
          <w:lang w:val="en-US" w:eastAsia="zh-CN"/>
        </w:rPr>
        <w:t>连续生产</w:t>
      </w:r>
      <w:r>
        <w:rPr>
          <w:rFonts w:hint="eastAsia" w:ascii="宋体" w:hAnsi="宋体" w:eastAsia="宋体" w:cs="宋体"/>
          <w:sz w:val="20"/>
          <w:szCs w:val="20"/>
          <w:highlight w:val="none"/>
          <w:lang w:val="en-US" w:eastAsia="zh-CN"/>
        </w:rPr>
        <w:t>不少于300件</w:t>
      </w:r>
      <w:r>
        <w:rPr>
          <w:rFonts w:hint="eastAsia" w:ascii="宋体" w:hAnsi="宋体" w:eastAsia="宋体" w:cs="宋体"/>
          <w:sz w:val="20"/>
          <w:szCs w:val="20"/>
          <w:highlight w:val="none"/>
        </w:rPr>
        <w:t>的合格</w:t>
      </w:r>
      <w:r>
        <w:rPr>
          <w:rFonts w:hint="eastAsia" w:ascii="宋体" w:hAnsi="宋体" w:eastAsia="宋体" w:cs="宋体"/>
          <w:sz w:val="20"/>
          <w:szCs w:val="20"/>
          <w:highlight w:val="none"/>
          <w:lang w:val="en-US" w:eastAsia="zh-CN"/>
        </w:rPr>
        <w:t>锻件</w:t>
      </w:r>
      <w:r>
        <w:rPr>
          <w:rFonts w:hint="eastAsia" w:ascii="宋体" w:hAnsi="宋体" w:eastAsia="宋体" w:cs="宋体"/>
          <w:sz w:val="20"/>
          <w:szCs w:val="20"/>
          <w:highlight w:val="none"/>
        </w:rPr>
        <w:t>，</w:t>
      </w:r>
      <w:r>
        <w:rPr>
          <w:rFonts w:hint="eastAsia" w:ascii="宋体" w:hAnsi="宋体" w:eastAsia="宋体" w:cs="宋体"/>
          <w:sz w:val="20"/>
          <w:szCs w:val="20"/>
          <w:highlight w:val="none"/>
          <w:lang w:val="en-US" w:eastAsia="zh-CN"/>
        </w:rPr>
        <w:t>锻件三维扫描</w:t>
      </w:r>
      <w:r>
        <w:rPr>
          <w:rFonts w:hint="eastAsia" w:ascii="宋体" w:hAnsi="宋体" w:eastAsia="宋体" w:cs="宋体"/>
          <w:sz w:val="20"/>
          <w:szCs w:val="20"/>
          <w:highlight w:val="none"/>
        </w:rPr>
        <w:t>检验</w:t>
      </w:r>
      <w:r>
        <w:rPr>
          <w:rFonts w:hint="eastAsia" w:ascii="宋体" w:hAnsi="宋体" w:cs="宋体"/>
          <w:sz w:val="20"/>
          <w:szCs w:val="20"/>
          <w:highlight w:val="none"/>
          <w:lang w:val="en-US" w:eastAsia="zh-CN"/>
        </w:rPr>
        <w:t>合</w:t>
      </w:r>
      <w:r>
        <w:rPr>
          <w:rFonts w:hint="eastAsia" w:ascii="宋体" w:hAnsi="宋体" w:eastAsia="宋体" w:cs="宋体"/>
          <w:sz w:val="20"/>
          <w:szCs w:val="20"/>
          <w:highlight w:val="none"/>
          <w:lang w:val="en-US" w:eastAsia="zh-CN"/>
        </w:rPr>
        <w:t>格且热处理后</w:t>
      </w:r>
      <w:r>
        <w:rPr>
          <w:rFonts w:hint="eastAsia" w:ascii="宋体" w:hAnsi="宋体" w:eastAsia="宋体" w:cs="宋体"/>
          <w:sz w:val="20"/>
          <w:szCs w:val="20"/>
          <w:highlight w:val="none"/>
        </w:rPr>
        <w:t>因</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设计或制作造成</w:t>
      </w:r>
      <w:r>
        <w:rPr>
          <w:rFonts w:hint="eastAsia" w:ascii="宋体" w:hAnsi="宋体" w:eastAsia="宋体" w:cs="宋体"/>
          <w:sz w:val="20"/>
          <w:szCs w:val="20"/>
          <w:highlight w:val="none"/>
          <w:lang w:val="en-US" w:eastAsia="zh-CN"/>
        </w:rPr>
        <w:t>的锻件废品率≤5%</w:t>
      </w:r>
      <w:r>
        <w:rPr>
          <w:rFonts w:hint="eastAsia" w:ascii="宋体" w:hAnsi="宋体" w:eastAsia="宋体" w:cs="宋体"/>
          <w:sz w:val="20"/>
          <w:szCs w:val="20"/>
          <w:highlight w:val="none"/>
        </w:rPr>
        <w:t>认为</w:t>
      </w:r>
      <w:r>
        <w:rPr>
          <w:rFonts w:hint="eastAsia" w:ascii="宋体" w:hAnsi="宋体" w:cs="宋体"/>
          <w:sz w:val="20"/>
          <w:szCs w:val="20"/>
          <w:highlight w:val="none"/>
          <w:lang w:val="en-US" w:eastAsia="zh-CN"/>
        </w:rPr>
        <w:t>验证成功、模具</w:t>
      </w:r>
      <w:r>
        <w:rPr>
          <w:rFonts w:hint="eastAsia" w:ascii="宋体" w:hAnsi="宋体" w:eastAsia="宋体" w:cs="宋体"/>
          <w:sz w:val="20"/>
          <w:szCs w:val="20"/>
          <w:highlight w:val="none"/>
        </w:rPr>
        <w:t>合格</w:t>
      </w:r>
      <w:r>
        <w:rPr>
          <w:rFonts w:hint="eastAsia" w:ascii="宋体" w:hAnsi="宋体" w:cs="宋体"/>
          <w:sz w:val="20"/>
          <w:szCs w:val="20"/>
          <w:highlight w:val="none"/>
          <w:lang w:eastAsia="zh-CN"/>
        </w:rPr>
        <w:t>（</w:t>
      </w:r>
      <w:r>
        <w:rPr>
          <w:rFonts w:hint="eastAsia" w:ascii="宋体" w:hAnsi="宋体" w:cs="宋体"/>
          <w:sz w:val="20"/>
          <w:szCs w:val="20"/>
          <w:highlight w:val="none"/>
          <w:lang w:val="en-US" w:eastAsia="zh-CN"/>
        </w:rPr>
        <w:t>总结报告</w:t>
      </w:r>
      <w:r>
        <w:rPr>
          <w:rFonts w:hint="eastAsia" w:ascii="宋体" w:hAnsi="宋体" w:cs="宋体"/>
          <w:sz w:val="20"/>
          <w:szCs w:val="20"/>
          <w:highlight w:val="none"/>
          <w:lang w:eastAsia="zh-CN"/>
        </w:rPr>
        <w:t>）</w:t>
      </w:r>
      <w:r>
        <w:rPr>
          <w:rFonts w:hint="eastAsia" w:ascii="宋体" w:hAnsi="宋体" w:eastAsia="宋体" w:cs="宋体"/>
          <w:sz w:val="20"/>
          <w:szCs w:val="20"/>
          <w:highlight w:val="none"/>
        </w:rPr>
        <w:t>。</w:t>
      </w:r>
    </w:p>
    <w:p w14:paraId="33BBA705">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cs="宋体"/>
          <w:sz w:val="20"/>
          <w:szCs w:val="20"/>
          <w:highlight w:val="none"/>
          <w:lang w:val="en-US" w:eastAsia="zh-CN"/>
        </w:rPr>
        <w:t>3、</w:t>
      </w:r>
      <w:r>
        <w:rPr>
          <w:rFonts w:hint="eastAsia" w:ascii="宋体" w:hAnsi="宋体" w:eastAsia="宋体" w:cs="宋体"/>
          <w:b/>
          <w:bCs/>
          <w:sz w:val="20"/>
          <w:szCs w:val="20"/>
          <w:highlight w:val="none"/>
          <w:lang w:val="en-US" w:eastAsia="zh-CN"/>
        </w:rPr>
        <w:t>因</w:t>
      </w:r>
      <w:r>
        <w:rPr>
          <w:rFonts w:hint="eastAsia" w:ascii="宋体" w:hAnsi="宋体" w:cs="宋体"/>
          <w:b/>
          <w:bCs/>
          <w:sz w:val="20"/>
          <w:szCs w:val="20"/>
          <w:highlight w:val="none"/>
          <w:lang w:val="en-US" w:eastAsia="zh-CN"/>
        </w:rPr>
        <w:t>模具</w:t>
      </w:r>
      <w:r>
        <w:rPr>
          <w:rFonts w:hint="eastAsia" w:ascii="宋体" w:hAnsi="宋体" w:eastAsia="宋体" w:cs="宋体"/>
          <w:b/>
          <w:bCs/>
          <w:sz w:val="20"/>
          <w:szCs w:val="20"/>
          <w:highlight w:val="none"/>
          <w:lang w:val="en-US" w:eastAsia="zh-CN"/>
        </w:rPr>
        <w:t>设计或</w:t>
      </w:r>
      <w:r>
        <w:rPr>
          <w:rFonts w:hint="eastAsia" w:ascii="宋体" w:hAnsi="宋体" w:eastAsia="宋体" w:cs="宋体"/>
          <w:b/>
          <w:bCs/>
          <w:sz w:val="20"/>
          <w:szCs w:val="20"/>
          <w:highlight w:val="none"/>
        </w:rPr>
        <w:t>制作原因未验证成功的，由乙方免费修改模具，直至验证成功。</w:t>
      </w:r>
    </w:p>
    <w:p w14:paraId="62AFE160">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highlight w:val="none"/>
        </w:rPr>
      </w:pP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调试验证时</w:t>
      </w:r>
      <w:r>
        <w:rPr>
          <w:rFonts w:hint="eastAsia" w:ascii="宋体" w:hAnsi="宋体" w:cs="宋体"/>
          <w:sz w:val="20"/>
          <w:szCs w:val="20"/>
          <w:highlight w:val="none"/>
          <w:lang w:eastAsia="zh-CN"/>
        </w:rPr>
        <w:t>甲方</w:t>
      </w:r>
      <w:r>
        <w:rPr>
          <w:rFonts w:hint="eastAsia" w:ascii="宋体" w:hAnsi="宋体" w:eastAsia="宋体" w:cs="宋体"/>
          <w:sz w:val="20"/>
          <w:szCs w:val="20"/>
          <w:highlight w:val="none"/>
        </w:rPr>
        <w:t>提前通知</w:t>
      </w:r>
      <w:r>
        <w:rPr>
          <w:rFonts w:hint="eastAsia" w:ascii="宋体" w:hAnsi="宋体" w:cs="宋体"/>
          <w:sz w:val="20"/>
          <w:szCs w:val="20"/>
          <w:highlight w:val="none"/>
          <w:lang w:eastAsia="zh-CN"/>
        </w:rPr>
        <w:t>乙方</w:t>
      </w:r>
      <w:r>
        <w:rPr>
          <w:rFonts w:hint="eastAsia" w:ascii="宋体" w:hAnsi="宋体" w:eastAsia="宋体" w:cs="宋体"/>
          <w:sz w:val="20"/>
          <w:szCs w:val="20"/>
          <w:highlight w:val="none"/>
        </w:rPr>
        <w:t>，</w:t>
      </w:r>
      <w:r>
        <w:rPr>
          <w:rFonts w:hint="eastAsia" w:ascii="宋体" w:hAnsi="宋体" w:cs="宋体"/>
          <w:sz w:val="20"/>
          <w:szCs w:val="20"/>
          <w:highlight w:val="none"/>
          <w:lang w:eastAsia="zh-CN"/>
        </w:rPr>
        <w:t>乙方</w:t>
      </w:r>
      <w:r>
        <w:rPr>
          <w:rFonts w:hint="eastAsia" w:ascii="宋体" w:hAnsi="宋体" w:eastAsia="宋体" w:cs="宋体"/>
          <w:sz w:val="20"/>
          <w:szCs w:val="20"/>
          <w:highlight w:val="none"/>
        </w:rPr>
        <w:t>需安排技术人员到现场参与</w:t>
      </w:r>
      <w:r>
        <w:rPr>
          <w:rFonts w:hint="eastAsia" w:ascii="宋体" w:hAnsi="宋体" w:cs="宋体"/>
          <w:sz w:val="20"/>
          <w:szCs w:val="20"/>
          <w:highlight w:val="none"/>
          <w:lang w:val="en-US" w:eastAsia="zh-CN"/>
        </w:rPr>
        <w:t>模具</w:t>
      </w:r>
      <w:r>
        <w:rPr>
          <w:rFonts w:hint="eastAsia" w:ascii="宋体" w:hAnsi="宋体" w:eastAsia="宋体" w:cs="宋体"/>
          <w:sz w:val="20"/>
          <w:szCs w:val="20"/>
          <w:highlight w:val="none"/>
        </w:rPr>
        <w:t>的验证调试。</w:t>
      </w:r>
    </w:p>
    <w:p w14:paraId="021B5F98">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default" w:ascii="宋体" w:hAnsi="宋体" w:cs="宋体"/>
          <w:sz w:val="20"/>
          <w:szCs w:val="20"/>
          <w:highlight w:val="none"/>
          <w:lang w:val="en-US" w:eastAsia="zh-CN"/>
        </w:rPr>
      </w:pPr>
      <w:r>
        <w:rPr>
          <w:rFonts w:hint="eastAsia" w:ascii="宋体" w:hAnsi="宋体" w:cs="宋体"/>
          <w:sz w:val="20"/>
          <w:szCs w:val="20"/>
          <w:highlight w:val="none"/>
          <w:lang w:val="en-US" w:eastAsia="zh-CN"/>
        </w:rPr>
        <w:t>5、模具验证过程中的生产制造费用（包括原辅材料）由甲方承担。对于明确评审确认为乙方设计责任、模具制作质量问题或其它判定为乙方责任的问题，按照质量保证协议相关条款进行索赔。</w:t>
      </w:r>
    </w:p>
    <w:p w14:paraId="7968A381">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eastAsia="宋体" w:cs="宋体"/>
          <w:sz w:val="20"/>
          <w:szCs w:val="20"/>
          <w:highlight w:val="none"/>
        </w:rPr>
      </w:pPr>
    </w:p>
    <w:p w14:paraId="478BB452">
      <w:pPr>
        <w:keepNext w:val="0"/>
        <w:keepLines w:val="0"/>
        <w:pageBreakBefore w:val="0"/>
        <w:kinsoku/>
        <w:wordWrap/>
        <w:overflowPunct/>
        <w:topLinePunct w:val="0"/>
        <w:bidi w:val="0"/>
        <w:snapToGrid/>
        <w:spacing w:line="440" w:lineRule="exact"/>
        <w:ind w:left="402" w:hanging="400" w:hangingChars="200"/>
        <w:jc w:val="center"/>
        <w:rPr>
          <w:rFonts w:hint="default" w:ascii="宋体" w:hAnsi="宋体" w:eastAsia="宋体"/>
          <w:b/>
          <w:color w:val="auto"/>
          <w:sz w:val="20"/>
          <w:highlight w:val="none"/>
          <w:lang w:val="en-US" w:eastAsia="zh-CN"/>
        </w:rPr>
      </w:pPr>
      <w:r>
        <w:rPr>
          <w:rFonts w:hint="eastAsia" w:ascii="宋体" w:hAnsi="宋体"/>
          <w:b/>
          <w:color w:val="auto"/>
          <w:sz w:val="20"/>
          <w:highlight w:val="none"/>
          <w:lang w:val="en-US" w:eastAsia="zh-CN"/>
        </w:rPr>
        <w:t>表1：</w:t>
      </w:r>
      <w:r>
        <w:rPr>
          <w:rFonts w:ascii="宋体" w:hAnsi="宋体"/>
          <w:b/>
          <w:color w:val="auto"/>
          <w:sz w:val="20"/>
          <w:highlight w:val="none"/>
        </w:rPr>
        <w:t>甲方要求乙方提交的</w:t>
      </w:r>
      <w:r>
        <w:rPr>
          <w:rFonts w:hint="eastAsia" w:ascii="宋体" w:hAnsi="宋体"/>
          <w:b/>
          <w:color w:val="auto"/>
          <w:sz w:val="20"/>
          <w:highlight w:val="none"/>
          <w:lang w:val="en-US" w:eastAsia="zh-CN"/>
        </w:rPr>
        <w:t>资料清单</w:t>
      </w:r>
    </w:p>
    <w:tbl>
      <w:tblPr>
        <w:tblStyle w:val="36"/>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86"/>
        <w:gridCol w:w="863"/>
        <w:gridCol w:w="3502"/>
      </w:tblGrid>
      <w:tr w14:paraId="06AE4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886" w:type="dxa"/>
            <w:noWrap w:val="0"/>
            <w:vAlign w:val="center"/>
          </w:tcPr>
          <w:p w14:paraId="3A559D16">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资料明细</w:t>
            </w:r>
          </w:p>
        </w:tc>
        <w:tc>
          <w:tcPr>
            <w:tcW w:w="863" w:type="dxa"/>
            <w:noWrap w:val="0"/>
            <w:vAlign w:val="center"/>
          </w:tcPr>
          <w:p w14:paraId="714CD0F9">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要求</w:t>
            </w:r>
          </w:p>
        </w:tc>
        <w:tc>
          <w:tcPr>
            <w:tcW w:w="3502" w:type="dxa"/>
            <w:noWrap w:val="0"/>
            <w:vAlign w:val="center"/>
          </w:tcPr>
          <w:p w14:paraId="09F216F3">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备注</w:t>
            </w:r>
          </w:p>
        </w:tc>
      </w:tr>
      <w:tr w14:paraId="440DA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32E6395E">
            <w:pPr>
              <w:keepNext w:val="0"/>
              <w:keepLines w:val="0"/>
              <w:pageBreakBefore w:val="0"/>
              <w:kinsoku/>
              <w:wordWrap/>
              <w:overflowPunct/>
              <w:topLinePunct w:val="0"/>
              <w:bidi w:val="0"/>
              <w:snapToGrid/>
              <w:spacing w:line="440" w:lineRule="exact"/>
              <w:jc w:val="left"/>
              <w:rPr>
                <w:rFonts w:ascii="宋体" w:hAnsi="宋体"/>
                <w:color w:val="auto"/>
                <w:sz w:val="20"/>
                <w:highlight w:val="none"/>
              </w:rPr>
            </w:pPr>
            <w:r>
              <w:rPr>
                <w:rFonts w:hint="eastAsia" w:ascii="宋体" w:hAnsi="宋体"/>
                <w:color w:val="auto"/>
                <w:sz w:val="20"/>
                <w:highlight w:val="none"/>
                <w:lang w:val="en-US" w:eastAsia="zh-CN"/>
              </w:rPr>
              <w:t>1</w:t>
            </w:r>
            <w:r>
              <w:rPr>
                <w:rFonts w:ascii="宋体" w:hAnsi="宋体"/>
                <w:color w:val="auto"/>
                <w:sz w:val="20"/>
                <w:highlight w:val="none"/>
              </w:rPr>
              <w:t>.过程流程图</w:t>
            </w:r>
            <w:r>
              <w:rPr>
                <w:rFonts w:hint="eastAsia" w:ascii="宋体" w:hAnsi="宋体"/>
                <w:color w:val="auto"/>
                <w:sz w:val="20"/>
                <w:highlight w:val="none"/>
              </w:rPr>
              <w:t>（或工艺卡等相关文件）</w:t>
            </w:r>
          </w:p>
        </w:tc>
        <w:tc>
          <w:tcPr>
            <w:tcW w:w="863" w:type="dxa"/>
            <w:noWrap w:val="0"/>
            <w:vAlign w:val="top"/>
          </w:tcPr>
          <w:p w14:paraId="06BDF886">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w:t>
            </w:r>
          </w:p>
        </w:tc>
        <w:tc>
          <w:tcPr>
            <w:tcW w:w="3502" w:type="dxa"/>
            <w:noWrap w:val="0"/>
            <w:vAlign w:val="top"/>
          </w:tcPr>
          <w:p w14:paraId="62C76677">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复印件</w:t>
            </w:r>
          </w:p>
        </w:tc>
      </w:tr>
      <w:tr w14:paraId="5FC98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04E837F5">
            <w:pPr>
              <w:keepNext w:val="0"/>
              <w:keepLines w:val="0"/>
              <w:pageBreakBefore w:val="0"/>
              <w:kinsoku/>
              <w:wordWrap/>
              <w:overflowPunct/>
              <w:topLinePunct w:val="0"/>
              <w:bidi w:val="0"/>
              <w:snapToGrid/>
              <w:spacing w:line="440" w:lineRule="exact"/>
              <w:jc w:val="left"/>
              <w:rPr>
                <w:rFonts w:ascii="宋体" w:hAnsi="宋体"/>
                <w:color w:val="auto"/>
                <w:sz w:val="20"/>
                <w:highlight w:val="none"/>
              </w:rPr>
            </w:pPr>
            <w:r>
              <w:rPr>
                <w:rFonts w:hint="eastAsia" w:ascii="宋体" w:hAnsi="宋体"/>
                <w:color w:val="auto"/>
                <w:sz w:val="20"/>
                <w:highlight w:val="none"/>
                <w:lang w:val="en-US" w:eastAsia="zh-CN"/>
              </w:rPr>
              <w:t>2</w:t>
            </w:r>
            <w:r>
              <w:rPr>
                <w:rFonts w:ascii="宋体" w:hAnsi="宋体"/>
                <w:color w:val="auto"/>
                <w:sz w:val="20"/>
                <w:highlight w:val="none"/>
              </w:rPr>
              <w:t>.控制计划</w:t>
            </w:r>
            <w:r>
              <w:rPr>
                <w:rFonts w:hint="eastAsia" w:ascii="宋体" w:hAnsi="宋体"/>
                <w:color w:val="auto"/>
                <w:sz w:val="20"/>
                <w:highlight w:val="none"/>
              </w:rPr>
              <w:t>（或作业指导文件等相关文件）</w:t>
            </w:r>
          </w:p>
        </w:tc>
        <w:tc>
          <w:tcPr>
            <w:tcW w:w="863" w:type="dxa"/>
            <w:noWrap w:val="0"/>
            <w:vAlign w:val="top"/>
          </w:tcPr>
          <w:p w14:paraId="7FD83020">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w:t>
            </w:r>
          </w:p>
        </w:tc>
        <w:tc>
          <w:tcPr>
            <w:tcW w:w="3502" w:type="dxa"/>
            <w:noWrap w:val="0"/>
            <w:vAlign w:val="top"/>
          </w:tcPr>
          <w:p w14:paraId="438B4683">
            <w:pPr>
              <w:keepNext w:val="0"/>
              <w:keepLines w:val="0"/>
              <w:pageBreakBefore w:val="0"/>
              <w:kinsoku/>
              <w:wordWrap/>
              <w:overflowPunct/>
              <w:topLinePunct w:val="0"/>
              <w:bidi w:val="0"/>
              <w:snapToGrid/>
              <w:spacing w:line="440" w:lineRule="exact"/>
              <w:jc w:val="center"/>
              <w:rPr>
                <w:rFonts w:ascii="宋体" w:hAnsi="宋体"/>
                <w:color w:val="auto"/>
                <w:sz w:val="20"/>
                <w:highlight w:val="none"/>
              </w:rPr>
            </w:pPr>
            <w:r>
              <w:rPr>
                <w:rFonts w:ascii="宋体" w:hAnsi="宋体"/>
                <w:color w:val="auto"/>
                <w:sz w:val="20"/>
                <w:highlight w:val="none"/>
              </w:rPr>
              <w:t>复印件</w:t>
            </w:r>
          </w:p>
        </w:tc>
      </w:tr>
      <w:tr w14:paraId="0ABA8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E13B067">
            <w:pPr>
              <w:keepNext w:val="0"/>
              <w:keepLines w:val="0"/>
              <w:pageBreakBefore w:val="0"/>
              <w:kinsoku/>
              <w:wordWrap/>
              <w:overflowPunct/>
              <w:topLinePunct w:val="0"/>
              <w:bidi w:val="0"/>
              <w:snapToGrid/>
              <w:spacing w:line="440" w:lineRule="exact"/>
              <w:jc w:val="left"/>
              <w:rPr>
                <w:rFonts w:ascii="宋体" w:hAnsi="宋体" w:eastAsia="宋体"/>
                <w:color w:val="auto"/>
                <w:kern w:val="2"/>
                <w:sz w:val="20"/>
                <w:highlight w:val="none"/>
                <w:lang w:val="en-US" w:eastAsia="zh-CN" w:bidi="ar-SA"/>
              </w:rPr>
            </w:pPr>
            <w:r>
              <w:rPr>
                <w:rFonts w:hint="eastAsia" w:ascii="宋体" w:hAnsi="宋体"/>
                <w:color w:val="auto"/>
                <w:sz w:val="20"/>
                <w:highlight w:val="none"/>
                <w:lang w:val="en-US" w:eastAsia="zh-CN"/>
              </w:rPr>
              <w:t>3</w:t>
            </w:r>
            <w:r>
              <w:rPr>
                <w:rFonts w:ascii="宋体" w:hAnsi="宋体"/>
                <w:color w:val="auto"/>
                <w:sz w:val="20"/>
                <w:highlight w:val="none"/>
              </w:rPr>
              <w:t>.工程变更文件，如果有</w:t>
            </w:r>
          </w:p>
        </w:tc>
        <w:tc>
          <w:tcPr>
            <w:tcW w:w="863" w:type="dxa"/>
            <w:noWrap w:val="0"/>
            <w:vAlign w:val="top"/>
          </w:tcPr>
          <w:p w14:paraId="0ECA3039">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762B1241">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653A1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64D61425">
            <w:pPr>
              <w:keepNext w:val="0"/>
              <w:keepLines w:val="0"/>
              <w:pageBreakBefore w:val="0"/>
              <w:kinsoku/>
              <w:wordWrap/>
              <w:overflowPunct/>
              <w:topLinePunct w:val="0"/>
              <w:bidi w:val="0"/>
              <w:snapToGrid/>
              <w:spacing w:line="440" w:lineRule="exact"/>
              <w:jc w:val="left"/>
              <w:rPr>
                <w:rFonts w:hint="default" w:ascii="宋体" w:hAnsi="宋体" w:eastAsia="宋体"/>
                <w:color w:val="auto"/>
                <w:kern w:val="2"/>
                <w:sz w:val="20"/>
                <w:highlight w:val="none"/>
                <w:lang w:val="en-US" w:eastAsia="zh-CN" w:bidi="ar-SA"/>
              </w:rPr>
            </w:pPr>
            <w:r>
              <w:rPr>
                <w:rFonts w:hint="eastAsia" w:ascii="宋体" w:hAnsi="宋体"/>
                <w:color w:val="auto"/>
                <w:sz w:val="20"/>
                <w:highlight w:val="none"/>
                <w:lang w:val="en-US" w:eastAsia="zh-CN"/>
              </w:rPr>
              <w:t>4</w:t>
            </w:r>
            <w:r>
              <w:rPr>
                <w:rFonts w:ascii="宋体" w:hAnsi="宋体"/>
                <w:color w:val="auto"/>
                <w:sz w:val="20"/>
                <w:highlight w:val="none"/>
              </w:rPr>
              <w:t>.全尺寸测量结果</w:t>
            </w:r>
            <w:r>
              <w:rPr>
                <w:rFonts w:hint="eastAsia" w:ascii="宋体" w:hAnsi="宋体"/>
                <w:color w:val="auto"/>
                <w:sz w:val="20"/>
                <w:highlight w:val="none"/>
                <w:lang w:val="en-US" w:eastAsia="zh-CN"/>
              </w:rPr>
              <w:t>/三维扫描对比结果</w:t>
            </w:r>
          </w:p>
        </w:tc>
        <w:tc>
          <w:tcPr>
            <w:tcW w:w="863" w:type="dxa"/>
            <w:noWrap w:val="0"/>
            <w:vAlign w:val="top"/>
          </w:tcPr>
          <w:p w14:paraId="03B4702A">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3FE5DB1B">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35464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7C8AB87F">
            <w:pPr>
              <w:keepNext w:val="0"/>
              <w:keepLines w:val="0"/>
              <w:pageBreakBefore w:val="0"/>
              <w:kinsoku/>
              <w:wordWrap/>
              <w:overflowPunct/>
              <w:topLinePunct w:val="0"/>
              <w:bidi w:val="0"/>
              <w:snapToGrid/>
              <w:spacing w:line="440" w:lineRule="exact"/>
              <w:jc w:val="left"/>
              <w:rPr>
                <w:rFonts w:ascii="宋体" w:hAnsi="宋体" w:eastAsia="宋体"/>
                <w:color w:val="auto"/>
                <w:kern w:val="2"/>
                <w:sz w:val="20"/>
                <w:highlight w:val="none"/>
                <w:lang w:val="en-US" w:eastAsia="zh-CN" w:bidi="ar-SA"/>
              </w:rPr>
            </w:pPr>
            <w:r>
              <w:rPr>
                <w:rFonts w:hint="eastAsia" w:ascii="宋体" w:hAnsi="宋体" w:cs="Times New Roman"/>
                <w:color w:val="auto"/>
                <w:sz w:val="20"/>
                <w:highlight w:val="none"/>
                <w:lang w:val="en-US" w:eastAsia="zh-CN"/>
              </w:rPr>
              <w:t>5</w:t>
            </w:r>
            <w:r>
              <w:rPr>
                <w:rFonts w:hint="eastAsia" w:ascii="宋体" w:hAnsi="宋体" w:eastAsia="宋体" w:cs="Times New Roman"/>
                <w:color w:val="auto"/>
                <w:sz w:val="20"/>
                <w:highlight w:val="none"/>
                <w:lang w:val="en-US" w:eastAsia="zh-CN"/>
              </w:rPr>
              <w:t>.模块</w:t>
            </w:r>
            <w:r>
              <w:rPr>
                <w:rFonts w:hint="eastAsia" w:ascii="宋体" w:hAnsi="宋体" w:eastAsia="宋体" w:cs="Times New Roman"/>
                <w:color w:val="auto"/>
                <w:sz w:val="20"/>
                <w:highlight w:val="none"/>
              </w:rPr>
              <w:t>超声波探伤结果报告</w:t>
            </w:r>
          </w:p>
        </w:tc>
        <w:tc>
          <w:tcPr>
            <w:tcW w:w="863" w:type="dxa"/>
            <w:noWrap w:val="0"/>
            <w:vAlign w:val="top"/>
          </w:tcPr>
          <w:p w14:paraId="6ED8D316">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25A14150">
            <w:pPr>
              <w:keepNext w:val="0"/>
              <w:keepLines w:val="0"/>
              <w:pageBreakBefore w:val="0"/>
              <w:kinsoku/>
              <w:wordWrap/>
              <w:overflowPunct/>
              <w:topLinePunct w:val="0"/>
              <w:bidi w:val="0"/>
              <w:snapToGrid/>
              <w:spacing w:line="440" w:lineRule="exact"/>
              <w:jc w:val="center"/>
              <w:rPr>
                <w:rFonts w:hint="eastAsia"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7B90E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86" w:type="dxa"/>
            <w:noWrap w:val="0"/>
            <w:vAlign w:val="top"/>
          </w:tcPr>
          <w:p w14:paraId="059C128D">
            <w:pPr>
              <w:keepNext w:val="0"/>
              <w:keepLines w:val="0"/>
              <w:pageBreakBefore w:val="0"/>
              <w:kinsoku/>
              <w:wordWrap/>
              <w:overflowPunct/>
              <w:topLinePunct w:val="0"/>
              <w:bidi w:val="0"/>
              <w:snapToGrid/>
              <w:spacing w:line="440" w:lineRule="exact"/>
              <w:jc w:val="left"/>
              <w:rPr>
                <w:rFonts w:hint="eastAsia" w:ascii="宋体" w:hAnsi="宋体" w:eastAsia="宋体" w:cs="Times New Roman"/>
                <w:color w:val="auto"/>
                <w:kern w:val="2"/>
                <w:sz w:val="20"/>
                <w:highlight w:val="none"/>
                <w:lang w:val="en-US" w:eastAsia="zh-CN" w:bidi="ar-SA"/>
              </w:rPr>
            </w:pPr>
            <w:r>
              <w:rPr>
                <w:rFonts w:hint="eastAsia" w:ascii="宋体" w:hAnsi="宋体"/>
                <w:color w:val="auto"/>
                <w:sz w:val="20"/>
                <w:highlight w:val="none"/>
                <w:lang w:val="en-US" w:eastAsia="zh-CN"/>
              </w:rPr>
              <w:t>6</w:t>
            </w:r>
            <w:r>
              <w:rPr>
                <w:rFonts w:ascii="宋体" w:hAnsi="宋体"/>
                <w:color w:val="auto"/>
                <w:sz w:val="20"/>
                <w:highlight w:val="none"/>
              </w:rPr>
              <w:t>.材料、性能试验结果</w:t>
            </w:r>
          </w:p>
        </w:tc>
        <w:tc>
          <w:tcPr>
            <w:tcW w:w="863" w:type="dxa"/>
            <w:noWrap w:val="0"/>
            <w:vAlign w:val="top"/>
          </w:tcPr>
          <w:p w14:paraId="615D1A15">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16DE2F6E">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2F0AD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B05297C">
            <w:pPr>
              <w:keepNext w:val="0"/>
              <w:keepLines w:val="0"/>
              <w:pageBreakBefore w:val="0"/>
              <w:kinsoku/>
              <w:wordWrap/>
              <w:overflowPunct/>
              <w:topLinePunct w:val="0"/>
              <w:bidi w:val="0"/>
              <w:snapToGrid/>
              <w:spacing w:line="440" w:lineRule="exact"/>
              <w:jc w:val="left"/>
              <w:rPr>
                <w:rFonts w:hint="eastAsia" w:ascii="宋体" w:hAnsi="宋体" w:eastAsia="宋体" w:cs="Times New Roman"/>
                <w:color w:val="auto"/>
                <w:kern w:val="2"/>
                <w:sz w:val="20"/>
                <w:highlight w:val="none"/>
                <w:lang w:val="en-US" w:eastAsia="zh-CN" w:bidi="ar-SA"/>
              </w:rPr>
            </w:pPr>
            <w:r>
              <w:rPr>
                <w:rFonts w:hint="eastAsia" w:ascii="宋体" w:hAnsi="宋体" w:cs="Times New Roman"/>
                <w:color w:val="auto"/>
                <w:sz w:val="20"/>
                <w:highlight w:val="none"/>
                <w:lang w:val="en-US" w:eastAsia="zh-CN"/>
              </w:rPr>
              <w:t>7</w:t>
            </w:r>
            <w:r>
              <w:rPr>
                <w:rFonts w:hint="eastAsia" w:ascii="宋体" w:hAnsi="宋体" w:eastAsia="宋体" w:cs="Times New Roman"/>
                <w:color w:val="auto"/>
                <w:sz w:val="20"/>
                <w:highlight w:val="none"/>
                <w:lang w:val="en-US" w:eastAsia="zh-CN"/>
              </w:rPr>
              <w:t>.</w:t>
            </w:r>
            <w:r>
              <w:rPr>
                <w:rFonts w:hint="eastAsia" w:ascii="宋体" w:hAnsi="宋体" w:eastAsia="宋体" w:cs="Times New Roman"/>
                <w:color w:val="auto"/>
                <w:sz w:val="20"/>
                <w:highlight w:val="none"/>
              </w:rPr>
              <w:t>模块材料合格证明</w:t>
            </w:r>
            <w:r>
              <w:rPr>
                <w:rFonts w:hint="eastAsia" w:ascii="宋体" w:hAnsi="宋体" w:eastAsia="宋体" w:cs="Times New Roman"/>
                <w:color w:val="auto"/>
                <w:sz w:val="20"/>
                <w:highlight w:val="none"/>
                <w:lang w:eastAsia="zh-CN"/>
              </w:rPr>
              <w:t>（</w:t>
            </w:r>
            <w:r>
              <w:rPr>
                <w:rFonts w:hint="eastAsia" w:ascii="宋体" w:hAnsi="宋体" w:eastAsia="宋体" w:cs="Times New Roman"/>
                <w:color w:val="auto"/>
                <w:sz w:val="20"/>
                <w:highlight w:val="none"/>
                <w:lang w:val="en-US" w:eastAsia="zh-CN"/>
              </w:rPr>
              <w:t>新制</w:t>
            </w:r>
            <w:r>
              <w:rPr>
                <w:rFonts w:hint="eastAsia" w:ascii="宋体" w:hAnsi="宋体" w:eastAsia="宋体" w:cs="Times New Roman"/>
                <w:color w:val="auto"/>
                <w:sz w:val="20"/>
                <w:highlight w:val="none"/>
                <w:lang w:eastAsia="zh-CN"/>
              </w:rPr>
              <w:t>）</w:t>
            </w:r>
          </w:p>
        </w:tc>
        <w:tc>
          <w:tcPr>
            <w:tcW w:w="863" w:type="dxa"/>
            <w:noWrap w:val="0"/>
            <w:vAlign w:val="center"/>
          </w:tcPr>
          <w:p w14:paraId="1EC27E36">
            <w:pPr>
              <w:keepNext w:val="0"/>
              <w:keepLines w:val="0"/>
              <w:pageBreakBefore w:val="0"/>
              <w:kinsoku/>
              <w:wordWrap/>
              <w:overflowPunct/>
              <w:topLinePunct w:val="0"/>
              <w:bidi w:val="0"/>
              <w:snapToGrid/>
              <w:spacing w:line="440" w:lineRule="exact"/>
              <w:jc w:val="center"/>
              <w:rPr>
                <w:rFonts w:ascii="宋体" w:hAnsi="宋体" w:eastAsia="宋体" w:cs="Times New Roman"/>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0AF3617E">
            <w:pPr>
              <w:keepNext w:val="0"/>
              <w:keepLines w:val="0"/>
              <w:pageBreakBefore w:val="0"/>
              <w:kinsoku/>
              <w:wordWrap/>
              <w:overflowPunct/>
              <w:topLinePunct w:val="0"/>
              <w:bidi w:val="0"/>
              <w:snapToGrid/>
              <w:spacing w:line="440" w:lineRule="exact"/>
              <w:jc w:val="center"/>
              <w:rPr>
                <w:rFonts w:ascii="宋体" w:hAnsi="宋体" w:eastAsia="宋体" w:cs="Times New Roman"/>
                <w:color w:val="auto"/>
                <w:kern w:val="2"/>
                <w:sz w:val="20"/>
                <w:highlight w:val="none"/>
                <w:lang w:val="en-US" w:eastAsia="zh-CN" w:bidi="ar-SA"/>
              </w:rPr>
            </w:pPr>
            <w:r>
              <w:rPr>
                <w:rFonts w:ascii="宋体" w:hAnsi="宋体"/>
                <w:color w:val="auto"/>
                <w:sz w:val="20"/>
                <w:highlight w:val="none"/>
              </w:rPr>
              <w:t>复印件</w:t>
            </w:r>
          </w:p>
        </w:tc>
      </w:tr>
      <w:tr w14:paraId="4B430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311ED4A8">
            <w:pPr>
              <w:keepNext w:val="0"/>
              <w:keepLines w:val="0"/>
              <w:pageBreakBefore w:val="0"/>
              <w:kinsoku/>
              <w:wordWrap/>
              <w:overflowPunct/>
              <w:topLinePunct w:val="0"/>
              <w:bidi w:val="0"/>
              <w:snapToGrid/>
              <w:spacing w:line="440" w:lineRule="exact"/>
              <w:jc w:val="left"/>
              <w:rPr>
                <w:rFonts w:hint="default" w:ascii="宋体" w:hAnsi="宋体" w:eastAsia="宋体" w:cs="Times New Roman"/>
                <w:color w:val="auto"/>
                <w:kern w:val="2"/>
                <w:sz w:val="20"/>
                <w:highlight w:val="none"/>
                <w:lang w:val="en-US" w:eastAsia="zh-CN" w:bidi="ar-SA"/>
              </w:rPr>
            </w:pPr>
            <w:r>
              <w:rPr>
                <w:rFonts w:hint="eastAsia" w:ascii="宋体" w:hAnsi="宋体" w:cs="Times New Roman"/>
                <w:color w:val="auto"/>
                <w:kern w:val="2"/>
                <w:sz w:val="20"/>
                <w:highlight w:val="none"/>
                <w:lang w:val="en-US" w:eastAsia="zh-CN" w:bidi="ar-SA"/>
              </w:rPr>
              <w:t>8.模具三维造型以及易损件二维图纸</w:t>
            </w:r>
          </w:p>
        </w:tc>
        <w:tc>
          <w:tcPr>
            <w:tcW w:w="863" w:type="dxa"/>
            <w:noWrap w:val="0"/>
            <w:vAlign w:val="center"/>
          </w:tcPr>
          <w:p w14:paraId="212B4AED">
            <w:pPr>
              <w:keepNext w:val="0"/>
              <w:keepLines w:val="0"/>
              <w:pageBreakBefore w:val="0"/>
              <w:kinsoku/>
              <w:wordWrap/>
              <w:overflowPunct/>
              <w:topLinePunct w:val="0"/>
              <w:bidi w:val="0"/>
              <w:snapToGrid/>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23CD44D4">
            <w:pPr>
              <w:keepNext w:val="0"/>
              <w:keepLines w:val="0"/>
              <w:pageBreakBefore w:val="0"/>
              <w:kinsoku/>
              <w:wordWrap/>
              <w:overflowPunct/>
              <w:topLinePunct w:val="0"/>
              <w:bidi w:val="0"/>
              <w:snapToGrid/>
              <w:spacing w:line="440" w:lineRule="exact"/>
              <w:jc w:val="center"/>
              <w:rPr>
                <w:rFonts w:hint="default" w:ascii="宋体" w:hAnsi="宋体" w:eastAsia="宋体"/>
                <w:color w:val="auto"/>
                <w:kern w:val="2"/>
                <w:sz w:val="20"/>
                <w:highlight w:val="none"/>
                <w:lang w:val="en-US" w:eastAsia="zh-CN" w:bidi="ar-SA"/>
              </w:rPr>
            </w:pPr>
            <w:r>
              <w:rPr>
                <w:rFonts w:hint="eastAsia" w:ascii="宋体" w:hAnsi="宋体"/>
                <w:color w:val="auto"/>
                <w:kern w:val="2"/>
                <w:sz w:val="20"/>
                <w:highlight w:val="none"/>
                <w:lang w:val="en-US" w:eastAsia="zh-CN" w:bidi="ar-SA"/>
              </w:rPr>
              <w:t>电子版</w:t>
            </w:r>
          </w:p>
        </w:tc>
      </w:tr>
    </w:tbl>
    <w:p w14:paraId="76E0329A">
      <w:pPr>
        <w:keepNext w:val="0"/>
        <w:keepLines w:val="0"/>
        <w:pageBreakBefore w:val="0"/>
        <w:kinsoku/>
        <w:wordWrap/>
        <w:overflowPunct/>
        <w:topLinePunct w:val="0"/>
        <w:bidi w:val="0"/>
        <w:snapToGrid/>
        <w:spacing w:line="440" w:lineRule="exact"/>
        <w:rPr>
          <w:rFonts w:hint="eastAsia" w:ascii="宋体" w:hAnsi="宋体"/>
          <w:sz w:val="20"/>
          <w:highlight w:val="none"/>
        </w:rPr>
      </w:pPr>
      <w:r>
        <w:rPr>
          <w:rFonts w:ascii="宋体" w:hAnsi="宋体"/>
          <w:sz w:val="20"/>
          <w:highlight w:val="none"/>
        </w:rPr>
        <w:t>上表中“ √”表示乙方</w:t>
      </w:r>
      <w:r>
        <w:rPr>
          <w:rFonts w:hint="eastAsia" w:ascii="宋体" w:hAnsi="宋体"/>
          <w:sz w:val="20"/>
          <w:highlight w:val="none"/>
          <w:lang w:val="en-US" w:eastAsia="zh-CN"/>
        </w:rPr>
        <w:t>必须</w:t>
      </w:r>
      <w:r>
        <w:rPr>
          <w:rFonts w:ascii="宋体" w:hAnsi="宋体"/>
          <w:sz w:val="20"/>
          <w:highlight w:val="none"/>
        </w:rPr>
        <w:t>提交的资料</w:t>
      </w:r>
      <w:r>
        <w:rPr>
          <w:rFonts w:hint="eastAsia" w:ascii="宋体" w:hAnsi="宋体"/>
          <w:sz w:val="20"/>
          <w:highlight w:val="none"/>
          <w:lang w:eastAsia="zh-CN"/>
        </w:rPr>
        <w:t>，</w:t>
      </w:r>
      <w:r>
        <w:rPr>
          <w:rFonts w:ascii="宋体" w:hAnsi="宋体"/>
          <w:sz w:val="20"/>
          <w:highlight w:val="none"/>
        </w:rPr>
        <w:t>备注中填写数量、原件、复印件等说明</w:t>
      </w:r>
      <w:r>
        <w:rPr>
          <w:rFonts w:hint="eastAsia" w:ascii="宋体" w:hAnsi="宋体"/>
          <w:sz w:val="20"/>
          <w:highlight w:val="none"/>
        </w:rPr>
        <w:t>。</w:t>
      </w:r>
    </w:p>
    <w:p w14:paraId="197043B0">
      <w:pPr>
        <w:keepNext w:val="0"/>
        <w:keepLines w:val="0"/>
        <w:pageBreakBefore w:val="0"/>
        <w:kinsoku/>
        <w:wordWrap/>
        <w:overflowPunct/>
        <w:topLinePunct w:val="0"/>
        <w:bidi w:val="0"/>
        <w:snapToGrid/>
        <w:spacing w:line="440" w:lineRule="exact"/>
        <w:rPr>
          <w:rFonts w:hint="eastAsia" w:ascii="宋体" w:hAnsi="宋体"/>
          <w:sz w:val="20"/>
          <w:highlight w:val="none"/>
        </w:rPr>
      </w:pPr>
    </w:p>
    <w:p w14:paraId="7593E848">
      <w:pPr>
        <w:spacing w:line="440" w:lineRule="exact"/>
        <w:jc w:val="center"/>
        <w:rPr>
          <w:rFonts w:hint="default" w:ascii="宋体" w:hAnsi="宋体" w:eastAsia="宋体"/>
          <w:b/>
          <w:sz w:val="20"/>
          <w:highlight w:val="none"/>
          <w:lang w:val="en-US" w:eastAsia="zh-CN"/>
        </w:rPr>
      </w:pPr>
      <w:r>
        <w:rPr>
          <w:rFonts w:hint="eastAsia" w:ascii="宋体" w:hAnsi="宋体"/>
          <w:b/>
          <w:sz w:val="20"/>
          <w:highlight w:val="none"/>
          <w:lang w:val="en-US" w:eastAsia="zh-CN"/>
        </w:rPr>
        <w:t>表2：关键配合尺寸公差要求</w:t>
      </w:r>
    </w:p>
    <w:tbl>
      <w:tblPr>
        <w:tblStyle w:val="36"/>
        <w:tblW w:w="8733" w:type="dxa"/>
        <w:tblInd w:w="10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675"/>
        <w:gridCol w:w="1243"/>
        <w:gridCol w:w="6815"/>
      </w:tblGrid>
      <w:tr w14:paraId="66944FC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85" w:hRule="atLeast"/>
        </w:trPr>
        <w:tc>
          <w:tcPr>
            <w:tcW w:w="675" w:type="dxa"/>
            <w:tcBorders>
              <w:tl2br w:val="nil"/>
              <w:tr2bl w:val="nil"/>
            </w:tcBorders>
            <w:shd w:val="clear" w:color="auto" w:fill="auto"/>
            <w:noWrap/>
            <w:vAlign w:val="center"/>
          </w:tcPr>
          <w:p w14:paraId="4F3F6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43" w:type="dxa"/>
            <w:tcBorders>
              <w:tl2br w:val="nil"/>
              <w:tr2bl w:val="nil"/>
            </w:tcBorders>
            <w:shd w:val="clear" w:color="auto" w:fill="auto"/>
            <w:noWrap/>
            <w:vAlign w:val="center"/>
          </w:tcPr>
          <w:p w14:paraId="3592E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模具类型</w:t>
            </w:r>
          </w:p>
        </w:tc>
        <w:tc>
          <w:tcPr>
            <w:tcW w:w="6815" w:type="dxa"/>
            <w:tcBorders>
              <w:tl2br w:val="nil"/>
              <w:tr2bl w:val="nil"/>
            </w:tcBorders>
            <w:shd w:val="clear" w:color="auto" w:fill="auto"/>
            <w:noWrap/>
            <w:vAlign w:val="center"/>
          </w:tcPr>
          <w:p w14:paraId="2F1F1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关键尺寸公差要求</w:t>
            </w:r>
          </w:p>
        </w:tc>
      </w:tr>
      <w:tr w14:paraId="4CD7565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021A2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43" w:type="dxa"/>
            <w:vMerge w:val="restart"/>
            <w:tcBorders>
              <w:tl2br w:val="nil"/>
              <w:tr2bl w:val="nil"/>
            </w:tcBorders>
            <w:shd w:val="clear" w:color="auto" w:fill="auto"/>
            <w:noWrap/>
            <w:vAlign w:val="center"/>
          </w:tcPr>
          <w:p w14:paraId="667FA3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锻模</w:t>
            </w:r>
          </w:p>
          <w:p w14:paraId="7DC422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（MP8000）</w:t>
            </w:r>
          </w:p>
        </w:tc>
        <w:tc>
          <w:tcPr>
            <w:tcW w:w="6815" w:type="dxa"/>
            <w:tcBorders>
              <w:tl2br w:val="nil"/>
              <w:tr2bl w:val="nil"/>
            </w:tcBorders>
            <w:shd w:val="clear" w:color="auto" w:fill="auto"/>
            <w:noWrap/>
            <w:vAlign w:val="center"/>
          </w:tcPr>
          <w:p w14:paraId="51E45B14">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键槽80H7mm，底部圆角R2；φ770±0.1mm，φ710（+2，0）mm</w:t>
            </w:r>
          </w:p>
        </w:tc>
      </w:tr>
      <w:tr w14:paraId="324046D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16B92F0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243" w:type="dxa"/>
            <w:vMerge w:val="continue"/>
            <w:tcBorders>
              <w:tl2br w:val="nil"/>
              <w:tr2bl w:val="nil"/>
            </w:tcBorders>
            <w:shd w:val="clear" w:color="auto" w:fill="auto"/>
            <w:noWrap/>
            <w:vAlign w:val="center"/>
          </w:tcPr>
          <w:p w14:paraId="248D9D9F">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21A02C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合模间隙预锻8mm、终锻6mm</w:t>
            </w:r>
            <w:r>
              <w:rPr>
                <w:rFonts w:hint="eastAsia" w:ascii="宋体" w:hAnsi="宋体" w:cs="宋体"/>
                <w:i w:val="0"/>
                <w:iCs w:val="0"/>
                <w:color w:val="000000"/>
                <w:kern w:val="0"/>
                <w:sz w:val="20"/>
                <w:szCs w:val="20"/>
                <w:u w:val="none"/>
                <w:lang w:val="en-US" w:eastAsia="zh-CN" w:bidi="ar"/>
              </w:rPr>
              <w:t>，终锻</w:t>
            </w:r>
            <w:r>
              <w:rPr>
                <w:rFonts w:hint="eastAsia" w:ascii="宋体" w:hAnsi="宋体" w:eastAsia="宋体" w:cs="宋体"/>
                <w:i w:val="0"/>
                <w:iCs w:val="0"/>
                <w:color w:val="000000"/>
                <w:kern w:val="0"/>
                <w:sz w:val="20"/>
                <w:szCs w:val="20"/>
                <w:u w:val="none"/>
                <w:lang w:val="en-US" w:eastAsia="zh-CN" w:bidi="ar"/>
              </w:rPr>
              <w:t>合模6</w:t>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5mm（包括6mm桥部）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合模错移±0.2mm</w:t>
            </w:r>
          </w:p>
        </w:tc>
      </w:tr>
      <w:tr w14:paraId="1E63737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A468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43" w:type="dxa"/>
            <w:vMerge w:val="continue"/>
            <w:tcBorders>
              <w:tl2br w:val="nil"/>
              <w:tr2bl w:val="nil"/>
            </w:tcBorders>
            <w:shd w:val="clear" w:color="auto" w:fill="auto"/>
            <w:noWrap/>
            <w:vAlign w:val="center"/>
          </w:tcPr>
          <w:p w14:paraId="029A01C6">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5280D826">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桥口平面与模体底面</w:t>
            </w:r>
            <w:r>
              <w:rPr>
                <w:rFonts w:hint="eastAsia" w:ascii="宋体" w:hAnsi="宋体" w:eastAsia="宋体" w:cs="宋体"/>
                <w:i w:val="0"/>
                <w:iCs w:val="0"/>
                <w:color w:val="000000"/>
                <w:kern w:val="0"/>
                <w:sz w:val="20"/>
                <w:szCs w:val="20"/>
                <w:u w:val="none"/>
                <w:lang w:val="en-US" w:eastAsia="zh-CN" w:bidi="ar"/>
              </w:rPr>
              <w:t>尺寸公差±0.2mm</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sz w:val="20"/>
                <w:szCs w:val="20"/>
                <w:u w:val="none"/>
                <w:lang w:val="en-US" w:eastAsia="zh-CN"/>
              </w:rPr>
              <w:t>平行度0.2mm</w:t>
            </w:r>
          </w:p>
        </w:tc>
      </w:tr>
      <w:tr w14:paraId="5A65A4C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BA209E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243" w:type="dxa"/>
            <w:vMerge w:val="restart"/>
            <w:tcBorders>
              <w:tl2br w:val="nil"/>
              <w:tr2bl w:val="nil"/>
            </w:tcBorders>
            <w:shd w:val="clear" w:color="auto" w:fill="auto"/>
            <w:noWrap/>
            <w:vAlign w:val="center"/>
          </w:tcPr>
          <w:p w14:paraId="051E4F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锻模</w:t>
            </w:r>
          </w:p>
          <w:p w14:paraId="45D585F2">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（MP</w:t>
            </w:r>
            <w:r>
              <w:rPr>
                <w:rFonts w:hint="eastAsia" w:ascii="宋体" w:hAnsi="宋体" w:cs="宋体"/>
                <w:i w:val="0"/>
                <w:iCs w:val="0"/>
                <w:color w:val="000000"/>
                <w:kern w:val="0"/>
                <w:sz w:val="20"/>
                <w:szCs w:val="20"/>
                <w:u w:val="none"/>
                <w:lang w:val="en-US" w:eastAsia="zh-CN" w:bidi="ar"/>
              </w:rPr>
              <w:t>63</w:t>
            </w:r>
            <w:r>
              <w:rPr>
                <w:rFonts w:hint="eastAsia" w:ascii="宋体" w:hAnsi="宋体" w:eastAsia="宋体" w:cs="宋体"/>
                <w:i w:val="0"/>
                <w:iCs w:val="0"/>
                <w:color w:val="000000"/>
                <w:kern w:val="0"/>
                <w:sz w:val="20"/>
                <w:szCs w:val="20"/>
                <w:u w:val="none"/>
                <w:lang w:val="en-US" w:eastAsia="zh-CN" w:bidi="ar"/>
              </w:rPr>
              <w:t>00）</w:t>
            </w:r>
          </w:p>
        </w:tc>
        <w:tc>
          <w:tcPr>
            <w:tcW w:w="6815" w:type="dxa"/>
            <w:tcBorders>
              <w:tl2br w:val="nil"/>
              <w:tr2bl w:val="nil"/>
            </w:tcBorders>
            <w:shd w:val="clear" w:color="auto" w:fill="auto"/>
            <w:noWrap/>
            <w:vAlign w:val="center"/>
          </w:tcPr>
          <w:p w14:paraId="7D64CE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合模间隙预锻8mm、终锻6mm</w:t>
            </w:r>
            <w:r>
              <w:rPr>
                <w:rFonts w:hint="eastAsia" w:ascii="宋体" w:hAnsi="宋体" w:cs="宋体"/>
                <w:i w:val="0"/>
                <w:iCs w:val="0"/>
                <w:color w:val="000000"/>
                <w:kern w:val="0"/>
                <w:sz w:val="20"/>
                <w:szCs w:val="20"/>
                <w:u w:val="none"/>
                <w:lang w:val="en-US" w:eastAsia="zh-CN" w:bidi="ar"/>
              </w:rPr>
              <w:t>，终锻</w:t>
            </w:r>
            <w:r>
              <w:rPr>
                <w:rFonts w:hint="eastAsia" w:ascii="宋体" w:hAnsi="宋体" w:eastAsia="宋体" w:cs="宋体"/>
                <w:i w:val="0"/>
                <w:iCs w:val="0"/>
                <w:color w:val="000000"/>
                <w:kern w:val="0"/>
                <w:sz w:val="20"/>
                <w:szCs w:val="20"/>
                <w:u w:val="none"/>
                <w:lang w:val="en-US" w:eastAsia="zh-CN" w:bidi="ar"/>
              </w:rPr>
              <w:t>合模6</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5mm（包括6mm桥部）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合模错移±0.2mm，模体底面距桥口面尺寸公差±0.2mm</w:t>
            </w:r>
          </w:p>
        </w:tc>
      </w:tr>
      <w:tr w14:paraId="4867B80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71F4397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243" w:type="dxa"/>
            <w:vMerge w:val="continue"/>
            <w:tcBorders>
              <w:tl2br w:val="nil"/>
              <w:tr2bl w:val="nil"/>
            </w:tcBorders>
            <w:shd w:val="clear" w:color="auto" w:fill="auto"/>
            <w:noWrap/>
            <w:vAlign w:val="center"/>
          </w:tcPr>
          <w:p w14:paraId="03D8D625">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17864506">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型腔中心与模块中心偏差±0.05mm，压紧面15°±10′，模体平面相对装配基准面平行度0.05mm</w:t>
            </w:r>
          </w:p>
        </w:tc>
      </w:tr>
      <w:tr w14:paraId="4E918B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5705D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43" w:type="dxa"/>
            <w:vMerge w:val="restart"/>
            <w:tcBorders>
              <w:tl2br w:val="nil"/>
              <w:tr2bl w:val="nil"/>
            </w:tcBorders>
            <w:shd w:val="clear" w:color="auto" w:fill="auto"/>
            <w:noWrap/>
            <w:vAlign w:val="center"/>
          </w:tcPr>
          <w:p w14:paraId="53A63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切边模（MP8000）</w:t>
            </w:r>
          </w:p>
        </w:tc>
        <w:tc>
          <w:tcPr>
            <w:tcW w:w="6815" w:type="dxa"/>
            <w:tcBorders>
              <w:tl2br w:val="nil"/>
              <w:tr2bl w:val="nil"/>
            </w:tcBorders>
            <w:shd w:val="clear" w:color="auto" w:fill="auto"/>
            <w:vAlign w:val="center"/>
          </w:tcPr>
          <w:p w14:paraId="711C2C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凹模装配用键槽宽度36H7mm</w:t>
            </w:r>
          </w:p>
        </w:tc>
      </w:tr>
      <w:tr w14:paraId="7B99B3E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7B8D1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43" w:type="dxa"/>
            <w:vMerge w:val="continue"/>
            <w:tcBorders>
              <w:tl2br w:val="nil"/>
              <w:tr2bl w:val="nil"/>
            </w:tcBorders>
            <w:shd w:val="clear" w:color="auto" w:fill="auto"/>
            <w:noWrap/>
            <w:vAlign w:val="center"/>
          </w:tcPr>
          <w:p w14:paraId="65998B77">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6441C4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凹模刃口平面度0.05mm，底面平面度0.05mm，刃口平面与底面平行度0.05mm</w:t>
            </w:r>
          </w:p>
        </w:tc>
      </w:tr>
      <w:tr w14:paraId="4AEBFE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0DB1C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43" w:type="dxa"/>
            <w:vMerge w:val="continue"/>
            <w:tcBorders>
              <w:tl2br w:val="nil"/>
              <w:tr2bl w:val="nil"/>
            </w:tcBorders>
            <w:shd w:val="clear" w:color="auto" w:fill="auto"/>
            <w:noWrap/>
            <w:vAlign w:val="center"/>
          </w:tcPr>
          <w:p w14:paraId="14F36EFD">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44B62D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上下凸模（冲头）底面装配用3个键槽宽度28H7mm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2方向键槽中心线垂直度0.05mm</w:t>
            </w:r>
          </w:p>
        </w:tc>
      </w:tr>
      <w:tr w14:paraId="6F38C98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10AD9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43" w:type="dxa"/>
            <w:vMerge w:val="restart"/>
            <w:tcBorders>
              <w:tl2br w:val="nil"/>
              <w:tr2bl w:val="nil"/>
            </w:tcBorders>
            <w:shd w:val="clear" w:color="auto" w:fill="auto"/>
            <w:noWrap/>
            <w:vAlign w:val="center"/>
          </w:tcPr>
          <w:p w14:paraId="3628E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切边模（MP</w:t>
            </w:r>
            <w:r>
              <w:rPr>
                <w:rFonts w:hint="eastAsia" w:ascii="宋体" w:hAnsi="宋体" w:cs="宋体"/>
                <w:i w:val="0"/>
                <w:iCs w:val="0"/>
                <w:color w:val="000000"/>
                <w:kern w:val="0"/>
                <w:sz w:val="20"/>
                <w:szCs w:val="20"/>
                <w:u w:val="none"/>
                <w:lang w:val="en-US" w:eastAsia="zh-CN" w:bidi="ar"/>
              </w:rPr>
              <w:t>63</w:t>
            </w:r>
            <w:r>
              <w:rPr>
                <w:rFonts w:hint="eastAsia" w:ascii="宋体" w:hAnsi="宋体" w:eastAsia="宋体" w:cs="宋体"/>
                <w:i w:val="0"/>
                <w:iCs w:val="0"/>
                <w:color w:val="000000"/>
                <w:kern w:val="0"/>
                <w:sz w:val="20"/>
                <w:szCs w:val="20"/>
                <w:u w:val="none"/>
                <w:lang w:val="en-US" w:eastAsia="zh-CN" w:bidi="ar"/>
              </w:rPr>
              <w:t>00）</w:t>
            </w:r>
          </w:p>
        </w:tc>
        <w:tc>
          <w:tcPr>
            <w:tcW w:w="6815" w:type="dxa"/>
            <w:tcBorders>
              <w:tl2br w:val="nil"/>
              <w:tr2bl w:val="nil"/>
            </w:tcBorders>
            <w:shd w:val="clear" w:color="auto" w:fill="auto"/>
            <w:noWrap/>
            <w:vAlign w:val="center"/>
          </w:tcPr>
          <w:p w14:paraId="11A6A96D">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抱切上模、凹模装配键槽20N9mm</w:t>
            </w:r>
          </w:p>
        </w:tc>
      </w:tr>
      <w:tr w14:paraId="7F47F26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2FD0BA9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w:t>
            </w:r>
          </w:p>
        </w:tc>
        <w:tc>
          <w:tcPr>
            <w:tcW w:w="1243" w:type="dxa"/>
            <w:vMerge w:val="continue"/>
            <w:tcBorders>
              <w:tl2br w:val="nil"/>
              <w:tr2bl w:val="nil"/>
            </w:tcBorders>
            <w:shd w:val="clear" w:color="auto" w:fill="auto"/>
            <w:noWrap/>
            <w:vAlign w:val="center"/>
          </w:tcPr>
          <w:p w14:paraId="466709E9">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05924DCB">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抱切下模φ550±0.1mm，261±0.1mm，紧固螺纹孔φ360±0.1mm</w:t>
            </w:r>
          </w:p>
        </w:tc>
      </w:tr>
      <w:tr w14:paraId="54CBEE9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675" w:type="dxa"/>
            <w:tcBorders>
              <w:tl2br w:val="nil"/>
              <w:tr2bl w:val="nil"/>
            </w:tcBorders>
            <w:shd w:val="clear" w:color="auto" w:fill="auto"/>
            <w:noWrap/>
            <w:vAlign w:val="center"/>
          </w:tcPr>
          <w:p w14:paraId="6764EC8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w:t>
            </w:r>
          </w:p>
        </w:tc>
        <w:tc>
          <w:tcPr>
            <w:tcW w:w="1243" w:type="dxa"/>
            <w:vMerge w:val="continue"/>
            <w:tcBorders>
              <w:tl2br w:val="nil"/>
              <w:tr2bl w:val="nil"/>
            </w:tcBorders>
            <w:shd w:val="clear" w:color="auto" w:fill="auto"/>
            <w:noWrap/>
            <w:vAlign w:val="center"/>
          </w:tcPr>
          <w:p w14:paraId="2C023BE6">
            <w:pPr>
              <w:jc w:val="center"/>
              <w:rPr>
                <w:rFonts w:hint="eastAsia" w:ascii="宋体" w:hAnsi="宋体" w:eastAsia="宋体" w:cs="宋体"/>
                <w:i w:val="0"/>
                <w:iCs w:val="0"/>
                <w:color w:val="000000"/>
                <w:sz w:val="20"/>
                <w:szCs w:val="20"/>
                <w:u w:val="none"/>
              </w:rPr>
            </w:pPr>
          </w:p>
        </w:tc>
        <w:tc>
          <w:tcPr>
            <w:tcW w:w="6815" w:type="dxa"/>
            <w:tcBorders>
              <w:tl2br w:val="nil"/>
              <w:tr2bl w:val="nil"/>
            </w:tcBorders>
            <w:shd w:val="clear" w:color="auto" w:fill="auto"/>
            <w:noWrap/>
            <w:vAlign w:val="center"/>
          </w:tcPr>
          <w:p w14:paraId="54B20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凹模刃口平面度0.05mm，底面平面度0.05mm，刃口平面与底面平行度0.05mm</w:t>
            </w:r>
          </w:p>
        </w:tc>
      </w:tr>
    </w:tbl>
    <w:p w14:paraId="7F9DD4C2">
      <w:pPr>
        <w:jc w:val="center"/>
        <w:rPr>
          <w:rFonts w:hint="eastAsia" w:ascii="黑体" w:eastAsia="黑体"/>
          <w:b/>
          <w:color w:val="auto"/>
          <w:sz w:val="52"/>
          <w:szCs w:val="52"/>
          <w:highlight w:val="none"/>
          <w:u w:val="none"/>
        </w:rPr>
      </w:pPr>
      <w:r>
        <w:rPr>
          <w:rFonts w:hint="eastAsia" w:ascii="黑体" w:eastAsia="黑体"/>
          <w:b/>
          <w:color w:val="auto"/>
          <w:sz w:val="52"/>
          <w:szCs w:val="52"/>
          <w:highlight w:val="none"/>
          <w:u w:val="none"/>
        </w:rPr>
        <w:br w:type="page"/>
      </w:r>
    </w:p>
    <w:p w14:paraId="4ECF312E">
      <w:pPr>
        <w:jc w:val="center"/>
        <w:rPr>
          <w:rFonts w:hint="eastAsia" w:ascii="黑体" w:eastAsia="黑体"/>
          <w:b/>
          <w:color w:val="auto"/>
          <w:sz w:val="52"/>
          <w:szCs w:val="52"/>
          <w:highlight w:val="none"/>
          <w:u w:val="none"/>
        </w:rPr>
      </w:pPr>
    </w:p>
    <w:p w14:paraId="210BA08A">
      <w:pPr>
        <w:jc w:val="center"/>
        <w:rPr>
          <w:rFonts w:ascii="黑体" w:eastAsia="黑体"/>
          <w:b/>
          <w:color w:val="auto"/>
          <w:sz w:val="52"/>
          <w:szCs w:val="52"/>
          <w:highlight w:val="none"/>
          <w:u w:val="none"/>
        </w:rPr>
      </w:pPr>
      <w:r>
        <w:rPr>
          <w:rFonts w:hint="eastAsia" w:ascii="黑体" w:eastAsia="黑体"/>
          <w:b/>
          <w:color w:val="auto"/>
          <w:sz w:val="52"/>
          <w:szCs w:val="52"/>
          <w:highlight w:val="none"/>
          <w:u w:val="none"/>
        </w:rPr>
        <w:t>采购产品质量保证与服务协议</w:t>
      </w:r>
    </w:p>
    <w:p w14:paraId="24A350A0">
      <w:pPr>
        <w:ind w:firstLine="420" w:firstLineChars="200"/>
        <w:rPr>
          <w:b/>
          <w:color w:val="auto"/>
          <w:highlight w:val="none"/>
          <w:u w:val="none"/>
        </w:rPr>
      </w:pPr>
    </w:p>
    <w:p w14:paraId="0D921368">
      <w:pPr>
        <w:ind w:firstLine="420" w:firstLineChars="200"/>
        <w:rPr>
          <w:b/>
          <w:color w:val="auto"/>
          <w:highlight w:val="none"/>
          <w:u w:val="none"/>
        </w:rPr>
      </w:pPr>
    </w:p>
    <w:p w14:paraId="20050E5C">
      <w:pPr>
        <w:ind w:firstLine="420" w:firstLineChars="200"/>
        <w:rPr>
          <w:b/>
          <w:color w:val="auto"/>
          <w:highlight w:val="none"/>
          <w:u w:val="none"/>
        </w:rPr>
      </w:pPr>
    </w:p>
    <w:p w14:paraId="75F607BB">
      <w:pPr>
        <w:ind w:firstLine="420" w:firstLineChars="200"/>
        <w:rPr>
          <w:b/>
          <w:color w:val="auto"/>
          <w:highlight w:val="none"/>
          <w:u w:val="none"/>
        </w:rPr>
      </w:pPr>
    </w:p>
    <w:p w14:paraId="595B293D">
      <w:pPr>
        <w:ind w:firstLine="420" w:firstLineChars="200"/>
        <w:rPr>
          <w:b/>
          <w:color w:val="auto"/>
          <w:highlight w:val="none"/>
          <w:u w:val="none"/>
        </w:rPr>
      </w:pPr>
    </w:p>
    <w:p w14:paraId="7BB46E7D">
      <w:pPr>
        <w:ind w:firstLine="420" w:firstLineChars="200"/>
        <w:rPr>
          <w:b/>
          <w:color w:val="auto"/>
          <w:highlight w:val="none"/>
          <w:u w:val="none"/>
        </w:rPr>
      </w:pPr>
      <w:r>
        <w:rPr>
          <w:rFonts w:hint="eastAsia"/>
          <w:b/>
          <w:color w:val="auto"/>
          <w:highlight w:val="none"/>
          <w:u w:val="none"/>
        </w:rP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12065" b="2540"/>
            <wp:wrapNone/>
            <wp:docPr id="14" name="图片 2" descr="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重汽"/>
                    <pic:cNvPicPr>
                      <a:picLocks noChangeAspect="1"/>
                    </pic:cNvPicPr>
                  </pic:nvPicPr>
                  <pic:blipFill>
                    <a:blip r:embed="rId40"/>
                    <a:stretch>
                      <a:fillRect/>
                    </a:stretch>
                  </pic:blipFill>
                  <pic:spPr>
                    <a:xfrm>
                      <a:off x="0" y="0"/>
                      <a:ext cx="2337435" cy="2308860"/>
                    </a:xfrm>
                    <a:prstGeom prst="rect">
                      <a:avLst/>
                    </a:prstGeom>
                    <a:noFill/>
                    <a:ln>
                      <a:noFill/>
                    </a:ln>
                  </pic:spPr>
                </pic:pic>
              </a:graphicData>
            </a:graphic>
          </wp:anchor>
        </w:drawing>
      </w:r>
    </w:p>
    <w:p w14:paraId="14742A1A">
      <w:pPr>
        <w:ind w:firstLine="420" w:firstLineChars="200"/>
        <w:rPr>
          <w:b/>
          <w:color w:val="auto"/>
          <w:highlight w:val="none"/>
          <w:u w:val="none"/>
        </w:rPr>
      </w:pPr>
    </w:p>
    <w:p w14:paraId="756716C3">
      <w:pPr>
        <w:ind w:firstLine="420" w:firstLineChars="200"/>
        <w:rPr>
          <w:b/>
          <w:color w:val="auto"/>
          <w:highlight w:val="none"/>
          <w:u w:val="none"/>
        </w:rPr>
      </w:pPr>
    </w:p>
    <w:p w14:paraId="677763B0">
      <w:pPr>
        <w:ind w:firstLine="420" w:firstLineChars="200"/>
        <w:rPr>
          <w:b/>
          <w:color w:val="auto"/>
          <w:highlight w:val="none"/>
          <w:u w:val="none"/>
        </w:rPr>
      </w:pPr>
    </w:p>
    <w:p w14:paraId="729AFAD5">
      <w:pPr>
        <w:ind w:firstLine="420" w:firstLineChars="200"/>
        <w:rPr>
          <w:b/>
          <w:color w:val="auto"/>
          <w:highlight w:val="none"/>
          <w:u w:val="none"/>
        </w:rPr>
      </w:pPr>
    </w:p>
    <w:p w14:paraId="2F69533E">
      <w:pPr>
        <w:ind w:firstLine="420" w:firstLineChars="200"/>
        <w:rPr>
          <w:b/>
          <w:color w:val="auto"/>
          <w:highlight w:val="none"/>
          <w:u w:val="none"/>
        </w:rPr>
      </w:pPr>
    </w:p>
    <w:p w14:paraId="1925D200">
      <w:pPr>
        <w:ind w:firstLine="420" w:firstLineChars="200"/>
        <w:rPr>
          <w:b/>
          <w:color w:val="auto"/>
          <w:highlight w:val="none"/>
          <w:u w:val="none"/>
        </w:rPr>
      </w:pPr>
    </w:p>
    <w:p w14:paraId="1E963412">
      <w:pPr>
        <w:ind w:firstLine="420" w:firstLineChars="200"/>
        <w:rPr>
          <w:b/>
          <w:color w:val="auto"/>
          <w:highlight w:val="none"/>
          <w:u w:val="none"/>
        </w:rPr>
      </w:pPr>
    </w:p>
    <w:p w14:paraId="02ABB8FD">
      <w:pPr>
        <w:ind w:firstLine="420" w:firstLineChars="200"/>
        <w:rPr>
          <w:b/>
          <w:color w:val="auto"/>
          <w:highlight w:val="none"/>
          <w:u w:val="none"/>
        </w:rPr>
      </w:pPr>
    </w:p>
    <w:p w14:paraId="46197839">
      <w:pPr>
        <w:ind w:firstLine="420" w:firstLineChars="200"/>
        <w:rPr>
          <w:b/>
          <w:color w:val="auto"/>
          <w:highlight w:val="none"/>
          <w:u w:val="none"/>
        </w:rPr>
      </w:pPr>
    </w:p>
    <w:p w14:paraId="0DBBD836">
      <w:pPr>
        <w:ind w:firstLine="420" w:firstLineChars="200"/>
        <w:rPr>
          <w:b/>
          <w:color w:val="auto"/>
          <w:highlight w:val="none"/>
          <w:u w:val="none"/>
        </w:rPr>
      </w:pPr>
    </w:p>
    <w:p w14:paraId="5DD3474A">
      <w:pPr>
        <w:ind w:firstLine="420" w:firstLineChars="200"/>
        <w:rPr>
          <w:b/>
          <w:color w:val="auto"/>
          <w:highlight w:val="none"/>
          <w:u w:val="none"/>
        </w:rPr>
      </w:pPr>
    </w:p>
    <w:p w14:paraId="4DD21060">
      <w:pPr>
        <w:ind w:firstLine="420" w:firstLineChars="200"/>
        <w:rPr>
          <w:b/>
          <w:color w:val="auto"/>
          <w:highlight w:val="none"/>
          <w:u w:val="none"/>
        </w:rPr>
      </w:pPr>
    </w:p>
    <w:p w14:paraId="5DCCE765">
      <w:pPr>
        <w:ind w:firstLine="420" w:firstLineChars="200"/>
        <w:rPr>
          <w:b/>
          <w:color w:val="auto"/>
          <w:highlight w:val="none"/>
          <w:u w:val="none"/>
        </w:rPr>
      </w:pPr>
    </w:p>
    <w:p w14:paraId="6F411EFC">
      <w:pPr>
        <w:ind w:firstLine="420" w:firstLineChars="200"/>
        <w:rPr>
          <w:b/>
          <w:color w:val="auto"/>
          <w:highlight w:val="none"/>
          <w:u w:val="none"/>
        </w:rPr>
      </w:pPr>
    </w:p>
    <w:p w14:paraId="0F95CC79">
      <w:pPr>
        <w:jc w:val="center"/>
        <w:rPr>
          <w:rFonts w:hint="eastAsia" w:ascii="微软雅黑" w:hAnsi="微软雅黑" w:eastAsia="微软雅黑" w:cs="Times New Roman"/>
          <w:color w:val="auto"/>
          <w:sz w:val="32"/>
          <w:szCs w:val="32"/>
          <w:highlight w:val="none"/>
          <w:u w:val="none"/>
        </w:rPr>
      </w:pPr>
    </w:p>
    <w:p w14:paraId="6126007E">
      <w:pPr>
        <w:jc w:val="center"/>
        <w:rPr>
          <w:rFonts w:hint="eastAsia" w:ascii="微软雅黑" w:hAnsi="微软雅黑" w:eastAsia="微软雅黑" w:cs="Times New Roman"/>
          <w:color w:val="auto"/>
          <w:sz w:val="32"/>
          <w:szCs w:val="32"/>
          <w:highlight w:val="none"/>
          <w:u w:val="none"/>
        </w:rPr>
      </w:pPr>
    </w:p>
    <w:p w14:paraId="4F850347">
      <w:pPr>
        <w:jc w:val="center"/>
        <w:rPr>
          <w:rFonts w:hint="eastAsia" w:ascii="微软雅黑" w:hAnsi="微软雅黑" w:eastAsia="微软雅黑" w:cs="Times New Roman"/>
          <w:color w:val="auto"/>
          <w:sz w:val="32"/>
          <w:szCs w:val="32"/>
          <w:highlight w:val="none"/>
          <w:u w:val="none"/>
          <w:lang w:eastAsia="zh-CN"/>
        </w:rPr>
      </w:pPr>
      <w:r>
        <w:rPr>
          <w:rFonts w:hint="eastAsia" w:ascii="微软雅黑" w:hAnsi="微软雅黑" w:eastAsia="微软雅黑" w:cs="Times New Roman"/>
          <w:color w:val="auto"/>
          <w:sz w:val="32"/>
          <w:szCs w:val="32"/>
          <w:highlight w:val="none"/>
          <w:u w:val="none"/>
          <w:lang w:eastAsia="zh-CN"/>
        </w:rPr>
        <w:t>中国重汽集团济南智能装备公司</w:t>
      </w:r>
    </w:p>
    <w:p w14:paraId="51ED9125">
      <w:pPr>
        <w:ind w:firstLine="640" w:firstLineChars="200"/>
        <w:rPr>
          <w:rFonts w:ascii="微软雅黑" w:hAnsi="微软雅黑" w:eastAsia="微软雅黑"/>
          <w:b/>
          <w:color w:val="auto"/>
          <w:sz w:val="32"/>
          <w:szCs w:val="32"/>
          <w:highlight w:val="none"/>
          <w:u w:val="none"/>
        </w:rPr>
      </w:pPr>
    </w:p>
    <w:p w14:paraId="4608493B">
      <w:pPr>
        <w:rPr>
          <w:rFonts w:ascii="微软雅黑" w:hAnsi="微软雅黑" w:eastAsia="微软雅黑"/>
          <w:b/>
          <w:color w:val="auto"/>
          <w:sz w:val="32"/>
          <w:szCs w:val="32"/>
          <w:highlight w:val="none"/>
          <w:u w:val="none"/>
        </w:rPr>
      </w:pPr>
      <w:r>
        <w:rPr>
          <w:rFonts w:ascii="微软雅黑" w:hAnsi="微软雅黑" w:eastAsia="微软雅黑"/>
          <w:b/>
          <w:color w:val="auto"/>
          <w:sz w:val="32"/>
          <w:szCs w:val="32"/>
          <w:highlight w:val="none"/>
          <w:u w:val="none"/>
        </w:rPr>
        <w:br w:type="page"/>
      </w:r>
    </w:p>
    <w:p w14:paraId="398CCE8A">
      <w:pPr>
        <w:jc w:val="center"/>
        <w:rPr>
          <w:rFonts w:ascii="微软雅黑" w:hAnsi="微软雅黑" w:eastAsia="微软雅黑"/>
          <w:color w:val="auto"/>
          <w:sz w:val="32"/>
          <w:szCs w:val="32"/>
          <w:highlight w:val="none"/>
          <w:u w:val="none"/>
        </w:rPr>
      </w:pPr>
      <w:r>
        <w:rPr>
          <w:rFonts w:hint="eastAsia" w:ascii="微软雅黑" w:hAnsi="微软雅黑" w:eastAsia="微软雅黑"/>
          <w:color w:val="auto"/>
          <w:sz w:val="32"/>
          <w:szCs w:val="32"/>
          <w:highlight w:val="none"/>
          <w:u w:val="none"/>
        </w:rPr>
        <w:t>采购产品质量保证与服务协议</w:t>
      </w:r>
    </w:p>
    <w:p w14:paraId="3379ED69">
      <w:pPr>
        <w:ind w:firstLine="560" w:firstLineChars="200"/>
        <w:jc w:val="left"/>
        <w:rPr>
          <w:rFonts w:hint="eastAsia" w:ascii="仿宋" w:hAnsi="仿宋" w:eastAsia="仿宋" w:cs="Times New Roman"/>
          <w:color w:val="auto"/>
          <w:sz w:val="28"/>
          <w:szCs w:val="28"/>
          <w:highlight w:val="none"/>
          <w:u w:val="none"/>
          <w:lang w:eastAsia="zh-CN"/>
        </w:rPr>
      </w:pPr>
      <w:r>
        <w:rPr>
          <w:rFonts w:hint="eastAsia" w:ascii="仿宋" w:hAnsi="仿宋" w:eastAsia="仿宋" w:cs="Times New Roman"/>
          <w:color w:val="auto"/>
          <w:sz w:val="28"/>
          <w:szCs w:val="28"/>
          <w:highlight w:val="none"/>
          <w:u w:val="none"/>
        </w:rPr>
        <w:t>甲方：</w:t>
      </w:r>
      <w:r>
        <w:rPr>
          <w:rFonts w:hint="eastAsia" w:ascii="仿宋" w:hAnsi="仿宋" w:eastAsia="仿宋" w:cs="Times New Roman"/>
          <w:color w:val="auto"/>
          <w:sz w:val="28"/>
          <w:szCs w:val="28"/>
          <w:highlight w:val="none"/>
          <w:u w:val="none"/>
          <w:lang w:eastAsia="zh-CN"/>
        </w:rPr>
        <w:t>中国重汽集团济南智能装备公司</w:t>
      </w:r>
    </w:p>
    <w:p w14:paraId="6F8A562D">
      <w:pPr>
        <w:ind w:firstLine="560" w:firstLineChars="200"/>
        <w:jc w:val="left"/>
        <w:rPr>
          <w:rFonts w:ascii="仿宋" w:hAnsi="仿宋" w:eastAsia="仿宋" w:cs="Times New Roman"/>
          <w:color w:val="auto"/>
          <w:sz w:val="28"/>
          <w:szCs w:val="28"/>
          <w:highlight w:val="none"/>
          <w:u w:val="none"/>
        </w:rPr>
      </w:pPr>
      <w:r>
        <w:rPr>
          <w:rFonts w:hint="eastAsia" w:ascii="仿宋" w:hAnsi="仿宋" w:eastAsia="仿宋" w:cs="Times New Roman"/>
          <w:color w:val="auto"/>
          <w:sz w:val="28"/>
          <w:szCs w:val="28"/>
          <w:highlight w:val="none"/>
          <w:u w:val="none"/>
        </w:rPr>
        <w:t>乙方：【供应商】</w:t>
      </w:r>
    </w:p>
    <w:p w14:paraId="2C16182E">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为保持产品质量的稳定与持续提升，明确产品质量的责任与义务，甲、乙双方经友好协商，签订《采购产品质量保证与服务协议》（以下简称“本协议”）以资共同遵守。</w:t>
      </w:r>
    </w:p>
    <w:p w14:paraId="7C5ED799">
      <w:pPr>
        <w:ind w:firstLine="482" w:firstLineChars="200"/>
        <w:jc w:val="left"/>
        <w:rPr>
          <w:rFonts w:ascii="仿宋" w:hAnsi="仿宋" w:eastAsia="仿宋" w:cs="Times New Roman"/>
          <w:b/>
          <w:color w:val="auto"/>
          <w:sz w:val="24"/>
          <w:szCs w:val="24"/>
          <w:highlight w:val="none"/>
          <w:u w:val="none"/>
        </w:rPr>
      </w:pPr>
      <w:r>
        <w:rPr>
          <w:rFonts w:hint="eastAsia" w:ascii="仿宋" w:hAnsi="仿宋" w:eastAsia="仿宋" w:cs="Times New Roman"/>
          <w:b/>
          <w:color w:val="auto"/>
          <w:sz w:val="24"/>
          <w:szCs w:val="24"/>
          <w:highlight w:val="none"/>
          <w:u w:val="none"/>
        </w:rPr>
        <w:t>1．协议适用范围</w:t>
      </w:r>
    </w:p>
    <w:p w14:paraId="6BEB0B95">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本协议所指产品，是指甲方从乙方采购用于甲方生产的工装、夹具及其备件。</w:t>
      </w:r>
    </w:p>
    <w:p w14:paraId="694A0453">
      <w:pPr>
        <w:ind w:firstLine="482" w:firstLineChars="200"/>
        <w:jc w:val="left"/>
        <w:rPr>
          <w:rFonts w:ascii="仿宋" w:hAnsi="仿宋" w:eastAsia="仿宋" w:cs="Times New Roman"/>
          <w:b/>
          <w:color w:val="auto"/>
          <w:sz w:val="24"/>
          <w:szCs w:val="24"/>
          <w:highlight w:val="none"/>
          <w:u w:val="none"/>
        </w:rPr>
      </w:pPr>
      <w:r>
        <w:rPr>
          <w:rFonts w:hint="eastAsia" w:ascii="仿宋" w:hAnsi="仿宋" w:eastAsia="仿宋" w:cs="Times New Roman"/>
          <w:b/>
          <w:color w:val="auto"/>
          <w:sz w:val="24"/>
          <w:szCs w:val="24"/>
          <w:highlight w:val="none"/>
          <w:u w:val="none"/>
        </w:rPr>
        <w:t>2．管理职责</w:t>
      </w:r>
    </w:p>
    <w:p w14:paraId="175B4570">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2.1 甲方职责</w:t>
      </w:r>
    </w:p>
    <w:p w14:paraId="5A540FC0">
      <w:pPr>
        <w:tabs>
          <w:tab w:val="left" w:pos="0"/>
        </w:tabs>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2.1.1甲方应向乙方明确提出技术和质量要求。当甲方变更技术和/或质量要求时，应及时通知乙方。</w:t>
      </w:r>
    </w:p>
    <w:p w14:paraId="21462343">
      <w:pPr>
        <w:tabs>
          <w:tab w:val="left" w:pos="0"/>
        </w:tabs>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2.1.</w:t>
      </w:r>
      <w:r>
        <w:rPr>
          <w:rFonts w:ascii="仿宋" w:hAnsi="仿宋" w:eastAsia="仿宋"/>
          <w:color w:val="auto"/>
          <w:sz w:val="24"/>
          <w:szCs w:val="24"/>
          <w:highlight w:val="none"/>
          <w:u w:val="none"/>
        </w:rPr>
        <w:t>2</w:t>
      </w:r>
      <w:r>
        <w:rPr>
          <w:rFonts w:hint="eastAsia" w:ascii="仿宋" w:hAnsi="仿宋" w:eastAsia="仿宋"/>
          <w:color w:val="auto"/>
          <w:sz w:val="24"/>
          <w:szCs w:val="24"/>
          <w:highlight w:val="none"/>
          <w:u w:val="none"/>
        </w:rPr>
        <w:t>甲方应及时向乙方反馈其所提供产品存在的质量问题（包括因包装不良导致），并负责向乙方提供不合格品资料及质量信息。</w:t>
      </w:r>
    </w:p>
    <w:p w14:paraId="67C25C9A">
      <w:pPr>
        <w:tabs>
          <w:tab w:val="left" w:pos="0"/>
        </w:tabs>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2.1.</w:t>
      </w:r>
      <w:r>
        <w:rPr>
          <w:rFonts w:ascii="仿宋" w:hAnsi="仿宋" w:eastAsia="仿宋"/>
          <w:color w:val="auto"/>
          <w:sz w:val="24"/>
          <w:szCs w:val="24"/>
          <w:highlight w:val="none"/>
          <w:u w:val="none"/>
        </w:rPr>
        <w:t>3</w:t>
      </w:r>
      <w:r>
        <w:rPr>
          <w:rFonts w:hint="eastAsia" w:ascii="仿宋" w:hAnsi="仿宋" w:eastAsia="仿宋"/>
          <w:color w:val="auto"/>
          <w:sz w:val="24"/>
          <w:szCs w:val="24"/>
          <w:highlight w:val="none"/>
          <w:u w:val="none"/>
        </w:rPr>
        <w:t>甲方负责验证乙方相关质量改进的有效性，客户有要求或必要时直接到乙方现场进行产品验证。</w:t>
      </w:r>
    </w:p>
    <w:p w14:paraId="5F04CCF2">
      <w:pPr>
        <w:tabs>
          <w:tab w:val="left" w:pos="0"/>
        </w:tabs>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2.1.</w:t>
      </w:r>
      <w:r>
        <w:rPr>
          <w:rFonts w:ascii="仿宋" w:hAnsi="仿宋" w:eastAsia="仿宋"/>
          <w:color w:val="auto"/>
          <w:sz w:val="24"/>
          <w:szCs w:val="24"/>
          <w:highlight w:val="none"/>
          <w:u w:val="none"/>
        </w:rPr>
        <w:t>4</w:t>
      </w:r>
      <w:r>
        <w:rPr>
          <w:rFonts w:hint="eastAsia" w:ascii="仿宋" w:hAnsi="仿宋" w:eastAsia="仿宋"/>
          <w:color w:val="auto"/>
          <w:sz w:val="24"/>
          <w:szCs w:val="24"/>
          <w:highlight w:val="none"/>
          <w:u w:val="none"/>
        </w:rPr>
        <w:t>甲方按计划或根据需要不定期的对乙方质量保证能力等方面进行审核。</w:t>
      </w:r>
    </w:p>
    <w:p w14:paraId="042996AF">
      <w:pPr>
        <w:tabs>
          <w:tab w:val="left" w:pos="0"/>
        </w:tabs>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2.1.</w:t>
      </w:r>
      <w:r>
        <w:rPr>
          <w:rFonts w:ascii="仿宋" w:hAnsi="仿宋" w:eastAsia="仿宋"/>
          <w:color w:val="auto"/>
          <w:sz w:val="24"/>
          <w:szCs w:val="24"/>
          <w:highlight w:val="none"/>
          <w:u w:val="none"/>
        </w:rPr>
        <w:t>5</w:t>
      </w:r>
      <w:r>
        <w:rPr>
          <w:rFonts w:hint="eastAsia" w:ascii="仿宋" w:hAnsi="仿宋" w:eastAsia="仿宋"/>
          <w:color w:val="auto"/>
          <w:sz w:val="24"/>
          <w:szCs w:val="24"/>
          <w:highlight w:val="none"/>
          <w:u w:val="none"/>
        </w:rPr>
        <w:t>甲方应提出从乙方采购产品的检验技术标准，若采用乙方检验标准时乙方应在甲方备案，并经甲方认可，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0754E964">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2.1.6停用：乙方工装在检验及用户的使用过程中，出现下列情况时，应立即暂停供货。</w:t>
      </w:r>
    </w:p>
    <w:p w14:paraId="60B05498">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a.乙方工装进厂检验连续出现三次以上不合格情况；</w:t>
      </w:r>
    </w:p>
    <w:p w14:paraId="6E2245B7">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b.乙方工装在使用过程中造成甲方批量性质量问题时。</w:t>
      </w:r>
    </w:p>
    <w:p w14:paraId="13780793">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c.乙方工装使用中连续三次出现达不到定额时</w:t>
      </w:r>
    </w:p>
    <w:p w14:paraId="27DFDB20">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2.1.7启用：乙方工装一旦被停用，原则上应同时完成以下事项后，方可启用。</w:t>
      </w:r>
    </w:p>
    <w:p w14:paraId="453E68CC">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a.工装全部更改为合格工装。</w:t>
      </w:r>
    </w:p>
    <w:p w14:paraId="0AEB9776">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b.经过甲方组织的二方审核，确定质量保证能力能够满足要求。</w:t>
      </w:r>
    </w:p>
    <w:p w14:paraId="16EA358D">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c.对工装质量做出书面承诺并承担甲方的损失。</w:t>
      </w:r>
    </w:p>
    <w:p w14:paraId="36B25854">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2.2乙方职责</w:t>
      </w:r>
    </w:p>
    <w:p w14:paraId="68B691DB">
      <w:pPr>
        <w:tabs>
          <w:tab w:val="left" w:pos="0"/>
        </w:tabs>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2.2.1乙方应按照IATF16949或ISO9001标准以及甲方要求建立、健全和持续改进质量管理体系，取得认证证书，以确保向甲方长期稳定地提供合格产品；并及时将证书有效版本提交至甲方采购部门备案。</w:t>
      </w:r>
    </w:p>
    <w:p w14:paraId="6F4ED176">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2.2.</w:t>
      </w:r>
      <w:r>
        <w:rPr>
          <w:rFonts w:ascii="仿宋" w:hAnsi="仿宋" w:eastAsia="仿宋" w:cs="Times New Roman"/>
          <w:color w:val="auto"/>
          <w:sz w:val="24"/>
          <w:szCs w:val="24"/>
          <w:highlight w:val="none"/>
          <w:u w:val="none"/>
        </w:rPr>
        <w:t>2</w:t>
      </w:r>
      <w:r>
        <w:rPr>
          <w:rFonts w:hint="eastAsia" w:ascii="仿宋" w:hAnsi="仿宋" w:eastAsia="仿宋" w:cs="Times New Roman"/>
          <w:color w:val="auto"/>
          <w:sz w:val="24"/>
          <w:szCs w:val="24"/>
          <w:highlight w:val="none"/>
          <w:u w:val="none"/>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并应在认证证书到期前2个月告知甲方；乙方认证证书（被）暂停或撤销或注销的，乙方证书应在暂停或撤销或注销1个工作日内告知甲方。</w:t>
      </w:r>
    </w:p>
    <w:p w14:paraId="65AFA713">
      <w:pPr>
        <w:tabs>
          <w:tab w:val="left" w:pos="0"/>
        </w:tabs>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2.2.</w:t>
      </w:r>
      <w:r>
        <w:rPr>
          <w:rFonts w:ascii="仿宋" w:hAnsi="仿宋" w:eastAsia="仿宋"/>
          <w:color w:val="auto"/>
          <w:sz w:val="24"/>
          <w:szCs w:val="24"/>
          <w:highlight w:val="none"/>
          <w:u w:val="none"/>
        </w:rPr>
        <w:t>3</w:t>
      </w:r>
      <w:r>
        <w:rPr>
          <w:rFonts w:hint="eastAsia" w:ascii="仿宋" w:hAnsi="仿宋" w:eastAsia="仿宋"/>
          <w:color w:val="auto"/>
          <w:sz w:val="24"/>
          <w:szCs w:val="24"/>
          <w:highlight w:val="none"/>
          <w:u w:val="none"/>
        </w:rPr>
        <w:t>乙方应对其产品的特殊过程按GB/T19001-2016/ISO9001:2015等质量标准要求进行过程确认，将确认、控制和过程能力的相关资料定期提交甲方采购部门。</w:t>
      </w:r>
    </w:p>
    <w:p w14:paraId="69BDF9D4">
      <w:pPr>
        <w:tabs>
          <w:tab w:val="left" w:pos="0"/>
        </w:tabs>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2.2.</w:t>
      </w:r>
      <w:r>
        <w:rPr>
          <w:rFonts w:ascii="仿宋" w:hAnsi="仿宋" w:eastAsia="仿宋"/>
          <w:color w:val="auto"/>
          <w:sz w:val="24"/>
          <w:szCs w:val="24"/>
          <w:highlight w:val="none"/>
          <w:u w:val="none"/>
        </w:rPr>
        <w:t>4</w:t>
      </w:r>
      <w:r>
        <w:rPr>
          <w:rFonts w:hint="eastAsia" w:ascii="仿宋" w:hAnsi="仿宋" w:eastAsia="仿宋"/>
          <w:color w:val="auto"/>
          <w:sz w:val="24"/>
          <w:szCs w:val="24"/>
          <w:highlight w:val="none"/>
          <w:u w:val="none"/>
        </w:rPr>
        <w:t>当客户或甲方到乙方现场进行产品验证时，乙方应积极配合，但验证的结论不作为乙方交付时，甲方的验收依据。</w:t>
      </w:r>
    </w:p>
    <w:p w14:paraId="3FFC5EAF">
      <w:pPr>
        <w:tabs>
          <w:tab w:val="left" w:pos="0"/>
        </w:tabs>
        <w:ind w:firstLine="480" w:firstLineChars="200"/>
        <w:rPr>
          <w:rFonts w:ascii="仿宋" w:hAnsi="仿宋" w:eastAsia="仿宋"/>
          <w:color w:val="auto"/>
          <w:sz w:val="24"/>
          <w:szCs w:val="24"/>
          <w:highlight w:val="none"/>
          <w:u w:val="none"/>
        </w:rPr>
      </w:pPr>
      <w:r>
        <w:rPr>
          <w:rFonts w:hint="eastAsia" w:ascii="仿宋" w:hAnsi="仿宋" w:eastAsia="仿宋" w:cs="Times New Roman"/>
          <w:color w:val="auto"/>
          <w:sz w:val="24"/>
          <w:szCs w:val="24"/>
          <w:highlight w:val="none"/>
          <w:u w:val="none"/>
        </w:rPr>
        <w:t>2.2.5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甲方经审核评审通过后，乙方应及时将变更的认证文件、体系证书等及时提供甲方备案。</w:t>
      </w:r>
    </w:p>
    <w:p w14:paraId="3DC923AF">
      <w:pPr>
        <w:pStyle w:val="136"/>
        <w:ind w:firstLine="482" w:firstLineChars="200"/>
        <w:rPr>
          <w:rFonts w:ascii="仿宋" w:hAnsi="仿宋" w:eastAsia="仿宋" w:cs="Times New Roman"/>
          <w:b/>
          <w:color w:val="auto"/>
          <w:sz w:val="24"/>
          <w:szCs w:val="24"/>
          <w:highlight w:val="none"/>
          <w:u w:val="none"/>
        </w:rPr>
      </w:pPr>
      <w:r>
        <w:rPr>
          <w:rFonts w:hint="eastAsia" w:ascii="仿宋" w:hAnsi="仿宋" w:eastAsia="仿宋" w:cs="Times New Roman"/>
          <w:b/>
          <w:color w:val="auto"/>
          <w:sz w:val="24"/>
          <w:szCs w:val="24"/>
          <w:highlight w:val="none"/>
          <w:u w:val="none"/>
        </w:rPr>
        <w:t>3．质量条款</w:t>
      </w:r>
    </w:p>
    <w:p w14:paraId="37C5E227">
      <w:pPr>
        <w:tabs>
          <w:tab w:val="left" w:pos="0"/>
        </w:tabs>
        <w:ind w:firstLine="482" w:firstLineChars="200"/>
        <w:rPr>
          <w:rFonts w:ascii="仿宋" w:hAnsi="仿宋" w:eastAsia="仿宋"/>
          <w:b/>
          <w:color w:val="auto"/>
          <w:sz w:val="24"/>
          <w:szCs w:val="24"/>
          <w:highlight w:val="none"/>
          <w:u w:val="none"/>
        </w:rPr>
      </w:pPr>
      <w:r>
        <w:rPr>
          <w:rFonts w:hint="eastAsia" w:ascii="仿宋" w:hAnsi="仿宋" w:eastAsia="仿宋"/>
          <w:b/>
          <w:color w:val="auto"/>
          <w:sz w:val="24"/>
          <w:szCs w:val="24"/>
          <w:highlight w:val="none"/>
          <w:u w:val="none"/>
        </w:rPr>
        <w:t>3.1实物质量标准</w:t>
      </w:r>
    </w:p>
    <w:p w14:paraId="274BA820">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3.1.1乙方负责向甲方提供符合标准要求和甲方产品符合性要求的产品。制造过程中需要更改图样、工艺及技术要求时，需经甲方书面批准，非经甲方书面批准，不得擅自更改。</w:t>
      </w:r>
    </w:p>
    <w:p w14:paraId="150C33CE">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产品符合性的判定依据包括但不限于以下内容：</w:t>
      </w:r>
    </w:p>
    <w:p w14:paraId="6D91B845">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a.产品图样；</w:t>
      </w:r>
    </w:p>
    <w:p w14:paraId="1A58536F">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b.产品技术文件；</w:t>
      </w:r>
    </w:p>
    <w:p w14:paraId="3AE85DF4">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c.产品技术协议；</w:t>
      </w:r>
    </w:p>
    <w:p w14:paraId="293C4E23">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d.产品相关的现行标准；</w:t>
      </w:r>
    </w:p>
    <w:p w14:paraId="15AE7E1C">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e.产品的会签图纸或双方确认的技术要求；</w:t>
      </w:r>
    </w:p>
    <w:p w14:paraId="3E2C6574">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f</w:t>
      </w:r>
      <w:r>
        <w:rPr>
          <w:rFonts w:ascii="仿宋" w:hAnsi="仿宋" w:eastAsia="仿宋" w:cs="Times New Roman"/>
          <w:color w:val="auto"/>
          <w:sz w:val="24"/>
          <w:szCs w:val="24"/>
          <w:highlight w:val="none"/>
          <w:u w:val="none"/>
        </w:rPr>
        <w:t>.</w:t>
      </w:r>
      <w:r>
        <w:rPr>
          <w:rFonts w:hint="eastAsia" w:ascii="仿宋" w:hAnsi="仿宋" w:eastAsia="仿宋" w:cs="Times New Roman"/>
          <w:color w:val="auto"/>
          <w:sz w:val="24"/>
          <w:szCs w:val="24"/>
          <w:highlight w:val="none"/>
          <w:u w:val="none"/>
        </w:rPr>
        <w:t>产品包装要求；</w:t>
      </w:r>
    </w:p>
    <w:p w14:paraId="7DCEF0E2">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g.产品质量目标要求。</w:t>
      </w:r>
    </w:p>
    <w:p w14:paraId="0021485B">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3.1.2乙方提供给甲方的产品，应附有：</w:t>
      </w:r>
    </w:p>
    <w:p w14:paraId="631FB6CF">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a</w:t>
      </w:r>
      <w:r>
        <w:rPr>
          <w:rFonts w:ascii="仿宋" w:hAnsi="仿宋" w:eastAsia="仿宋" w:cs="Times New Roman"/>
          <w:color w:val="auto"/>
          <w:sz w:val="24"/>
          <w:szCs w:val="24"/>
          <w:highlight w:val="none"/>
          <w:u w:val="none"/>
        </w:rPr>
        <w:t>.</w:t>
      </w:r>
      <w:r>
        <w:rPr>
          <w:rFonts w:hint="eastAsia" w:ascii="仿宋" w:hAnsi="仿宋" w:eastAsia="仿宋" w:cs="Times New Roman"/>
          <w:color w:val="auto"/>
          <w:sz w:val="24"/>
          <w:szCs w:val="24"/>
          <w:highlight w:val="none"/>
          <w:u w:val="none"/>
        </w:rPr>
        <w:t>符合甲方要求的自检报告及产品合格证明，乙方应对报告的数据真实性负责。必要时按甲方要求提供双方认可的第三方检测报告；</w:t>
      </w:r>
    </w:p>
    <w:p w14:paraId="6B383674">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b.符合甲方要求的产品铭牌、编号及标识；</w:t>
      </w:r>
    </w:p>
    <w:p w14:paraId="2BBF73E5">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c.甲方要求的产品说明书；</w:t>
      </w:r>
    </w:p>
    <w:p w14:paraId="48CD8C9C">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d.具有可追溯性的批次信息；</w:t>
      </w:r>
    </w:p>
    <w:p w14:paraId="4C16F236">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e.甲方有要求时，应按甲方相关标准携带条码。</w:t>
      </w:r>
    </w:p>
    <w:p w14:paraId="19C0B4F1">
      <w:pPr>
        <w:ind w:firstLine="482" w:firstLineChars="200"/>
        <w:jc w:val="left"/>
        <w:rPr>
          <w:rFonts w:ascii="仿宋" w:hAnsi="仿宋" w:eastAsia="仿宋" w:cs="Times New Roman"/>
          <w:b/>
          <w:color w:val="auto"/>
          <w:sz w:val="24"/>
          <w:szCs w:val="24"/>
          <w:highlight w:val="none"/>
          <w:u w:val="none"/>
        </w:rPr>
      </w:pPr>
      <w:r>
        <w:rPr>
          <w:rFonts w:hint="eastAsia" w:ascii="仿宋" w:hAnsi="仿宋" w:eastAsia="仿宋" w:cs="Times New Roman"/>
          <w:b/>
          <w:color w:val="auto"/>
          <w:sz w:val="24"/>
          <w:szCs w:val="24"/>
          <w:highlight w:val="none"/>
          <w:u w:val="none"/>
        </w:rPr>
        <w:t>3.2检验要求</w:t>
      </w:r>
    </w:p>
    <w:p w14:paraId="50C1CBA8">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olor w:val="auto"/>
          <w:sz w:val="24"/>
          <w:szCs w:val="24"/>
          <w:highlight w:val="none"/>
          <w:u w:val="none"/>
        </w:rPr>
        <w:t>3.2.1</w:t>
      </w:r>
      <w:r>
        <w:rPr>
          <w:rFonts w:hint="eastAsia" w:ascii="仿宋" w:hAnsi="仿宋" w:eastAsia="仿宋" w:cs="Times New Roman"/>
          <w:color w:val="auto"/>
          <w:sz w:val="24"/>
          <w:szCs w:val="24"/>
          <w:highlight w:val="none"/>
          <w:u w:val="none"/>
        </w:rPr>
        <w:t>乙方应按照国家法律法规及甲方技术和质量要求进行产品检验，建立和保留进货检验、过程检验和出厂检验记录，并按甲方要求提交或备查。对于法规件，应按照法规保存要求保留相关检验记录。</w:t>
      </w:r>
    </w:p>
    <w:p w14:paraId="623A3716">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3.2.2乙方应配备必要的试验检验设备，建立覆盖产品原材料检验、功能检测、可靠性检测等方面的试验检验能力。</w:t>
      </w:r>
      <w:r>
        <w:rPr>
          <w:rFonts w:hint="eastAsia" w:ascii="仿宋" w:hAnsi="仿宋" w:eastAsia="仿宋"/>
          <w:color w:val="auto"/>
          <w:kern w:val="0"/>
          <w:sz w:val="24"/>
          <w:highlight w:val="none"/>
          <w:u w:val="none"/>
        </w:rPr>
        <w:t>根据产品的质量特性要求，乙方应制订产品的检验基准书和检验控制计划，报甲方备案。</w:t>
      </w:r>
    </w:p>
    <w:p w14:paraId="222DBE2E">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3.2.3对于异形件、内外饰等型面件，乙方应制作专用检具。同时甲方有权要求乙方提供专用检具供甲方使用，乙方应积极配合完成。</w:t>
      </w:r>
    </w:p>
    <w:p w14:paraId="3DDF6AE4">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3.2.4乙方应根据产品质量特性要求，制订产品检验控制计划并认真组织实施。同时应按甲方产品质量控制计划规定的时限，提供相应的产品检验报告。</w:t>
      </w:r>
    </w:p>
    <w:p w14:paraId="5F9F64EB">
      <w:pPr>
        <w:ind w:firstLine="480" w:firstLineChars="200"/>
        <w:jc w:val="left"/>
        <w:rPr>
          <w:rFonts w:ascii="仿宋" w:hAnsi="仿宋" w:eastAsia="仿宋"/>
          <w:color w:val="auto"/>
          <w:kern w:val="0"/>
          <w:sz w:val="24"/>
          <w:highlight w:val="none"/>
          <w:u w:val="none"/>
        </w:rPr>
      </w:pPr>
      <w:r>
        <w:rPr>
          <w:rFonts w:hint="eastAsia" w:ascii="仿宋" w:hAnsi="仿宋" w:eastAsia="仿宋"/>
          <w:color w:val="auto"/>
          <w:kern w:val="0"/>
          <w:sz w:val="24"/>
          <w:highlight w:val="none"/>
          <w:u w:val="none"/>
        </w:rPr>
        <w:t>3</w:t>
      </w:r>
      <w:r>
        <w:rPr>
          <w:rFonts w:ascii="仿宋" w:hAnsi="仿宋" w:eastAsia="仿宋"/>
          <w:color w:val="auto"/>
          <w:kern w:val="0"/>
          <w:sz w:val="24"/>
          <w:highlight w:val="none"/>
          <w:u w:val="none"/>
        </w:rPr>
        <w:t xml:space="preserve">.2.5 </w:t>
      </w:r>
      <w:r>
        <w:rPr>
          <w:rFonts w:hint="eastAsia" w:ascii="仿宋" w:hAnsi="仿宋" w:eastAsia="仿宋"/>
          <w:color w:val="auto"/>
          <w:kern w:val="0"/>
          <w:sz w:val="24"/>
          <w:highlight w:val="none"/>
          <w:u w:val="none"/>
        </w:rPr>
        <w:t>进货检验过程中的破坏性检验，由乙方承担破坏性检验的样件费用。破坏性检验合格残留样件，不再返回乙方，</w:t>
      </w:r>
      <w:r>
        <w:rPr>
          <w:rFonts w:hint="eastAsia" w:ascii="仿宋" w:hAnsi="仿宋" w:eastAsia="仿宋"/>
          <w:color w:val="auto"/>
          <w:sz w:val="24"/>
          <w:szCs w:val="24"/>
          <w:highlight w:val="none"/>
          <w:u w:val="none"/>
        </w:rPr>
        <w:t>由甲方自行按废旧物资处置。</w:t>
      </w:r>
      <w:r>
        <w:rPr>
          <w:rFonts w:hint="eastAsia" w:ascii="仿宋" w:hAnsi="仿宋" w:eastAsia="仿宋"/>
          <w:color w:val="auto"/>
          <w:kern w:val="0"/>
          <w:sz w:val="24"/>
          <w:highlight w:val="none"/>
          <w:u w:val="none"/>
        </w:rPr>
        <w:t>破坏性检验不合格残留样件，</w:t>
      </w:r>
      <w:r>
        <w:rPr>
          <w:rFonts w:hint="eastAsia" w:ascii="仿宋" w:hAnsi="仿宋" w:eastAsia="仿宋" w:cs="Times New Roman"/>
          <w:color w:val="auto"/>
          <w:sz w:val="24"/>
          <w:szCs w:val="24"/>
          <w:highlight w:val="none"/>
          <w:u w:val="none"/>
        </w:rPr>
        <w:t>甲方通知（包括但不限于电话、邮件、SRM平台等方式）乙方后15个工作日内，若乙方未进行处置，则视为乙方自动放弃，</w:t>
      </w:r>
      <w:r>
        <w:rPr>
          <w:rFonts w:hint="eastAsia" w:ascii="仿宋" w:hAnsi="仿宋" w:eastAsia="仿宋"/>
          <w:color w:val="auto"/>
          <w:sz w:val="24"/>
          <w:szCs w:val="24"/>
          <w:highlight w:val="none"/>
          <w:u w:val="none"/>
        </w:rPr>
        <w:t>由甲方自行按废旧物资处置。</w:t>
      </w:r>
    </w:p>
    <w:p w14:paraId="62E85EB4">
      <w:pPr>
        <w:ind w:firstLine="480" w:firstLineChars="200"/>
        <w:jc w:val="left"/>
        <w:rPr>
          <w:rFonts w:ascii="仿宋" w:hAnsi="仿宋" w:eastAsia="仿宋"/>
          <w:color w:val="auto"/>
          <w:kern w:val="0"/>
          <w:sz w:val="24"/>
          <w:highlight w:val="none"/>
          <w:u w:val="none"/>
        </w:rPr>
      </w:pPr>
      <w:r>
        <w:rPr>
          <w:rFonts w:hint="eastAsia" w:ascii="仿宋" w:hAnsi="仿宋" w:eastAsia="仿宋"/>
          <w:color w:val="auto"/>
          <w:kern w:val="0"/>
          <w:sz w:val="24"/>
          <w:highlight w:val="none"/>
          <w:u w:val="none"/>
        </w:rPr>
        <w:t>3.2.6乙方在提供工装的同时，必须附带图纸（包含2</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及3</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图纸）、工装检验合格证、尺寸检验记录、模具情况鉴定表、硬度检验记录、工装跟踪簿、派工单等相关资料，其中曲轴类工装必须提供三维尺寸检测报告，以便甲方进行复验、验收。如乙方不提供相关资料，甲方将按检验不合格处置。</w:t>
      </w:r>
    </w:p>
    <w:p w14:paraId="76D6C2A8">
      <w:pPr>
        <w:ind w:firstLine="480" w:firstLineChars="200"/>
        <w:jc w:val="left"/>
        <w:rPr>
          <w:rFonts w:ascii="仿宋" w:hAnsi="仿宋" w:eastAsia="仿宋"/>
          <w:color w:val="auto"/>
          <w:kern w:val="0"/>
          <w:sz w:val="24"/>
          <w:highlight w:val="none"/>
          <w:u w:val="none"/>
        </w:rPr>
      </w:pPr>
      <w:r>
        <w:rPr>
          <w:rFonts w:hint="eastAsia" w:ascii="仿宋" w:hAnsi="仿宋" w:eastAsia="仿宋"/>
          <w:color w:val="auto"/>
          <w:kern w:val="0"/>
          <w:sz w:val="24"/>
          <w:highlight w:val="none"/>
          <w:u w:val="none"/>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552F4670">
      <w:pPr>
        <w:ind w:firstLine="480" w:firstLineChars="200"/>
        <w:jc w:val="left"/>
        <w:rPr>
          <w:rFonts w:ascii="仿宋" w:hAnsi="仿宋" w:eastAsia="仿宋"/>
          <w:color w:val="auto"/>
          <w:kern w:val="0"/>
          <w:sz w:val="24"/>
          <w:highlight w:val="none"/>
          <w:u w:val="none"/>
        </w:rPr>
      </w:pPr>
      <w:r>
        <w:rPr>
          <w:rFonts w:hint="eastAsia" w:ascii="仿宋" w:hAnsi="仿宋" w:eastAsia="仿宋"/>
          <w:color w:val="auto"/>
          <w:kern w:val="0"/>
          <w:sz w:val="24"/>
          <w:highlight w:val="none"/>
          <w:u w:val="none"/>
        </w:rPr>
        <w:t>3.2.8铸造工装，甲方主要检查工装的外观质量、配件是否齐全，对关健尺寸、主要配件性能以及关键模具的材质进行确认。锻造模具工装，甲方主要对硬度、外观质量和新制模具闭合高度及模具外观能够检测部位进行确认,新制模具焊修后甲方将按新制模具的要求来进行检验，乙方应在焊修模具的工装检验合格证上注明未焊修前基体的硬度。</w:t>
      </w:r>
    </w:p>
    <w:p w14:paraId="16A5CEB6">
      <w:pPr>
        <w:ind w:firstLine="480" w:firstLineChars="200"/>
        <w:jc w:val="left"/>
        <w:rPr>
          <w:rFonts w:ascii="仿宋" w:hAnsi="仿宋" w:eastAsia="仿宋"/>
          <w:strike/>
          <w:color w:val="auto"/>
          <w:kern w:val="0"/>
          <w:sz w:val="24"/>
          <w:highlight w:val="none"/>
          <w:u w:val="none"/>
        </w:rPr>
      </w:pPr>
      <w:r>
        <w:rPr>
          <w:rFonts w:hint="eastAsia" w:ascii="仿宋" w:hAnsi="仿宋" w:eastAsia="仿宋"/>
          <w:color w:val="auto"/>
          <w:kern w:val="0"/>
          <w:sz w:val="24"/>
          <w:highlight w:val="none"/>
          <w:u w:val="none"/>
        </w:rPr>
        <w:t>3.2.9乙方提供首批（首件、样件）工装时，需同时提供该工装的材质报告单、质保单及检验记录等质量证明文件。</w:t>
      </w:r>
    </w:p>
    <w:p w14:paraId="484CE203">
      <w:pPr>
        <w:ind w:firstLine="482" w:firstLineChars="200"/>
        <w:jc w:val="left"/>
        <w:rPr>
          <w:rFonts w:ascii="仿宋" w:hAnsi="仿宋" w:eastAsia="仿宋" w:cs="Times New Roman"/>
          <w:b/>
          <w:color w:val="auto"/>
          <w:sz w:val="24"/>
          <w:szCs w:val="24"/>
          <w:highlight w:val="none"/>
          <w:u w:val="none"/>
        </w:rPr>
      </w:pPr>
      <w:r>
        <w:rPr>
          <w:rFonts w:hint="eastAsia" w:ascii="仿宋" w:hAnsi="仿宋" w:eastAsia="仿宋" w:cs="Times New Roman"/>
          <w:b/>
          <w:color w:val="auto"/>
          <w:sz w:val="24"/>
          <w:szCs w:val="24"/>
          <w:highlight w:val="none"/>
          <w:u w:val="none"/>
        </w:rPr>
        <w:t>3.3二方审核</w:t>
      </w:r>
    </w:p>
    <w:p w14:paraId="0D663DF7">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当甲方在进货检验、生产制造、售后服务和质量抽检等过程发现乙方产品存在异常质量问题时或产品启用时，可自行或委托第三方机构到乙方（含乙方分供方）生产现场开展针对产品、过程或体系等的二方审核。第三方机构的</w:t>
      </w:r>
      <w:r>
        <w:rPr>
          <w:rFonts w:ascii="仿宋" w:hAnsi="仿宋" w:eastAsia="仿宋" w:cs="Times New Roman"/>
          <w:color w:val="auto"/>
          <w:sz w:val="24"/>
          <w:szCs w:val="24"/>
          <w:highlight w:val="none"/>
          <w:u w:val="none"/>
        </w:rPr>
        <w:t>审核费用</w:t>
      </w:r>
      <w:r>
        <w:rPr>
          <w:rFonts w:hint="eastAsia" w:ascii="仿宋" w:hAnsi="仿宋" w:eastAsia="仿宋" w:cs="Times New Roman"/>
          <w:color w:val="auto"/>
          <w:sz w:val="24"/>
          <w:szCs w:val="24"/>
          <w:highlight w:val="none"/>
          <w:u w:val="none"/>
        </w:rPr>
        <w:t>及</w:t>
      </w:r>
      <w:r>
        <w:rPr>
          <w:rFonts w:ascii="仿宋" w:hAnsi="仿宋" w:eastAsia="仿宋" w:cs="Times New Roman"/>
          <w:color w:val="auto"/>
          <w:sz w:val="24"/>
          <w:szCs w:val="24"/>
          <w:highlight w:val="none"/>
          <w:u w:val="none"/>
        </w:rPr>
        <w:t>审核员的交通食宿费用由</w:t>
      </w:r>
      <w:r>
        <w:rPr>
          <w:rFonts w:hint="eastAsia" w:ascii="仿宋" w:hAnsi="仿宋" w:eastAsia="仿宋" w:cs="Times New Roman"/>
          <w:color w:val="auto"/>
          <w:sz w:val="24"/>
          <w:szCs w:val="24"/>
          <w:highlight w:val="none"/>
          <w:u w:val="none"/>
        </w:rPr>
        <w:t>乙方</w:t>
      </w:r>
      <w:r>
        <w:rPr>
          <w:rFonts w:ascii="仿宋" w:hAnsi="仿宋" w:eastAsia="仿宋" w:cs="Times New Roman"/>
          <w:color w:val="auto"/>
          <w:sz w:val="24"/>
          <w:szCs w:val="24"/>
          <w:highlight w:val="none"/>
          <w:u w:val="none"/>
        </w:rPr>
        <w:t>承担</w:t>
      </w:r>
      <w:r>
        <w:rPr>
          <w:rFonts w:hint="eastAsia" w:ascii="仿宋" w:hAnsi="仿宋" w:eastAsia="仿宋" w:cs="Times New Roman"/>
          <w:color w:val="auto"/>
          <w:sz w:val="24"/>
          <w:szCs w:val="24"/>
          <w:highlight w:val="none"/>
          <w:u w:val="none"/>
        </w:rPr>
        <w:t>。</w:t>
      </w:r>
    </w:p>
    <w:p w14:paraId="5B7F5EBD">
      <w:pPr>
        <w:ind w:firstLine="482" w:firstLineChars="200"/>
        <w:jc w:val="left"/>
        <w:rPr>
          <w:rFonts w:ascii="仿宋" w:hAnsi="仿宋" w:eastAsia="仿宋" w:cs="Times New Roman"/>
          <w:b/>
          <w:color w:val="auto"/>
          <w:sz w:val="24"/>
          <w:szCs w:val="24"/>
          <w:highlight w:val="none"/>
          <w:u w:val="none"/>
        </w:rPr>
      </w:pPr>
      <w:r>
        <w:rPr>
          <w:rFonts w:hint="eastAsia" w:ascii="仿宋" w:hAnsi="仿宋" w:eastAsia="仿宋" w:cs="Times New Roman"/>
          <w:b/>
          <w:color w:val="auto"/>
          <w:sz w:val="24"/>
          <w:szCs w:val="24"/>
          <w:highlight w:val="none"/>
          <w:u w:val="none"/>
        </w:rPr>
        <w:t>3.4产品免检</w:t>
      </w:r>
    </w:p>
    <w:p w14:paraId="029B1DBF">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质量保证体系健全且具备向甲方持续提供合格产品的卓越供方，可向甲方提出产品免检申请，甲方审核批准后将其纳入免检供方名录。</w:t>
      </w:r>
    </w:p>
    <w:p w14:paraId="081E6F9D">
      <w:pPr>
        <w:pStyle w:val="136"/>
        <w:ind w:firstLine="482" w:firstLineChars="200"/>
        <w:rPr>
          <w:rFonts w:ascii="仿宋" w:hAnsi="仿宋" w:eastAsia="仿宋" w:cs="Times New Roman"/>
          <w:b/>
          <w:color w:val="auto"/>
          <w:sz w:val="24"/>
          <w:szCs w:val="24"/>
          <w:highlight w:val="none"/>
          <w:u w:val="none"/>
        </w:rPr>
      </w:pPr>
      <w:r>
        <w:rPr>
          <w:rFonts w:hint="eastAsia" w:ascii="仿宋" w:hAnsi="仿宋" w:eastAsia="仿宋" w:cs="Times New Roman"/>
          <w:b/>
          <w:color w:val="auto"/>
          <w:sz w:val="24"/>
          <w:szCs w:val="24"/>
          <w:highlight w:val="none"/>
          <w:u w:val="none"/>
        </w:rPr>
        <w:t>4．服务条款</w:t>
      </w:r>
    </w:p>
    <w:p w14:paraId="2C84ADC1">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4.1乙方应按照甲方要求提供生产制造过程的技术支持和现场服务。乙方产品在甲方进货检验、生产过程中发生质量问题，乙方在接到通知后，24小时（省内12小时）内到现场进行处理，没有按时到现场的，视为同意甲方鉴定结论。甲方有权对乙方进行强制索赔，未按时到现场的甲方将对乙方考核1000-10000元，年周期内重复发生的加倍考核。</w:t>
      </w:r>
    </w:p>
    <w:p w14:paraId="5CBA9B11">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4.2乙方如对甲方的复验结果有异议，应在得到检验结果后8小时内书面提出，若选择第三方复验，要选择甲方所在地质检机构，其资质应达到或高于甲方资质，检测费用由乙方承担。</w:t>
      </w:r>
    </w:p>
    <w:p w14:paraId="090439CC">
      <w:pPr>
        <w:snapToGrid w:val="0"/>
        <w:ind w:firstLine="482" w:firstLineChars="200"/>
        <w:rPr>
          <w:rFonts w:ascii="仿宋" w:hAnsi="仿宋" w:eastAsia="仿宋"/>
          <w:b/>
          <w:color w:val="auto"/>
          <w:sz w:val="24"/>
          <w:szCs w:val="24"/>
          <w:highlight w:val="none"/>
          <w:u w:val="none"/>
        </w:rPr>
      </w:pPr>
      <w:r>
        <w:rPr>
          <w:rFonts w:hint="eastAsia" w:ascii="仿宋" w:hAnsi="仿宋" w:eastAsia="仿宋"/>
          <w:b/>
          <w:color w:val="auto"/>
          <w:sz w:val="24"/>
          <w:szCs w:val="24"/>
          <w:highlight w:val="none"/>
          <w:u w:val="none"/>
        </w:rPr>
        <w:t>5．不合格品的处理方式</w:t>
      </w:r>
    </w:p>
    <w:p w14:paraId="28FF5606">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5.1因乙方不合格品造成的质量问题，甲方按照本协议第6条的规定进行处理。乙方不得将退库处理的不合格品以次充好再次销售给甲方，如有违反，乙方应按照第6条的相关规定向甲方支付违约金。</w:t>
      </w:r>
    </w:p>
    <w:p w14:paraId="2EE80E33">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5.2乙方不得擅自向任何第三方销售不合格品，则甲方有权解除本协议，同时乙方除向甲方支付</w:t>
      </w:r>
      <w:r>
        <w:rPr>
          <w:rFonts w:hint="eastAsia" w:ascii="仿宋" w:hAnsi="仿宋" w:eastAsia="仿宋" w:cs="Times New Roman"/>
          <w:color w:val="auto"/>
          <w:sz w:val="24"/>
          <w:szCs w:val="24"/>
          <w:highlight w:val="none"/>
          <w:u w:val="none"/>
          <w:lang w:val="en-US" w:eastAsia="zh-CN"/>
        </w:rPr>
        <w:t>最高5</w:t>
      </w:r>
      <w:r>
        <w:rPr>
          <w:rFonts w:hint="eastAsia" w:ascii="仿宋" w:hAnsi="仿宋" w:eastAsia="仿宋" w:cs="Times New Roman"/>
          <w:color w:val="auto"/>
          <w:sz w:val="24"/>
          <w:szCs w:val="24"/>
          <w:highlight w:val="none"/>
          <w:u w:val="none"/>
        </w:rPr>
        <w:t>00</w:t>
      </w:r>
      <w:r>
        <w:rPr>
          <w:rFonts w:hint="eastAsia" w:ascii="仿宋" w:hAnsi="仿宋" w:eastAsia="仿宋" w:cs="Times New Roman"/>
          <w:color w:val="auto"/>
          <w:sz w:val="24"/>
          <w:szCs w:val="24"/>
          <w:highlight w:val="none"/>
          <w:u w:val="none"/>
          <w:lang w:val="en-US" w:eastAsia="zh-CN"/>
        </w:rPr>
        <w:t>万元</w:t>
      </w:r>
      <w:r>
        <w:rPr>
          <w:rFonts w:hint="eastAsia" w:ascii="仿宋" w:hAnsi="仿宋" w:eastAsia="仿宋" w:cs="Times New Roman"/>
          <w:color w:val="auto"/>
          <w:sz w:val="24"/>
          <w:szCs w:val="24"/>
          <w:highlight w:val="none"/>
          <w:u w:val="none"/>
        </w:rPr>
        <w:t>的违约金外，还应赔偿甲方因此遭受的经济损失，甲方保留追究其法律责任以及进行管理考核的权利。</w:t>
      </w:r>
    </w:p>
    <w:p w14:paraId="4CED6A97">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5.3甲方有权对乙方不合格品进行封存、隔离、报废、销毁或作永久性标识。</w:t>
      </w:r>
    </w:p>
    <w:p w14:paraId="18ED37C2">
      <w:pPr>
        <w:tabs>
          <w:tab w:val="left" w:pos="0"/>
        </w:tabs>
        <w:ind w:firstLine="482" w:firstLineChars="200"/>
        <w:rPr>
          <w:rFonts w:ascii="仿宋" w:hAnsi="仿宋" w:eastAsia="仿宋"/>
          <w:b/>
          <w:bCs/>
          <w:color w:val="auto"/>
          <w:sz w:val="24"/>
          <w:szCs w:val="24"/>
          <w:highlight w:val="none"/>
          <w:u w:val="none"/>
        </w:rPr>
      </w:pPr>
      <w:r>
        <w:rPr>
          <w:rFonts w:hint="eastAsia" w:ascii="仿宋" w:hAnsi="仿宋" w:eastAsia="仿宋"/>
          <w:b/>
          <w:bCs/>
          <w:color w:val="auto"/>
          <w:sz w:val="24"/>
          <w:szCs w:val="24"/>
          <w:highlight w:val="none"/>
          <w:u w:val="none"/>
        </w:rPr>
        <w:t>6</w:t>
      </w:r>
      <w:r>
        <w:rPr>
          <w:rFonts w:hint="eastAsia" w:ascii="仿宋" w:hAnsi="仿宋" w:eastAsia="仿宋" w:cs="Times New Roman"/>
          <w:b/>
          <w:color w:val="auto"/>
          <w:sz w:val="24"/>
          <w:szCs w:val="24"/>
          <w:highlight w:val="none"/>
          <w:u w:val="none"/>
        </w:rPr>
        <w:t>．</w:t>
      </w:r>
      <w:r>
        <w:rPr>
          <w:rFonts w:hint="eastAsia" w:ascii="仿宋" w:hAnsi="仿宋" w:eastAsia="仿宋"/>
          <w:b/>
          <w:bCs/>
          <w:color w:val="auto"/>
          <w:sz w:val="24"/>
          <w:szCs w:val="24"/>
          <w:highlight w:val="none"/>
          <w:u w:val="none"/>
        </w:rPr>
        <w:t>质量问题处理及索赔管理</w:t>
      </w:r>
    </w:p>
    <w:p w14:paraId="05EC095B">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6.1质量问题处理</w:t>
      </w:r>
    </w:p>
    <w:p w14:paraId="07A88350">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乙方提供的产品在甲方进厂检验、使用过程中发生质量问题以及乙方在与甲方的业务往来各个环节存在不良行为的，乙方承担由此对甲方造成的经济损失，甲方有权在体系内通报。具体处置细则如下：</w:t>
      </w:r>
    </w:p>
    <w:p w14:paraId="2D882087">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6.1.1进货检验过程中工装不合格的处置：</w:t>
      </w:r>
    </w:p>
    <w:p w14:paraId="589DF7B7">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6.1.1.1返工工装：对于轻微质量缺陷，经甲方技术质量部组织评审确认返工能够现场修复解决，且规定了返工指导标准、再检验标准的产品，定义为返工工装。</w:t>
      </w:r>
    </w:p>
    <w:p w14:paraId="6239EB09">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4B7F2892">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1）该批返工工装单件进货结算价值≥50000元时，按5%确定；</w:t>
      </w:r>
    </w:p>
    <w:p w14:paraId="3C517143">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2）该批返工工装单件进货结算价值＜50000元，≥10000元时，按6%确定；</w:t>
      </w:r>
    </w:p>
    <w:p w14:paraId="0CF4CC31">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3）该批返工工装单件进货结算价值＜10000元时，按10%确定。</w:t>
      </w:r>
    </w:p>
    <w:p w14:paraId="4F750553">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6.1.1.2退货：工装存在不可接受的质量不合格项，经甲方技术质量部组织评审确认，不能现场返工的工装，定义为退货工装。因退货所造成甲方的一切损失（包括潜在的损失）由乙方承担，按该批次产品总价值的10%-30%对乙方进行考核，年周期内重复发生的加倍考核。其中：</w:t>
      </w:r>
    </w:p>
    <w:p w14:paraId="20CE0813">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1）该批退货工装单件进货结算价值≥50000元时，按10%确定；</w:t>
      </w:r>
    </w:p>
    <w:p w14:paraId="2F6DED59">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2）该批退货工装单件进货结算价值＜50000元，≥10000元时，按20%确定；</w:t>
      </w:r>
    </w:p>
    <w:p w14:paraId="4B5BBA08">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3）该批退货工装单件进货结算价值＜10000元时，按30%确定。</w:t>
      </w:r>
    </w:p>
    <w:p w14:paraId="0F2A07FF">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乙方退货后未按要求对工装进行处理即重新入库，造成同样问题二次不合格的，视情况追加5000-50000元的考核。</w:t>
      </w:r>
    </w:p>
    <w:p w14:paraId="54F2E29F">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6.1.2现场使用中工装不合格的处置:</w:t>
      </w:r>
    </w:p>
    <w:p w14:paraId="49FEA6A1">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6.1.2.1因乙方工装上场首件验证不合格,由甲方技术质量部组织技术、制造、使用部门鉴定为乙方责任后，原则上按6.1.1.2条款处理，甲方使用单位所发生的动能费用、工人工时、材料费全部由乙方承担。</w:t>
      </w:r>
    </w:p>
    <w:p w14:paraId="50F94E8E">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 xml:space="preserve">    6.1.2.2因工装自身质量原因造成实际使用寿命达不到承诺寿命时，由乙方承担甲方生产过程中出现的不良品损失以及其他相关损失。甲方质量部门组织评审、处理问题工装，其中：</w:t>
      </w:r>
    </w:p>
    <w:p w14:paraId="525A9B42">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1）维修后可继续正常使用的，派工原厂家对工装进行无偿返厂维修，并根据工装使用情况与工装价值对乙方进行考核，年周期内重复发生的加倍考核。返修工装使用寿命不足技术定额的30%时，寿命重新计算；返修工装使用寿命大于技术定额的30%时，寿命累计。</w:t>
      </w:r>
    </w:p>
    <w:p w14:paraId="14394317">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2）经评审工装无继续使用价值的，按（承诺寿命-实际使用寿命）/承诺寿命×合同价进行索赔，并根据工装使用情况与工装价值对乙方进行考核，年周期内重复发生的加倍考核。</w:t>
      </w:r>
    </w:p>
    <w:p w14:paraId="328F8AA4">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3）若连续两次发生寿命达不到技术定额，按质量协议处理后，甲方有权将该供方份额下调；连续三次发生，甲方有权直接取消供方该标的组的供货份额。</w:t>
      </w:r>
    </w:p>
    <w:p w14:paraId="29152AC1">
      <w:pPr>
        <w:snapToGrid w:val="0"/>
        <w:ind w:firstLine="480" w:firstLineChars="200"/>
        <w:rPr>
          <w:rFonts w:ascii="仿宋" w:hAnsi="仿宋" w:eastAsia="仿宋"/>
          <w:color w:val="auto"/>
          <w:sz w:val="24"/>
          <w:szCs w:val="24"/>
          <w:highlight w:val="none"/>
          <w:u w:val="none"/>
        </w:rPr>
      </w:pPr>
    </w:p>
    <w:p w14:paraId="627BB8CB">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考核方案如下：</w:t>
      </w:r>
    </w:p>
    <w:p w14:paraId="65161074">
      <w:pPr>
        <w:snapToGrid w:val="0"/>
        <w:ind w:firstLine="480" w:firstLineChars="200"/>
        <w:rPr>
          <w:rFonts w:ascii="仿宋" w:hAnsi="仿宋" w:eastAsia="仿宋"/>
          <w:color w:val="auto"/>
          <w:sz w:val="24"/>
          <w:szCs w:val="24"/>
          <w:highlight w:val="none"/>
          <w:u w:val="none"/>
        </w:rPr>
      </w:pPr>
    </w:p>
    <w:tbl>
      <w:tblPr>
        <w:tblStyle w:val="36"/>
        <w:tblW w:w="11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2627"/>
        <w:gridCol w:w="3069"/>
        <w:gridCol w:w="1523"/>
        <w:gridCol w:w="1280"/>
        <w:gridCol w:w="1541"/>
      </w:tblGrid>
      <w:tr w14:paraId="3704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476" w:type="dxa"/>
            <w:noWrap w:val="0"/>
            <w:vAlign w:val="center"/>
          </w:tcPr>
          <w:p w14:paraId="4E2AFAD2">
            <w:pPr>
              <w:snapToGrid w:val="0"/>
              <w:jc w:val="center"/>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使用寿命</w:t>
            </w:r>
          </w:p>
        </w:tc>
        <w:tc>
          <w:tcPr>
            <w:tcW w:w="2627" w:type="dxa"/>
            <w:noWrap w:val="0"/>
            <w:vAlign w:val="center"/>
          </w:tcPr>
          <w:p w14:paraId="512B04B1">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实际使用寿命＜技术定额的30%</w:t>
            </w:r>
          </w:p>
        </w:tc>
        <w:tc>
          <w:tcPr>
            <w:tcW w:w="3069" w:type="dxa"/>
            <w:noWrap w:val="0"/>
            <w:vAlign w:val="center"/>
          </w:tcPr>
          <w:p w14:paraId="2FC3C5D8">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技术定额的30%≤实际使用寿命＜技术定额的50%</w:t>
            </w:r>
          </w:p>
        </w:tc>
        <w:tc>
          <w:tcPr>
            <w:tcW w:w="1523" w:type="dxa"/>
            <w:noWrap w:val="0"/>
            <w:vAlign w:val="center"/>
          </w:tcPr>
          <w:p w14:paraId="278C8C60">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技术定额的50%≤实际使用寿命≤技术定额的80%</w:t>
            </w:r>
          </w:p>
        </w:tc>
        <w:tc>
          <w:tcPr>
            <w:tcW w:w="1280" w:type="dxa"/>
            <w:noWrap w:val="0"/>
            <w:vAlign w:val="center"/>
          </w:tcPr>
          <w:p w14:paraId="23A955D9">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实际使用寿命≥技术定额的80%</w:t>
            </w:r>
          </w:p>
        </w:tc>
        <w:tc>
          <w:tcPr>
            <w:tcW w:w="1541" w:type="dxa"/>
            <w:noWrap w:val="0"/>
            <w:vAlign w:val="center"/>
          </w:tcPr>
          <w:p w14:paraId="1A5DCD7B">
            <w:pPr>
              <w:snapToGrid w:val="0"/>
              <w:rPr>
                <w:rFonts w:ascii="仿宋_GB2312" w:eastAsia="仿宋_GB2312"/>
                <w:color w:val="auto"/>
                <w:sz w:val="24"/>
                <w:highlight w:val="none"/>
                <w:u w:val="none"/>
              </w:rPr>
            </w:pPr>
            <w:r>
              <w:rPr>
                <w:rFonts w:hint="eastAsia" w:ascii="仿宋_GB2312" w:eastAsia="仿宋_GB2312"/>
                <w:color w:val="auto"/>
                <w:sz w:val="24"/>
                <w:highlight w:val="none"/>
                <w:u w:val="none"/>
              </w:rPr>
              <w:t>技术定额≤实际使用寿命＜承诺寿命</w:t>
            </w:r>
          </w:p>
        </w:tc>
      </w:tr>
      <w:tr w14:paraId="0850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476" w:type="dxa"/>
            <w:noWrap w:val="0"/>
            <w:vAlign w:val="center"/>
          </w:tcPr>
          <w:p w14:paraId="621E933F">
            <w:pPr>
              <w:snapToGrid w:val="0"/>
              <w:jc w:val="center"/>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考核方案</w:t>
            </w:r>
          </w:p>
        </w:tc>
        <w:tc>
          <w:tcPr>
            <w:tcW w:w="2627" w:type="dxa"/>
            <w:noWrap w:val="0"/>
            <w:vAlign w:val="center"/>
          </w:tcPr>
          <w:p w14:paraId="408FB00F">
            <w:pPr>
              <w:numPr>
                <w:ilvl w:val="0"/>
                <w:numId w:val="14"/>
              </w:num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维修后可以继续使用的工装，乙方无偿返修，返修后重新计算寿命；</w:t>
            </w:r>
          </w:p>
          <w:p w14:paraId="0AF2F85A">
            <w:pPr>
              <w:numPr>
                <w:ilvl w:val="0"/>
                <w:numId w:val="14"/>
              </w:num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无法继续使用的工装，乙方免费更换新制模具，重新计算寿命；</w:t>
            </w:r>
          </w:p>
          <w:p w14:paraId="4DBABED6">
            <w:pPr>
              <w:numPr>
                <w:ilvl w:val="0"/>
                <w:numId w:val="14"/>
              </w:num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视对甲方生产的影响，按6.2.7条考核。</w:t>
            </w:r>
          </w:p>
        </w:tc>
        <w:tc>
          <w:tcPr>
            <w:tcW w:w="3069" w:type="dxa"/>
            <w:noWrap w:val="0"/>
            <w:vAlign w:val="center"/>
          </w:tcPr>
          <w:p w14:paraId="518125AF">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1）工装进货结算价值≥50000元时，按该工装合同价（整付价格）的10%考核；</w:t>
            </w:r>
          </w:p>
          <w:p w14:paraId="074D06C5">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2）工装进货结算价值＜50000元，≥10000元时，按该工装合同价（整付价格）的20%确定；</w:t>
            </w:r>
          </w:p>
          <w:p w14:paraId="7E766105">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3）工装进货结算价值＜10000元时，按该工装合同价（整付价格）的30%确定。</w:t>
            </w:r>
          </w:p>
        </w:tc>
        <w:tc>
          <w:tcPr>
            <w:tcW w:w="1523" w:type="dxa"/>
            <w:noWrap w:val="0"/>
            <w:vAlign w:val="center"/>
          </w:tcPr>
          <w:p w14:paraId="1AADB8CF">
            <w:pPr>
              <w:snapToGrid w:val="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按该工装合同价（整付价格）的5%考核</w:t>
            </w:r>
          </w:p>
        </w:tc>
        <w:tc>
          <w:tcPr>
            <w:tcW w:w="1280" w:type="dxa"/>
            <w:noWrap w:val="0"/>
            <w:vAlign w:val="center"/>
          </w:tcPr>
          <w:p w14:paraId="5A4F6069">
            <w:pPr>
              <w:snapToGrid w:val="0"/>
              <w:rPr>
                <w:rFonts w:ascii="仿宋" w:hAnsi="仿宋" w:eastAsia="仿宋"/>
                <w:color w:val="auto"/>
                <w:sz w:val="24"/>
                <w:szCs w:val="24"/>
                <w:highlight w:val="none"/>
                <w:u w:val="none"/>
              </w:rPr>
            </w:pPr>
            <w:r>
              <w:rPr>
                <w:rFonts w:hint="eastAsia" w:ascii="仿宋_GB2312" w:eastAsia="仿宋_GB2312"/>
                <w:color w:val="auto"/>
                <w:sz w:val="24"/>
                <w:highlight w:val="none"/>
                <w:u w:val="none"/>
              </w:rPr>
              <w:t>按</w:t>
            </w:r>
            <w:r>
              <w:rPr>
                <w:rFonts w:ascii="仿宋_GB2312" w:eastAsia="仿宋_GB2312"/>
                <w:color w:val="auto"/>
                <w:sz w:val="24"/>
                <w:highlight w:val="none"/>
                <w:u w:val="none"/>
              </w:rPr>
              <w:t>该工装合同价</w:t>
            </w:r>
            <w:r>
              <w:rPr>
                <w:rFonts w:hint="eastAsia" w:ascii="仿宋" w:hAnsi="仿宋" w:eastAsia="仿宋"/>
                <w:color w:val="auto"/>
                <w:sz w:val="24"/>
                <w:szCs w:val="24"/>
                <w:highlight w:val="none"/>
                <w:u w:val="none"/>
              </w:rPr>
              <w:t>（整付价格）</w:t>
            </w:r>
            <w:r>
              <w:rPr>
                <w:rFonts w:ascii="仿宋_GB2312" w:eastAsia="仿宋_GB2312"/>
                <w:color w:val="auto"/>
                <w:sz w:val="24"/>
                <w:highlight w:val="none"/>
                <w:u w:val="none"/>
              </w:rPr>
              <w:t>的</w:t>
            </w:r>
            <w:r>
              <w:rPr>
                <w:rFonts w:hint="eastAsia" w:ascii="仿宋_GB2312" w:eastAsia="仿宋_GB2312"/>
                <w:color w:val="auto"/>
                <w:sz w:val="24"/>
                <w:highlight w:val="none"/>
                <w:u w:val="none"/>
              </w:rPr>
              <w:t>2</w:t>
            </w:r>
            <w:r>
              <w:rPr>
                <w:rFonts w:ascii="仿宋_GB2312" w:eastAsia="仿宋_GB2312"/>
                <w:color w:val="auto"/>
                <w:sz w:val="24"/>
                <w:highlight w:val="none"/>
                <w:u w:val="none"/>
              </w:rPr>
              <w:t>%</w:t>
            </w:r>
            <w:r>
              <w:rPr>
                <w:rFonts w:hint="eastAsia" w:ascii="仿宋_GB2312" w:eastAsia="仿宋_GB2312"/>
                <w:color w:val="auto"/>
                <w:sz w:val="24"/>
                <w:highlight w:val="none"/>
                <w:u w:val="none"/>
              </w:rPr>
              <w:t>考核</w:t>
            </w:r>
          </w:p>
        </w:tc>
        <w:tc>
          <w:tcPr>
            <w:tcW w:w="1541" w:type="dxa"/>
            <w:noWrap w:val="0"/>
            <w:vAlign w:val="center"/>
          </w:tcPr>
          <w:p w14:paraId="09ED1075">
            <w:pPr>
              <w:snapToGrid w:val="0"/>
              <w:rPr>
                <w:rFonts w:ascii="仿宋_GB2312" w:eastAsia="仿宋_GB2312"/>
                <w:color w:val="auto"/>
                <w:sz w:val="24"/>
                <w:highlight w:val="none"/>
                <w:u w:val="none"/>
              </w:rPr>
            </w:pPr>
            <w:r>
              <w:rPr>
                <w:rFonts w:hint="eastAsia" w:ascii="仿宋_GB2312" w:eastAsia="仿宋_GB2312"/>
                <w:color w:val="auto"/>
                <w:sz w:val="24"/>
                <w:highlight w:val="none"/>
                <w:u w:val="none"/>
              </w:rPr>
              <w:t>按6.1.2.2第二条：（承诺寿命﹣实际使用寿命）/承诺寿命×合同价进行索赔</w:t>
            </w:r>
          </w:p>
        </w:tc>
      </w:tr>
    </w:tbl>
    <w:p w14:paraId="16954412">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6.1.2.3模具实际使用寿命为甲方工装跟踪簿上填报的实际生产数量为准。</w:t>
      </w:r>
    </w:p>
    <w:p w14:paraId="64336B86">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6.1.3对生产制造不合格工装的乙方，甲方可视不合格程度及造成甲方在经济、声誉等方面的损失情况，做出以下处理：</w:t>
      </w:r>
    </w:p>
    <w:p w14:paraId="587A7CE0">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6.1.3.1对连续三次以上在进货检验出现退货或生产使用中出现使用寿命低于技术定额30%的供方，将取消其合格供方资格。</w:t>
      </w:r>
    </w:p>
    <w:p w14:paraId="7504CD4F">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6.1.3.2对乙方发生退货或不合格现象，甲方将对乙方供货业绩进行扣分统计，并作年度合格供方评审依据。</w:t>
      </w:r>
    </w:p>
    <w:p w14:paraId="69207ED2">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6.1.4新产品验证过程出现的不合格，属成型厂设计责任的，由技术质量部、使用单位签字确认，成型厂技术质量部对工装制造单位免于考核；属工装本身质量问题，成型厂按第6.1.2条款进行处理。</w:t>
      </w:r>
    </w:p>
    <w:p w14:paraId="7B4164F4">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6.1.5供方行为</w:t>
      </w:r>
    </w:p>
    <w:p w14:paraId="5C961846">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185AB474">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6.1.5.3甲方已通知乙方更改工艺或技术图纸，但乙方未按要求进行更改，甲方一经发现，扣除乙方该批货物价值的10%作为违约金；对造成严重后果的，可予以加倍扣除违约金或取消其供货资格。</w:t>
      </w:r>
    </w:p>
    <w:p w14:paraId="4EF5079E">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75E67C83">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5D8544D0">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6.1.6态度/沟通</w:t>
      </w:r>
    </w:p>
    <w:p w14:paraId="3982C4B2">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6.1.6.1乙方对发生的质量问题及审核发现问题未按时反馈、未制定整改措施或制定了整改措施但未实施的，首次发生的支付违约金1000-5000元，一年内重复发生加倍支付违约金。</w:t>
      </w:r>
    </w:p>
    <w:p w14:paraId="07A69F71">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6.1.6.2乙方无正当理由未按要求及时提供相关有效证书、报告、信息的，首次发生的支付违约金2000元，一年内重复发生加倍支付违约金。</w:t>
      </w:r>
    </w:p>
    <w:p w14:paraId="50CE6D93">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4F0864AD">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6.1.7其它问题</w:t>
      </w:r>
    </w:p>
    <w:p w14:paraId="48E130DF">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6.1.7.1因乙方产品质量问题，造成甲方或客户人员伤害和财产损失的，乙方除按本协议承担赔偿外，还应按相关法律、法规的规定承担有关责任，并承担因此给客户或相关人员造成的人员或财产的相关损失。</w:t>
      </w:r>
    </w:p>
    <w:p w14:paraId="14A0DCF0">
      <w:pPr>
        <w:snapToGrid w:val="0"/>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6.1.7.2其它未尽事宜，双方协商解决，协商一致后签订补充协议。</w:t>
      </w:r>
    </w:p>
    <w:p w14:paraId="138111EB">
      <w:pPr>
        <w:pStyle w:val="136"/>
        <w:ind w:firstLine="482" w:firstLineChars="200"/>
        <w:rPr>
          <w:rFonts w:ascii="仿宋" w:hAnsi="仿宋" w:eastAsia="仿宋" w:cs="Times New Roman"/>
          <w:b/>
          <w:color w:val="auto"/>
          <w:sz w:val="24"/>
          <w:szCs w:val="24"/>
          <w:highlight w:val="none"/>
          <w:u w:val="none"/>
        </w:rPr>
      </w:pPr>
      <w:r>
        <w:rPr>
          <w:rFonts w:hint="eastAsia" w:ascii="仿宋" w:hAnsi="仿宋" w:eastAsia="仿宋" w:cs="Times New Roman"/>
          <w:b/>
          <w:color w:val="auto"/>
          <w:sz w:val="24"/>
          <w:szCs w:val="24"/>
          <w:highlight w:val="none"/>
          <w:u w:val="none"/>
        </w:rPr>
        <w:t>6.2索赔程序</w:t>
      </w:r>
    </w:p>
    <w:p w14:paraId="48B4B8CD">
      <w:pPr>
        <w:pStyle w:val="136"/>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6.2.1甲方依据乙方原因所造成的影响及后果，按照本协议的约定，确定违约金及/或索赔金额并通过甲方信息化系统、邮件等形式通知乙方后，甲方有权从应付货款中直接扣除,应付货款不足时在质量保证金中扣除。乙方应及时对索赔信息进行确认，乙方如有异议，可在接到通知5</w:t>
      </w:r>
      <w:r>
        <w:rPr>
          <w:rFonts w:hint="eastAsia" w:ascii="仿宋" w:hAnsi="仿宋"/>
          <w:color w:val="auto"/>
          <w:sz w:val="24"/>
          <w:highlight w:val="none"/>
          <w:u w:val="none"/>
        </w:rPr>
        <w:t>个</w:t>
      </w:r>
      <w:r>
        <w:rPr>
          <w:rFonts w:hint="eastAsia" w:ascii="仿宋" w:hAnsi="仿宋" w:eastAsia="仿宋" w:cs="Times New Roman"/>
          <w:color w:val="auto"/>
          <w:sz w:val="24"/>
          <w:szCs w:val="24"/>
          <w:highlight w:val="none"/>
          <w:u w:val="none"/>
        </w:rPr>
        <w:t>自然日内向甲方提出书面申诉，甲方有责任对乙方的申诉进行确认及回复，对于非乙方责任造成的索赔，甲方将无息退还乙方的索赔费用，超过5</w:t>
      </w:r>
      <w:r>
        <w:rPr>
          <w:rFonts w:hint="eastAsia" w:ascii="仿宋" w:hAnsi="仿宋"/>
          <w:color w:val="auto"/>
          <w:sz w:val="24"/>
          <w:highlight w:val="none"/>
          <w:u w:val="none"/>
        </w:rPr>
        <w:t>个</w:t>
      </w:r>
      <w:r>
        <w:rPr>
          <w:rFonts w:hint="eastAsia" w:ascii="仿宋" w:hAnsi="仿宋" w:eastAsia="仿宋" w:cs="Times New Roman"/>
          <w:color w:val="auto"/>
          <w:sz w:val="24"/>
          <w:szCs w:val="24"/>
          <w:highlight w:val="none"/>
          <w:u w:val="none"/>
        </w:rPr>
        <w:t>自然日乙方未确认或未提出申诉的，视为同意索赔及违约金</w:t>
      </w:r>
      <w:bookmarkStart w:id="37" w:name="_Hlk124335919"/>
      <w:r>
        <w:rPr>
          <w:rFonts w:hint="eastAsia" w:ascii="仿宋" w:hAnsi="仿宋" w:eastAsia="仿宋" w:cs="Times New Roman"/>
          <w:color w:val="auto"/>
          <w:sz w:val="24"/>
          <w:szCs w:val="24"/>
          <w:highlight w:val="none"/>
          <w:u w:val="none"/>
        </w:rPr>
        <w:t>。</w:t>
      </w:r>
    </w:p>
    <w:bookmarkEnd w:id="37"/>
    <w:p w14:paraId="2D5A7E01">
      <w:pPr>
        <w:pStyle w:val="136"/>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6.2.2对乙方的考核，由乙方以电汇或现金的方式结算。乙方降价、索赔费用由甲方从其货款中扣除，甲方财务部门在结算乙方货款时，首先扣除因产品质量问题产生降价、索赔金额。</w:t>
      </w:r>
    </w:p>
    <w:p w14:paraId="3E270F2F">
      <w:pPr>
        <w:pStyle w:val="136"/>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6.2.3乙方发现甲方人员对质量责任判定弄虚作假的，有权向甲方投诉，经甲方查证属实的，将无息退还误判乙方的索赔费用。</w:t>
      </w:r>
    </w:p>
    <w:p w14:paraId="13AD5DA2">
      <w:pPr>
        <w:ind w:firstLine="480" w:firstLineChars="200"/>
        <w:jc w:val="left"/>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6.2.4质量保证金</w:t>
      </w:r>
    </w:p>
    <w:p w14:paraId="567A9465">
      <w:pPr>
        <w:pStyle w:val="136"/>
        <w:numPr>
          <w:ilvl w:val="0"/>
          <w:numId w:val="15"/>
        </w:numPr>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7F9513CF">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（2）对于采购产品合格供方，年度合同质保金计算方式为：年度质保金额度=</w:t>
      </w:r>
      <w:r>
        <w:rPr>
          <w:rFonts w:hint="eastAsia" w:ascii="仿宋" w:hAnsi="仿宋" w:eastAsia="仿宋" w:cs="Times New Roman"/>
          <w:color w:val="auto"/>
          <w:sz w:val="24"/>
          <w:szCs w:val="24"/>
          <w:highlight w:val="none"/>
          <w:u w:val="none"/>
        </w:rPr>
        <w:t>乙方上一年度入账发票（含税）采购额×5%×风险系数，最低1万元，最高200万元</w:t>
      </w:r>
      <w:r>
        <w:rPr>
          <w:rFonts w:hint="eastAsia" w:ascii="仿宋" w:hAnsi="仿宋" w:eastAsia="仿宋" w:cs="Times New Roman"/>
          <w:color w:val="auto"/>
          <w:kern w:val="2"/>
          <w:sz w:val="24"/>
          <w:szCs w:val="24"/>
          <w:highlight w:val="none"/>
          <w:u w:val="none"/>
        </w:rPr>
        <w:t>（</w:t>
      </w:r>
      <w:r>
        <w:rPr>
          <w:rFonts w:hint="eastAsia" w:ascii="仿宋" w:hAnsi="仿宋" w:eastAsia="仿宋" w:cs="Times New Roman"/>
          <w:color w:val="auto"/>
          <w:sz w:val="24"/>
          <w:szCs w:val="24"/>
          <w:highlight w:val="none"/>
          <w:u w:val="none"/>
        </w:rPr>
        <w:t>年度合同金额低于1万元的，按合同金额的5%收取，</w:t>
      </w:r>
      <w:r>
        <w:rPr>
          <w:rFonts w:hint="eastAsia" w:ascii="仿宋" w:hAnsi="仿宋" w:eastAsia="仿宋" w:cs="Times New Roman"/>
          <w:color w:val="auto"/>
          <w:kern w:val="2"/>
          <w:sz w:val="24"/>
          <w:szCs w:val="24"/>
          <w:highlight w:val="none"/>
          <w:u w:val="none"/>
        </w:rPr>
        <w:t>一次性合同质保金按合同金额的5%收取）。年度质量索赔费用与年度供货额的比率，为质量索赔比率（A）；根据不同的质量索赔比率设定不同的风险系数：A≤2%，风险系数=1； 2%&lt; A≤5%，风险系数=1.2；5%&lt; A≤10%，风险系数=1.5； A&gt;10%，风险系数=2。</w:t>
      </w:r>
      <w:r>
        <w:rPr>
          <w:rFonts w:hint="eastAsia" w:ascii="仿宋" w:hAnsi="仿宋" w:eastAsia="仿宋" w:cs="Times New Roman"/>
          <w:color w:val="auto"/>
          <w:sz w:val="24"/>
          <w:szCs w:val="24"/>
          <w:highlight w:val="none"/>
          <w:u w:val="none"/>
        </w:rPr>
        <w:t>双方确认乙方应缴纳质量保证金【    】万元。</w:t>
      </w:r>
    </w:p>
    <w:p w14:paraId="7A0854E1">
      <w:pPr>
        <w:pStyle w:val="136"/>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对于新准入的供方，按照当年度已挂账发票（含税）逐票预留5%（最高200万元），均自甲方应付账款中扣除。</w:t>
      </w:r>
    </w:p>
    <w:p w14:paraId="3A7073B0">
      <w:pPr>
        <w:pStyle w:val="136"/>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当乙方的质量保证金和货款不足以承担乙方需支付的违约金或赔偿款时，乙方应在收到甲方索赔通知之日起3个工作日内向甲方支付违约金或赔偿款。</w:t>
      </w:r>
    </w:p>
    <w:p w14:paraId="7D0A7DC1">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（3）甲方按照约定扣除保证金后，有权自动在应付乙方账款中扣除相应金额补足质保金，如应付账款无法补足的，乙方以现款补足。</w:t>
      </w:r>
    </w:p>
    <w:p w14:paraId="4895313F">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4）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6058426B">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5）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65CC710F">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（6）如乙方向甲方所属集团公司内多家制造单位供货，质量保证金额度分别计算、收取。如乙方出现停供风险，可在集团范围内统筹使用质量保证金，消除售后索赔赔付风险，乙方对此无异议。</w:t>
      </w:r>
    </w:p>
    <w:p w14:paraId="0749BBEF">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5A2C3125">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6.2.6乙方要根据甲方反馈的不合格信息及时提出整改措施，组织进行整改。由于整改不到位，造成质量问题的重复发生，乙方要加倍赔偿甲方的损失。</w:t>
      </w:r>
    </w:p>
    <w:p w14:paraId="4012243B">
      <w:pPr>
        <w:snapToGrid w:val="0"/>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6.2.7乙方应确保供货不耽误甲方正常生产（不可抗拒因素除外），如果因乙方产品质量原因或供货期滞后，导致甲方局部或全线生产中断，甲方在30分钟内通知乙方，乙方应承担给甲方造成的相关损失，包括但不限于能源费、人工成本、废品等损失，经财务部门确认后，由甲方技术质量部门向乙方索赔；因乙方原因影响甲方产品交付的，视情节轻重对乙方进行考核、降低份额直至拉入黑名单。</w:t>
      </w:r>
    </w:p>
    <w:p w14:paraId="57EDD5F1">
      <w:pPr>
        <w:snapToGrid w:val="0"/>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索赔费用计算公式如下：</w:t>
      </w:r>
    </w:p>
    <w:p w14:paraId="2328436B">
      <w:pPr>
        <w:snapToGrid w:val="0"/>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燃动力费=炉膛材料甩料件数×下料单重×单吨能耗；</w:t>
      </w:r>
    </w:p>
    <w:p w14:paraId="3F008EE6">
      <w:pPr>
        <w:snapToGrid w:val="0"/>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人工成本=影响时间×小时单人人工成本×产线人数</w:t>
      </w:r>
    </w:p>
    <w:p w14:paraId="3CFAAC91">
      <w:pPr>
        <w:snapToGrid w:val="0"/>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废品损失=废品件数×单件成本（按实际发生核算）</w:t>
      </w:r>
    </w:p>
    <w:p w14:paraId="79DF571A">
      <w:pPr>
        <w:snapToGrid w:val="0"/>
        <w:ind w:firstLine="480" w:firstLineChars="200"/>
        <w:rPr>
          <w:rFonts w:ascii="仿宋" w:hAnsi="仿宋" w:eastAsia="仿宋" w:cs="Times New Roman"/>
          <w:color w:val="auto"/>
          <w:sz w:val="24"/>
          <w:szCs w:val="24"/>
          <w:highlight w:val="none"/>
          <w:u w:val="none"/>
        </w:rPr>
      </w:pPr>
      <w:r>
        <w:rPr>
          <w:rFonts w:hint="eastAsia" w:ascii="仿宋" w:hAnsi="仿宋" w:eastAsia="仿宋" w:cs="Times New Roman"/>
          <w:color w:val="auto"/>
          <w:sz w:val="24"/>
          <w:szCs w:val="24"/>
          <w:highlight w:val="none"/>
          <w:u w:val="none"/>
        </w:rPr>
        <w:t>其他：因模具问题导致的其他损失（包括但不限于模具质量问题导致的设备故障、辅料浪费等）</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4500"/>
      </w:tblGrid>
      <w:tr w14:paraId="6E9A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7E7B0B62">
            <w:pPr>
              <w:pStyle w:val="31"/>
              <w:jc w:val="center"/>
              <w:rPr>
                <w:rFonts w:ascii="仿宋" w:hAnsi="仿宋" w:eastAsia="仿宋" w:cs="Times New Roman"/>
                <w:color w:val="auto"/>
                <w:kern w:val="2"/>
                <w:highlight w:val="none"/>
                <w:u w:val="none"/>
              </w:rPr>
            </w:pPr>
            <w:r>
              <w:rPr>
                <w:rFonts w:hint="eastAsia" w:ascii="仿宋" w:hAnsi="仿宋" w:eastAsia="仿宋" w:cs="Times New Roman"/>
                <w:color w:val="auto"/>
                <w:kern w:val="2"/>
                <w:highlight w:val="none"/>
                <w:u w:val="none"/>
              </w:rPr>
              <w:t>项目</w:t>
            </w:r>
          </w:p>
        </w:tc>
        <w:tc>
          <w:tcPr>
            <w:tcW w:w="4500" w:type="dxa"/>
            <w:noWrap w:val="0"/>
            <w:vAlign w:val="top"/>
          </w:tcPr>
          <w:p w14:paraId="088052E4">
            <w:pPr>
              <w:pStyle w:val="31"/>
              <w:jc w:val="center"/>
              <w:rPr>
                <w:rFonts w:ascii="仿宋" w:hAnsi="仿宋" w:eastAsia="仿宋" w:cs="Times New Roman"/>
                <w:color w:val="auto"/>
                <w:kern w:val="2"/>
                <w:highlight w:val="none"/>
                <w:u w:val="none"/>
              </w:rPr>
            </w:pPr>
            <w:r>
              <w:rPr>
                <w:rFonts w:hint="eastAsia" w:ascii="仿宋" w:hAnsi="仿宋" w:eastAsia="仿宋" w:cs="Times New Roman"/>
                <w:color w:val="auto"/>
                <w:kern w:val="2"/>
                <w:highlight w:val="none"/>
                <w:u w:val="none"/>
              </w:rPr>
              <w:t>单价</w:t>
            </w:r>
          </w:p>
        </w:tc>
      </w:tr>
      <w:tr w14:paraId="6FEE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693DB873">
            <w:pPr>
              <w:pStyle w:val="31"/>
              <w:jc w:val="center"/>
              <w:rPr>
                <w:rFonts w:ascii="仿宋" w:hAnsi="仿宋" w:eastAsia="仿宋" w:cs="Times New Roman"/>
                <w:color w:val="auto"/>
                <w:kern w:val="2"/>
                <w:highlight w:val="none"/>
                <w:u w:val="none"/>
              </w:rPr>
            </w:pPr>
            <w:r>
              <w:rPr>
                <w:rFonts w:hint="eastAsia" w:ascii="仿宋" w:hAnsi="仿宋" w:eastAsia="仿宋" w:cs="Times New Roman"/>
                <w:color w:val="auto"/>
                <w:kern w:val="2"/>
                <w:highlight w:val="none"/>
                <w:u w:val="none"/>
              </w:rPr>
              <w:t>燃动力费</w:t>
            </w:r>
          </w:p>
        </w:tc>
        <w:tc>
          <w:tcPr>
            <w:tcW w:w="4500" w:type="dxa"/>
            <w:noWrap w:val="0"/>
            <w:vAlign w:val="top"/>
          </w:tcPr>
          <w:p w14:paraId="09AE7B32">
            <w:pPr>
              <w:pStyle w:val="31"/>
              <w:jc w:val="center"/>
              <w:rPr>
                <w:rFonts w:ascii="仿宋" w:hAnsi="仿宋" w:eastAsia="仿宋" w:cs="Times New Roman"/>
                <w:color w:val="auto"/>
                <w:kern w:val="2"/>
                <w:highlight w:val="none"/>
                <w:u w:val="none"/>
              </w:rPr>
            </w:pPr>
            <w:r>
              <w:rPr>
                <w:rFonts w:hint="eastAsia" w:ascii="仿宋" w:hAnsi="仿宋" w:eastAsia="仿宋" w:cs="Times New Roman"/>
                <w:color w:val="auto"/>
                <w:kern w:val="2"/>
                <w:highlight w:val="none"/>
                <w:u w:val="none"/>
              </w:rPr>
              <w:t>540元/吨（料段）</w:t>
            </w:r>
          </w:p>
        </w:tc>
      </w:tr>
      <w:tr w14:paraId="63C4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25C85F9">
            <w:pPr>
              <w:pStyle w:val="31"/>
              <w:jc w:val="center"/>
              <w:rPr>
                <w:rFonts w:ascii="仿宋" w:hAnsi="仿宋" w:eastAsia="仿宋" w:cs="Times New Roman"/>
                <w:color w:val="auto"/>
                <w:kern w:val="2"/>
                <w:highlight w:val="none"/>
                <w:u w:val="none"/>
              </w:rPr>
            </w:pPr>
            <w:r>
              <w:rPr>
                <w:rFonts w:hint="eastAsia" w:ascii="仿宋" w:hAnsi="仿宋" w:eastAsia="仿宋" w:cs="Times New Roman"/>
                <w:color w:val="auto"/>
                <w:kern w:val="2"/>
                <w:highlight w:val="none"/>
                <w:u w:val="none"/>
              </w:rPr>
              <w:t>人工成本</w:t>
            </w:r>
          </w:p>
        </w:tc>
        <w:tc>
          <w:tcPr>
            <w:tcW w:w="4500" w:type="dxa"/>
            <w:noWrap w:val="0"/>
            <w:vAlign w:val="top"/>
          </w:tcPr>
          <w:p w14:paraId="7A79C2AE">
            <w:pPr>
              <w:pStyle w:val="31"/>
              <w:jc w:val="center"/>
              <w:rPr>
                <w:rFonts w:ascii="仿宋" w:hAnsi="仿宋" w:eastAsia="仿宋" w:cs="Times New Roman"/>
                <w:color w:val="auto"/>
                <w:kern w:val="2"/>
                <w:highlight w:val="none"/>
                <w:u w:val="none"/>
              </w:rPr>
            </w:pPr>
            <w:r>
              <w:rPr>
                <w:rFonts w:hint="eastAsia" w:ascii="仿宋" w:hAnsi="仿宋" w:eastAsia="仿宋" w:cs="Times New Roman"/>
                <w:color w:val="auto"/>
                <w:kern w:val="2"/>
                <w:highlight w:val="none"/>
                <w:u w:val="none"/>
              </w:rPr>
              <w:t>51元/小时（每人）</w:t>
            </w:r>
          </w:p>
        </w:tc>
      </w:tr>
      <w:tr w14:paraId="2FBD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16CE26EA">
            <w:pPr>
              <w:pStyle w:val="31"/>
              <w:jc w:val="center"/>
              <w:rPr>
                <w:rFonts w:ascii="仿宋" w:hAnsi="仿宋" w:eastAsia="仿宋" w:cs="Times New Roman"/>
                <w:color w:val="auto"/>
                <w:kern w:val="2"/>
                <w:highlight w:val="none"/>
                <w:u w:val="none"/>
              </w:rPr>
            </w:pPr>
            <w:r>
              <w:rPr>
                <w:rFonts w:hint="eastAsia" w:ascii="仿宋" w:hAnsi="仿宋" w:eastAsia="仿宋" w:cs="Times New Roman"/>
                <w:color w:val="auto"/>
                <w:kern w:val="2"/>
                <w:highlight w:val="none"/>
                <w:u w:val="none"/>
              </w:rPr>
              <w:t>废品损失</w:t>
            </w:r>
          </w:p>
        </w:tc>
        <w:tc>
          <w:tcPr>
            <w:tcW w:w="4500" w:type="dxa"/>
            <w:noWrap w:val="0"/>
            <w:vAlign w:val="top"/>
          </w:tcPr>
          <w:p w14:paraId="05446BEA">
            <w:pPr>
              <w:pStyle w:val="31"/>
              <w:jc w:val="center"/>
              <w:rPr>
                <w:rFonts w:ascii="仿宋" w:hAnsi="仿宋" w:eastAsia="仿宋" w:cs="Times New Roman"/>
                <w:color w:val="auto"/>
                <w:kern w:val="2"/>
                <w:highlight w:val="none"/>
                <w:u w:val="none"/>
              </w:rPr>
            </w:pPr>
            <w:r>
              <w:rPr>
                <w:rFonts w:hint="eastAsia" w:ascii="仿宋" w:hAnsi="仿宋" w:eastAsia="仿宋" w:cs="Times New Roman"/>
                <w:color w:val="auto"/>
                <w:kern w:val="2"/>
                <w:highlight w:val="none"/>
                <w:u w:val="none"/>
              </w:rPr>
              <w:t>按单件废品损失计</w:t>
            </w:r>
          </w:p>
        </w:tc>
      </w:tr>
      <w:tr w14:paraId="057F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9" w:type="dxa"/>
            <w:gridSpan w:val="2"/>
            <w:noWrap w:val="0"/>
            <w:vAlign w:val="top"/>
          </w:tcPr>
          <w:p w14:paraId="4DAE9562">
            <w:pPr>
              <w:pStyle w:val="31"/>
              <w:rPr>
                <w:rFonts w:ascii="仿宋" w:hAnsi="仿宋" w:eastAsia="仿宋" w:cs="Times New Roman"/>
                <w:color w:val="auto"/>
                <w:kern w:val="2"/>
                <w:highlight w:val="none"/>
                <w:u w:val="none"/>
              </w:rPr>
            </w:pPr>
            <w:r>
              <w:rPr>
                <w:rFonts w:hint="eastAsia" w:ascii="仿宋" w:hAnsi="仿宋" w:eastAsia="仿宋" w:cs="Times New Roman"/>
                <w:color w:val="auto"/>
                <w:kern w:val="2"/>
                <w:highlight w:val="none"/>
                <w:u w:val="none"/>
              </w:rPr>
              <w:t>备注：以上单价为当前核算价，合同有效期内甲方有权根据实际费用情况进行调整。</w:t>
            </w:r>
          </w:p>
        </w:tc>
      </w:tr>
    </w:tbl>
    <w:p w14:paraId="710B96AD">
      <w:pPr>
        <w:pStyle w:val="136"/>
        <w:rPr>
          <w:rFonts w:ascii="仿宋" w:hAnsi="仿宋" w:eastAsia="仿宋" w:cs="Times New Roman"/>
          <w:color w:val="auto"/>
          <w:kern w:val="2"/>
          <w:sz w:val="24"/>
          <w:szCs w:val="24"/>
          <w:highlight w:val="none"/>
          <w:u w:val="none"/>
        </w:rPr>
      </w:pPr>
    </w:p>
    <w:p w14:paraId="4C93A8B5">
      <w:pPr>
        <w:pStyle w:val="136"/>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6.2.8对于已付款的不合格的外制外协工装，每月由甲方技术质量部门开据《质量索赔通知单》，并通知乙方确认。</w:t>
      </w:r>
    </w:p>
    <w:p w14:paraId="416318F8">
      <w:pPr>
        <w:pStyle w:val="136"/>
        <w:ind w:firstLine="482" w:firstLineChars="200"/>
        <w:rPr>
          <w:rFonts w:ascii="仿宋" w:hAnsi="仿宋" w:eastAsia="仿宋"/>
          <w:b/>
          <w:color w:val="auto"/>
          <w:sz w:val="24"/>
          <w:szCs w:val="24"/>
          <w:highlight w:val="none"/>
          <w:u w:val="none"/>
        </w:rPr>
      </w:pPr>
      <w:r>
        <w:rPr>
          <w:rFonts w:hint="eastAsia" w:ascii="仿宋" w:hAnsi="仿宋" w:eastAsia="仿宋"/>
          <w:b/>
          <w:color w:val="auto"/>
          <w:sz w:val="24"/>
          <w:szCs w:val="24"/>
          <w:highlight w:val="none"/>
          <w:u w:val="none"/>
        </w:rPr>
        <w:t>7</w:t>
      </w:r>
      <w:r>
        <w:rPr>
          <w:rFonts w:hint="eastAsia" w:ascii="仿宋" w:hAnsi="仿宋" w:eastAsia="仿宋" w:cs="Times New Roman"/>
          <w:b/>
          <w:color w:val="auto"/>
          <w:sz w:val="24"/>
          <w:szCs w:val="24"/>
          <w:highlight w:val="none"/>
          <w:u w:val="none"/>
        </w:rPr>
        <w:t>．</w:t>
      </w:r>
      <w:r>
        <w:rPr>
          <w:rFonts w:hint="eastAsia" w:ascii="仿宋" w:hAnsi="仿宋" w:eastAsia="仿宋"/>
          <w:b/>
          <w:color w:val="auto"/>
          <w:sz w:val="24"/>
          <w:szCs w:val="24"/>
          <w:highlight w:val="none"/>
          <w:u w:val="none"/>
        </w:rPr>
        <w:t>法律适用与争议解决</w:t>
      </w:r>
    </w:p>
    <w:p w14:paraId="136ABDA6">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C4C6D3A">
      <w:pPr>
        <w:pStyle w:val="136"/>
        <w:ind w:firstLine="482" w:firstLineChars="200"/>
        <w:rPr>
          <w:rFonts w:ascii="仿宋" w:hAnsi="仿宋" w:eastAsia="仿宋"/>
          <w:color w:val="auto"/>
          <w:sz w:val="24"/>
          <w:szCs w:val="24"/>
          <w:highlight w:val="none"/>
          <w:u w:val="none"/>
        </w:rPr>
      </w:pPr>
      <w:r>
        <w:rPr>
          <w:rFonts w:hint="eastAsia" w:ascii="仿宋" w:hAnsi="仿宋" w:eastAsia="仿宋" w:cs="Times New Roman"/>
          <w:b/>
          <w:color w:val="auto"/>
          <w:sz w:val="24"/>
          <w:szCs w:val="24"/>
          <w:highlight w:val="none"/>
          <w:u w:val="none"/>
        </w:rPr>
        <w:t>8．</w:t>
      </w:r>
      <w:r>
        <w:rPr>
          <w:rFonts w:hint="eastAsia" w:ascii="仿宋" w:hAnsi="仿宋" w:eastAsia="仿宋"/>
          <w:b/>
          <w:color w:val="auto"/>
          <w:sz w:val="24"/>
          <w:szCs w:val="24"/>
          <w:highlight w:val="none"/>
          <w:u w:val="none"/>
        </w:rPr>
        <w:t>其他规定</w:t>
      </w:r>
    </w:p>
    <w:p w14:paraId="1AB760B0">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8.1本协议终止（中止）时，乙方需将甲方提供的技术资料（含复印件）、工装模具等如数交还甲方，并对甲方相关的所有技术资料进行保密。</w:t>
      </w:r>
    </w:p>
    <w:p w14:paraId="2CD3A56A">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8.2乙方不得与甲方的客户直接发生与甲方采购产品有关的任何商务往来。</w:t>
      </w:r>
    </w:p>
    <w:p w14:paraId="5F8B567E">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8.3乙方违反本协议各项条款，甲方有权中止与乙方签订的采购合同，由此造成的一切损失由乙方承担。</w:t>
      </w:r>
    </w:p>
    <w:p w14:paraId="2F2FA054">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8.4本协议书自双方代表签字并盖章后生效，有效期限为2024年1 月1日至2024年12月31日。协议到期后如双方均无异议，则本协议延续一年，最多可延续两次。</w:t>
      </w:r>
    </w:p>
    <w:p w14:paraId="03F7DA1F">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8.5 任何一方如欲修改本协议，需在协议到期前一个月书面通知另一方，本协议将到期终止，双方可另行签署新的《采购产品质量保证与服务协议》。</w:t>
      </w:r>
    </w:p>
    <w:p w14:paraId="646B3618">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8.6本协议生效后，甲方与乙方之前签订的质量保证协议即行废止。</w:t>
      </w:r>
    </w:p>
    <w:p w14:paraId="6421155F">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8.7本协议一式两份，甲乙双方各执一份，具有同等法律效力。</w:t>
      </w:r>
    </w:p>
    <w:p w14:paraId="1B67C428">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8.8本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D055D19">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D0F1F3">
      <w:pPr>
        <w:pStyle w:val="136"/>
        <w:rPr>
          <w:rFonts w:ascii="仿宋" w:hAnsi="仿宋" w:eastAsia="仿宋"/>
          <w:color w:val="auto"/>
          <w:sz w:val="24"/>
          <w:szCs w:val="24"/>
          <w:highlight w:val="none"/>
          <w:u w:val="none"/>
        </w:rPr>
      </w:pPr>
    </w:p>
    <w:p w14:paraId="469A8773">
      <w:pPr>
        <w:pStyle w:val="136"/>
        <w:ind w:firstLine="480" w:firstLineChars="200"/>
        <w:rPr>
          <w:rFonts w:ascii="仿宋" w:hAnsi="仿宋" w:eastAsia="仿宋"/>
          <w:color w:val="auto"/>
          <w:sz w:val="24"/>
          <w:szCs w:val="24"/>
          <w:highlight w:val="none"/>
          <w:u w:val="none"/>
        </w:rPr>
      </w:pPr>
    </w:p>
    <w:p w14:paraId="20E843F6">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甲方:(盖章)                            乙方：(盖章)</w:t>
      </w:r>
    </w:p>
    <w:p w14:paraId="4A75BFDD">
      <w:pPr>
        <w:pStyle w:val="136"/>
        <w:ind w:firstLine="480" w:firstLineChars="200"/>
        <w:rPr>
          <w:rFonts w:ascii="仿宋" w:hAnsi="仿宋" w:eastAsia="仿宋"/>
          <w:color w:val="auto"/>
          <w:sz w:val="24"/>
          <w:szCs w:val="24"/>
          <w:highlight w:val="none"/>
          <w:u w:val="none"/>
        </w:rPr>
      </w:pPr>
      <w:r>
        <w:rPr>
          <w:rFonts w:hint="eastAsia" w:ascii="仿宋" w:hAnsi="仿宋" w:eastAsia="仿宋"/>
          <w:color w:val="auto"/>
          <w:sz w:val="24"/>
          <w:szCs w:val="24"/>
          <w:highlight w:val="none"/>
          <w:u w:val="none"/>
        </w:rPr>
        <w:t>授权代表人签字：                       授权代表人签字：</w:t>
      </w:r>
    </w:p>
    <w:p w14:paraId="7385408A">
      <w:pPr>
        <w:pStyle w:val="136"/>
        <w:ind w:firstLine="480" w:firstLineChars="200"/>
        <w:rPr>
          <w:rFonts w:hint="eastAsia" w:ascii="仿宋" w:hAnsi="仿宋" w:eastAsia="仿宋"/>
          <w:color w:val="auto"/>
          <w:sz w:val="24"/>
          <w:szCs w:val="24"/>
          <w:highlight w:val="none"/>
          <w:u w:val="none"/>
        </w:rPr>
      </w:pPr>
      <w:r>
        <w:rPr>
          <w:rFonts w:hint="eastAsia" w:ascii="仿宋" w:hAnsi="仿宋" w:eastAsia="仿宋"/>
          <w:color w:val="auto"/>
          <w:sz w:val="24"/>
          <w:szCs w:val="24"/>
          <w:highlight w:val="none"/>
          <w:u w:val="none"/>
        </w:rPr>
        <w:t>时间:    年  月  日                    时间:    年  月  日</w:t>
      </w:r>
    </w:p>
    <w:p w14:paraId="325AB954">
      <w:pPr>
        <w:rPr>
          <w:rFonts w:hint="eastAsia" w:ascii="仿宋" w:hAnsi="仿宋" w:eastAsia="仿宋"/>
          <w:color w:val="auto"/>
          <w:sz w:val="24"/>
          <w:szCs w:val="24"/>
          <w:highlight w:val="none"/>
          <w:u w:val="none"/>
        </w:rPr>
      </w:pPr>
      <w:r>
        <w:rPr>
          <w:rFonts w:hint="eastAsia" w:ascii="仿宋" w:hAnsi="仿宋" w:eastAsia="仿宋"/>
          <w:color w:val="auto"/>
          <w:sz w:val="24"/>
          <w:szCs w:val="24"/>
          <w:highlight w:val="none"/>
          <w:u w:val="none"/>
        </w:rPr>
        <w:br w:type="page"/>
      </w:r>
    </w:p>
    <w:p w14:paraId="43F853F2">
      <w:pPr>
        <w:pStyle w:val="136"/>
        <w:ind w:firstLine="480" w:firstLineChars="200"/>
        <w:rPr>
          <w:rFonts w:hint="eastAsia" w:ascii="仿宋" w:hAnsi="仿宋" w:eastAsia="仿宋"/>
          <w:color w:val="auto"/>
          <w:sz w:val="24"/>
          <w:szCs w:val="24"/>
          <w:highlight w:val="none"/>
          <w:u w:val="none"/>
        </w:rPr>
      </w:pPr>
    </w:p>
    <w:bookmarkEnd w:id="36"/>
    <w:p w14:paraId="35C27692">
      <w:pPr>
        <w:keepNext/>
        <w:keepLines/>
        <w:jc w:val="center"/>
        <w:outlineLvl w:val="0"/>
        <w:rPr>
          <w:rFonts w:ascii="Calibri" w:hAnsi="Calibri" w:eastAsia="宋体" w:cs="Times New Roman"/>
          <w:b/>
          <w:bCs/>
          <w:kern w:val="44"/>
          <w:sz w:val="36"/>
          <w:szCs w:val="44"/>
        </w:rPr>
      </w:pPr>
      <w:bookmarkStart w:id="38"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8"/>
    </w:p>
    <w:p w14:paraId="004B8CE5">
      <w:pPr>
        <w:keepNext/>
        <w:keepLines/>
        <w:rPr>
          <w:rFonts w:ascii="Times New Roman" w:hAnsi="Times New Roman" w:eastAsia="宋体" w:cs="Times New Roman"/>
          <w:b/>
          <w:bCs/>
          <w:color w:val="000000"/>
          <w:sz w:val="24"/>
          <w:szCs w:val="24"/>
        </w:rPr>
      </w:pPr>
    </w:p>
    <w:p w14:paraId="6D68D61A">
      <w:pPr>
        <w:pStyle w:val="17"/>
        <w:rPr>
          <w:rFonts w:ascii="Times New Roman" w:hAnsi="Times New Roman" w:eastAsia="宋体" w:cs="Times New Roman"/>
          <w:b/>
          <w:bCs/>
          <w:color w:val="000000"/>
          <w:sz w:val="24"/>
          <w:szCs w:val="24"/>
        </w:rPr>
      </w:pPr>
    </w:p>
    <w:p w14:paraId="69EA84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4D7EE0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AD2D16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4B7BD2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2C56AB5">
      <w:pPr>
        <w:pStyle w:val="17"/>
        <w:rPr>
          <w:rFonts w:ascii="Times New Roman" w:hAnsi="Times New Roman" w:eastAsia="宋体" w:cs="Times New Roman"/>
          <w:b/>
          <w:bCs/>
          <w:color w:val="000000"/>
          <w:sz w:val="24"/>
          <w:szCs w:val="24"/>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9" w:name="_Toc353881012"/>
      <w:bookmarkStart w:id="40" w:name="_Toc212369550"/>
      <w:bookmarkStart w:id="41" w:name="_Toc639004"/>
      <w:bookmarkStart w:id="4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9"/>
      <w:bookmarkEnd w:id="40"/>
      <w:bookmarkEnd w:id="41"/>
      <w:bookmarkEnd w:id="42"/>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red"/>
        </w:rPr>
        <w:t>致：中国重汽集团济南动力有限公司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eastAsia="zh-CN"/>
        </w:rPr>
        <w:t>济南成型厂5吨整体式转向节模具新制项目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提交纸质投标文件：资质证明文件、商务文件和技术文件正本五份；电子版投标文件一份。</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17"/>
        <w:rPr>
          <w:rFonts w:ascii="黑体" w:hAnsi="Calibri" w:eastAsia="黑体" w:cs="Times New Roman"/>
          <w:color w:val="000000"/>
          <w:sz w:val="24"/>
          <w:szCs w:val="24"/>
        </w:rPr>
      </w:pPr>
    </w:p>
    <w:p w14:paraId="6566FFCA">
      <w:pPr>
        <w:pStyle w:val="17"/>
        <w:rPr>
          <w:rFonts w:ascii="黑体" w:hAnsi="Calibri" w:eastAsia="黑体" w:cs="Times New Roman"/>
          <w:color w:val="000000"/>
          <w:sz w:val="24"/>
          <w:szCs w:val="24"/>
        </w:rPr>
      </w:pPr>
    </w:p>
    <w:p w14:paraId="3B6FDF38">
      <w:pPr>
        <w:pStyle w:val="17"/>
        <w:rPr>
          <w:rFonts w:ascii="黑体" w:hAnsi="Calibri" w:eastAsia="黑体" w:cs="Times New Roman"/>
          <w:color w:val="000000"/>
          <w:sz w:val="24"/>
          <w:szCs w:val="24"/>
        </w:rPr>
      </w:pPr>
    </w:p>
    <w:p w14:paraId="4DD34454">
      <w:pPr>
        <w:pStyle w:val="17"/>
        <w:rPr>
          <w:rFonts w:ascii="黑体" w:hAnsi="Calibri" w:eastAsia="黑体" w:cs="Times New Roman"/>
          <w:color w:val="000000"/>
          <w:sz w:val="24"/>
          <w:szCs w:val="24"/>
        </w:rPr>
      </w:pPr>
    </w:p>
    <w:p w14:paraId="3CF13451">
      <w:pPr>
        <w:rPr>
          <w:rFonts w:ascii="黑体" w:hAnsi="Calibri" w:eastAsia="黑体" w:cs="Times New Roman"/>
          <w:color w:val="000000"/>
          <w:sz w:val="24"/>
          <w:szCs w:val="24"/>
        </w:rPr>
      </w:pPr>
    </w:p>
    <w:p w14:paraId="0C70CD3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64C9C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eastAsia="zh-CN"/>
        </w:rPr>
        <w:t>济南成型厂5吨整体式转向节模具新制项目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70A12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6D03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309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72833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C478B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FC5F5E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6BB03077">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29"/>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29"/>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29"/>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29"/>
              <w:spacing w:before="111"/>
              <w:ind w:left="509"/>
            </w:pPr>
            <w:r>
              <w:t xml:space="preserve">企业法人代表  </w:t>
            </w:r>
          </w:p>
        </w:tc>
        <w:tc>
          <w:tcPr>
            <w:tcW w:w="4680" w:type="dxa"/>
            <w:gridSpan w:val="4"/>
          </w:tcPr>
          <w:p w14:paraId="19E9CD95">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29"/>
              <w:spacing w:before="114"/>
              <w:ind w:left="720"/>
            </w:pPr>
            <w:r>
              <w:t xml:space="preserve">品牌区分 </w:t>
            </w:r>
          </w:p>
        </w:tc>
        <w:tc>
          <w:tcPr>
            <w:tcW w:w="7500" w:type="dxa"/>
            <w:gridSpan w:val="6"/>
          </w:tcPr>
          <w:p w14:paraId="6CB73591">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29"/>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29"/>
              <w:spacing w:before="15"/>
              <w:ind w:left="279"/>
            </w:pPr>
            <w:r>
              <w:rPr>
                <w:spacing w:val="-2"/>
              </w:rPr>
              <w:t>质量</w:t>
            </w:r>
            <w:r>
              <w:t xml:space="preserve"> </w:t>
            </w:r>
          </w:p>
          <w:p w14:paraId="7E67F972">
            <w:pPr>
              <w:pStyle w:val="129"/>
              <w:spacing w:before="30" w:line="277" w:lineRule="exact"/>
              <w:ind w:left="279"/>
            </w:pPr>
            <w:r>
              <w:rPr>
                <w:rFonts w:hint="eastAsia"/>
              </w:rPr>
              <w:t>体系</w:t>
            </w:r>
          </w:p>
        </w:tc>
        <w:tc>
          <w:tcPr>
            <w:tcW w:w="2820" w:type="dxa"/>
            <w:gridSpan w:val="2"/>
          </w:tcPr>
          <w:p w14:paraId="75D97D6D">
            <w:pPr>
              <w:pStyle w:val="129"/>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29"/>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17"/>
        <w:rPr>
          <w:rFonts w:ascii="Times New Roman" w:hAnsi="Times New Roman" w:eastAsia="宋体" w:cs="Times New Roman"/>
          <w:b/>
          <w:bCs/>
          <w:color w:val="000000"/>
          <w:sz w:val="24"/>
          <w:szCs w:val="24"/>
        </w:rPr>
      </w:pPr>
    </w:p>
    <w:p w14:paraId="0DD430E4">
      <w:pPr>
        <w:pStyle w:val="17"/>
        <w:rPr>
          <w:rFonts w:ascii="Times New Roman" w:hAnsi="Times New Roman" w:eastAsia="宋体" w:cs="Times New Roman"/>
          <w:b/>
          <w:bCs/>
          <w:color w:val="000000"/>
          <w:sz w:val="24"/>
          <w:szCs w:val="24"/>
        </w:rPr>
      </w:pPr>
    </w:p>
    <w:p w14:paraId="206455E0">
      <w:pPr>
        <w:pStyle w:val="17"/>
        <w:rPr>
          <w:rFonts w:ascii="Times New Roman" w:hAnsi="Times New Roman" w:eastAsia="宋体" w:cs="Times New Roman"/>
          <w:b/>
          <w:bCs/>
          <w:color w:val="000000"/>
          <w:sz w:val="24"/>
          <w:szCs w:val="24"/>
        </w:rPr>
      </w:pPr>
    </w:p>
    <w:p w14:paraId="443F2AF2">
      <w:pPr>
        <w:pStyle w:val="17"/>
        <w:rPr>
          <w:rFonts w:ascii="Times New Roman" w:hAnsi="Times New Roman" w:eastAsia="宋体" w:cs="Times New Roman"/>
          <w:b/>
          <w:bCs/>
          <w:color w:val="000000"/>
          <w:sz w:val="24"/>
          <w:szCs w:val="24"/>
        </w:rPr>
      </w:pPr>
    </w:p>
    <w:p w14:paraId="465F6513">
      <w:pPr>
        <w:pStyle w:val="17"/>
        <w:rPr>
          <w:rFonts w:ascii="Times New Roman" w:hAnsi="Times New Roman" w:eastAsia="宋体" w:cs="Times New Roman"/>
          <w:b/>
          <w:bCs/>
          <w:color w:val="000000"/>
          <w:sz w:val="24"/>
          <w:szCs w:val="24"/>
        </w:rPr>
      </w:pPr>
    </w:p>
    <w:p w14:paraId="54B5579A">
      <w:pPr>
        <w:pStyle w:val="17"/>
        <w:rPr>
          <w:rFonts w:ascii="Times New Roman" w:hAnsi="Times New Roman" w:eastAsia="宋体" w:cs="Times New Roman"/>
          <w:b/>
          <w:bCs/>
          <w:color w:val="000000"/>
          <w:sz w:val="24"/>
          <w:szCs w:val="24"/>
        </w:rPr>
      </w:pPr>
    </w:p>
    <w:p w14:paraId="4BEE96A5">
      <w:pPr>
        <w:pStyle w:val="17"/>
        <w:rPr>
          <w:rFonts w:ascii="Times New Roman" w:hAnsi="Times New Roman" w:eastAsia="宋体" w:cs="Times New Roman"/>
          <w:b/>
          <w:bCs/>
          <w:color w:val="000000"/>
          <w:sz w:val="24"/>
          <w:szCs w:val="24"/>
        </w:rPr>
      </w:pPr>
    </w:p>
    <w:p w14:paraId="1B1620C5">
      <w:pPr>
        <w:pStyle w:val="17"/>
        <w:rPr>
          <w:rFonts w:ascii="Times New Roman" w:hAnsi="Times New Roman" w:eastAsia="宋体" w:cs="Times New Roman"/>
          <w:b/>
          <w:bCs/>
          <w:color w:val="000000"/>
          <w:sz w:val="24"/>
          <w:szCs w:val="24"/>
        </w:rPr>
      </w:pPr>
    </w:p>
    <w:p w14:paraId="3AF3DD77">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lang w:eastAsia="zh-CN"/>
              </w:rPr>
              <w:t>2022</w:t>
            </w:r>
            <w:r>
              <w:rPr>
                <w:rFonts w:hint="eastAsia" w:ascii="宋体" w:hAnsi="宋体" w:eastAsia="宋体"/>
                <w:color w:val="000000"/>
                <w:sz w:val="24"/>
                <w:szCs w:val="24"/>
              </w:rPr>
              <w:t>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D44597">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eastAsia="zh-CN"/>
        </w:rPr>
        <w:t>济南成型厂5吨整体式转向节模具新制项目</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red"/>
        </w:rPr>
        <w:t>中国重汽集团济南动力有限公司：</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725CB0A">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济南成型厂5吨整体式转向节模具新制项目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ascii="Times New Roman" w:hAnsi="Times New Roman" w:eastAsia="宋体" w:cs="Times New Roman"/>
                <w:b/>
                <w:sz w:val="24"/>
                <w:szCs w:val="20"/>
              </w:rPr>
            </w:pP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ascii="Times New Roman" w:hAnsi="Times New Roman" w:eastAsia="宋体" w:cs="Times New Roman"/>
                <w:b/>
                <w:sz w:val="24"/>
                <w:szCs w:val="20"/>
              </w:rPr>
            </w:pP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ascii="Times New Roman" w:hAnsi="Times New Roman" w:eastAsia="宋体" w:cs="Times New Roman"/>
                <w:b/>
                <w:sz w:val="24"/>
                <w:szCs w:val="20"/>
              </w:rPr>
            </w:pP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ascii="Times New Roman" w:hAnsi="Times New Roman" w:eastAsia="宋体" w:cs="Times New Roman"/>
                <w:b/>
                <w:sz w:val="24"/>
                <w:szCs w:val="20"/>
              </w:rPr>
            </w:pP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ascii="Times New Roman" w:hAnsi="Times New Roman" w:eastAsia="宋体" w:cs="Times New Roman"/>
                <w:b/>
                <w:sz w:val="24"/>
                <w:szCs w:val="20"/>
              </w:rPr>
            </w:pP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ascii="Times New Roman" w:hAnsi="Times New Roman" w:eastAsia="宋体" w:cs="Times New Roman"/>
                <w:b/>
                <w:sz w:val="24"/>
                <w:szCs w:val="20"/>
              </w:rPr>
            </w:pP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ascii="Times New Roman" w:hAnsi="Times New Roman" w:eastAsia="宋体" w:cs="Times New Roman"/>
                <w:b/>
                <w:sz w:val="24"/>
                <w:szCs w:val="20"/>
              </w:rPr>
            </w:pP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ascii="Times New Roman" w:hAnsi="Times New Roman" w:eastAsia="宋体" w:cs="Times New Roman"/>
                <w:b/>
                <w:sz w:val="24"/>
                <w:szCs w:val="20"/>
              </w:rPr>
            </w:pP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ascii="Times New Roman" w:hAnsi="Times New Roman" w:eastAsia="宋体" w:cs="Times New Roman"/>
                <w:b/>
                <w:sz w:val="24"/>
                <w:szCs w:val="20"/>
              </w:rPr>
            </w:pP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ascii="Times New Roman" w:hAnsi="Times New Roman" w:eastAsia="宋体" w:cs="Times New Roman"/>
                <w:b/>
                <w:sz w:val="24"/>
                <w:szCs w:val="20"/>
              </w:rPr>
            </w:pP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470852FA">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济南成型厂5吨整体式转向节模具新制项目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114C6E1A">
      <w:pPr>
        <w:rPr>
          <w:rFonts w:ascii="宋体" w:hAnsi="Calibri" w:eastAsia="宋体" w:cs="宋体"/>
          <w:b/>
          <w:bCs/>
          <w:color w:val="000000"/>
          <w:sz w:val="28"/>
        </w:rPr>
        <w:sectPr>
          <w:footerReference r:id="rId22"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u w:val="single"/>
          <w:lang w:eastAsia="zh-CN"/>
        </w:rPr>
        <w:t>济南成型厂5吨整体式转向节模具新制项目</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red"/>
        </w:rPr>
        <w:t>中国重汽集团济南动力有限公司：</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5CE7881">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济南成型厂5吨整体式转向节模具新制项目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济南成型厂5吨整体式转向节模具新制项目</w:t>
            </w:r>
          </w:p>
        </w:tc>
        <w:tc>
          <w:tcPr>
            <w:tcW w:w="848"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9C32E3A">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7"/>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1B3F87BD">
      <w:pPr>
        <w:pStyle w:val="17"/>
        <w:sectPr>
          <w:pgSz w:w="11906" w:h="16838"/>
          <w:pgMar w:top="1588" w:right="1418" w:bottom="1134" w:left="1418" w:header="851" w:footer="992" w:gutter="0"/>
          <w:cols w:space="720" w:num="1"/>
          <w:titlePg/>
          <w:docGrid w:type="lines" w:linePitch="312" w:charSpace="0"/>
        </w:sectPr>
      </w:pPr>
    </w:p>
    <w:p w14:paraId="2464546E">
      <w:pPr>
        <w:rPr>
          <w:rFonts w:ascii="宋体" w:hAnsi="宋体" w:cs="宋体"/>
          <w:color w:val="000000"/>
          <w:sz w:val="24"/>
          <w:szCs w:val="24"/>
        </w:rPr>
      </w:pPr>
    </w:p>
    <w:p w14:paraId="3807B430">
      <w:pPr>
        <w:pStyle w:val="6"/>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7"/>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14:paraId="2E5E0FBB">
            <w:pPr>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14:paraId="698E36D2">
            <w:pPr>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14:paraId="0FDA17D8">
            <w:pPr>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14:paraId="267C8235">
            <w:pPr>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655CC18C">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14:paraId="10B4F297">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jc w:val="center"/>
              <w:rPr>
                <w:rFonts w:ascii="宋体" w:hAnsi="宋体" w:eastAsia="宋体" w:cs="宋体"/>
                <w:szCs w:val="21"/>
              </w:rPr>
            </w:pPr>
          </w:p>
        </w:tc>
        <w:tc>
          <w:tcPr>
            <w:tcW w:w="1722" w:type="dxa"/>
          </w:tcPr>
          <w:p w14:paraId="03AD3DFA">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jc w:val="center"/>
              <w:rPr>
                <w:rFonts w:ascii="Times New Roman" w:hAnsi="Times New Roman" w:eastAsia="宋体" w:cs="Times New Roman"/>
                <w:sz w:val="18"/>
                <w:szCs w:val="18"/>
              </w:rPr>
            </w:pPr>
          </w:p>
        </w:tc>
        <w:tc>
          <w:tcPr>
            <w:tcW w:w="550" w:type="dxa"/>
            <w:shd w:val="clear" w:color="auto" w:fill="auto"/>
            <w:vAlign w:val="center"/>
          </w:tcPr>
          <w:p w14:paraId="39482B8B">
            <w:pPr>
              <w:jc w:val="center"/>
              <w:rPr>
                <w:rFonts w:ascii="Times New Roman" w:hAnsi="Times New Roman" w:eastAsia="宋体" w:cs="Times New Roman"/>
                <w:sz w:val="18"/>
                <w:szCs w:val="18"/>
              </w:rPr>
            </w:pPr>
          </w:p>
        </w:tc>
        <w:tc>
          <w:tcPr>
            <w:tcW w:w="2550" w:type="dxa"/>
          </w:tcPr>
          <w:p w14:paraId="20BB4073">
            <w:pPr>
              <w:rPr>
                <w:rFonts w:ascii="宋体" w:hAnsi="宋体" w:eastAsia="宋体" w:cs="宋体"/>
                <w:szCs w:val="21"/>
              </w:rPr>
            </w:pPr>
          </w:p>
        </w:tc>
        <w:tc>
          <w:tcPr>
            <w:tcW w:w="2510" w:type="dxa"/>
            <w:tcBorders>
              <w:right w:val="single" w:color="000000" w:sz="4" w:space="0"/>
            </w:tcBorders>
          </w:tcPr>
          <w:p w14:paraId="4AA44428">
            <w:pPr>
              <w:ind w:left="105" w:leftChars="50"/>
              <w:jc w:val="left"/>
              <w:rPr>
                <w:rFonts w:ascii="宋体" w:hAnsi="宋体" w:eastAsia="宋体" w:cs="宋体"/>
                <w:szCs w:val="21"/>
              </w:rPr>
            </w:pPr>
          </w:p>
        </w:tc>
        <w:tc>
          <w:tcPr>
            <w:tcW w:w="2196" w:type="dxa"/>
            <w:tcBorders>
              <w:left w:val="single" w:color="000000" w:sz="4" w:space="0"/>
            </w:tcBorders>
          </w:tcPr>
          <w:p w14:paraId="1AD79E35">
            <w:pPr>
              <w:ind w:left="105" w:leftChars="50"/>
              <w:jc w:val="left"/>
              <w:rPr>
                <w:rFonts w:ascii="宋体" w:hAnsi="宋体" w:eastAsia="宋体" w:cs="宋体"/>
                <w:szCs w:val="21"/>
              </w:rPr>
            </w:pPr>
          </w:p>
        </w:tc>
        <w:tc>
          <w:tcPr>
            <w:tcW w:w="964" w:type="dxa"/>
          </w:tcPr>
          <w:p w14:paraId="5CDD0B67">
            <w:pPr>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jc w:val="center"/>
              <w:rPr>
                <w:rFonts w:ascii="宋体" w:hAnsi="宋体" w:eastAsia="宋体" w:cs="宋体"/>
                <w:szCs w:val="21"/>
              </w:rPr>
            </w:pPr>
          </w:p>
        </w:tc>
        <w:tc>
          <w:tcPr>
            <w:tcW w:w="1722" w:type="dxa"/>
          </w:tcPr>
          <w:p w14:paraId="58A2E0C3">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jc w:val="center"/>
              <w:rPr>
                <w:rFonts w:ascii="Times New Roman" w:hAnsi="Times New Roman" w:eastAsia="宋体" w:cs="Times New Roman"/>
                <w:sz w:val="18"/>
                <w:szCs w:val="18"/>
              </w:rPr>
            </w:pPr>
          </w:p>
        </w:tc>
        <w:tc>
          <w:tcPr>
            <w:tcW w:w="550" w:type="dxa"/>
            <w:shd w:val="clear" w:color="auto" w:fill="auto"/>
            <w:vAlign w:val="center"/>
          </w:tcPr>
          <w:p w14:paraId="2F492FCA">
            <w:pPr>
              <w:jc w:val="center"/>
              <w:rPr>
                <w:rFonts w:ascii="Times New Roman" w:hAnsi="Times New Roman" w:eastAsia="宋体" w:cs="Times New Roman"/>
                <w:sz w:val="18"/>
                <w:szCs w:val="18"/>
              </w:rPr>
            </w:pPr>
          </w:p>
        </w:tc>
        <w:tc>
          <w:tcPr>
            <w:tcW w:w="2550" w:type="dxa"/>
          </w:tcPr>
          <w:p w14:paraId="25BB2855">
            <w:pPr>
              <w:rPr>
                <w:rFonts w:ascii="宋体" w:hAnsi="宋体" w:eastAsia="宋体" w:cs="宋体"/>
                <w:szCs w:val="21"/>
              </w:rPr>
            </w:pPr>
          </w:p>
        </w:tc>
        <w:tc>
          <w:tcPr>
            <w:tcW w:w="2510" w:type="dxa"/>
            <w:tcBorders>
              <w:right w:val="single" w:color="000000" w:sz="4" w:space="0"/>
            </w:tcBorders>
          </w:tcPr>
          <w:p w14:paraId="18071774">
            <w:pPr>
              <w:ind w:left="105" w:leftChars="50"/>
              <w:jc w:val="left"/>
              <w:rPr>
                <w:rFonts w:ascii="宋体" w:hAnsi="宋体" w:eastAsia="宋体" w:cs="宋体"/>
                <w:szCs w:val="21"/>
              </w:rPr>
            </w:pPr>
          </w:p>
        </w:tc>
        <w:tc>
          <w:tcPr>
            <w:tcW w:w="2196" w:type="dxa"/>
            <w:tcBorders>
              <w:left w:val="single" w:color="000000" w:sz="4" w:space="0"/>
            </w:tcBorders>
          </w:tcPr>
          <w:p w14:paraId="631B770F">
            <w:pPr>
              <w:ind w:left="105" w:leftChars="50"/>
              <w:jc w:val="left"/>
              <w:rPr>
                <w:rFonts w:ascii="宋体" w:hAnsi="宋体" w:eastAsia="宋体" w:cs="宋体"/>
                <w:szCs w:val="21"/>
              </w:rPr>
            </w:pPr>
          </w:p>
        </w:tc>
        <w:tc>
          <w:tcPr>
            <w:tcW w:w="964" w:type="dxa"/>
          </w:tcPr>
          <w:p w14:paraId="2FB363F3">
            <w:pPr>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jc w:val="center"/>
              <w:rPr>
                <w:rFonts w:ascii="宋体" w:hAnsi="宋体" w:eastAsia="宋体" w:cs="宋体"/>
                <w:szCs w:val="21"/>
              </w:rPr>
            </w:pPr>
          </w:p>
        </w:tc>
        <w:tc>
          <w:tcPr>
            <w:tcW w:w="1722" w:type="dxa"/>
          </w:tcPr>
          <w:p w14:paraId="4035B93B">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jc w:val="center"/>
              <w:rPr>
                <w:rFonts w:ascii="Times New Roman" w:hAnsi="Times New Roman" w:eastAsia="宋体" w:cs="Times New Roman"/>
                <w:sz w:val="18"/>
                <w:szCs w:val="18"/>
              </w:rPr>
            </w:pPr>
          </w:p>
        </w:tc>
        <w:tc>
          <w:tcPr>
            <w:tcW w:w="550" w:type="dxa"/>
            <w:shd w:val="clear" w:color="auto" w:fill="auto"/>
            <w:vAlign w:val="center"/>
          </w:tcPr>
          <w:p w14:paraId="47354F38">
            <w:pPr>
              <w:jc w:val="center"/>
              <w:rPr>
                <w:rFonts w:ascii="Times New Roman" w:hAnsi="Times New Roman" w:eastAsia="宋体" w:cs="Times New Roman"/>
                <w:sz w:val="18"/>
                <w:szCs w:val="18"/>
              </w:rPr>
            </w:pPr>
          </w:p>
        </w:tc>
        <w:tc>
          <w:tcPr>
            <w:tcW w:w="2550" w:type="dxa"/>
          </w:tcPr>
          <w:p w14:paraId="632CE69E">
            <w:pPr>
              <w:rPr>
                <w:rFonts w:ascii="宋体" w:hAnsi="宋体" w:eastAsia="宋体" w:cs="宋体"/>
                <w:szCs w:val="21"/>
              </w:rPr>
            </w:pPr>
          </w:p>
        </w:tc>
        <w:tc>
          <w:tcPr>
            <w:tcW w:w="2510" w:type="dxa"/>
            <w:tcBorders>
              <w:right w:val="single" w:color="000000" w:sz="4" w:space="0"/>
            </w:tcBorders>
          </w:tcPr>
          <w:p w14:paraId="4C981BFB">
            <w:pPr>
              <w:ind w:left="105" w:leftChars="50"/>
              <w:jc w:val="left"/>
              <w:rPr>
                <w:rFonts w:ascii="宋体" w:hAnsi="宋体" w:eastAsia="宋体" w:cs="宋体"/>
                <w:szCs w:val="21"/>
              </w:rPr>
            </w:pPr>
          </w:p>
        </w:tc>
        <w:tc>
          <w:tcPr>
            <w:tcW w:w="2196" w:type="dxa"/>
            <w:tcBorders>
              <w:left w:val="single" w:color="000000" w:sz="4" w:space="0"/>
            </w:tcBorders>
          </w:tcPr>
          <w:p w14:paraId="02764B32">
            <w:pPr>
              <w:ind w:left="105" w:leftChars="50"/>
              <w:jc w:val="left"/>
              <w:rPr>
                <w:rFonts w:ascii="宋体" w:hAnsi="宋体" w:eastAsia="宋体" w:cs="宋体"/>
                <w:szCs w:val="21"/>
              </w:rPr>
            </w:pPr>
          </w:p>
        </w:tc>
        <w:tc>
          <w:tcPr>
            <w:tcW w:w="964" w:type="dxa"/>
          </w:tcPr>
          <w:p w14:paraId="0F2F7CEE">
            <w:pPr>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jc w:val="center"/>
              <w:rPr>
                <w:rFonts w:ascii="宋体" w:hAnsi="宋体" w:eastAsia="宋体" w:cs="宋体"/>
                <w:szCs w:val="21"/>
              </w:rPr>
            </w:pPr>
          </w:p>
        </w:tc>
        <w:tc>
          <w:tcPr>
            <w:tcW w:w="1722" w:type="dxa"/>
          </w:tcPr>
          <w:p w14:paraId="605C3589">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jc w:val="center"/>
              <w:rPr>
                <w:rFonts w:ascii="Times New Roman" w:hAnsi="Times New Roman" w:eastAsia="宋体" w:cs="Times New Roman"/>
                <w:sz w:val="18"/>
                <w:szCs w:val="18"/>
              </w:rPr>
            </w:pPr>
          </w:p>
        </w:tc>
        <w:tc>
          <w:tcPr>
            <w:tcW w:w="550" w:type="dxa"/>
            <w:shd w:val="clear" w:color="auto" w:fill="auto"/>
            <w:vAlign w:val="center"/>
          </w:tcPr>
          <w:p w14:paraId="345BA7E0">
            <w:pPr>
              <w:jc w:val="center"/>
              <w:rPr>
                <w:rFonts w:ascii="Times New Roman" w:hAnsi="Times New Roman" w:eastAsia="宋体" w:cs="Times New Roman"/>
                <w:sz w:val="18"/>
                <w:szCs w:val="18"/>
              </w:rPr>
            </w:pPr>
          </w:p>
        </w:tc>
        <w:tc>
          <w:tcPr>
            <w:tcW w:w="2550" w:type="dxa"/>
          </w:tcPr>
          <w:p w14:paraId="3B440A87">
            <w:pPr>
              <w:rPr>
                <w:rFonts w:ascii="宋体" w:hAnsi="宋体" w:eastAsia="宋体" w:cs="宋体"/>
                <w:szCs w:val="21"/>
              </w:rPr>
            </w:pPr>
          </w:p>
        </w:tc>
        <w:tc>
          <w:tcPr>
            <w:tcW w:w="2510" w:type="dxa"/>
            <w:tcBorders>
              <w:right w:val="single" w:color="000000" w:sz="4" w:space="0"/>
            </w:tcBorders>
          </w:tcPr>
          <w:p w14:paraId="3C54A1D4">
            <w:pPr>
              <w:ind w:left="105" w:leftChars="50"/>
              <w:jc w:val="left"/>
              <w:rPr>
                <w:rFonts w:ascii="宋体" w:hAnsi="宋体" w:eastAsia="宋体" w:cs="宋体"/>
                <w:szCs w:val="21"/>
              </w:rPr>
            </w:pPr>
          </w:p>
        </w:tc>
        <w:tc>
          <w:tcPr>
            <w:tcW w:w="2196" w:type="dxa"/>
            <w:tcBorders>
              <w:left w:val="single" w:color="000000" w:sz="4" w:space="0"/>
            </w:tcBorders>
          </w:tcPr>
          <w:p w14:paraId="15D1121E">
            <w:pPr>
              <w:ind w:left="105" w:leftChars="50"/>
              <w:jc w:val="left"/>
              <w:rPr>
                <w:rFonts w:ascii="宋体" w:hAnsi="宋体" w:eastAsia="宋体" w:cs="宋体"/>
                <w:szCs w:val="21"/>
              </w:rPr>
            </w:pPr>
          </w:p>
        </w:tc>
        <w:tc>
          <w:tcPr>
            <w:tcW w:w="964" w:type="dxa"/>
          </w:tcPr>
          <w:p w14:paraId="10B0C30C">
            <w:pPr>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jc w:val="center"/>
              <w:rPr>
                <w:rFonts w:ascii="宋体" w:hAnsi="宋体" w:eastAsia="宋体" w:cs="宋体"/>
                <w:szCs w:val="21"/>
              </w:rPr>
            </w:pPr>
          </w:p>
        </w:tc>
        <w:tc>
          <w:tcPr>
            <w:tcW w:w="1722" w:type="dxa"/>
          </w:tcPr>
          <w:p w14:paraId="665398E9">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jc w:val="center"/>
              <w:rPr>
                <w:rFonts w:ascii="Times New Roman" w:hAnsi="Times New Roman" w:eastAsia="宋体" w:cs="Times New Roman"/>
                <w:sz w:val="18"/>
                <w:szCs w:val="18"/>
              </w:rPr>
            </w:pPr>
          </w:p>
        </w:tc>
        <w:tc>
          <w:tcPr>
            <w:tcW w:w="550" w:type="dxa"/>
            <w:shd w:val="clear" w:color="auto" w:fill="auto"/>
            <w:vAlign w:val="center"/>
          </w:tcPr>
          <w:p w14:paraId="0E3A3B5F">
            <w:pPr>
              <w:jc w:val="center"/>
              <w:rPr>
                <w:rFonts w:ascii="Times New Roman" w:hAnsi="Times New Roman" w:eastAsia="宋体" w:cs="Times New Roman"/>
                <w:sz w:val="18"/>
                <w:szCs w:val="18"/>
              </w:rPr>
            </w:pPr>
          </w:p>
        </w:tc>
        <w:tc>
          <w:tcPr>
            <w:tcW w:w="2550" w:type="dxa"/>
          </w:tcPr>
          <w:p w14:paraId="6B045F6F">
            <w:pPr>
              <w:rPr>
                <w:rFonts w:ascii="宋体" w:hAnsi="宋体" w:eastAsia="宋体" w:cs="宋体"/>
                <w:szCs w:val="21"/>
              </w:rPr>
            </w:pPr>
          </w:p>
        </w:tc>
        <w:tc>
          <w:tcPr>
            <w:tcW w:w="2510" w:type="dxa"/>
            <w:tcBorders>
              <w:right w:val="single" w:color="000000" w:sz="4" w:space="0"/>
            </w:tcBorders>
          </w:tcPr>
          <w:p w14:paraId="21CE20CF">
            <w:pPr>
              <w:ind w:left="105" w:leftChars="50"/>
              <w:jc w:val="left"/>
              <w:rPr>
                <w:rFonts w:ascii="宋体" w:hAnsi="宋体" w:eastAsia="宋体" w:cs="宋体"/>
                <w:szCs w:val="21"/>
              </w:rPr>
            </w:pPr>
          </w:p>
        </w:tc>
        <w:tc>
          <w:tcPr>
            <w:tcW w:w="2196" w:type="dxa"/>
            <w:tcBorders>
              <w:left w:val="single" w:color="000000" w:sz="4" w:space="0"/>
            </w:tcBorders>
          </w:tcPr>
          <w:p w14:paraId="7BCD65DC">
            <w:pPr>
              <w:ind w:left="105" w:leftChars="50"/>
              <w:jc w:val="left"/>
              <w:rPr>
                <w:rFonts w:ascii="宋体" w:hAnsi="宋体" w:eastAsia="宋体" w:cs="宋体"/>
                <w:szCs w:val="21"/>
              </w:rPr>
            </w:pPr>
          </w:p>
        </w:tc>
        <w:tc>
          <w:tcPr>
            <w:tcW w:w="964" w:type="dxa"/>
          </w:tcPr>
          <w:p w14:paraId="11C99FC3">
            <w:pPr>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jc w:val="center"/>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rPr>
                <w:rFonts w:ascii="Arial"/>
              </w:rPr>
            </w:pPr>
            <w:r>
              <w:rPr>
                <w:rFonts w:hint="eastAsia" w:ascii="宋体" w:hAnsi="宋体" w:eastAsia="宋体" w:cs="宋体"/>
                <w:szCs w:val="21"/>
              </w:rPr>
              <w:t xml:space="preserve"> </w:t>
            </w:r>
          </w:p>
        </w:tc>
        <w:tc>
          <w:tcPr>
            <w:tcW w:w="703" w:type="dxa"/>
          </w:tcPr>
          <w:p w14:paraId="0E170F96">
            <w:pPr>
              <w:rPr>
                <w:rFonts w:ascii="Arial"/>
              </w:rPr>
            </w:pPr>
            <w:r>
              <w:rPr>
                <w:rFonts w:hint="eastAsia" w:ascii="宋体" w:hAnsi="宋体" w:eastAsia="宋体" w:cs="宋体"/>
                <w:szCs w:val="21"/>
              </w:rPr>
              <w:t xml:space="preserve"> </w:t>
            </w:r>
          </w:p>
        </w:tc>
        <w:tc>
          <w:tcPr>
            <w:tcW w:w="550" w:type="dxa"/>
          </w:tcPr>
          <w:p w14:paraId="25BDB0B4">
            <w:pPr>
              <w:rPr>
                <w:rFonts w:ascii="Arial"/>
              </w:rPr>
            </w:pPr>
            <w:r>
              <w:rPr>
                <w:rFonts w:hint="eastAsia" w:ascii="宋体" w:hAnsi="宋体" w:eastAsia="宋体" w:cs="宋体"/>
                <w:szCs w:val="21"/>
              </w:rPr>
              <w:t xml:space="preserve"> </w:t>
            </w:r>
          </w:p>
        </w:tc>
        <w:tc>
          <w:tcPr>
            <w:tcW w:w="2550" w:type="dxa"/>
          </w:tcPr>
          <w:p w14:paraId="7930C09B">
            <w:pPr>
              <w:rPr>
                <w:rFonts w:ascii="Arial"/>
              </w:rPr>
            </w:pPr>
          </w:p>
        </w:tc>
        <w:tc>
          <w:tcPr>
            <w:tcW w:w="2510" w:type="dxa"/>
            <w:tcBorders>
              <w:right w:val="single" w:color="000000" w:sz="4" w:space="0"/>
            </w:tcBorders>
          </w:tcPr>
          <w:p w14:paraId="5E59E4A1">
            <w:pPr>
              <w:rPr>
                <w:rFonts w:ascii="Arial"/>
              </w:rPr>
            </w:pPr>
          </w:p>
        </w:tc>
        <w:tc>
          <w:tcPr>
            <w:tcW w:w="2196" w:type="dxa"/>
            <w:tcBorders>
              <w:left w:val="single" w:color="000000" w:sz="4" w:space="0"/>
            </w:tcBorders>
          </w:tcPr>
          <w:p w14:paraId="39A4EB1A">
            <w:pPr>
              <w:rPr>
                <w:rFonts w:ascii="Arial"/>
              </w:rPr>
            </w:pPr>
          </w:p>
        </w:tc>
        <w:tc>
          <w:tcPr>
            <w:tcW w:w="964" w:type="dxa"/>
          </w:tcPr>
          <w:p w14:paraId="06DC0C88">
            <w:pPr>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rPr>
            </w:pPr>
          </w:p>
        </w:tc>
        <w:tc>
          <w:tcPr>
            <w:tcW w:w="9440" w:type="dxa"/>
            <w:gridSpan w:val="6"/>
            <w:tcBorders>
              <w:right w:val="single" w:color="000000" w:sz="4" w:space="0"/>
            </w:tcBorders>
          </w:tcPr>
          <w:p w14:paraId="44A79AF8">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rPr>
                <w:rFonts w:ascii="Arial"/>
              </w:rPr>
            </w:pPr>
          </w:p>
        </w:tc>
        <w:tc>
          <w:tcPr>
            <w:tcW w:w="964" w:type="dxa"/>
          </w:tcPr>
          <w:p w14:paraId="7553A9C2">
            <w:pPr>
              <w:rPr>
                <w:rFonts w:ascii="Arial"/>
              </w:rPr>
            </w:pPr>
          </w:p>
        </w:tc>
      </w:tr>
    </w:tbl>
    <w:p w14:paraId="2F56F991">
      <w:pPr>
        <w:spacing w:before="58" w:line="219" w:lineRule="auto"/>
        <w:ind w:left="8"/>
        <w:rPr>
          <w:rFonts w:ascii="宋体" w:hAnsi="宋体" w:eastAsia="宋体" w:cs="宋体"/>
          <w:spacing w:val="-8"/>
          <w:szCs w:val="21"/>
        </w:rPr>
      </w:pPr>
    </w:p>
    <w:p w14:paraId="36B0F403">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spacing w:before="78" w:line="219" w:lineRule="auto"/>
        <w:ind w:left="431"/>
        <w:rPr>
          <w:rFonts w:ascii="宋体" w:hAnsi="宋体" w:eastAsia="宋体" w:cs="宋体"/>
          <w:spacing w:val="-6"/>
          <w:szCs w:val="21"/>
        </w:rPr>
      </w:pPr>
    </w:p>
    <w:p w14:paraId="5B724C69">
      <w:pPr>
        <w:spacing w:before="78" w:line="219" w:lineRule="auto"/>
        <w:ind w:left="431"/>
        <w:rPr>
          <w:rFonts w:ascii="宋体" w:hAnsi="宋体" w:eastAsia="宋体" w:cs="宋体"/>
          <w:spacing w:val="-6"/>
          <w:szCs w:val="21"/>
        </w:rPr>
      </w:pPr>
    </w:p>
    <w:p w14:paraId="4AEA3AF9">
      <w:pPr>
        <w:spacing w:before="78" w:line="219" w:lineRule="auto"/>
        <w:ind w:left="431"/>
        <w:rPr>
          <w:rFonts w:ascii="宋体" w:hAnsi="宋体" w:eastAsia="宋体" w:cs="宋体"/>
          <w:spacing w:val="-6"/>
          <w:szCs w:val="21"/>
        </w:rPr>
      </w:pPr>
    </w:p>
    <w:p w14:paraId="16E552B4">
      <w:pPr>
        <w:spacing w:before="78" w:line="219" w:lineRule="auto"/>
        <w:ind w:left="431"/>
        <w:rPr>
          <w:rFonts w:ascii="宋体" w:hAnsi="宋体" w:eastAsia="宋体" w:cs="宋体"/>
          <w:spacing w:val="-6"/>
          <w:szCs w:val="21"/>
        </w:rPr>
      </w:pPr>
    </w:p>
    <w:p w14:paraId="76A27A9C">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spacing w:line="296" w:lineRule="auto"/>
              <w:rPr>
                <w:rFonts w:ascii="Arial"/>
              </w:rPr>
            </w:pPr>
          </w:p>
          <w:p w14:paraId="649AD62D">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spacing w:line="295" w:lineRule="auto"/>
              <w:rPr>
                <w:rFonts w:ascii="Arial"/>
              </w:rPr>
            </w:pPr>
          </w:p>
          <w:p w14:paraId="53CAA4A8">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201BA882">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601C5725">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rPr>
                <w:rFonts w:ascii="Arial"/>
              </w:rPr>
            </w:pPr>
          </w:p>
        </w:tc>
        <w:tc>
          <w:tcPr>
            <w:tcW w:w="3530" w:type="dxa"/>
            <w:vMerge w:val="continue"/>
            <w:tcBorders>
              <w:top w:val="nil"/>
            </w:tcBorders>
          </w:tcPr>
          <w:p w14:paraId="66F8D401">
            <w:pPr>
              <w:rPr>
                <w:rFonts w:ascii="Arial"/>
              </w:rPr>
            </w:pPr>
          </w:p>
        </w:tc>
        <w:tc>
          <w:tcPr>
            <w:tcW w:w="2159" w:type="dxa"/>
          </w:tcPr>
          <w:p w14:paraId="72EA0C97">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17F20215">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A4691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spacing w:before="161" w:line="185" w:lineRule="auto"/>
              <w:ind w:left="1031"/>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0D71715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rPr>
                <w:rFonts w:ascii="Arial"/>
              </w:rPr>
            </w:pPr>
          </w:p>
        </w:tc>
        <w:tc>
          <w:tcPr>
            <w:tcW w:w="2186" w:type="dxa"/>
          </w:tcPr>
          <w:p w14:paraId="07A552CC">
            <w:pPr>
              <w:rPr>
                <w:rFonts w:ascii="Arial"/>
              </w:rPr>
            </w:pPr>
          </w:p>
        </w:tc>
        <w:tc>
          <w:tcPr>
            <w:tcW w:w="2596" w:type="dxa"/>
          </w:tcPr>
          <w:p w14:paraId="6C661128">
            <w:pPr>
              <w:rPr>
                <w:rFonts w:ascii="Arial"/>
              </w:rPr>
            </w:pPr>
          </w:p>
        </w:tc>
        <w:tc>
          <w:tcPr>
            <w:tcW w:w="2164" w:type="dxa"/>
          </w:tcPr>
          <w:p w14:paraId="22AD1C73">
            <w:pPr>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772476CC">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rPr>
                <w:rFonts w:ascii="Arial"/>
              </w:rPr>
            </w:pPr>
          </w:p>
        </w:tc>
        <w:tc>
          <w:tcPr>
            <w:tcW w:w="2186" w:type="dxa"/>
          </w:tcPr>
          <w:p w14:paraId="6EB70881">
            <w:pPr>
              <w:rPr>
                <w:rFonts w:ascii="Arial"/>
              </w:rPr>
            </w:pPr>
          </w:p>
        </w:tc>
        <w:tc>
          <w:tcPr>
            <w:tcW w:w="2596" w:type="dxa"/>
          </w:tcPr>
          <w:p w14:paraId="7ECE3100">
            <w:pPr>
              <w:rPr>
                <w:rFonts w:ascii="Arial"/>
              </w:rPr>
            </w:pPr>
          </w:p>
        </w:tc>
        <w:tc>
          <w:tcPr>
            <w:tcW w:w="2164" w:type="dxa"/>
            <w:vMerge w:val="restart"/>
            <w:tcBorders>
              <w:bottom w:val="nil"/>
            </w:tcBorders>
          </w:tcPr>
          <w:p w14:paraId="473ABBD2">
            <w:pPr>
              <w:spacing w:line="295" w:lineRule="auto"/>
              <w:rPr>
                <w:rFonts w:ascii="Arial"/>
              </w:rPr>
            </w:pPr>
          </w:p>
          <w:p w14:paraId="334433A4">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11EEE4C0">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rPr>
                <w:rFonts w:ascii="Arial"/>
              </w:rPr>
            </w:pPr>
          </w:p>
        </w:tc>
        <w:tc>
          <w:tcPr>
            <w:tcW w:w="2186" w:type="dxa"/>
          </w:tcPr>
          <w:p w14:paraId="30E77166">
            <w:pPr>
              <w:rPr>
                <w:rFonts w:ascii="Arial"/>
              </w:rPr>
            </w:pPr>
          </w:p>
        </w:tc>
        <w:tc>
          <w:tcPr>
            <w:tcW w:w="2596" w:type="dxa"/>
          </w:tcPr>
          <w:p w14:paraId="39F618AB">
            <w:pPr>
              <w:rPr>
                <w:rFonts w:ascii="Arial"/>
              </w:rPr>
            </w:pPr>
          </w:p>
        </w:tc>
        <w:tc>
          <w:tcPr>
            <w:tcW w:w="2164" w:type="dxa"/>
            <w:vMerge w:val="continue"/>
            <w:tcBorders>
              <w:top w:val="nil"/>
            </w:tcBorders>
          </w:tcPr>
          <w:p w14:paraId="311D1DF5">
            <w:pPr>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5FF1BF44">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rPr>
                <w:rFonts w:ascii="Arial"/>
              </w:rPr>
            </w:pPr>
          </w:p>
        </w:tc>
        <w:tc>
          <w:tcPr>
            <w:tcW w:w="2186" w:type="dxa"/>
          </w:tcPr>
          <w:p w14:paraId="2EA015BB">
            <w:pPr>
              <w:rPr>
                <w:rFonts w:ascii="Arial"/>
              </w:rPr>
            </w:pPr>
          </w:p>
        </w:tc>
        <w:tc>
          <w:tcPr>
            <w:tcW w:w="2596" w:type="dxa"/>
          </w:tcPr>
          <w:p w14:paraId="4E6E6007">
            <w:pPr>
              <w:rPr>
                <w:rFonts w:ascii="Arial"/>
              </w:rPr>
            </w:pPr>
          </w:p>
        </w:tc>
        <w:tc>
          <w:tcPr>
            <w:tcW w:w="2164" w:type="dxa"/>
          </w:tcPr>
          <w:p w14:paraId="7B66D61D">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98B7618">
            <w:pPr>
              <w:spacing w:before="211" w:line="221" w:lineRule="auto"/>
              <w:ind w:left="1557"/>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rPr>
                <w:rFonts w:ascii="Arial"/>
              </w:rPr>
            </w:pPr>
          </w:p>
        </w:tc>
        <w:tc>
          <w:tcPr>
            <w:tcW w:w="2186" w:type="dxa"/>
          </w:tcPr>
          <w:p w14:paraId="31B637D4">
            <w:pPr>
              <w:rPr>
                <w:rFonts w:ascii="Arial"/>
              </w:rPr>
            </w:pPr>
          </w:p>
        </w:tc>
        <w:tc>
          <w:tcPr>
            <w:tcW w:w="2596" w:type="dxa"/>
          </w:tcPr>
          <w:p w14:paraId="36887C09">
            <w:pPr>
              <w:rPr>
                <w:rFonts w:ascii="Arial"/>
              </w:rPr>
            </w:pPr>
          </w:p>
        </w:tc>
        <w:tc>
          <w:tcPr>
            <w:tcW w:w="2164" w:type="dxa"/>
          </w:tcPr>
          <w:p w14:paraId="2D0B2BB4">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spacing w:before="247" w:line="183" w:lineRule="auto"/>
              <w:ind w:left="352"/>
              <w:rPr>
                <w:rFonts w:ascii="宋体" w:hAnsi="宋体" w:eastAsia="宋体" w:cs="宋体"/>
                <w:szCs w:val="21"/>
              </w:rPr>
            </w:pPr>
            <w:r>
              <w:rPr>
                <w:rFonts w:hint="eastAsia" w:ascii="宋体" w:hAnsi="宋体" w:eastAsia="宋体" w:cs="宋体"/>
                <w:szCs w:val="21"/>
              </w:rPr>
              <w:t>6</w:t>
            </w:r>
          </w:p>
        </w:tc>
        <w:tc>
          <w:tcPr>
            <w:tcW w:w="3530" w:type="dxa"/>
          </w:tcPr>
          <w:p w14:paraId="7E9232A1">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rPr>
                <w:rFonts w:ascii="Arial"/>
              </w:rPr>
            </w:pPr>
          </w:p>
        </w:tc>
        <w:tc>
          <w:tcPr>
            <w:tcW w:w="2186" w:type="dxa"/>
          </w:tcPr>
          <w:p w14:paraId="14B04129">
            <w:pPr>
              <w:rPr>
                <w:rFonts w:ascii="Arial"/>
              </w:rPr>
            </w:pPr>
          </w:p>
        </w:tc>
        <w:tc>
          <w:tcPr>
            <w:tcW w:w="2596" w:type="dxa"/>
          </w:tcPr>
          <w:p w14:paraId="48C089FA">
            <w:pPr>
              <w:rPr>
                <w:rFonts w:ascii="Arial"/>
              </w:rPr>
            </w:pPr>
          </w:p>
        </w:tc>
        <w:tc>
          <w:tcPr>
            <w:tcW w:w="2164" w:type="dxa"/>
          </w:tcPr>
          <w:p w14:paraId="1D7A0B9F">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spacing w:line="172" w:lineRule="exact"/>
      </w:pPr>
    </w:p>
    <w:p w14:paraId="4195314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1820CE1">
      <w:pPr>
        <w:rPr>
          <w:sz w:val="24"/>
          <w:szCs w:val="24"/>
        </w:rPr>
        <w:sectPr>
          <w:headerReference r:id="rId25" w:type="default"/>
          <w:footerReference r:id="rId26" w:type="default"/>
          <w:pgSz w:w="16841" w:h="11907"/>
          <w:pgMar w:top="400" w:right="1699" w:bottom="1184" w:left="1481" w:header="0" w:footer="1022" w:gutter="0"/>
          <w:cols w:space="720" w:num="1"/>
        </w:sectPr>
      </w:pPr>
    </w:p>
    <w:p w14:paraId="00AB143B">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 w14:paraId="5C5D8885">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521003B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spacing w:before="266" w:line="221" w:lineRule="auto"/>
              <w:jc w:val="center"/>
              <w:rPr>
                <w:rFonts w:ascii="宋体" w:hAnsi="宋体" w:eastAsia="宋体" w:cs="宋体"/>
                <w:spacing w:val="-2"/>
                <w:szCs w:val="21"/>
              </w:rPr>
            </w:pPr>
          </w:p>
        </w:tc>
        <w:tc>
          <w:tcPr>
            <w:tcW w:w="1138" w:type="dxa"/>
          </w:tcPr>
          <w:p w14:paraId="1CCED543">
            <w:pPr>
              <w:spacing w:before="266" w:line="221" w:lineRule="auto"/>
              <w:jc w:val="center"/>
              <w:rPr>
                <w:rFonts w:ascii="宋体" w:hAnsi="宋体" w:eastAsia="宋体" w:cs="宋体"/>
                <w:spacing w:val="-2"/>
                <w:szCs w:val="21"/>
              </w:rPr>
            </w:pPr>
          </w:p>
        </w:tc>
        <w:tc>
          <w:tcPr>
            <w:tcW w:w="2449" w:type="dxa"/>
          </w:tcPr>
          <w:p w14:paraId="45D82B41">
            <w:pPr>
              <w:rPr>
                <w:rFonts w:ascii="Arial"/>
              </w:rPr>
            </w:pPr>
          </w:p>
        </w:tc>
        <w:tc>
          <w:tcPr>
            <w:tcW w:w="3328" w:type="dxa"/>
          </w:tcPr>
          <w:p w14:paraId="1100342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41173595">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spacing w:before="266" w:line="221" w:lineRule="auto"/>
              <w:jc w:val="center"/>
              <w:rPr>
                <w:rFonts w:ascii="宋体" w:hAnsi="宋体" w:eastAsia="宋体" w:cs="宋体"/>
                <w:spacing w:val="-2"/>
                <w:szCs w:val="21"/>
              </w:rPr>
            </w:pPr>
          </w:p>
        </w:tc>
        <w:tc>
          <w:tcPr>
            <w:tcW w:w="1138" w:type="dxa"/>
          </w:tcPr>
          <w:p w14:paraId="7501744B">
            <w:pPr>
              <w:spacing w:before="266" w:line="221" w:lineRule="auto"/>
              <w:jc w:val="center"/>
              <w:rPr>
                <w:rFonts w:ascii="宋体" w:hAnsi="宋体" w:eastAsia="宋体" w:cs="宋体"/>
                <w:spacing w:val="-2"/>
                <w:szCs w:val="21"/>
              </w:rPr>
            </w:pPr>
          </w:p>
        </w:tc>
        <w:tc>
          <w:tcPr>
            <w:tcW w:w="1138" w:type="dxa"/>
          </w:tcPr>
          <w:p w14:paraId="53D754C9">
            <w:pPr>
              <w:spacing w:before="266" w:line="221" w:lineRule="auto"/>
              <w:jc w:val="center"/>
              <w:rPr>
                <w:rFonts w:ascii="宋体" w:hAnsi="宋体" w:eastAsia="宋体" w:cs="宋体"/>
                <w:spacing w:val="-2"/>
                <w:szCs w:val="21"/>
              </w:rPr>
            </w:pPr>
          </w:p>
        </w:tc>
        <w:tc>
          <w:tcPr>
            <w:tcW w:w="2449" w:type="dxa"/>
          </w:tcPr>
          <w:p w14:paraId="06DC8075">
            <w:pPr>
              <w:rPr>
                <w:rFonts w:ascii="Arial"/>
              </w:rPr>
            </w:pPr>
          </w:p>
        </w:tc>
        <w:tc>
          <w:tcPr>
            <w:tcW w:w="3328" w:type="dxa"/>
          </w:tcPr>
          <w:p w14:paraId="5438CF63">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583B2405">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spacing w:before="266" w:line="221" w:lineRule="auto"/>
              <w:jc w:val="center"/>
              <w:rPr>
                <w:rFonts w:ascii="宋体" w:hAnsi="宋体" w:eastAsia="宋体" w:cs="宋体"/>
                <w:spacing w:val="-2"/>
                <w:szCs w:val="21"/>
              </w:rPr>
            </w:pPr>
          </w:p>
        </w:tc>
        <w:tc>
          <w:tcPr>
            <w:tcW w:w="1138" w:type="dxa"/>
          </w:tcPr>
          <w:p w14:paraId="317EBBD6">
            <w:pPr>
              <w:spacing w:before="266" w:line="221" w:lineRule="auto"/>
              <w:jc w:val="center"/>
              <w:rPr>
                <w:rFonts w:ascii="宋体" w:hAnsi="宋体" w:eastAsia="宋体" w:cs="宋体"/>
                <w:spacing w:val="-2"/>
                <w:szCs w:val="21"/>
              </w:rPr>
            </w:pPr>
          </w:p>
        </w:tc>
        <w:tc>
          <w:tcPr>
            <w:tcW w:w="2449" w:type="dxa"/>
          </w:tcPr>
          <w:p w14:paraId="65F8E0F3">
            <w:pPr>
              <w:rPr>
                <w:rFonts w:ascii="Arial"/>
              </w:rPr>
            </w:pPr>
          </w:p>
        </w:tc>
        <w:tc>
          <w:tcPr>
            <w:tcW w:w="3328" w:type="dxa"/>
          </w:tcPr>
          <w:p w14:paraId="17DAACD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spacing w:before="266" w:line="221" w:lineRule="auto"/>
              <w:jc w:val="center"/>
              <w:rPr>
                <w:rFonts w:ascii="宋体" w:hAnsi="宋体" w:eastAsia="宋体" w:cs="宋体"/>
                <w:spacing w:val="-2"/>
                <w:szCs w:val="21"/>
              </w:rPr>
            </w:pPr>
          </w:p>
        </w:tc>
        <w:tc>
          <w:tcPr>
            <w:tcW w:w="1138" w:type="dxa"/>
          </w:tcPr>
          <w:p w14:paraId="7C063DEC">
            <w:pPr>
              <w:spacing w:before="266" w:line="221" w:lineRule="auto"/>
              <w:jc w:val="center"/>
              <w:rPr>
                <w:rFonts w:ascii="宋体" w:hAnsi="宋体" w:eastAsia="宋体" w:cs="宋体"/>
                <w:spacing w:val="-2"/>
                <w:szCs w:val="21"/>
              </w:rPr>
            </w:pPr>
          </w:p>
        </w:tc>
        <w:tc>
          <w:tcPr>
            <w:tcW w:w="1138" w:type="dxa"/>
          </w:tcPr>
          <w:p w14:paraId="1682813F">
            <w:pPr>
              <w:spacing w:before="266" w:line="221" w:lineRule="auto"/>
              <w:jc w:val="center"/>
              <w:rPr>
                <w:rFonts w:ascii="宋体" w:hAnsi="宋体" w:eastAsia="宋体" w:cs="宋体"/>
                <w:spacing w:val="-2"/>
                <w:szCs w:val="21"/>
              </w:rPr>
            </w:pPr>
          </w:p>
        </w:tc>
        <w:tc>
          <w:tcPr>
            <w:tcW w:w="2449" w:type="dxa"/>
          </w:tcPr>
          <w:p w14:paraId="27A500C4">
            <w:pPr>
              <w:rPr>
                <w:rFonts w:ascii="Arial"/>
              </w:rPr>
            </w:pPr>
          </w:p>
        </w:tc>
        <w:tc>
          <w:tcPr>
            <w:tcW w:w="3328" w:type="dxa"/>
          </w:tcPr>
          <w:p w14:paraId="001B1F7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 w14:paraId="71D5F646">
      <w:pPr>
        <w:pStyle w:val="17"/>
      </w:pPr>
    </w:p>
    <w:p w14:paraId="3855BD10">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5950E9BF">
      <w:pPr>
        <w:spacing w:before="35" w:line="239" w:lineRule="auto"/>
        <w:ind w:left="724"/>
        <w:rPr>
          <w:rFonts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14:paraId="3C0CB58D">
      <w:pPr>
        <w:pStyle w:val="7"/>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3621449A">
            <w:pPr>
              <w:rPr>
                <w:rFonts w:ascii="Arial"/>
              </w:rPr>
            </w:pPr>
          </w:p>
        </w:tc>
        <w:tc>
          <w:tcPr>
            <w:tcW w:w="2100" w:type="dxa"/>
          </w:tcPr>
          <w:p w14:paraId="35519AF8">
            <w:pPr>
              <w:rPr>
                <w:rFonts w:ascii="Arial"/>
              </w:rPr>
            </w:pPr>
          </w:p>
        </w:tc>
        <w:tc>
          <w:tcPr>
            <w:tcW w:w="840" w:type="dxa"/>
          </w:tcPr>
          <w:p w14:paraId="16B2D976">
            <w:pPr>
              <w:rPr>
                <w:rFonts w:ascii="Arial"/>
              </w:rPr>
            </w:pPr>
          </w:p>
        </w:tc>
        <w:tc>
          <w:tcPr>
            <w:tcW w:w="2239" w:type="dxa"/>
          </w:tcPr>
          <w:p w14:paraId="664D54A3">
            <w:pPr>
              <w:rPr>
                <w:rFonts w:ascii="Arial"/>
              </w:rPr>
            </w:pPr>
          </w:p>
        </w:tc>
        <w:tc>
          <w:tcPr>
            <w:tcW w:w="1498" w:type="dxa"/>
          </w:tcPr>
          <w:p w14:paraId="3FB4EA13">
            <w:pPr>
              <w:rPr>
                <w:rFonts w:ascii="Arial"/>
              </w:rPr>
            </w:pPr>
          </w:p>
        </w:tc>
        <w:tc>
          <w:tcPr>
            <w:tcW w:w="1861" w:type="dxa"/>
          </w:tcPr>
          <w:p w14:paraId="1A84B438">
            <w:pPr>
              <w:rPr>
                <w:rFonts w:ascii="Arial"/>
              </w:rPr>
            </w:pPr>
          </w:p>
        </w:tc>
        <w:tc>
          <w:tcPr>
            <w:tcW w:w="1120" w:type="dxa"/>
          </w:tcPr>
          <w:p w14:paraId="70028F99">
            <w:pPr>
              <w:rPr>
                <w:rFonts w:ascii="Arial"/>
              </w:rPr>
            </w:pPr>
          </w:p>
        </w:tc>
        <w:tc>
          <w:tcPr>
            <w:tcW w:w="1125" w:type="dxa"/>
          </w:tcPr>
          <w:p w14:paraId="2D4BD6D2">
            <w:pPr>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57D7D057">
            <w:pPr>
              <w:rPr>
                <w:rFonts w:ascii="Arial"/>
              </w:rPr>
            </w:pPr>
          </w:p>
        </w:tc>
        <w:tc>
          <w:tcPr>
            <w:tcW w:w="2100" w:type="dxa"/>
          </w:tcPr>
          <w:p w14:paraId="0D606E21">
            <w:pPr>
              <w:rPr>
                <w:rFonts w:ascii="Arial"/>
              </w:rPr>
            </w:pPr>
          </w:p>
        </w:tc>
        <w:tc>
          <w:tcPr>
            <w:tcW w:w="840" w:type="dxa"/>
          </w:tcPr>
          <w:p w14:paraId="476D9745">
            <w:pPr>
              <w:rPr>
                <w:rFonts w:ascii="Arial"/>
              </w:rPr>
            </w:pPr>
          </w:p>
        </w:tc>
        <w:tc>
          <w:tcPr>
            <w:tcW w:w="2239" w:type="dxa"/>
          </w:tcPr>
          <w:p w14:paraId="5250FD25">
            <w:pPr>
              <w:rPr>
                <w:rFonts w:ascii="Arial"/>
              </w:rPr>
            </w:pPr>
          </w:p>
        </w:tc>
        <w:tc>
          <w:tcPr>
            <w:tcW w:w="1498" w:type="dxa"/>
          </w:tcPr>
          <w:p w14:paraId="080C4E6F">
            <w:pPr>
              <w:rPr>
                <w:rFonts w:ascii="Arial"/>
              </w:rPr>
            </w:pPr>
          </w:p>
        </w:tc>
        <w:tc>
          <w:tcPr>
            <w:tcW w:w="1861" w:type="dxa"/>
          </w:tcPr>
          <w:p w14:paraId="5B29B191">
            <w:pPr>
              <w:rPr>
                <w:rFonts w:ascii="Arial"/>
              </w:rPr>
            </w:pPr>
          </w:p>
        </w:tc>
        <w:tc>
          <w:tcPr>
            <w:tcW w:w="1120" w:type="dxa"/>
          </w:tcPr>
          <w:p w14:paraId="698DFF2F">
            <w:pPr>
              <w:rPr>
                <w:rFonts w:ascii="Arial"/>
              </w:rPr>
            </w:pPr>
          </w:p>
        </w:tc>
        <w:tc>
          <w:tcPr>
            <w:tcW w:w="1125" w:type="dxa"/>
          </w:tcPr>
          <w:p w14:paraId="0783A36A">
            <w:pPr>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rPr>
                <w:rFonts w:ascii="Arial"/>
              </w:rPr>
            </w:pPr>
          </w:p>
        </w:tc>
        <w:tc>
          <w:tcPr>
            <w:tcW w:w="2543" w:type="dxa"/>
          </w:tcPr>
          <w:p w14:paraId="7632AD95">
            <w:pPr>
              <w:rPr>
                <w:rFonts w:ascii="Arial"/>
              </w:rPr>
            </w:pPr>
          </w:p>
        </w:tc>
        <w:tc>
          <w:tcPr>
            <w:tcW w:w="2100" w:type="dxa"/>
          </w:tcPr>
          <w:p w14:paraId="113A2B29">
            <w:pPr>
              <w:rPr>
                <w:rFonts w:ascii="Arial"/>
              </w:rPr>
            </w:pPr>
          </w:p>
        </w:tc>
        <w:tc>
          <w:tcPr>
            <w:tcW w:w="840" w:type="dxa"/>
          </w:tcPr>
          <w:p w14:paraId="7F968B73">
            <w:pPr>
              <w:rPr>
                <w:rFonts w:ascii="Arial"/>
              </w:rPr>
            </w:pPr>
          </w:p>
        </w:tc>
        <w:tc>
          <w:tcPr>
            <w:tcW w:w="2239" w:type="dxa"/>
          </w:tcPr>
          <w:p w14:paraId="4D70A686">
            <w:pPr>
              <w:rPr>
                <w:rFonts w:ascii="Arial"/>
              </w:rPr>
            </w:pPr>
          </w:p>
        </w:tc>
        <w:tc>
          <w:tcPr>
            <w:tcW w:w="1498" w:type="dxa"/>
          </w:tcPr>
          <w:p w14:paraId="75B1444F">
            <w:pPr>
              <w:rPr>
                <w:rFonts w:ascii="Arial"/>
              </w:rPr>
            </w:pPr>
          </w:p>
        </w:tc>
        <w:tc>
          <w:tcPr>
            <w:tcW w:w="1861" w:type="dxa"/>
          </w:tcPr>
          <w:p w14:paraId="2C967E8A">
            <w:pPr>
              <w:rPr>
                <w:rFonts w:ascii="Arial"/>
              </w:rPr>
            </w:pPr>
          </w:p>
        </w:tc>
        <w:tc>
          <w:tcPr>
            <w:tcW w:w="1120" w:type="dxa"/>
          </w:tcPr>
          <w:p w14:paraId="24814715">
            <w:pPr>
              <w:rPr>
                <w:rFonts w:ascii="Arial"/>
              </w:rPr>
            </w:pPr>
          </w:p>
        </w:tc>
        <w:tc>
          <w:tcPr>
            <w:tcW w:w="1125" w:type="dxa"/>
          </w:tcPr>
          <w:p w14:paraId="0E90A708">
            <w:pPr>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rPr>
                <w:rFonts w:ascii="Arial"/>
              </w:rPr>
            </w:pPr>
          </w:p>
        </w:tc>
        <w:tc>
          <w:tcPr>
            <w:tcW w:w="2543" w:type="dxa"/>
          </w:tcPr>
          <w:p w14:paraId="2616C00A">
            <w:pPr>
              <w:rPr>
                <w:rFonts w:ascii="Arial"/>
              </w:rPr>
            </w:pPr>
          </w:p>
        </w:tc>
        <w:tc>
          <w:tcPr>
            <w:tcW w:w="2100" w:type="dxa"/>
          </w:tcPr>
          <w:p w14:paraId="51D1F521">
            <w:pPr>
              <w:rPr>
                <w:rFonts w:ascii="Arial"/>
              </w:rPr>
            </w:pPr>
          </w:p>
        </w:tc>
        <w:tc>
          <w:tcPr>
            <w:tcW w:w="840" w:type="dxa"/>
          </w:tcPr>
          <w:p w14:paraId="7EB5E759">
            <w:pPr>
              <w:rPr>
                <w:rFonts w:ascii="Arial"/>
              </w:rPr>
            </w:pPr>
          </w:p>
        </w:tc>
        <w:tc>
          <w:tcPr>
            <w:tcW w:w="2239" w:type="dxa"/>
          </w:tcPr>
          <w:p w14:paraId="237944E8">
            <w:pPr>
              <w:rPr>
                <w:rFonts w:ascii="Arial"/>
              </w:rPr>
            </w:pPr>
          </w:p>
        </w:tc>
        <w:tc>
          <w:tcPr>
            <w:tcW w:w="1498" w:type="dxa"/>
          </w:tcPr>
          <w:p w14:paraId="7E55509E">
            <w:pPr>
              <w:rPr>
                <w:rFonts w:ascii="Arial"/>
              </w:rPr>
            </w:pPr>
          </w:p>
        </w:tc>
        <w:tc>
          <w:tcPr>
            <w:tcW w:w="1861" w:type="dxa"/>
          </w:tcPr>
          <w:p w14:paraId="2A02C386">
            <w:pPr>
              <w:rPr>
                <w:rFonts w:ascii="Arial"/>
              </w:rPr>
            </w:pPr>
          </w:p>
        </w:tc>
        <w:tc>
          <w:tcPr>
            <w:tcW w:w="1120" w:type="dxa"/>
          </w:tcPr>
          <w:p w14:paraId="4713A48D">
            <w:pPr>
              <w:rPr>
                <w:rFonts w:ascii="Arial"/>
              </w:rPr>
            </w:pPr>
          </w:p>
        </w:tc>
        <w:tc>
          <w:tcPr>
            <w:tcW w:w="1125" w:type="dxa"/>
          </w:tcPr>
          <w:p w14:paraId="579C89E4">
            <w:pPr>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rPr>
                <w:rFonts w:ascii="Arial"/>
              </w:rPr>
            </w:pPr>
          </w:p>
        </w:tc>
        <w:tc>
          <w:tcPr>
            <w:tcW w:w="2543" w:type="dxa"/>
          </w:tcPr>
          <w:p w14:paraId="229EE8ED">
            <w:pPr>
              <w:rPr>
                <w:rFonts w:ascii="Arial"/>
              </w:rPr>
            </w:pPr>
          </w:p>
        </w:tc>
        <w:tc>
          <w:tcPr>
            <w:tcW w:w="2100" w:type="dxa"/>
          </w:tcPr>
          <w:p w14:paraId="455A7E4D">
            <w:pPr>
              <w:rPr>
                <w:rFonts w:ascii="Arial"/>
              </w:rPr>
            </w:pPr>
          </w:p>
        </w:tc>
        <w:tc>
          <w:tcPr>
            <w:tcW w:w="840" w:type="dxa"/>
          </w:tcPr>
          <w:p w14:paraId="3BAC1E46">
            <w:pPr>
              <w:rPr>
                <w:rFonts w:ascii="Arial"/>
              </w:rPr>
            </w:pPr>
          </w:p>
        </w:tc>
        <w:tc>
          <w:tcPr>
            <w:tcW w:w="2239" w:type="dxa"/>
          </w:tcPr>
          <w:p w14:paraId="55123626">
            <w:pPr>
              <w:rPr>
                <w:rFonts w:ascii="Arial"/>
              </w:rPr>
            </w:pPr>
          </w:p>
        </w:tc>
        <w:tc>
          <w:tcPr>
            <w:tcW w:w="1498" w:type="dxa"/>
          </w:tcPr>
          <w:p w14:paraId="36B43E06">
            <w:pPr>
              <w:rPr>
                <w:rFonts w:ascii="Arial"/>
              </w:rPr>
            </w:pPr>
          </w:p>
        </w:tc>
        <w:tc>
          <w:tcPr>
            <w:tcW w:w="1861" w:type="dxa"/>
          </w:tcPr>
          <w:p w14:paraId="3BBC4D70">
            <w:pPr>
              <w:rPr>
                <w:rFonts w:ascii="Arial"/>
              </w:rPr>
            </w:pPr>
          </w:p>
        </w:tc>
        <w:tc>
          <w:tcPr>
            <w:tcW w:w="1120" w:type="dxa"/>
          </w:tcPr>
          <w:p w14:paraId="41F392AF">
            <w:pPr>
              <w:rPr>
                <w:rFonts w:ascii="Arial"/>
              </w:rPr>
            </w:pPr>
          </w:p>
        </w:tc>
        <w:tc>
          <w:tcPr>
            <w:tcW w:w="1125" w:type="dxa"/>
          </w:tcPr>
          <w:p w14:paraId="384F2AFA">
            <w:pPr>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A19A0E4">
      <w:pPr>
        <w:spacing w:before="87" w:line="198" w:lineRule="auto"/>
        <w:ind w:left="411"/>
        <w:rPr>
          <w:rFonts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14:paraId="7CCD0CEF">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3A302D65">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rPr>
                <w:rFonts w:ascii="Arial"/>
              </w:rPr>
            </w:pPr>
          </w:p>
        </w:tc>
        <w:tc>
          <w:tcPr>
            <w:tcW w:w="3362" w:type="dxa"/>
          </w:tcPr>
          <w:p w14:paraId="6FB77477">
            <w:pPr>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5B91147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rPr>
                <w:rFonts w:ascii="Arial"/>
              </w:rPr>
            </w:pPr>
          </w:p>
        </w:tc>
        <w:tc>
          <w:tcPr>
            <w:tcW w:w="3362" w:type="dxa"/>
          </w:tcPr>
          <w:p w14:paraId="48DCAC5C">
            <w:pPr>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rPr>
                <w:rFonts w:ascii="Arial"/>
              </w:rPr>
            </w:pPr>
          </w:p>
          <w:p w14:paraId="340735DF">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13AA869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rPr>
                <w:rFonts w:ascii="Arial"/>
              </w:rPr>
            </w:pPr>
          </w:p>
        </w:tc>
        <w:tc>
          <w:tcPr>
            <w:tcW w:w="3362" w:type="dxa"/>
          </w:tcPr>
          <w:p w14:paraId="19EFB9F2">
            <w:pPr>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4B094E3">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rPr>
                <w:rFonts w:ascii="Arial"/>
              </w:rPr>
            </w:pPr>
          </w:p>
        </w:tc>
        <w:tc>
          <w:tcPr>
            <w:tcW w:w="3362" w:type="dxa"/>
          </w:tcPr>
          <w:p w14:paraId="5BD82F98">
            <w:pPr>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spacing w:line="291" w:lineRule="auto"/>
        <w:rPr>
          <w:rFonts w:ascii="Arial"/>
        </w:rPr>
      </w:pPr>
    </w:p>
    <w:p w14:paraId="3A5AD7BA">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7"/>
      </w:pPr>
    </w:p>
    <w:p w14:paraId="1976CBAA">
      <w:pPr>
        <w:pStyle w:val="17"/>
      </w:pPr>
    </w:p>
    <w:p w14:paraId="5D286263">
      <w:pPr>
        <w:spacing w:before="140" w:line="220" w:lineRule="auto"/>
        <w:ind w:left="2" w:firstLine="464" w:firstLineChars="200"/>
        <w:rPr>
          <w:rFonts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lang w:eastAsia="zh-CN"/>
              </w:rPr>
            </w:pPr>
            <w:r>
              <w:rPr>
                <w:rFonts w:hint="eastAsia" w:ascii="宋体" w:hAnsi="宋体" w:eastAsia="宋体" w:cs="Times New Roman"/>
                <w:color w:val="000000"/>
                <w:sz w:val="24"/>
                <w:szCs w:val="24"/>
                <w:u w:val="single"/>
                <w:lang w:eastAsia="zh-CN"/>
              </w:rPr>
              <w:t>济南成型厂5吨整体式转向节模具新制项目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rPr>
          <w:rFonts w:ascii="宋体" w:hAnsi="Calibri" w:eastAsia="宋体" w:cs="Times New Roman"/>
          <w:szCs w:val="20"/>
        </w:rPr>
      </w:pPr>
    </w:p>
    <w:p w14:paraId="3BABB4F0">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spacing w:line="272" w:lineRule="auto"/>
        <w:rPr>
          <w:rFonts w:ascii="Arial"/>
        </w:rPr>
      </w:pPr>
    </w:p>
    <w:p w14:paraId="11C05ED1">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u w:val="single"/>
        </w:rPr>
        <w:t>济南成型厂5吨整体式转向节模具新制项目</w:t>
      </w:r>
    </w:p>
    <w:p w14:paraId="1C022C9A">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 w14:paraId="36D349FF">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rPr>
          <w:rFonts w:ascii="Times New Roman" w:hAnsi="Times New Roman" w:eastAsia="宋体" w:cs="Times New Roman"/>
          <w:b/>
          <w:bCs/>
          <w:color w:val="000000"/>
          <w:sz w:val="24"/>
          <w:szCs w:val="24"/>
        </w:rPr>
      </w:pPr>
    </w:p>
    <w:p w14:paraId="34FD54A0">
      <w:pPr>
        <w:spacing w:before="75" w:line="227" w:lineRule="auto"/>
        <w:ind w:left="135"/>
        <w:rPr>
          <w:rFonts w:ascii="宋体" w:hAnsi="宋体" w:eastAsia="宋体" w:cs="宋体"/>
          <w:spacing w:val="-2"/>
          <w:sz w:val="24"/>
          <w:szCs w:val="24"/>
        </w:rPr>
      </w:pPr>
    </w:p>
    <w:p w14:paraId="75A454F7">
      <w:pPr>
        <w:spacing w:before="75" w:line="227" w:lineRule="auto"/>
        <w:ind w:left="135"/>
        <w:rPr>
          <w:rFonts w:ascii="宋体" w:hAnsi="宋体" w:eastAsia="宋体" w:cs="宋体"/>
          <w:spacing w:val="-2"/>
          <w:sz w:val="24"/>
          <w:szCs w:val="24"/>
        </w:rPr>
      </w:pPr>
    </w:p>
    <w:p w14:paraId="181EA42A">
      <w:pPr>
        <w:spacing w:before="75" w:line="227" w:lineRule="auto"/>
        <w:ind w:left="135"/>
        <w:rPr>
          <w:rFonts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76D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spacing w:line="240" w:lineRule="exact"/>
        <w:jc w:val="center"/>
        <w:rPr>
          <w:rFonts w:ascii="宋体" w:hAnsi="Calibri" w:eastAsia="宋体" w:cs="Times New Roman"/>
          <w:b/>
          <w:bCs/>
          <w:sz w:val="36"/>
          <w:szCs w:val="20"/>
        </w:rPr>
      </w:pPr>
    </w:p>
    <w:p w14:paraId="40AFAD5F">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济南成型厂5吨整体式转向节模具新制项目</w:t>
      </w:r>
    </w:p>
    <w:p w14:paraId="2E9AF4D2">
      <w:pPr>
        <w:spacing w:line="360" w:lineRule="auto"/>
        <w:rPr>
          <w:rFonts w:ascii="宋体" w:hAnsi="Calibri" w:eastAsia="宋体" w:cs="Times New Roman"/>
          <w:b/>
          <w:bCs/>
          <w:sz w:val="24"/>
          <w:szCs w:val="20"/>
          <w:highlight w:val="none"/>
        </w:rPr>
      </w:pPr>
      <w:r>
        <w:rPr>
          <w:rFonts w:hint="eastAsia" w:ascii="宋体" w:hAnsi="宋体"/>
          <w:sz w:val="24"/>
          <w:szCs w:val="24"/>
          <w:highlight w:val="none"/>
        </w:rPr>
        <w:t>济南成型厂</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spacing w:line="360" w:lineRule="auto"/>
        <w:ind w:firstLine="480" w:firstLineChars="200"/>
        <w:rPr>
          <w:rFonts w:ascii="宋体" w:hAnsi="宋体" w:eastAsia="宋体" w:cs="Times New Roman"/>
          <w:sz w:val="24"/>
          <w:szCs w:val="20"/>
          <w:u w:val="single"/>
        </w:rPr>
      </w:pPr>
    </w:p>
    <w:p w14:paraId="24DFB3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rPr>
          <w:rFonts w:ascii="宋体" w:hAnsi="Calibri" w:eastAsia="宋体" w:cs="宋体"/>
          <w:b/>
          <w:bCs/>
          <w:color w:val="000000"/>
          <w:sz w:val="28"/>
          <w:szCs w:val="20"/>
        </w:rPr>
      </w:pPr>
    </w:p>
    <w:p w14:paraId="3142B742">
      <w:pPr>
        <w:pStyle w:val="17"/>
        <w:rPr>
          <w:rFonts w:hAnsi="Calibri" w:eastAsia="宋体" w:cs="宋体"/>
          <w:b/>
          <w:bCs/>
          <w:color w:val="000000"/>
          <w:sz w:val="28"/>
          <w:szCs w:val="20"/>
        </w:rPr>
      </w:pPr>
    </w:p>
    <w:p w14:paraId="677D2A47">
      <w:pPr>
        <w:rPr>
          <w:rFonts w:ascii="宋体" w:hAnsi="Calibri" w:eastAsia="宋体" w:cs="宋体"/>
          <w:b/>
          <w:bCs/>
          <w:color w:val="000000"/>
          <w:sz w:val="28"/>
          <w:szCs w:val="20"/>
        </w:rPr>
      </w:pPr>
    </w:p>
    <w:p w14:paraId="47CBD4B0">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jc w:val="center"/>
              <w:rPr>
                <w:rFonts w:ascii="Times New Roman" w:hAnsi="Times New Roman" w:eastAsia="宋体" w:cs="Times New Roman"/>
                <w:b/>
                <w:szCs w:val="20"/>
              </w:rPr>
            </w:pPr>
          </w:p>
          <w:p w14:paraId="142892E5">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rPr>
                <w:rFonts w:ascii="Times New Roman" w:hAnsi="Times New Roman" w:eastAsia="等线" w:cs="Times New Roman"/>
                <w:b/>
                <w:sz w:val="30"/>
                <w:szCs w:val="30"/>
              </w:rPr>
            </w:pPr>
          </w:p>
          <w:p w14:paraId="2C9F9A79">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val="en-US" w:eastAsia="zh-CN"/>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highlight w:val="yellow"/>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01F5EAF4">
            <w:pPr>
              <w:jc w:val="center"/>
              <w:rPr>
                <w:rFonts w:ascii="Times New Roman" w:hAnsi="Times New Roman" w:eastAsia="宋体" w:cs="Times New Roman"/>
                <w:b/>
                <w:szCs w:val="20"/>
              </w:rPr>
            </w:pPr>
          </w:p>
          <w:p w14:paraId="524341B2">
            <w:pPr>
              <w:jc w:val="center"/>
              <w:rPr>
                <w:rFonts w:ascii="Times New Roman" w:hAnsi="Times New Roman" w:eastAsia="宋体" w:cs="Times New Roman"/>
                <w:b/>
                <w:szCs w:val="20"/>
              </w:rPr>
            </w:pPr>
          </w:p>
          <w:p w14:paraId="793C2633">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none"/>
              </w:rPr>
              <w:t>济南成型厂5吨整体式转向节模具新制项目</w:t>
            </w:r>
          </w:p>
          <w:p w14:paraId="13926FE3">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jc w:val="center"/>
              <w:rPr>
                <w:rFonts w:ascii="Times New Roman" w:hAnsi="Times New Roman" w:eastAsia="宋体" w:cs="Times New Roman"/>
                <w:b/>
                <w:szCs w:val="20"/>
              </w:rPr>
            </w:pPr>
          </w:p>
          <w:p w14:paraId="45BE690D">
            <w:pPr>
              <w:jc w:val="center"/>
              <w:rPr>
                <w:rFonts w:ascii="Times New Roman" w:hAnsi="Times New Roman" w:eastAsia="宋体" w:cs="Times New Roman"/>
                <w:b/>
                <w:szCs w:val="20"/>
              </w:rPr>
            </w:pPr>
          </w:p>
        </w:tc>
      </w:tr>
    </w:tbl>
    <w:p w14:paraId="4D9C60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7"/>
      </w:pPr>
    </w:p>
    <w:p w14:paraId="13C4EDB8">
      <w:pPr>
        <w:jc w:val="right"/>
        <w:rPr>
          <w:rFonts w:asciiTheme="minorEastAsia" w:hAnsiTheme="minorEastAsia" w:cstheme="minorEastAsia"/>
          <w:sz w:val="20"/>
          <w:szCs w:val="20"/>
        </w:rPr>
      </w:pPr>
    </w:p>
    <w:p w14:paraId="04E070C9">
      <w:pPr>
        <w:jc w:val="right"/>
        <w:rPr>
          <w:rFonts w:asciiTheme="minorEastAsia" w:hAnsiTheme="minorEastAsia" w:cstheme="minorEastAsia"/>
          <w:sz w:val="20"/>
          <w:szCs w:val="20"/>
        </w:rPr>
      </w:pPr>
    </w:p>
    <w:p w14:paraId="6B12A346">
      <w:p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济南成型厂5吨整体式转向节模具新制项目</w:t>
      </w:r>
    </w:p>
    <w:p w14:paraId="5103D175">
      <w:pPr>
        <w:spacing w:line="360" w:lineRule="auto"/>
        <w:rPr>
          <w:rFonts w:ascii="宋体" w:hAnsi="Calibri" w:eastAsia="宋体" w:cs="Times New Roman"/>
          <w:b/>
          <w:bCs/>
          <w:sz w:val="24"/>
          <w:szCs w:val="20"/>
          <w:highlight w:val="none"/>
        </w:rPr>
      </w:pPr>
      <w:r>
        <w:rPr>
          <w:rFonts w:hint="eastAsia" w:ascii="宋体" w:hAnsi="宋体"/>
          <w:sz w:val="24"/>
          <w:szCs w:val="24"/>
        </w:rPr>
        <w:t>济</w:t>
      </w:r>
      <w:r>
        <w:rPr>
          <w:rFonts w:hint="eastAsia" w:ascii="宋体" w:hAnsi="宋体"/>
          <w:sz w:val="24"/>
          <w:szCs w:val="24"/>
          <w:highlight w:val="none"/>
        </w:rPr>
        <w:t>南成型厂</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FE3E8F0">
      <w:pPr>
        <w:sectPr>
          <w:pgSz w:w="11906" w:h="16838"/>
          <w:pgMar w:top="1587" w:right="1417" w:bottom="1134" w:left="1417" w:header="850" w:footer="992" w:gutter="0"/>
          <w:pgNumType w:fmt="decimal"/>
          <w:cols w:space="0" w:num="1"/>
          <w:titlePg/>
          <w:docGrid w:type="lines" w:linePitch="324" w:charSpace="0"/>
        </w:sectPr>
      </w:pPr>
    </w:p>
    <w:p w14:paraId="190FA2E4">
      <w:pPr>
        <w:pStyle w:val="17"/>
      </w:pPr>
    </w:p>
    <w:p w14:paraId="366F6708">
      <w:pPr>
        <w:rPr>
          <w:rFonts w:ascii="宋体" w:hAnsi="宋体" w:eastAsia="宋体" w:cs="宋体"/>
          <w:b/>
          <w:bCs/>
          <w:color w:val="000000"/>
          <w:sz w:val="24"/>
          <w:szCs w:val="24"/>
        </w:rPr>
      </w:pPr>
    </w:p>
    <w:p w14:paraId="6AD07233">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9B9F5A1">
      <w:pPr>
        <w:pStyle w:val="17"/>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7"/>
      </w:pPr>
    </w:p>
    <w:p w14:paraId="399DBCD5">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7362023B">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11FC7CE2">
      <w:pPr>
        <w:pStyle w:val="17"/>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7"/>
      </w:pPr>
      <w:r>
        <w:rPr>
          <w:rFonts w:hint="eastAsia" w:hAnsi="宋体" w:eastAsia="宋体" w:cs="宋体"/>
          <w:b/>
          <w:bCs/>
          <w:color w:val="000000"/>
          <w:sz w:val="24"/>
          <w:szCs w:val="28"/>
        </w:rPr>
        <w:t>2.配套能力“供货类别”填“工艺装备”，业务主管部门选择“工艺工匠研究院”。</w:t>
      </w:r>
    </w:p>
    <w:p w14:paraId="431CFAB3">
      <w:pPr>
        <w:pStyle w:val="17"/>
        <w:sectPr>
          <w:pgSz w:w="11906" w:h="16838"/>
          <w:pgMar w:top="1588" w:right="1418" w:bottom="1134" w:left="1418" w:header="851" w:footer="992" w:gutter="0"/>
          <w:cols w:space="720" w:num="1"/>
          <w:titlePg/>
          <w:docGrid w:type="lines" w:linePitch="312" w:charSpace="0"/>
        </w:sectPr>
      </w:pPr>
    </w:p>
    <w:p w14:paraId="158AA682">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14:paraId="60DF8B7A">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7"/>
      </w:pPr>
      <w:r>
        <w:rPr>
          <w:rFonts w:hint="eastAsia" w:hAnsi="宋体" w:eastAsia="宋体" w:cs="宋体"/>
          <w:color w:val="000000"/>
          <w:sz w:val="24"/>
          <w:szCs w:val="28"/>
        </w:rPr>
        <w:t>注意：系统内的投标报价单位为“万元”，如开标现场发现填错报价，即直接淘汰。</w:t>
      </w:r>
    </w:p>
    <w:p w14:paraId="2F2B82EA">
      <w:pPr>
        <w:pStyle w:val="7"/>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7"/>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236594FB">
      <w:pPr>
        <w:pStyle w:val="17"/>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17"/>
        <w:rPr>
          <w:rFonts w:hAnsi="宋体" w:eastAsia="宋体" w:cs="Times New Roman"/>
          <w:b/>
          <w:color w:val="000000"/>
          <w:sz w:val="24"/>
          <w:szCs w:val="24"/>
        </w:rPr>
      </w:pPr>
    </w:p>
    <w:sectPr>
      <w:headerReference r:id="rId36" w:type="first"/>
      <w:footerReference r:id="rId38" w:type="first"/>
      <w:headerReference r:id="rId35" w:type="default"/>
      <w:footerReference r:id="rId37"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 w:name="Helvetica">
    <w:altName w:val="Arial"/>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32A0">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FF2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C0FF2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2"/>
      <w:jc w:val="center"/>
    </w:pPr>
  </w:p>
  <w:p w14:paraId="4BAB3D9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32FF">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3"/>
    </w:pPr>
  </w:p>
  <w:p w14:paraId="3893B6F7">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64416"/>
    <w:multiLevelType w:val="singleLevel"/>
    <w:tmpl w:val="89464416"/>
    <w:lvl w:ilvl="0" w:tentative="0">
      <w:start w:val="1"/>
      <w:numFmt w:val="decimal"/>
      <w:suff w:val="nothing"/>
      <w:lvlText w:val="（%1）"/>
      <w:lvlJc w:val="left"/>
      <w:pPr>
        <w:ind w:left="-100"/>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CF35D61"/>
    <w:multiLevelType w:val="singleLevel"/>
    <w:tmpl w:val="0CF35D61"/>
    <w:lvl w:ilvl="0" w:tentative="0">
      <w:start w:val="1"/>
      <w:numFmt w:val="decimal"/>
      <w:suff w:val="nothing"/>
      <w:lvlText w:val="%1、"/>
      <w:lvlJc w:val="left"/>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6908C5F"/>
    <w:multiLevelType w:val="singleLevel"/>
    <w:tmpl w:val="26908C5F"/>
    <w:lvl w:ilvl="0" w:tentative="0">
      <w:start w:val="1"/>
      <w:numFmt w:val="lowerLetter"/>
      <w:lvlText w:val="%1."/>
      <w:lvlJc w:val="left"/>
      <w:pPr>
        <w:tabs>
          <w:tab w:val="left" w:pos="312"/>
        </w:tabs>
      </w:p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1C1148E"/>
    <w:multiLevelType w:val="singleLevel"/>
    <w:tmpl w:val="31C1148E"/>
    <w:lvl w:ilvl="0" w:tentative="0">
      <w:start w:val="1"/>
      <w:numFmt w:val="decimal"/>
      <w:suff w:val="nothing"/>
      <w:lvlText w:val="（%1）"/>
      <w:lvlJc w:val="left"/>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2F92844"/>
    <w:multiLevelType w:val="singleLevel"/>
    <w:tmpl w:val="52F92844"/>
    <w:lvl w:ilvl="0" w:tentative="0">
      <w:start w:val="2"/>
      <w:numFmt w:val="decimal"/>
      <w:lvlText w:val="%1."/>
      <w:lvlJc w:val="left"/>
      <w:pPr>
        <w:tabs>
          <w:tab w:val="left" w:pos="312"/>
        </w:tabs>
      </w:pPr>
    </w:lvl>
  </w:abstractNum>
  <w:abstractNum w:abstractNumId="11">
    <w:nsid w:val="650C8A26"/>
    <w:multiLevelType w:val="singleLevel"/>
    <w:tmpl w:val="650C8A26"/>
    <w:lvl w:ilvl="0" w:tentative="0">
      <w:start w:val="2"/>
      <w:numFmt w:val="decimal"/>
      <w:suff w:val="nothing"/>
      <w:lvlText w:val="%1、"/>
      <w:lvlJc w:val="left"/>
    </w:lvl>
  </w:abstractNum>
  <w:abstractNum w:abstractNumId="12">
    <w:nsid w:val="6BDB0257"/>
    <w:multiLevelType w:val="multilevel"/>
    <w:tmpl w:val="6BDB0257"/>
    <w:lvl w:ilvl="0" w:tentative="0">
      <w:start w:val="1"/>
      <w:numFmt w:val="japaneseCounting"/>
      <w:lvlText w:val="%1、"/>
      <w:lvlJc w:val="left"/>
      <w:pPr>
        <w:tabs>
          <w:tab w:val="left" w:pos="480"/>
        </w:tabs>
        <w:ind w:left="48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13"/>
  </w:num>
  <w:num w:numId="2">
    <w:abstractNumId w:val="1"/>
  </w:num>
  <w:num w:numId="3">
    <w:abstractNumId w:val="14"/>
  </w:num>
  <w:num w:numId="4">
    <w:abstractNumId w:val="5"/>
  </w:num>
  <w:num w:numId="5">
    <w:abstractNumId w:val="3"/>
  </w:num>
  <w:num w:numId="6">
    <w:abstractNumId w:val="9"/>
  </w:num>
  <w:num w:numId="7">
    <w:abstractNumId w:val="2"/>
  </w:num>
  <w:num w:numId="8">
    <w:abstractNumId w:val="7"/>
  </w:num>
  <w:num w:numId="9">
    <w:abstractNumId w:val="0"/>
  </w:num>
  <w:num w:numId="10">
    <w:abstractNumId w:val="11"/>
  </w:num>
  <w:num w:numId="11">
    <w:abstractNumId w:val="1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3CE7CF1"/>
    <w:rsid w:val="042921B6"/>
    <w:rsid w:val="043342B8"/>
    <w:rsid w:val="043B72BB"/>
    <w:rsid w:val="04461EC1"/>
    <w:rsid w:val="04504B3F"/>
    <w:rsid w:val="04510922"/>
    <w:rsid w:val="046B5540"/>
    <w:rsid w:val="04AD02B8"/>
    <w:rsid w:val="04DE51C8"/>
    <w:rsid w:val="04DF17D4"/>
    <w:rsid w:val="04EE7F1F"/>
    <w:rsid w:val="05355B4E"/>
    <w:rsid w:val="05412745"/>
    <w:rsid w:val="05491761"/>
    <w:rsid w:val="05A351AD"/>
    <w:rsid w:val="05F257ED"/>
    <w:rsid w:val="05F9748A"/>
    <w:rsid w:val="06266F78"/>
    <w:rsid w:val="063E7B7A"/>
    <w:rsid w:val="064500CC"/>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30F28"/>
    <w:rsid w:val="08E64121"/>
    <w:rsid w:val="09097B66"/>
    <w:rsid w:val="090F1795"/>
    <w:rsid w:val="0942017F"/>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661726"/>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7643B"/>
    <w:rsid w:val="1C4F6795"/>
    <w:rsid w:val="1C9F6814"/>
    <w:rsid w:val="1CB93CF9"/>
    <w:rsid w:val="1CE7377A"/>
    <w:rsid w:val="1D5C514E"/>
    <w:rsid w:val="1D865D14"/>
    <w:rsid w:val="1D8705EC"/>
    <w:rsid w:val="1DEC0E7D"/>
    <w:rsid w:val="1DF20628"/>
    <w:rsid w:val="1DF63B37"/>
    <w:rsid w:val="1E43150B"/>
    <w:rsid w:val="1EA93E80"/>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307139"/>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333491"/>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C66BD8"/>
    <w:rsid w:val="2ADC05A4"/>
    <w:rsid w:val="2AEF2177"/>
    <w:rsid w:val="2B0E130E"/>
    <w:rsid w:val="2B161149"/>
    <w:rsid w:val="2B1B2F6C"/>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8902B2"/>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3C7998"/>
    <w:rsid w:val="3EC314F9"/>
    <w:rsid w:val="3ED26DE9"/>
    <w:rsid w:val="3EED17D0"/>
    <w:rsid w:val="3F0C0304"/>
    <w:rsid w:val="3F3423F7"/>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0856A1"/>
    <w:rsid w:val="43315D2E"/>
    <w:rsid w:val="43670C99"/>
    <w:rsid w:val="43824A1C"/>
    <w:rsid w:val="43AE09CA"/>
    <w:rsid w:val="43B1743B"/>
    <w:rsid w:val="43D110E1"/>
    <w:rsid w:val="43D61CCF"/>
    <w:rsid w:val="43DF072A"/>
    <w:rsid w:val="43E873C9"/>
    <w:rsid w:val="44905B1F"/>
    <w:rsid w:val="45316885"/>
    <w:rsid w:val="45326A50"/>
    <w:rsid w:val="45334280"/>
    <w:rsid w:val="454E56C4"/>
    <w:rsid w:val="45A95EE9"/>
    <w:rsid w:val="45FB0F21"/>
    <w:rsid w:val="46167166"/>
    <w:rsid w:val="46255415"/>
    <w:rsid w:val="4636719A"/>
    <w:rsid w:val="46380A1F"/>
    <w:rsid w:val="4714591E"/>
    <w:rsid w:val="47200EE3"/>
    <w:rsid w:val="47435AC2"/>
    <w:rsid w:val="47544B78"/>
    <w:rsid w:val="47587AF7"/>
    <w:rsid w:val="47745A86"/>
    <w:rsid w:val="47BC7B25"/>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D765E4"/>
    <w:rsid w:val="4BE70627"/>
    <w:rsid w:val="4BFC24EE"/>
    <w:rsid w:val="4C09585C"/>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26CAF"/>
    <w:rsid w:val="4D23574A"/>
    <w:rsid w:val="4D4C4DB0"/>
    <w:rsid w:val="4D7322D5"/>
    <w:rsid w:val="4DC000E1"/>
    <w:rsid w:val="4DD4222A"/>
    <w:rsid w:val="4DD7034C"/>
    <w:rsid w:val="4DE312CB"/>
    <w:rsid w:val="4DF5318E"/>
    <w:rsid w:val="4E1F4862"/>
    <w:rsid w:val="4E2E4393"/>
    <w:rsid w:val="4E535EF2"/>
    <w:rsid w:val="4EBB0839"/>
    <w:rsid w:val="4EDA4744"/>
    <w:rsid w:val="4F0170F3"/>
    <w:rsid w:val="4F08773C"/>
    <w:rsid w:val="4F31409F"/>
    <w:rsid w:val="4F512B51"/>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8330CC"/>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326D63"/>
    <w:rsid w:val="555413F3"/>
    <w:rsid w:val="555D1A10"/>
    <w:rsid w:val="55C300FC"/>
    <w:rsid w:val="564B05A7"/>
    <w:rsid w:val="56AC4A78"/>
    <w:rsid w:val="56CB4F97"/>
    <w:rsid w:val="56DB16B9"/>
    <w:rsid w:val="574D00A2"/>
    <w:rsid w:val="57547004"/>
    <w:rsid w:val="5778511F"/>
    <w:rsid w:val="577A3463"/>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9F61562"/>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2031E"/>
    <w:rsid w:val="602329DB"/>
    <w:rsid w:val="607777D6"/>
    <w:rsid w:val="608F5287"/>
    <w:rsid w:val="60B50B3A"/>
    <w:rsid w:val="60BC76A1"/>
    <w:rsid w:val="60D62EB6"/>
    <w:rsid w:val="610B7637"/>
    <w:rsid w:val="612279BA"/>
    <w:rsid w:val="615F5624"/>
    <w:rsid w:val="61D215CF"/>
    <w:rsid w:val="61D73926"/>
    <w:rsid w:val="61EE4EB3"/>
    <w:rsid w:val="625C563D"/>
    <w:rsid w:val="626A1704"/>
    <w:rsid w:val="627921C2"/>
    <w:rsid w:val="62B362C8"/>
    <w:rsid w:val="62C1330E"/>
    <w:rsid w:val="63220635"/>
    <w:rsid w:val="633D0FCB"/>
    <w:rsid w:val="6342085E"/>
    <w:rsid w:val="636F415C"/>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505A87"/>
    <w:rsid w:val="6A755CB7"/>
    <w:rsid w:val="6AB57116"/>
    <w:rsid w:val="6B0727CF"/>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233264"/>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35794D"/>
    <w:rsid w:val="727176A7"/>
    <w:rsid w:val="72AC2584"/>
    <w:rsid w:val="72CB03A1"/>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992912"/>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A91A64"/>
    <w:rsid w:val="7CB14B4D"/>
    <w:rsid w:val="7CB43C54"/>
    <w:rsid w:val="7CF26969"/>
    <w:rsid w:val="7D25523C"/>
    <w:rsid w:val="7D2A660C"/>
    <w:rsid w:val="7D6C2781"/>
    <w:rsid w:val="7DB23041"/>
    <w:rsid w:val="7DFE338E"/>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2"/>
    <w:next w:val="4"/>
    <w:link w:val="47"/>
    <w:qFormat/>
    <w:uiPriority w:val="9"/>
    <w:pPr>
      <w:keepNext/>
      <w:keepLines/>
      <w:spacing w:line="360" w:lineRule="auto"/>
      <w:outlineLvl w:val="1"/>
    </w:pPr>
    <w:rPr>
      <w:rFonts w:ascii="Arial" w:hAnsi="Arial" w:eastAsia="宋体" w:cs="Times New Roman"/>
      <w:sz w:val="24"/>
      <w:szCs w:val="32"/>
    </w:rPr>
  </w:style>
  <w:style w:type="paragraph" w:styleId="6">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5">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3"/>
    <w:qFormat/>
    <w:uiPriority w:val="9"/>
    <w:rPr>
      <w:rFonts w:ascii="Arial" w:hAnsi="Arial" w:eastAsia="宋体" w:cs="Times New Roman"/>
      <w:b/>
      <w:bCs/>
      <w:sz w:val="24"/>
      <w:szCs w:val="32"/>
    </w:rPr>
  </w:style>
  <w:style w:type="character" w:customStyle="1" w:styleId="48">
    <w:name w:val="标题 3 字符"/>
    <w:basedOn w:val="38"/>
    <w:link w:val="6"/>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5"/>
    <w:qFormat/>
    <w:locked/>
    <w:uiPriority w:val="0"/>
    <w:rPr>
      <w:rFonts w:ascii="仿宋_GB2312" w:eastAsia="仿宋_GB2312"/>
      <w:color w:val="000000"/>
      <w:sz w:val="24"/>
    </w:rPr>
  </w:style>
  <w:style w:type="character" w:customStyle="1" w:styleId="74">
    <w:name w:val="页脚 Char"/>
    <w:qFormat/>
    <w:locked/>
    <w:uiPriority w:val="99"/>
    <w:rPr>
      <w:sz w:val="18"/>
    </w:rPr>
  </w:style>
  <w:style w:type="character" w:customStyle="1" w:styleId="75">
    <w:name w:val="批注文字 字符1"/>
    <w:basedOn w:val="38"/>
    <w:semiHidden/>
    <w:qFormat/>
    <w:uiPriority w:val="99"/>
  </w:style>
  <w:style w:type="character" w:customStyle="1" w:styleId="76">
    <w:name w:val="批注文字 字符11"/>
    <w:basedOn w:val="38"/>
    <w:qFormat/>
    <w:uiPriority w:val="0"/>
    <w:rPr>
      <w:rFonts w:cs="Times New Roman"/>
      <w:kern w:val="2"/>
      <w:sz w:val="21"/>
    </w:rPr>
  </w:style>
  <w:style w:type="character" w:customStyle="1" w:styleId="77">
    <w:name w:val="正文文本缩进 字符"/>
    <w:basedOn w:val="38"/>
    <w:link w:val="13"/>
    <w:qFormat/>
    <w:uiPriority w:val="99"/>
    <w:rPr>
      <w:rFonts w:ascii="Calibri" w:hAnsi="Calibri" w:eastAsia="宋体" w:cs="Times New Roman"/>
      <w:szCs w:val="20"/>
    </w:rPr>
  </w:style>
  <w:style w:type="character" w:customStyle="1" w:styleId="78">
    <w:name w:val="文档结构图 字符1"/>
    <w:basedOn w:val="38"/>
    <w:semiHidden/>
    <w:qFormat/>
    <w:uiPriority w:val="99"/>
    <w:rPr>
      <w:rFonts w:ascii="Microsoft YaHei UI" w:eastAsia="Microsoft YaHei UI"/>
      <w:sz w:val="18"/>
      <w:szCs w:val="18"/>
    </w:rPr>
  </w:style>
  <w:style w:type="character" w:customStyle="1" w:styleId="79">
    <w:name w:val="文档结构图 字符11"/>
    <w:basedOn w:val="38"/>
    <w:semiHidden/>
    <w:qFormat/>
    <w:uiPriority w:val="99"/>
    <w:rPr>
      <w:rFonts w:ascii="Microsoft YaHei UI" w:eastAsia="Microsoft YaHei UI" w:cs="Times New Roman"/>
      <w:kern w:val="2"/>
      <w:sz w:val="18"/>
      <w:szCs w:val="18"/>
    </w:rPr>
  </w:style>
  <w:style w:type="character" w:customStyle="1" w:styleId="80">
    <w:name w:val="正文文本 字符"/>
    <w:basedOn w:val="38"/>
    <w:link w:val="4"/>
    <w:qFormat/>
    <w:uiPriority w:val="99"/>
    <w:rPr>
      <w:rFonts w:ascii="Calibri" w:hAnsi="Calibri" w:eastAsia="新宋体" w:cs="Times New Roman"/>
      <w:szCs w:val="21"/>
    </w:rPr>
  </w:style>
  <w:style w:type="character" w:customStyle="1" w:styleId="81">
    <w:name w:val="纯文本 字符1"/>
    <w:basedOn w:val="38"/>
    <w:semiHidden/>
    <w:qFormat/>
    <w:uiPriority w:val="99"/>
    <w:rPr>
      <w:rFonts w:hAnsi="Courier New" w:cs="Courier New" w:asciiTheme="minorEastAsia"/>
    </w:rPr>
  </w:style>
  <w:style w:type="character" w:customStyle="1" w:styleId="82">
    <w:name w:val="纯文本 字符11"/>
    <w:basedOn w:val="38"/>
    <w:qFormat/>
    <w:uiPriority w:val="0"/>
    <w:rPr>
      <w:rFonts w:hAnsi="Courier New" w:cs="Courier New" w:asciiTheme="minorEastAsia" w:eastAsiaTheme="minorEastAsia"/>
      <w:kern w:val="2"/>
      <w:sz w:val="21"/>
    </w:rPr>
  </w:style>
  <w:style w:type="character" w:customStyle="1" w:styleId="83">
    <w:name w:val="页眉 字符1"/>
    <w:basedOn w:val="38"/>
    <w:semiHidden/>
    <w:qFormat/>
    <w:uiPriority w:val="99"/>
    <w:rPr>
      <w:sz w:val="18"/>
      <w:szCs w:val="18"/>
    </w:rPr>
  </w:style>
  <w:style w:type="character" w:customStyle="1" w:styleId="84">
    <w:name w:val="页眉 字符11"/>
    <w:basedOn w:val="38"/>
    <w:semiHidden/>
    <w:qFormat/>
    <w:uiPriority w:val="99"/>
    <w:rPr>
      <w:rFonts w:cs="Times New Roman"/>
      <w:kern w:val="2"/>
      <w:sz w:val="18"/>
      <w:szCs w:val="18"/>
    </w:rPr>
  </w:style>
  <w:style w:type="character" w:customStyle="1" w:styleId="85">
    <w:name w:val="批注框文本 字符1"/>
    <w:basedOn w:val="38"/>
    <w:semiHidden/>
    <w:qFormat/>
    <w:uiPriority w:val="99"/>
    <w:rPr>
      <w:sz w:val="18"/>
      <w:szCs w:val="18"/>
    </w:rPr>
  </w:style>
  <w:style w:type="character" w:customStyle="1" w:styleId="86">
    <w:name w:val="批注框文本 字符11"/>
    <w:basedOn w:val="38"/>
    <w:semiHidden/>
    <w:qFormat/>
    <w:uiPriority w:val="99"/>
    <w:rPr>
      <w:rFonts w:cs="Times New Roman"/>
      <w:kern w:val="2"/>
      <w:sz w:val="18"/>
      <w:szCs w:val="18"/>
    </w:rPr>
  </w:style>
  <w:style w:type="character" w:customStyle="1" w:styleId="87">
    <w:name w:val="日期 字符1"/>
    <w:basedOn w:val="38"/>
    <w:semiHidden/>
    <w:qFormat/>
    <w:uiPriority w:val="99"/>
  </w:style>
  <w:style w:type="character" w:customStyle="1" w:styleId="88">
    <w:name w:val="日期 字符11"/>
    <w:basedOn w:val="38"/>
    <w:semiHidden/>
    <w:qFormat/>
    <w:uiPriority w:val="99"/>
    <w:rPr>
      <w:rFonts w:cs="Times New Roman"/>
      <w:kern w:val="2"/>
      <w:sz w:val="21"/>
    </w:rPr>
  </w:style>
  <w:style w:type="character" w:customStyle="1" w:styleId="89">
    <w:name w:val="页脚 字符1"/>
    <w:basedOn w:val="38"/>
    <w:semiHidden/>
    <w:qFormat/>
    <w:uiPriority w:val="99"/>
    <w:rPr>
      <w:sz w:val="18"/>
      <w:szCs w:val="18"/>
    </w:rPr>
  </w:style>
  <w:style w:type="character" w:customStyle="1" w:styleId="90">
    <w:name w:val="页脚 字符11"/>
    <w:basedOn w:val="38"/>
    <w:semiHidden/>
    <w:qFormat/>
    <w:uiPriority w:val="99"/>
    <w:rPr>
      <w:rFonts w:cs="Times New Roman"/>
      <w:kern w:val="2"/>
      <w:sz w:val="18"/>
      <w:szCs w:val="18"/>
    </w:rPr>
  </w:style>
  <w:style w:type="character" w:customStyle="1" w:styleId="91">
    <w:name w:val="正文文本缩进 2 字符1"/>
    <w:basedOn w:val="38"/>
    <w:semiHidden/>
    <w:qFormat/>
    <w:uiPriority w:val="99"/>
  </w:style>
  <w:style w:type="character" w:customStyle="1" w:styleId="92">
    <w:name w:val="正文文本缩进 2 字符11"/>
    <w:basedOn w:val="38"/>
    <w:semiHidden/>
    <w:qFormat/>
    <w:uiPriority w:val="99"/>
    <w:rPr>
      <w:rFonts w:cs="Times New Roman"/>
      <w:kern w:val="2"/>
      <w:sz w:val="21"/>
    </w:rPr>
  </w:style>
  <w:style w:type="character" w:customStyle="1" w:styleId="93">
    <w:name w:val="正文文本缩进 3 字符1"/>
    <w:basedOn w:val="38"/>
    <w:semiHidden/>
    <w:qFormat/>
    <w:uiPriority w:val="99"/>
    <w:rPr>
      <w:sz w:val="16"/>
      <w:szCs w:val="16"/>
    </w:rPr>
  </w:style>
  <w:style w:type="character" w:customStyle="1" w:styleId="94">
    <w:name w:val="正文文本缩进 3 字符11"/>
    <w:basedOn w:val="38"/>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8"/>
    <w:qFormat/>
    <w:uiPriority w:val="10"/>
    <w:rPr>
      <w:rFonts w:asciiTheme="majorHAnsi" w:hAnsiTheme="majorHAnsi" w:eastAsiaTheme="majorEastAsia" w:cstheme="majorBidi"/>
      <w:b/>
      <w:bCs/>
      <w:sz w:val="32"/>
      <w:szCs w:val="32"/>
    </w:rPr>
  </w:style>
  <w:style w:type="character" w:customStyle="1" w:styleId="98">
    <w:name w:val="标题 字符11"/>
    <w:basedOn w:val="38"/>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3"/>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6"/>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8"/>
    <w:qFormat/>
    <w:uiPriority w:val="0"/>
    <w:rPr>
      <w:rFonts w:hint="eastAsia" w:ascii="宋体" w:hAnsi="宋体" w:eastAsia="宋体" w:cs="宋体"/>
      <w:color w:val="000000"/>
      <w:sz w:val="24"/>
      <w:szCs w:val="24"/>
      <w:u w:val="none"/>
    </w:rPr>
  </w:style>
  <w:style w:type="character" w:customStyle="1" w:styleId="133">
    <w:name w:val="font01"/>
    <w:basedOn w:val="38"/>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Fließtext"/>
    <w:basedOn w:val="1"/>
    <w:qFormat/>
    <w:uiPriority w:val="99"/>
    <w:pPr>
      <w:widowControl/>
      <w:jc w:val="center"/>
    </w:pPr>
    <w:rPr>
      <w:rFonts w:ascii="Arial" w:hAnsi="Arial"/>
      <w:kern w:val="0"/>
      <w:szCs w:val="20"/>
      <w:lang w:val="de-DE" w:eastAsia="de-DE"/>
    </w:rPr>
  </w:style>
  <w:style w:type="paragraph" w:styleId="136">
    <w:name w:val="No Spacing"/>
    <w:qFormat/>
    <w:uiPriority w:val="1"/>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header" Target="header9.xml"/><Relationship Id="rId35" Type="http://schemas.openxmlformats.org/officeDocument/2006/relationships/header" Target="header8.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header" Target="header7.xml"/><Relationship Id="rId31" Type="http://schemas.openxmlformats.org/officeDocument/2006/relationships/header" Target="header6.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header" Target="header5.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180</Words>
  <Characters>187</Characters>
  <Lines>364</Lines>
  <Paragraphs>102</Paragraphs>
  <TotalTime>3</TotalTime>
  <ScaleCrop>false</ScaleCrop>
  <LinksUpToDate>false</LinksUpToDate>
  <CharactersWithSpaces>318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张志纯</cp:lastModifiedBy>
  <dcterms:modified xsi:type="dcterms:W3CDTF">2025-10-16T07:16:36Z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0B1218D1AFC44B4A927B11B1D638B56B_11</vt:lpwstr>
  </property>
  <property fmtid="{D5CDD505-2E9C-101B-9397-08002B2CF9AE}" pid="4" name="KSOTemplateDocerSaveRecord">
    <vt:lpwstr>eyJoZGlkIjoiODY0NTcxYjI4Y2NjNTJkNmIwYzM2NDk2ZTI0NWYxZjQiLCJ1c2VySWQiOiIxNjcxODY1NzIwIn0=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