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C61464">
      <w:pPr>
        <w:jc w:val="center"/>
        <w:rPr>
          <w:rFonts w:ascii="宋体" w:hAnsi="Calibri" w:eastAsia="宋体" w:cs="Times New Roman"/>
          <w:color w:val="000000"/>
          <w:sz w:val="30"/>
          <w:szCs w:val="30"/>
        </w:rPr>
      </w:pPr>
      <w:bookmarkStart w:id="0" w:name="OLE_LINK31"/>
      <w:bookmarkStart w:id="1" w:name="OLE_LINK30"/>
    </w:p>
    <w:p w14:paraId="157AC331">
      <w:pPr>
        <w:spacing w:line="276" w:lineRule="auto"/>
        <w:jc w:val="center"/>
        <w:rPr>
          <w:rFonts w:hint="eastAsia" w:ascii="Calibri" w:hAnsi="宋体" w:eastAsia="宋体" w:cs="Times New Roman"/>
          <w:b/>
          <w:bCs/>
          <w:color w:val="000000"/>
          <w:spacing w:val="-8"/>
          <w:sz w:val="48"/>
          <w:szCs w:val="44"/>
          <w:highlight w:val="none"/>
        </w:rPr>
      </w:pPr>
      <w:r>
        <w:rPr>
          <w:rFonts w:hint="eastAsia" w:ascii="Calibri" w:hAnsi="宋体" w:eastAsia="宋体" w:cs="Times New Roman"/>
          <w:b/>
          <w:bCs/>
          <w:color w:val="000000"/>
          <w:spacing w:val="-8"/>
          <w:sz w:val="48"/>
          <w:szCs w:val="44"/>
          <w:highlight w:val="none"/>
        </w:rPr>
        <w:t>中国重汽集团济南动力有限公司</w:t>
      </w:r>
    </w:p>
    <w:p w14:paraId="238A52ED">
      <w:pPr>
        <w:spacing w:line="276" w:lineRule="auto"/>
        <w:jc w:val="center"/>
        <w:rPr>
          <w:rFonts w:hint="eastAsia" w:ascii="Calibri" w:hAnsi="宋体" w:eastAsia="宋体" w:cs="Times New Roman"/>
          <w:b/>
          <w:bCs/>
          <w:color w:val="000000"/>
          <w:spacing w:val="-8"/>
          <w:sz w:val="48"/>
          <w:szCs w:val="44"/>
          <w:lang w:eastAsia="zh-CN"/>
        </w:rPr>
      </w:pPr>
      <w:r>
        <w:rPr>
          <w:rFonts w:hint="eastAsia" w:ascii="Calibri" w:hAnsi="宋体" w:eastAsia="宋体" w:cs="Times New Roman"/>
          <w:b/>
          <w:bCs/>
          <w:color w:val="000000"/>
          <w:spacing w:val="-8"/>
          <w:sz w:val="48"/>
          <w:szCs w:val="44"/>
          <w:lang w:eastAsia="zh-CN"/>
        </w:rPr>
        <w:t>济南成型厂5吨整体式转向节模具新制项目</w:t>
      </w:r>
    </w:p>
    <w:p w14:paraId="0C9C2445">
      <w:pPr>
        <w:jc w:val="right"/>
        <w:rPr>
          <w:rFonts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14:paraId="5D281A32">
      <w:pPr>
        <w:pStyle w:val="17"/>
      </w:pPr>
    </w:p>
    <w:p w14:paraId="6681D3AB">
      <w:pPr>
        <w:pStyle w:val="17"/>
      </w:pPr>
    </w:p>
    <w:p w14:paraId="1DA2295B">
      <w:pPr>
        <w:pStyle w:val="17"/>
      </w:pPr>
    </w:p>
    <w:p w14:paraId="7119408D">
      <w:pPr>
        <w:jc w:val="right"/>
        <w:rPr>
          <w:rFonts w:ascii="Calibri" w:hAnsi="Calibri" w:eastAsia="宋体" w:cs="Times New Roman"/>
          <w:color w:val="000000"/>
          <w:sz w:val="28"/>
          <w:szCs w:val="28"/>
        </w:rPr>
      </w:pPr>
    </w:p>
    <w:p w14:paraId="70CE5FC6">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383D2731">
      <w:pPr>
        <w:jc w:val="center"/>
        <w:rPr>
          <w:rFonts w:ascii="黑体" w:hAnsi="宋体" w:eastAsia="黑体" w:cs="Times New Roman"/>
          <w:color w:val="000000"/>
          <w:sz w:val="72"/>
          <w:szCs w:val="72"/>
        </w:rPr>
      </w:pPr>
    </w:p>
    <w:p w14:paraId="1D154ACF">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4E3B007">
      <w:pPr>
        <w:jc w:val="center"/>
        <w:rPr>
          <w:rFonts w:ascii="黑体" w:hAnsi="宋体" w:eastAsia="黑体" w:cs="Times New Roman"/>
          <w:color w:val="000000"/>
          <w:sz w:val="72"/>
          <w:szCs w:val="72"/>
        </w:rPr>
      </w:pPr>
    </w:p>
    <w:p w14:paraId="3DE4EBA9">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12319A8C">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r>
        <w:rPr>
          <w:rFonts w:hint="eastAsia" w:ascii="华文仿宋" w:hAnsi="华文仿宋" w:eastAsia="华文仿宋"/>
          <w:b/>
          <w:bCs/>
          <w:sz w:val="32"/>
          <w:szCs w:val="28"/>
          <w:lang w:val="en-US" w:eastAsia="zh-CN"/>
        </w:rPr>
        <w:t xml:space="preserve">     </w:t>
      </w:r>
      <w:r>
        <w:rPr>
          <w:rFonts w:hint="eastAsia" w:ascii="华文仿宋" w:hAnsi="华文仿宋" w:eastAsia="华文仿宋"/>
          <w:b/>
          <w:bCs/>
          <w:sz w:val="32"/>
          <w:szCs w:val="28"/>
        </w:rPr>
        <w:t xml:space="preserve"> </w:t>
      </w:r>
    </w:p>
    <w:p w14:paraId="1402B2C5">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14:paraId="4690F51A">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14:paraId="4217AF80">
      <w:pPr>
        <w:pStyle w:val="17"/>
        <w:rPr>
          <w:b/>
          <w:bCs/>
        </w:rPr>
      </w:pPr>
    </w:p>
    <w:p w14:paraId="21B49F2A">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highlight w:val="none"/>
        </w:rPr>
        <w:t>中国重汽集团济南动力有限公司</w:t>
      </w:r>
    </w:p>
    <w:p w14:paraId="294AC3AF">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rPr>
        <w:t>2025年</w:t>
      </w:r>
      <w:r>
        <w:rPr>
          <w:rFonts w:hint="eastAsia" w:ascii="Calibri" w:hAnsi="Calibri"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14:paraId="30CC3BA2">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5CF936A4">
          <w:pPr>
            <w:spacing w:line="480" w:lineRule="auto"/>
            <w:jc w:val="center"/>
            <w:rPr>
              <w:rFonts w:cs="宋体"/>
              <w:b/>
              <w:bCs/>
              <w:sz w:val="48"/>
              <w:szCs w:val="48"/>
            </w:rPr>
          </w:pPr>
          <w:r>
            <w:rPr>
              <w:rFonts w:ascii="宋体" w:hAnsi="宋体" w:eastAsia="宋体" w:cs="宋体"/>
              <w:b/>
              <w:bCs/>
              <w:sz w:val="48"/>
              <w:szCs w:val="48"/>
            </w:rPr>
            <w:t>目录</w:t>
          </w:r>
        </w:p>
        <w:p w14:paraId="5FB2098B">
          <w:pPr>
            <w:pStyle w:val="24"/>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14:paraId="4C24FCC7">
          <w:pPr>
            <w:pStyle w:val="24"/>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14:paraId="42022B9F">
          <w:pPr>
            <w:pStyle w:val="24"/>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14:paraId="6850379E">
          <w:pPr>
            <w:pStyle w:val="24"/>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14:paraId="6872A5D4">
          <w:pPr>
            <w:pStyle w:val="24"/>
            <w:tabs>
              <w:tab w:val="right" w:leader="dot" w:pos="9071"/>
            </w:tabs>
            <w:spacing w:line="480" w:lineRule="auto"/>
            <w:rPr>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37</w:t>
          </w:r>
        </w:p>
        <w:p w14:paraId="11509268">
          <w:pPr>
            <w:pStyle w:val="24"/>
            <w:tabs>
              <w:tab w:val="right" w:leader="dot" w:pos="9071"/>
            </w:tabs>
            <w:spacing w:line="480" w:lineRule="auto"/>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55</w:t>
          </w:r>
        </w:p>
        <w:p w14:paraId="1C1B7DA2">
          <w:pPr>
            <w:pStyle w:val="17"/>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29093F1B">
      <w:pPr>
        <w:pStyle w:val="17"/>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62C6C9C5">
      <w:pPr>
        <w:pStyle w:val="17"/>
        <w:jc w:val="center"/>
        <w:rPr>
          <w:rFonts w:ascii="Calibri" w:hAnsi="Calibri" w:eastAsia="宋体" w:cs="Times New Roman"/>
          <w:b/>
          <w:bCs/>
          <w:kern w:val="44"/>
          <w:sz w:val="36"/>
          <w:szCs w:val="44"/>
        </w:rPr>
      </w:pPr>
    </w:p>
    <w:p w14:paraId="7F377808">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6"/>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1A8586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0E04D993">
            <w:pPr>
              <w:jc w:val="center"/>
              <w:rPr>
                <w:rStyle w:val="128"/>
                <w:rFonts w:ascii="宋体" w:hAnsi="宋体" w:eastAsia="宋体" w:cs="宋体"/>
                <w:b/>
                <w:sz w:val="28"/>
                <w:szCs w:val="28"/>
              </w:rPr>
            </w:pPr>
            <w:bookmarkStart w:id="3" w:name="_Toc346372875"/>
            <w:r>
              <w:rPr>
                <w:rStyle w:val="128"/>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B1B89E2">
            <w:pPr>
              <w:ind w:firstLine="562" w:firstLineChars="200"/>
              <w:jc w:val="center"/>
              <w:rPr>
                <w:rFonts w:ascii="宋体" w:hAnsi="宋体" w:eastAsia="宋体" w:cs="宋体"/>
                <w:b/>
                <w:bCs/>
                <w:sz w:val="28"/>
                <w:szCs w:val="28"/>
              </w:rPr>
            </w:pPr>
            <w:r>
              <w:rPr>
                <w:rStyle w:val="128"/>
                <w:rFonts w:hint="eastAsia" w:ascii="宋体" w:hAnsi="宋体" w:eastAsia="宋体" w:cs="宋体"/>
                <w:b/>
                <w:sz w:val="28"/>
                <w:szCs w:val="28"/>
              </w:rPr>
              <w:t>编  列  内  容</w:t>
            </w:r>
          </w:p>
        </w:tc>
      </w:tr>
      <w:tr w14:paraId="10BE82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F8F8A6F">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14:paraId="291587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77A1D2A6">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161B1C33">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sz w:val="24"/>
                <w:szCs w:val="24"/>
              </w:rPr>
              <w:t>济南成型厂5吨整体式转向节模具新制项目</w:t>
            </w:r>
          </w:p>
        </w:tc>
      </w:tr>
      <w:tr w14:paraId="69DBA1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39FFE5D4">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2920C96A">
            <w:pPr>
              <w:ind w:firstLine="482" w:firstLineChars="200"/>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采购形式编号：</w:t>
            </w:r>
            <w:r>
              <w:rPr>
                <w:rFonts w:hint="eastAsia" w:ascii="宋体" w:hAnsi="宋体" w:eastAsia="宋体" w:cs="宋体"/>
                <w:color w:val="auto"/>
                <w:sz w:val="24"/>
                <w:szCs w:val="24"/>
                <w:highlight w:val="none"/>
                <w:u w:val="single"/>
                <w:lang w:val="en-US" w:eastAsia="zh-CN"/>
              </w:rPr>
              <w:t xml:space="preserve">  FSCZB2025100056   </w:t>
            </w:r>
          </w:p>
        </w:tc>
      </w:tr>
      <w:tr w14:paraId="1E96C3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9C9DC3A">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40127171">
            <w:pPr>
              <w:ind w:firstLine="482" w:firstLineChars="200"/>
              <w:rPr>
                <w:rFonts w:hint="default" w:ascii="宋体" w:hAnsi="宋体" w:cs="宋体" w:eastAsiaTheme="minorEastAsia"/>
                <w:color w:val="auto"/>
                <w:sz w:val="24"/>
                <w:szCs w:val="24"/>
                <w:lang w:val="en-US" w:eastAsia="zh-CN"/>
              </w:rPr>
            </w:pPr>
            <w:r>
              <w:rPr>
                <w:rFonts w:hint="eastAsia" w:ascii="宋体" w:hAnsi="宋体" w:eastAsia="宋体" w:cs="宋体"/>
                <w:b/>
                <w:bCs/>
                <w:color w:val="auto"/>
                <w:sz w:val="24"/>
                <w:szCs w:val="24"/>
              </w:rPr>
              <w:t>招标内容：</w:t>
            </w:r>
            <w:r>
              <w:rPr>
                <w:rFonts w:hint="eastAsia"/>
                <w:sz w:val="24"/>
                <w:szCs w:val="24"/>
              </w:rPr>
              <w:t>本项目为</w:t>
            </w:r>
            <w:r>
              <w:rPr>
                <w:rFonts w:hint="eastAsia" w:ascii="宋体" w:hAnsi="宋体"/>
                <w:sz w:val="24"/>
                <w:szCs w:val="24"/>
              </w:rPr>
              <w:t>济南成型厂5吨整体式转向节模具新制项目</w:t>
            </w:r>
            <w:r>
              <w:rPr>
                <w:rFonts w:hint="eastAsia"/>
                <w:sz w:val="24"/>
                <w:szCs w:val="24"/>
              </w:rPr>
              <w:t>，</w:t>
            </w:r>
            <w:r>
              <w:rPr>
                <w:rFonts w:hint="eastAsia" w:ascii="宋体" w:hAnsi="宋体"/>
                <w:sz w:val="24"/>
                <w:szCs w:val="24"/>
              </w:rPr>
              <w:t>根据项目所涉及工装</w:t>
            </w:r>
            <w:r>
              <w:rPr>
                <w:rFonts w:hint="eastAsia" w:ascii="宋体" w:hAnsi="宋体"/>
                <w:sz w:val="24"/>
                <w:szCs w:val="24"/>
                <w:lang w:val="en-US" w:eastAsia="zh-CN"/>
              </w:rPr>
              <w:t>详见技术标书</w:t>
            </w:r>
          </w:p>
        </w:tc>
      </w:tr>
      <w:tr w14:paraId="2301B7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18E0BCCD">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00B7B75A">
            <w:pPr>
              <w:ind w:firstLine="482" w:firstLineChars="200"/>
              <w:rPr>
                <w:rFonts w:ascii="宋体" w:hAnsi="宋体" w:eastAsia="宋体" w:cs="宋体"/>
                <w:b/>
                <w:bCs/>
                <w:color w:val="auto"/>
                <w:sz w:val="24"/>
                <w:szCs w:val="24"/>
              </w:rPr>
            </w:pPr>
            <w:r>
              <w:rPr>
                <w:rFonts w:hint="eastAsia" w:ascii="宋体" w:hAnsi="宋体" w:eastAsia="宋体" w:cs="宋体"/>
                <w:b/>
                <w:bCs/>
                <w:color w:val="auto"/>
                <w:sz w:val="24"/>
                <w:szCs w:val="24"/>
              </w:rPr>
              <w:t>招标形式：</w:t>
            </w:r>
            <w:r>
              <w:rPr>
                <w:rFonts w:hint="eastAsia" w:ascii="宋体" w:hAnsi="宋体" w:eastAsia="宋体" w:cs="宋体"/>
                <w:color w:val="auto"/>
                <w:sz w:val="24"/>
                <w:szCs w:val="24"/>
              </w:rPr>
              <w:t>公开招标</w:t>
            </w:r>
          </w:p>
        </w:tc>
      </w:tr>
      <w:tr w14:paraId="2D55941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13FC128C">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4860353A">
            <w:pPr>
              <w:ind w:firstLine="482" w:firstLineChars="200"/>
              <w:rPr>
                <w:rFonts w:ascii="宋体" w:hAnsi="宋体" w:eastAsia="宋体" w:cs="宋体"/>
                <w:bCs/>
                <w:snapToGrid w:val="0"/>
                <w:color w:val="auto"/>
                <w:kern w:val="0"/>
                <w:sz w:val="24"/>
                <w:szCs w:val="24"/>
                <w:highlight w:val="none"/>
              </w:rPr>
            </w:pPr>
            <w:r>
              <w:rPr>
                <w:rFonts w:hint="eastAsia" w:ascii="宋体" w:hAnsi="宋体" w:eastAsia="宋体" w:cs="宋体"/>
                <w:b/>
                <w:snapToGrid w:val="0"/>
                <w:color w:val="auto"/>
                <w:kern w:val="0"/>
                <w:sz w:val="24"/>
                <w:szCs w:val="24"/>
                <w:highlight w:val="none"/>
              </w:rPr>
              <w:t>招标人名称：</w:t>
            </w:r>
            <w:r>
              <w:rPr>
                <w:rFonts w:hint="eastAsia" w:ascii="宋体" w:hAnsi="宋体" w:eastAsia="宋体" w:cs="宋体"/>
                <w:color w:val="auto"/>
                <w:sz w:val="24"/>
                <w:szCs w:val="24"/>
                <w:highlight w:val="none"/>
                <w:u w:val="single"/>
              </w:rPr>
              <w:t>中国重汽集团济南动力有限公司</w:t>
            </w:r>
            <w:r>
              <w:rPr>
                <w:rFonts w:hint="eastAsia" w:ascii="宋体" w:hAnsi="宋体" w:eastAsia="宋体" w:cs="宋体"/>
                <w:bCs/>
                <w:snapToGrid w:val="0"/>
                <w:color w:val="auto"/>
                <w:kern w:val="0"/>
                <w:sz w:val="24"/>
                <w:szCs w:val="24"/>
                <w:highlight w:val="none"/>
              </w:rPr>
              <w:t xml:space="preserve"> </w:t>
            </w:r>
          </w:p>
          <w:p w14:paraId="2DE6C248">
            <w:pPr>
              <w:ind w:firstLine="482" w:firstLineChars="200"/>
              <w:rPr>
                <w:rFonts w:ascii="宋体" w:hAnsi="宋体" w:eastAsia="宋体" w:cs="宋体"/>
                <w:color w:val="auto"/>
                <w:sz w:val="24"/>
                <w:szCs w:val="24"/>
                <w:highlight w:val="none"/>
              </w:rPr>
            </w:pPr>
            <w:r>
              <w:rPr>
                <w:rFonts w:hint="eastAsia" w:ascii="宋体" w:hAnsi="宋体" w:eastAsia="宋体" w:cs="宋体"/>
                <w:b/>
                <w:snapToGrid w:val="0"/>
                <w:color w:val="auto"/>
                <w:kern w:val="0"/>
                <w:sz w:val="24"/>
                <w:szCs w:val="24"/>
                <w:highlight w:val="none"/>
              </w:rPr>
              <w:t>招标人地址：</w:t>
            </w:r>
            <w:r>
              <w:rPr>
                <w:rFonts w:hint="eastAsia" w:ascii="宋体" w:hAnsi="宋体" w:eastAsia="宋体" w:cs="宋体"/>
                <w:color w:val="auto"/>
                <w:sz w:val="24"/>
                <w:szCs w:val="24"/>
                <w:highlight w:val="none"/>
                <w:u w:val="single"/>
              </w:rPr>
              <w:t xml:space="preserve">济南市历城区华奥路777号 </w:t>
            </w:r>
          </w:p>
          <w:p w14:paraId="08B81BFA">
            <w:pPr>
              <w:ind w:firstLine="482" w:firstLineChars="200"/>
              <w:rPr>
                <w:rFonts w:ascii="宋体" w:hAnsi="宋体" w:eastAsia="宋体" w:cs="宋体"/>
                <w:bCs/>
                <w:snapToGrid w:val="0"/>
                <w:color w:val="auto"/>
                <w:kern w:val="0"/>
                <w:sz w:val="24"/>
                <w:szCs w:val="24"/>
                <w:highlight w:val="none"/>
              </w:rPr>
            </w:pPr>
            <w:r>
              <w:rPr>
                <w:rFonts w:hint="eastAsia" w:ascii="宋体" w:hAnsi="宋体" w:eastAsia="宋体" w:cs="宋体"/>
                <w:b/>
                <w:snapToGrid w:val="0"/>
                <w:color w:val="auto"/>
                <w:kern w:val="0"/>
                <w:sz w:val="24"/>
                <w:szCs w:val="24"/>
                <w:highlight w:val="none"/>
              </w:rPr>
              <w:t>联系人：</w:t>
            </w:r>
            <w:r>
              <w:rPr>
                <w:rFonts w:hint="eastAsia" w:ascii="宋体" w:hAnsi="宋体" w:eastAsia="宋体" w:cs="宋体"/>
                <w:bCs/>
                <w:snapToGrid w:val="0"/>
                <w:color w:val="auto"/>
                <w:kern w:val="0"/>
                <w:sz w:val="24"/>
                <w:szCs w:val="24"/>
                <w:highlight w:val="none"/>
              </w:rPr>
              <w:t>苏启蒙</w:t>
            </w:r>
          </w:p>
          <w:p w14:paraId="1A15F4CE">
            <w:pPr>
              <w:pStyle w:val="17"/>
              <w:ind w:firstLine="482" w:firstLineChars="200"/>
              <w:rPr>
                <w:rFonts w:hint="default" w:eastAsia="宋体"/>
                <w:color w:val="auto"/>
                <w:highlight w:val="none"/>
                <w:lang w:val="en-US" w:eastAsia="zh-CN"/>
              </w:rPr>
            </w:pPr>
            <w:r>
              <w:rPr>
                <w:rFonts w:hint="eastAsia" w:hAnsi="宋体" w:eastAsia="宋体" w:cs="宋体"/>
                <w:b/>
                <w:snapToGrid w:val="0"/>
                <w:color w:val="auto"/>
                <w:kern w:val="0"/>
                <w:sz w:val="24"/>
                <w:szCs w:val="24"/>
                <w:highlight w:val="none"/>
              </w:rPr>
              <w:t>电话：</w:t>
            </w:r>
            <w:r>
              <w:rPr>
                <w:rFonts w:hint="eastAsia" w:hAnsi="宋体" w:eastAsia="宋体" w:cs="宋体"/>
                <w:b/>
                <w:snapToGrid w:val="0"/>
                <w:color w:val="auto"/>
                <w:kern w:val="0"/>
                <w:sz w:val="24"/>
                <w:szCs w:val="24"/>
                <w:highlight w:val="none"/>
                <w:lang w:val="en-US" w:eastAsia="zh-CN"/>
              </w:rPr>
              <w:t>17553108182</w:t>
            </w:r>
          </w:p>
          <w:p w14:paraId="575D320A">
            <w:pPr>
              <w:ind w:firstLine="482" w:firstLineChars="200"/>
              <w:rPr>
                <w:rFonts w:hint="eastAsia" w:ascii="宋体" w:hAnsi="宋体" w:eastAsia="宋体" w:cs="宋体"/>
                <w:bCs/>
                <w:snapToGrid w:val="0"/>
                <w:color w:val="auto"/>
                <w:kern w:val="0"/>
                <w:sz w:val="24"/>
                <w:szCs w:val="24"/>
                <w:highlight w:val="none"/>
              </w:rPr>
            </w:pPr>
            <w:r>
              <w:rPr>
                <w:rFonts w:hint="eastAsia" w:ascii="宋体" w:hAnsi="宋体" w:eastAsia="宋体" w:cs="宋体"/>
                <w:b/>
                <w:snapToGrid w:val="0"/>
                <w:color w:val="auto"/>
                <w:kern w:val="0"/>
                <w:sz w:val="24"/>
                <w:szCs w:val="24"/>
                <w:highlight w:val="none"/>
              </w:rPr>
              <w:t>邮箱：</w:t>
            </w:r>
            <w:r>
              <w:rPr>
                <w:rFonts w:hint="eastAsia" w:ascii="宋体" w:hAnsi="宋体" w:eastAsia="宋体" w:cs="宋体"/>
                <w:bCs/>
                <w:snapToGrid w:val="0"/>
                <w:color w:val="auto"/>
                <w:kern w:val="0"/>
                <w:sz w:val="24"/>
                <w:szCs w:val="24"/>
                <w:highlight w:val="none"/>
              </w:rPr>
              <w:fldChar w:fldCharType="begin"/>
            </w:r>
            <w:r>
              <w:rPr>
                <w:rFonts w:hint="eastAsia" w:ascii="宋体" w:hAnsi="宋体" w:eastAsia="宋体" w:cs="宋体"/>
                <w:bCs/>
                <w:snapToGrid w:val="0"/>
                <w:color w:val="auto"/>
                <w:kern w:val="0"/>
                <w:sz w:val="24"/>
                <w:szCs w:val="24"/>
                <w:highlight w:val="none"/>
              </w:rPr>
              <w:instrText xml:space="preserve"> HYPERLINK "mailto:suqimeng@sinotruk.com" </w:instrText>
            </w:r>
            <w:r>
              <w:rPr>
                <w:rFonts w:hint="eastAsia" w:ascii="宋体" w:hAnsi="宋体" w:eastAsia="宋体" w:cs="宋体"/>
                <w:bCs/>
                <w:snapToGrid w:val="0"/>
                <w:color w:val="auto"/>
                <w:kern w:val="0"/>
                <w:sz w:val="24"/>
                <w:szCs w:val="24"/>
                <w:highlight w:val="none"/>
              </w:rPr>
              <w:fldChar w:fldCharType="separate"/>
            </w:r>
            <w:r>
              <w:rPr>
                <w:rStyle w:val="44"/>
                <w:rFonts w:hint="eastAsia" w:ascii="宋体" w:hAnsi="宋体" w:eastAsia="宋体" w:cs="宋体"/>
                <w:bCs/>
                <w:snapToGrid w:val="0"/>
                <w:color w:val="auto"/>
                <w:kern w:val="0"/>
                <w:sz w:val="24"/>
                <w:szCs w:val="24"/>
                <w:highlight w:val="none"/>
              </w:rPr>
              <w:t>suqimeng@sinotruk.com</w:t>
            </w:r>
            <w:r>
              <w:rPr>
                <w:rFonts w:hint="eastAsia" w:ascii="宋体" w:hAnsi="宋体" w:eastAsia="宋体" w:cs="宋体"/>
                <w:bCs/>
                <w:snapToGrid w:val="0"/>
                <w:color w:val="auto"/>
                <w:kern w:val="0"/>
                <w:sz w:val="24"/>
                <w:szCs w:val="24"/>
                <w:highlight w:val="none"/>
              </w:rPr>
              <w:fldChar w:fldCharType="end"/>
            </w:r>
          </w:p>
          <w:p w14:paraId="300283E3">
            <w:pPr>
              <w:ind w:firstLine="482" w:firstLineChars="200"/>
              <w:rPr>
                <w:rFonts w:hint="default" w:ascii="宋体" w:hAnsi="宋体" w:eastAsia="宋体" w:cs="宋体"/>
                <w:bCs/>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rPr>
              <w:t>技术联系人：</w:t>
            </w:r>
            <w:r>
              <w:rPr>
                <w:rFonts w:hint="eastAsia" w:ascii="宋体" w:hAnsi="宋体" w:eastAsia="宋体" w:cs="宋体"/>
                <w:b/>
                <w:snapToGrid w:val="0"/>
                <w:color w:val="auto"/>
                <w:kern w:val="0"/>
                <w:sz w:val="24"/>
                <w:szCs w:val="24"/>
                <w:highlight w:val="none"/>
                <w:lang w:val="en-US" w:eastAsia="zh-CN"/>
              </w:rPr>
              <w:t>陈学良</w:t>
            </w:r>
          </w:p>
          <w:p w14:paraId="0BEB3FF6">
            <w:pPr>
              <w:pStyle w:val="17"/>
              <w:ind w:firstLine="482" w:firstLineChars="200"/>
              <w:rPr>
                <w:rFonts w:eastAsia="宋体"/>
                <w:color w:val="auto"/>
                <w:highlight w:val="none"/>
              </w:rPr>
            </w:pPr>
            <w:r>
              <w:rPr>
                <w:rFonts w:hint="eastAsia" w:hAnsi="宋体" w:eastAsia="宋体" w:cs="宋体"/>
                <w:b/>
                <w:snapToGrid w:val="0"/>
                <w:color w:val="auto"/>
                <w:kern w:val="0"/>
                <w:sz w:val="24"/>
                <w:szCs w:val="24"/>
                <w:highlight w:val="none"/>
              </w:rPr>
              <w:t>电话：19861834499</w:t>
            </w:r>
          </w:p>
          <w:p w14:paraId="1B83C214">
            <w:pPr>
              <w:ind w:firstLine="482" w:firstLineChars="200"/>
              <w:rPr>
                <w:rFonts w:hint="eastAsia" w:ascii="宋体" w:hAnsi="宋体" w:eastAsia="宋体" w:cs="宋体"/>
                <w:bCs/>
                <w:snapToGrid w:val="0"/>
                <w:color w:val="auto"/>
                <w:kern w:val="0"/>
                <w:sz w:val="24"/>
                <w:szCs w:val="24"/>
                <w:highlight w:val="none"/>
              </w:rPr>
            </w:pPr>
            <w:r>
              <w:rPr>
                <w:rFonts w:hint="eastAsia" w:ascii="宋体" w:hAnsi="宋体" w:eastAsia="宋体" w:cs="宋体"/>
                <w:b/>
                <w:snapToGrid w:val="0"/>
                <w:color w:val="auto"/>
                <w:kern w:val="0"/>
                <w:sz w:val="24"/>
                <w:szCs w:val="24"/>
                <w:highlight w:val="none"/>
              </w:rPr>
              <w:t>邮箱：chenxueliang@sinotruk.com</w:t>
            </w:r>
          </w:p>
        </w:tc>
      </w:tr>
      <w:tr w14:paraId="6C77E1F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471FADEB">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55FEF9B">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17AD22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4E251766">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7FFF8D53">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09DDB13A">
            <w:pPr>
              <w:ind w:firstLine="482" w:firstLineChars="200"/>
              <w:rPr>
                <w:rFonts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25EFF284">
            <w:pPr>
              <w:pStyle w:val="17"/>
              <w:ind w:firstLine="482" w:firstLineChars="200"/>
              <w:rPr>
                <w:rFonts w:hint="eastAsia" w:hAnsi="宋体" w:eastAsia="宋体" w:cs="Times New Roman"/>
                <w:color w:val="000000"/>
                <w:sz w:val="24"/>
                <w:szCs w:val="24"/>
                <w:highlight w:val="yellow"/>
              </w:rPr>
            </w:pPr>
            <w:r>
              <w:rPr>
                <w:rFonts w:hint="eastAsia" w:hAnsi="宋体" w:eastAsia="宋体" w:cs="Times New Roman"/>
                <w:b/>
                <w:bCs/>
                <w:color w:val="000000"/>
                <w:sz w:val="24"/>
                <w:szCs w:val="24"/>
                <w:highlight w:val="yellow"/>
              </w:rPr>
              <w:t>投标限价</w:t>
            </w:r>
            <w:r>
              <w:rPr>
                <w:rFonts w:hint="eastAsia" w:hAnsi="宋体" w:eastAsia="宋体" w:cs="Times New Roman"/>
                <w:color w:val="000000"/>
                <w:sz w:val="24"/>
                <w:szCs w:val="24"/>
                <w:highlight w:val="yellow"/>
              </w:rPr>
              <w:t>：本次招标项目总限价94.56万元（含税）。其中</w:t>
            </w:r>
          </w:p>
          <w:p w14:paraId="2EB9F16E">
            <w:pPr>
              <w:pStyle w:val="17"/>
              <w:ind w:firstLine="480" w:firstLineChars="200"/>
              <w:rPr>
                <w:rFonts w:hint="eastAsia" w:hAnsi="宋体" w:eastAsia="宋体" w:cs="Times New Roman"/>
                <w:color w:val="000000"/>
                <w:sz w:val="24"/>
                <w:szCs w:val="24"/>
                <w:highlight w:val="yellow"/>
              </w:rPr>
            </w:pPr>
            <w:r>
              <w:rPr>
                <w:rFonts w:hint="eastAsia" w:hAnsi="宋体" w:eastAsia="宋体" w:cs="Times New Roman"/>
                <w:color w:val="000000"/>
                <w:sz w:val="24"/>
                <w:szCs w:val="24"/>
                <w:highlight w:val="yellow"/>
              </w:rPr>
              <w:t>包1：0430/0431转向节模具自制项目，限价50.77万元（含税）。</w:t>
            </w:r>
          </w:p>
          <w:p w14:paraId="7C923540">
            <w:pPr>
              <w:pStyle w:val="17"/>
              <w:ind w:firstLine="480" w:firstLineChars="200"/>
              <w:rPr>
                <w:rFonts w:eastAsia="宋体"/>
              </w:rPr>
            </w:pPr>
            <w:r>
              <w:rPr>
                <w:rFonts w:hint="eastAsia" w:hAnsi="宋体" w:eastAsia="宋体" w:cs="Times New Roman"/>
                <w:color w:val="000000"/>
                <w:sz w:val="24"/>
                <w:szCs w:val="24"/>
                <w:highlight w:val="yellow"/>
              </w:rPr>
              <w:t>包2：0428/0429转向节模具自制项目，限价43.79万元（含税）。</w:t>
            </w:r>
          </w:p>
        </w:tc>
      </w:tr>
      <w:tr w14:paraId="75CD5D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681E87AA">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764784BB">
            <w:pPr>
              <w:pStyle w:val="17"/>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2FA0B786">
            <w:pPr>
              <w:ind w:firstLine="480" w:firstLineChars="200"/>
              <w:rPr>
                <w:rFonts w:hint="eastAsia" w:ascii="宋体" w:hAnsi="宋体" w:eastAsia="宋体" w:cs="宋体"/>
                <w:b w:val="0"/>
                <w:bCs w:val="0"/>
                <w:sz w:val="24"/>
                <w:szCs w:val="24"/>
              </w:rPr>
            </w:pPr>
            <w:r>
              <w:rPr>
                <w:rFonts w:hint="eastAsia"/>
                <w:b w:val="0"/>
                <w:bCs w:val="0"/>
                <w:color w:val="auto"/>
                <w:sz w:val="24"/>
                <w:szCs w:val="24"/>
                <w:highlight w:val="none"/>
                <w:u w:val="none"/>
              </w:rPr>
              <w:t>1</w:t>
            </w:r>
            <w:r>
              <w:rPr>
                <w:rFonts w:hint="eastAsia" w:ascii="宋体" w:hAnsi="宋体" w:eastAsia="宋体" w:cs="宋体"/>
                <w:b w:val="0"/>
                <w:bCs w:val="0"/>
                <w:sz w:val="24"/>
                <w:szCs w:val="24"/>
              </w:rPr>
              <w:t>、投标人必须是独立法人机构，具有独立承担民事责任能力，投标人注册资金不低于500万元；公司成立三年以上（以营业执照成立日期到开标当日满三年为准）；且经营范围满足招标人需求；并在人员、设备、资金等方面具有承担本项目的能力。</w:t>
            </w:r>
          </w:p>
          <w:p w14:paraId="0C164AF6">
            <w:pPr>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2、投标人应具有统一社会信用代码的营业执照副本。</w:t>
            </w:r>
          </w:p>
          <w:p w14:paraId="097A4D21">
            <w:pPr>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3、经营资质具有锻造工装制作及维修等相关内容，且有锻造工装焊修制作经验。</w:t>
            </w:r>
          </w:p>
          <w:p w14:paraId="73077F16">
            <w:pPr>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4、投标人应通过GB/ISO9001</w:t>
            </w:r>
            <w:r>
              <w:rPr>
                <w:rFonts w:hint="eastAsia" w:ascii="宋体" w:hAnsi="宋体" w:eastAsia="宋体" w:cs="宋体"/>
                <w:b w:val="0"/>
                <w:bCs w:val="0"/>
                <w:sz w:val="24"/>
                <w:szCs w:val="24"/>
                <w:lang w:val="en-US" w:eastAsia="zh-CN"/>
              </w:rPr>
              <w:t>或IATF16949</w:t>
            </w:r>
            <w:r>
              <w:rPr>
                <w:rFonts w:hint="eastAsia" w:ascii="宋体" w:hAnsi="宋体" w:eastAsia="宋体" w:cs="宋体"/>
                <w:b w:val="0"/>
                <w:bCs w:val="0"/>
                <w:sz w:val="24"/>
                <w:szCs w:val="24"/>
              </w:rPr>
              <w:t>质量体系认证。</w:t>
            </w:r>
          </w:p>
          <w:p w14:paraId="661E934A">
            <w:pPr>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5、投标人在工商行政管理局的《国家企业信用信息公示系统》中查询不存在不良记录。</w:t>
            </w:r>
          </w:p>
          <w:p w14:paraId="76788EDC">
            <w:pPr>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6、投标人近三年内在经营活动中无与本项目有关的违法及重大违规情况或被列入招标人“黑名单”。</w:t>
            </w:r>
          </w:p>
          <w:p w14:paraId="5F2B6D85">
            <w:pPr>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7、</w:t>
            </w:r>
            <w:r>
              <w:rPr>
                <w:rFonts w:hint="eastAsia" w:ascii="宋体" w:hAnsi="宋体" w:eastAsia="宋体" w:cs="宋体"/>
                <w:b w:val="0"/>
                <w:bCs w:val="0"/>
                <w:sz w:val="24"/>
                <w:szCs w:val="24"/>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19EDAF5">
            <w:pPr>
              <w:ind w:firstLine="480" w:firstLineChars="200"/>
              <w:rPr>
                <w:rFonts w:hint="eastAsia" w:ascii="宋体" w:hAnsi="宋体" w:eastAsia="宋体" w:cs="宋体"/>
                <w:b w:val="0"/>
                <w:bCs w:val="0"/>
                <w:sz w:val="24"/>
                <w:szCs w:val="24"/>
              </w:rPr>
            </w:pPr>
            <w:r>
              <w:rPr>
                <w:rFonts w:hint="eastAsia" w:ascii="宋体" w:hAnsi="宋体" w:eastAsia="宋体" w:cs="宋体"/>
                <w:b w:val="0"/>
                <w:bCs w:val="0"/>
                <w:sz w:val="24"/>
                <w:szCs w:val="24"/>
              </w:rPr>
              <w:t>8、本次招标不接受联合体投标，不接受代理商投标。投标方的直接或间接股东、法定代表人、董事、监事、高管非重汽员工及其亲属。</w:t>
            </w:r>
          </w:p>
          <w:p w14:paraId="10D8F358">
            <w:pPr>
              <w:ind w:firstLine="480" w:firstLineChars="200"/>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9、投标人需提供：最近半年完税证明、信用证明材料（中国人民银行信用代码证+征信报告）；年度纳税信用评价信息（可从电子税务局查询截图）；企业对外担保说明（写明投标人单位对外有无对外担保和质押业务）。</w:t>
            </w:r>
          </w:p>
          <w:p w14:paraId="2C2DF3D4">
            <w:pPr>
              <w:ind w:firstLine="480" w:firstLineChars="200"/>
              <w:rPr>
                <w:rFonts w:hAnsi="宋体" w:eastAsia="宋体" w:cs="宋体"/>
                <w:color w:val="000000"/>
                <w:sz w:val="24"/>
                <w:szCs w:val="24"/>
              </w:rPr>
            </w:pPr>
            <w:r>
              <w:rPr>
                <w:rFonts w:hint="eastAsia" w:ascii="宋体" w:hAnsi="宋体" w:eastAsia="宋体" w:cs="宋体"/>
                <w:b w:val="0"/>
                <w:bCs w:val="0"/>
                <w:sz w:val="24"/>
                <w:szCs w:val="24"/>
                <w:lang w:val="en-US" w:eastAsia="zh-CN"/>
              </w:rPr>
              <w:t>10、</w:t>
            </w:r>
            <w:r>
              <w:rPr>
                <w:rFonts w:hint="eastAsia" w:ascii="宋体" w:hAnsi="宋体" w:eastAsia="宋体" w:cs="宋体"/>
                <w:b w:val="0"/>
                <w:bCs w:val="0"/>
                <w:sz w:val="24"/>
                <w:szCs w:val="24"/>
              </w:rPr>
              <w:t>投标人在向招标人出示投标保证金缴纳凭证后方可进行投标。</w:t>
            </w:r>
          </w:p>
        </w:tc>
      </w:tr>
      <w:tr w14:paraId="53D12A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29045C3">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166110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1A55503F">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55F440A6">
            <w:pPr>
              <w:ind w:firstLine="482" w:firstLineChars="200"/>
              <w:rPr>
                <w:rFonts w:ascii="宋体" w:hAnsi="宋体" w:eastAsia="宋体" w:cs="宋体"/>
                <w:sz w:val="24"/>
                <w:szCs w:val="24"/>
              </w:rPr>
            </w:pPr>
            <w:r>
              <w:rPr>
                <w:rFonts w:hint="eastAsia" w:ascii="宋体" w:hAnsi="宋体" w:eastAsia="宋体" w:cs="宋体"/>
                <w:b/>
                <w:bCs/>
                <w:sz w:val="24"/>
                <w:szCs w:val="24"/>
                <w:highlight w:val="yellow"/>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16</w:t>
            </w:r>
            <w:r>
              <w:rPr>
                <w:rFonts w:hint="eastAsia" w:ascii="宋体" w:hAnsi="宋体" w:eastAsia="宋体" w:cs="宋体"/>
                <w:bCs/>
                <w:sz w:val="24"/>
                <w:szCs w:val="24"/>
                <w:highlight w:val="yellow"/>
              </w:rPr>
              <w:t>日;</w:t>
            </w:r>
          </w:p>
        </w:tc>
      </w:tr>
      <w:tr w14:paraId="3EEE72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24B928F7">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6E654AAB">
            <w:pPr>
              <w:ind w:firstLine="482" w:firstLineChars="200"/>
              <w:rPr>
                <w:rFonts w:ascii="宋体" w:hAnsi="宋体" w:eastAsia="宋体" w:cs="宋体"/>
                <w:sz w:val="24"/>
                <w:szCs w:val="24"/>
              </w:rPr>
            </w:pPr>
            <w:r>
              <w:rPr>
                <w:rFonts w:hint="eastAsia" w:ascii="宋体" w:hAnsi="宋体" w:eastAsia="宋体" w:cs="宋体"/>
                <w:b/>
                <w:sz w:val="24"/>
                <w:szCs w:val="24"/>
                <w:highlight w:val="yellow"/>
              </w:rPr>
              <w:t>发标方式：</w:t>
            </w:r>
            <w:r>
              <w:rPr>
                <w:rFonts w:ascii="宋体" w:hAnsi="宋体" w:eastAsia="宋体" w:cs="宋体"/>
                <w:sz w:val="24"/>
                <w:szCs w:val="24"/>
                <w:highlight w:val="yellow"/>
              </w:rPr>
              <w:t>中国重汽官网</w:t>
            </w:r>
          </w:p>
        </w:tc>
      </w:tr>
      <w:tr w14:paraId="630453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5C9D97D5">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4D6AE88">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5AF25D50">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26</w:t>
            </w:r>
            <w:r>
              <w:rPr>
                <w:rFonts w:hint="eastAsia" w:ascii="宋体" w:hAnsi="宋体" w:eastAsia="宋体" w:cs="宋体"/>
                <w:bCs/>
                <w:sz w:val="24"/>
                <w:szCs w:val="24"/>
                <w:highlight w:val="yellow"/>
              </w:rPr>
              <w:t>日</w:t>
            </w:r>
            <w:r>
              <w:rPr>
                <w:rFonts w:hint="eastAsia" w:ascii="宋体" w:hAnsi="宋体" w:eastAsia="宋体" w:cs="宋体"/>
                <w:bCs/>
                <w:sz w:val="24"/>
                <w:szCs w:val="24"/>
              </w:rPr>
              <w:t>12:00前；</w:t>
            </w:r>
          </w:p>
          <w:p w14:paraId="1EF2B1F6">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5FA1F36C">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58FC3B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381353FB">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8898B37">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2025年</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27</w:t>
            </w:r>
            <w:r>
              <w:rPr>
                <w:rFonts w:hint="eastAsia" w:ascii="宋体" w:hAnsi="宋体" w:eastAsia="宋体" w:cs="宋体"/>
                <w:sz w:val="24"/>
                <w:szCs w:val="24"/>
                <w:highlight w:val="yellow"/>
              </w:rPr>
              <w:t>日17:00前</w:t>
            </w:r>
            <w:r>
              <w:rPr>
                <w:rFonts w:hint="eastAsia" w:ascii="宋体" w:hAnsi="宋体" w:eastAsia="宋体" w:cs="宋体"/>
                <w:sz w:val="24"/>
                <w:szCs w:val="24"/>
              </w:rPr>
              <w:t>；</w:t>
            </w:r>
          </w:p>
          <w:p w14:paraId="2FAE9E50">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56A00F0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5F715ED2">
            <w:pPr>
              <w:jc w:val="center"/>
              <w:rPr>
                <w:rFonts w:ascii="宋体" w:hAnsi="宋体" w:eastAsia="宋体" w:cs="宋体"/>
                <w:b/>
                <w:bCs/>
                <w:sz w:val="24"/>
                <w:szCs w:val="24"/>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1B4F91FB">
            <w:pPr>
              <w:pStyle w:val="111"/>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14:paraId="1B64924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556DF010">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759F7232">
            <w:pPr>
              <w:pStyle w:val="111"/>
              <w:spacing w:line="240" w:lineRule="auto"/>
              <w:ind w:firstLine="482"/>
              <w:rPr>
                <w:rFonts w:eastAsia="宋体" w:cs="宋体"/>
                <w:highlight w:val="red"/>
              </w:rPr>
            </w:pPr>
            <w:r>
              <w:rPr>
                <w:rFonts w:hint="eastAsia" w:eastAsia="宋体" w:cs="宋体"/>
                <w:b/>
                <w:bCs/>
              </w:rPr>
              <w:t>应标截止时间：</w:t>
            </w:r>
            <w:r>
              <w:rPr>
                <w:rFonts w:hint="eastAsia" w:eastAsia="宋体" w:cs="宋体"/>
                <w:highlight w:val="yellow"/>
              </w:rPr>
              <w:t>2025年</w:t>
            </w:r>
            <w:r>
              <w:rPr>
                <w:rFonts w:hint="eastAsia" w:eastAsia="宋体" w:cs="宋体"/>
                <w:highlight w:val="yellow"/>
                <w:lang w:val="en-US" w:eastAsia="zh-CN"/>
              </w:rPr>
              <w:t>10</w:t>
            </w:r>
            <w:r>
              <w:rPr>
                <w:rFonts w:hint="eastAsia" w:eastAsia="宋体" w:cs="宋体"/>
                <w:highlight w:val="yellow"/>
              </w:rPr>
              <w:t>月</w:t>
            </w:r>
            <w:r>
              <w:rPr>
                <w:rFonts w:hint="eastAsia" w:eastAsia="宋体" w:cs="宋体"/>
                <w:highlight w:val="yellow"/>
                <w:lang w:val="en-US" w:eastAsia="zh-CN"/>
              </w:rPr>
              <w:t>22</w:t>
            </w:r>
            <w:r>
              <w:rPr>
                <w:rFonts w:hint="eastAsia" w:eastAsia="宋体" w:cs="宋体"/>
                <w:highlight w:val="yellow"/>
              </w:rPr>
              <w:t>日17时00分00秒</w:t>
            </w:r>
          </w:p>
          <w:p w14:paraId="00ECE6F2">
            <w:pPr>
              <w:pStyle w:val="111"/>
              <w:spacing w:line="240" w:lineRule="auto"/>
              <w:ind w:firstLine="482"/>
              <w:rPr>
                <w:rFonts w:eastAsia="宋体" w:cs="宋体"/>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1F274D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C4C88C1">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36238A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41C515B1">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0DDF2D4">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投标文件（电子版为纸质盖章版的扫描件），均由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1DB98C74">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724E0505">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1E5CAA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0C8809B0">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59E86812">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43ED7127">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rPr>
              <w:t>正本一份，副本二份</w:t>
            </w:r>
            <w:r>
              <w:rPr>
                <w:rFonts w:hint="eastAsia" w:ascii="宋体" w:hAnsi="宋体" w:eastAsia="宋体" w:cs="宋体"/>
                <w:b/>
                <w:sz w:val="24"/>
                <w:szCs w:val="24"/>
                <w:lang w:eastAsia="zh-CN"/>
              </w:rPr>
              <w:t>，</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071AAD41">
            <w:pPr>
              <w:pStyle w:val="17"/>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14:paraId="2575400D">
            <w:pPr>
              <w:pStyle w:val="17"/>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14:paraId="1E26F75C">
            <w:pPr>
              <w:pStyle w:val="17"/>
              <w:rPr>
                <w:rFonts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hAnsi="宋体" w:eastAsia="宋体" w:cs="Times New Roman"/>
                <w:color w:val="000000"/>
                <w:sz w:val="24"/>
                <w:szCs w:val="24"/>
              </w:rPr>
              <w:t>山东省济南市历城区华奥路</w:t>
            </w:r>
            <w:r>
              <w:rPr>
                <w:rFonts w:hAnsi="宋体" w:eastAsia="宋体" w:cs="Times New Roman"/>
                <w:color w:val="000000"/>
                <w:sz w:val="24"/>
                <w:szCs w:val="24"/>
              </w:rPr>
              <w:t>777</w:t>
            </w:r>
            <w:r>
              <w:rPr>
                <w:rFonts w:hint="eastAsia" w:hAnsi="宋体" w:eastAsia="宋体" w:cs="Times New Roman"/>
                <w:color w:val="000000"/>
                <w:sz w:val="24"/>
                <w:szCs w:val="24"/>
              </w:rPr>
              <w:t>号</w:t>
            </w:r>
          </w:p>
          <w:p w14:paraId="57EC4695">
            <w:pPr>
              <w:pStyle w:val="17"/>
              <w:rPr>
                <w:rFonts w:hAnsi="宋体" w:eastAsia="宋体" w:cs="Times New Roman"/>
                <w:color w:val="000000"/>
                <w:sz w:val="24"/>
                <w:szCs w:val="24"/>
              </w:rPr>
            </w:pPr>
            <w:r>
              <w:rPr>
                <w:rFonts w:hint="eastAsia" w:hAnsi="宋体" w:eastAsia="宋体" w:cs="Times New Roman"/>
                <w:b/>
                <w:bCs/>
                <w:color w:val="000000"/>
                <w:sz w:val="24"/>
                <w:szCs w:val="24"/>
              </w:rPr>
              <w:t>联系人及联系方式：</w:t>
            </w:r>
            <w:r>
              <w:rPr>
                <w:rFonts w:hint="eastAsia" w:ascii="Times New Roman" w:hAnsi="Times New Roman" w:eastAsia="宋体" w:cs="Times New Roman"/>
                <w:color w:val="000000"/>
                <w:sz w:val="24"/>
                <w:szCs w:val="24"/>
              </w:rPr>
              <w:t>苏启蒙/15566332237</w:t>
            </w:r>
          </w:p>
        </w:tc>
      </w:tr>
      <w:tr w14:paraId="05905F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64145107">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7A756AD5">
            <w:pPr>
              <w:pStyle w:val="17"/>
              <w:ind w:firstLine="482" w:firstLineChars="200"/>
              <w:rPr>
                <w:rFonts w:hAnsi="宋体" w:eastAsia="宋体" w:cs="宋体"/>
                <w:b/>
                <w:bCs/>
                <w:sz w:val="24"/>
                <w:szCs w:val="24"/>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tc>
      </w:tr>
      <w:tr w14:paraId="7C263CA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0EB7D6AD">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3DB35BDA">
            <w:pPr>
              <w:pStyle w:val="4"/>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24D78C18">
            <w:pPr>
              <w:pStyle w:val="17"/>
              <w:ind w:firstLine="482" w:firstLineChars="200"/>
              <w:rPr>
                <w:rFonts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14:paraId="24B3532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1F19487">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0BDBF25C">
            <w:pPr>
              <w:pStyle w:val="17"/>
              <w:ind w:firstLine="482" w:firstLineChars="200"/>
              <w:rPr>
                <w:rFonts w:hAnsi="宋体" w:eastAsia="宋体" w:cs="宋体"/>
                <w:sz w:val="24"/>
                <w:szCs w:val="24"/>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2025年</w:t>
            </w:r>
            <w:r>
              <w:rPr>
                <w:rFonts w:hint="eastAsia" w:hAnsi="宋体" w:eastAsia="宋体" w:cs="宋体"/>
                <w:sz w:val="24"/>
                <w:szCs w:val="24"/>
                <w:highlight w:val="yellow"/>
                <w:u w:val="single"/>
                <w:lang w:val="en-US" w:eastAsia="zh-CN"/>
              </w:rPr>
              <w:t>11</w:t>
            </w:r>
            <w:r>
              <w:rPr>
                <w:rFonts w:hint="eastAsia" w:hAnsi="宋体" w:eastAsia="宋体" w:cs="宋体"/>
                <w:sz w:val="24"/>
                <w:szCs w:val="24"/>
                <w:highlight w:val="yellow"/>
                <w:u w:val="single"/>
              </w:rPr>
              <w:t>月</w:t>
            </w:r>
            <w:r>
              <w:rPr>
                <w:rFonts w:hint="eastAsia" w:hAnsi="宋体" w:eastAsia="宋体" w:cs="宋体"/>
                <w:sz w:val="24"/>
                <w:szCs w:val="24"/>
                <w:highlight w:val="yellow"/>
                <w:u w:val="single"/>
                <w:lang w:val="en-US" w:eastAsia="zh-CN"/>
              </w:rPr>
              <w:t>6</w:t>
            </w:r>
            <w:r>
              <w:rPr>
                <w:rFonts w:hint="eastAsia" w:hAnsi="宋体" w:eastAsia="宋体" w:cs="宋体"/>
                <w:sz w:val="24"/>
                <w:szCs w:val="24"/>
                <w:highlight w:val="yellow"/>
              </w:rPr>
              <w:t>日</w:t>
            </w:r>
            <w:r>
              <w:rPr>
                <w:rFonts w:hint="eastAsia" w:hAnsi="宋体" w:eastAsia="宋体" w:cs="宋体"/>
                <w:kern w:val="0"/>
                <w:sz w:val="24"/>
                <w:szCs w:val="24"/>
                <w:highlight w:val="yellow"/>
              </w:rPr>
              <w:t>上午</w:t>
            </w:r>
            <w:r>
              <w:rPr>
                <w:rFonts w:hint="eastAsia" w:hAnsi="宋体" w:eastAsia="宋体" w:cs="宋体"/>
                <w:kern w:val="0"/>
                <w:sz w:val="24"/>
                <w:szCs w:val="24"/>
                <w:highlight w:val="yellow"/>
                <w:lang w:val="en-US" w:eastAsia="zh-CN"/>
              </w:rPr>
              <w:t>8</w:t>
            </w:r>
            <w:r>
              <w:rPr>
                <w:rFonts w:hint="eastAsia" w:hAnsi="宋体" w:eastAsia="宋体" w:cs="宋体"/>
                <w:sz w:val="24"/>
                <w:szCs w:val="24"/>
                <w:highlight w:val="yellow"/>
              </w:rPr>
              <w:t>:00:00</w:t>
            </w:r>
            <w:r>
              <w:rPr>
                <w:rFonts w:hint="eastAsia" w:hAnsi="宋体" w:eastAsia="宋体" w:cs="宋体"/>
                <w:sz w:val="24"/>
                <w:szCs w:val="24"/>
              </w:rPr>
              <w:t>（北京时间）</w:t>
            </w:r>
          </w:p>
          <w:p w14:paraId="0FED7BCE">
            <w:pPr>
              <w:pStyle w:val="17"/>
              <w:ind w:firstLine="482" w:firstLineChars="200"/>
              <w:rPr>
                <w:rFonts w:hAnsi="宋体" w:eastAsia="宋体" w:cs="宋体"/>
                <w:sz w:val="24"/>
                <w:szCs w:val="24"/>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3E9692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0E898CF5">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4DF156AA">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7EB85F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17C0AD5">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4D12DB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02400DD3">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6E5EFCBD">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71C23E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677B52DA">
            <w:pPr>
              <w:jc w:val="center"/>
              <w:rPr>
                <w:rFonts w:ascii="宋体" w:hAnsi="宋体" w:eastAsia="宋体" w:cs="宋体"/>
                <w:sz w:val="24"/>
                <w:szCs w:val="24"/>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21390C5E">
            <w:pPr>
              <w:pStyle w:val="35"/>
              <w:spacing w:after="0" w:line="240" w:lineRule="auto"/>
              <w:ind w:left="0" w:leftChars="0" w:firstLine="480"/>
              <w:rPr>
                <w:rFonts w:ascii="宋体" w:hAnsi="宋体" w:cs="宋体"/>
                <w:color w:val="auto"/>
                <w:sz w:val="24"/>
                <w:szCs w:val="24"/>
                <w:highlight w:val="yellow"/>
              </w:rPr>
            </w:pPr>
            <w:r>
              <w:rPr>
                <w:rFonts w:hint="eastAsia" w:ascii="宋体" w:hAnsi="宋体" w:cs="宋体"/>
                <w:color w:val="auto"/>
                <w:sz w:val="24"/>
                <w:szCs w:val="24"/>
                <w:highlight w:val="yellow"/>
              </w:rPr>
              <w:t>投标保证金的金额：人民币</w:t>
            </w:r>
            <w:r>
              <w:rPr>
                <w:rFonts w:hint="eastAsia" w:ascii="宋体" w:hAnsi="宋体" w:cs="宋体"/>
                <w:color w:val="auto"/>
                <w:sz w:val="24"/>
                <w:szCs w:val="24"/>
                <w:highlight w:val="yellow"/>
                <w:lang w:val="en-US" w:eastAsia="zh-CN"/>
              </w:rPr>
              <w:t>10000</w:t>
            </w:r>
            <w:r>
              <w:rPr>
                <w:rFonts w:hint="eastAsia" w:ascii="宋体" w:hAnsi="宋体" w:cs="宋体"/>
                <w:color w:val="auto"/>
                <w:sz w:val="24"/>
                <w:szCs w:val="24"/>
                <w:highlight w:val="yellow"/>
              </w:rPr>
              <w:t>元</w:t>
            </w:r>
          </w:p>
          <w:p w14:paraId="6D59A330">
            <w:pPr>
              <w:pStyle w:val="35"/>
              <w:spacing w:after="0" w:line="240" w:lineRule="auto"/>
              <w:ind w:left="0" w:leftChars="0" w:firstLine="480"/>
              <w:rPr>
                <w:rFonts w:hint="eastAsia" w:ascii="宋体" w:hAnsi="宋体" w:eastAsia="宋体" w:cs="宋体"/>
                <w:color w:val="auto"/>
                <w:sz w:val="24"/>
                <w:szCs w:val="24"/>
                <w:highlight w:val="yellow"/>
                <w:lang w:eastAsia="zh-CN"/>
              </w:rPr>
            </w:pPr>
            <w:r>
              <w:rPr>
                <w:rFonts w:hint="eastAsia" w:ascii="宋体" w:hAnsi="宋体" w:cs="宋体"/>
                <w:color w:val="auto"/>
                <w:sz w:val="24"/>
                <w:szCs w:val="24"/>
                <w:highlight w:val="yellow"/>
              </w:rPr>
              <w:t>开户名称：</w:t>
            </w:r>
            <w:r>
              <w:rPr>
                <w:rFonts w:hint="eastAsia" w:ascii="宋体" w:hAnsi="宋体" w:cs="宋体"/>
                <w:color w:val="auto"/>
                <w:sz w:val="24"/>
                <w:szCs w:val="24"/>
                <w:highlight w:val="yellow"/>
                <w:lang w:eastAsia="zh-CN"/>
              </w:rPr>
              <w:t>中国重汽集团济南</w:t>
            </w:r>
            <w:r>
              <w:rPr>
                <w:rFonts w:hint="eastAsia" w:ascii="宋体" w:hAnsi="宋体" w:cs="宋体"/>
                <w:color w:val="auto"/>
                <w:sz w:val="24"/>
                <w:szCs w:val="24"/>
                <w:highlight w:val="yellow"/>
                <w:lang w:val="en-US" w:eastAsia="zh-CN"/>
              </w:rPr>
              <w:t>动力</w:t>
            </w:r>
            <w:r>
              <w:rPr>
                <w:rFonts w:hint="eastAsia" w:ascii="宋体" w:hAnsi="宋体" w:cs="宋体"/>
                <w:color w:val="auto"/>
                <w:sz w:val="24"/>
                <w:szCs w:val="24"/>
                <w:highlight w:val="yellow"/>
                <w:lang w:eastAsia="zh-CN"/>
              </w:rPr>
              <w:t>有限公司</w:t>
            </w:r>
          </w:p>
          <w:p w14:paraId="01FF7AD6">
            <w:pPr>
              <w:pStyle w:val="35"/>
              <w:spacing w:after="0" w:line="240" w:lineRule="auto"/>
              <w:ind w:left="0" w:leftChars="0" w:firstLine="480"/>
              <w:rPr>
                <w:rFonts w:hint="eastAsia" w:ascii="宋体" w:hAnsi="宋体" w:cs="宋体"/>
                <w:color w:val="auto"/>
                <w:sz w:val="24"/>
                <w:szCs w:val="24"/>
                <w:highlight w:val="yellow"/>
              </w:rPr>
            </w:pPr>
            <w:r>
              <w:rPr>
                <w:rFonts w:hint="eastAsia" w:ascii="宋体" w:hAnsi="宋体" w:cs="宋体"/>
                <w:color w:val="auto"/>
                <w:sz w:val="24"/>
                <w:szCs w:val="24"/>
                <w:highlight w:val="yellow"/>
              </w:rPr>
              <w:t>开户银行：</w:t>
            </w:r>
            <w:r>
              <w:rPr>
                <w:rFonts w:ascii="宋体" w:hAnsi="宋体" w:eastAsia="宋体" w:cs="宋体"/>
                <w:color w:val="auto"/>
                <w:sz w:val="24"/>
                <w:szCs w:val="24"/>
                <w:highlight w:val="yellow"/>
              </w:rPr>
              <w:t>中国建设银行股份有限公司济南天桥支行</w:t>
            </w:r>
          </w:p>
          <w:p w14:paraId="19F91183">
            <w:pPr>
              <w:pStyle w:val="35"/>
              <w:spacing w:after="0" w:line="240" w:lineRule="auto"/>
              <w:ind w:left="0" w:leftChars="0" w:firstLine="480"/>
              <w:rPr>
                <w:rFonts w:hint="eastAsia" w:ascii="宋体" w:hAnsi="宋体" w:cs="宋体"/>
                <w:color w:val="auto"/>
                <w:sz w:val="24"/>
                <w:szCs w:val="24"/>
                <w:highlight w:val="yellow"/>
              </w:rPr>
            </w:pPr>
            <w:r>
              <w:rPr>
                <w:rFonts w:hint="eastAsia" w:ascii="宋体" w:hAnsi="宋体" w:cs="宋体"/>
                <w:color w:val="auto"/>
                <w:sz w:val="24"/>
                <w:szCs w:val="24"/>
                <w:highlight w:val="yellow"/>
              </w:rPr>
              <w:t>银行帐号：37001616508050150300</w:t>
            </w:r>
          </w:p>
          <w:p w14:paraId="63B63AC8">
            <w:pPr>
              <w:pStyle w:val="35"/>
              <w:spacing w:after="0" w:line="240" w:lineRule="auto"/>
              <w:ind w:left="0" w:leftChars="0" w:firstLine="480"/>
              <w:rPr>
                <w:rFonts w:hint="eastAsia" w:ascii="宋体" w:hAnsi="宋体" w:cs="宋体"/>
                <w:color w:val="auto"/>
                <w:sz w:val="24"/>
                <w:szCs w:val="24"/>
                <w:highlight w:val="yellow"/>
              </w:rPr>
            </w:pPr>
            <w:r>
              <w:rPr>
                <w:rFonts w:hint="eastAsia" w:ascii="宋体" w:hAnsi="宋体" w:cs="宋体"/>
                <w:color w:val="auto"/>
                <w:sz w:val="24"/>
                <w:szCs w:val="24"/>
                <w:highlight w:val="yellow"/>
              </w:rPr>
              <w:t>开户行行号：105451000362</w:t>
            </w:r>
            <w:bookmarkStart w:id="43" w:name="_GoBack"/>
            <w:bookmarkEnd w:id="43"/>
          </w:p>
          <w:p w14:paraId="06A735F0">
            <w:pPr>
              <w:pStyle w:val="35"/>
              <w:spacing w:after="0" w:line="240" w:lineRule="auto"/>
              <w:ind w:left="0" w:leftChars="0" w:firstLine="480"/>
              <w:rPr>
                <w:rFonts w:ascii="宋体" w:hAnsi="宋体" w:cs="宋体"/>
                <w:color w:val="auto"/>
                <w:sz w:val="24"/>
                <w:szCs w:val="24"/>
                <w:highlight w:val="yellow"/>
              </w:rPr>
            </w:pPr>
            <w:r>
              <w:rPr>
                <w:rFonts w:hint="eastAsia" w:ascii="宋体" w:hAnsi="宋体" w:cs="宋体"/>
                <w:color w:val="auto"/>
                <w:sz w:val="24"/>
                <w:szCs w:val="24"/>
                <w:highlight w:val="yellow"/>
              </w:rPr>
              <w:t>投标保证金应从投标人基本账户转出至上述账户并到账，否则视为无效投标。</w:t>
            </w:r>
          </w:p>
          <w:p w14:paraId="0A585A9B">
            <w:pPr>
              <w:ind w:firstLine="480" w:firstLineChars="200"/>
              <w:rPr>
                <w:rFonts w:ascii="宋体" w:hAnsi="宋体" w:eastAsia="宋体" w:cs="宋体"/>
                <w:sz w:val="24"/>
                <w:szCs w:val="24"/>
              </w:rPr>
            </w:pPr>
            <w:r>
              <w:rPr>
                <w:rFonts w:hint="eastAsia" w:ascii="宋体" w:hAnsi="宋体" w:cs="宋体"/>
                <w:color w:val="auto"/>
                <w:sz w:val="24"/>
                <w:szCs w:val="24"/>
                <w:highlight w:val="yellow"/>
              </w:rPr>
              <w:t>Ⅱ.</w:t>
            </w:r>
            <w:r>
              <w:rPr>
                <w:rFonts w:hint="eastAsia" w:ascii="宋体" w:hAnsi="宋体" w:eastAsia="宋体" w:cs="宋体"/>
                <w:color w:val="auto"/>
                <w:kern w:val="2"/>
                <w:sz w:val="24"/>
                <w:szCs w:val="24"/>
                <w:highlight w:val="yellow"/>
                <w:lang w:val="en-US" w:eastAsia="zh-CN" w:bidi="ar-SA"/>
              </w:rPr>
              <w:t>转账附言：公司名称+项目名称+投标保证金（方便后期核对退款）</w:t>
            </w:r>
          </w:p>
        </w:tc>
      </w:tr>
      <w:tr w14:paraId="4B428B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43EF830E">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5683886D">
            <w:pPr>
              <w:pStyle w:val="35"/>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2025年</w:t>
            </w:r>
            <w:r>
              <w:rPr>
                <w:rFonts w:hint="eastAsia" w:ascii="宋体" w:hAnsi="宋体" w:cs="宋体"/>
                <w:sz w:val="24"/>
                <w:szCs w:val="24"/>
                <w:highlight w:val="yellow"/>
                <w:lang w:val="en-US" w:eastAsia="zh-CN"/>
              </w:rPr>
              <w:t>10</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21</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r>
              <w:rPr>
                <w:rFonts w:hint="eastAsia" w:ascii="宋体" w:hAnsi="宋体" w:cs="宋体"/>
                <w:sz w:val="24"/>
                <w:szCs w:val="24"/>
              </w:rPr>
              <w:t>（同应标截止时间）</w:t>
            </w:r>
          </w:p>
          <w:p w14:paraId="0F159D5C">
            <w:pPr>
              <w:pStyle w:val="35"/>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528577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52E0D12C">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15C570CF">
            <w:pPr>
              <w:pStyle w:val="35"/>
              <w:spacing w:after="0" w:line="240" w:lineRule="auto"/>
              <w:ind w:left="0" w:leftChars="0" w:firstLine="480"/>
              <w:rPr>
                <w:rFonts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18911E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53E0D4D">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1E962F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12478686">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5D006BE4">
            <w:pPr>
              <w:ind w:firstLine="482" w:firstLineChars="200"/>
              <w:rPr>
                <w:rFonts w:ascii="宋体" w:hAnsi="宋体" w:eastAsia="宋体" w:cs="宋体"/>
                <w:sz w:val="24"/>
                <w:szCs w:val="24"/>
                <w:highlight w:val="yellow"/>
              </w:rPr>
            </w:pPr>
            <w:r>
              <w:rPr>
                <w:rFonts w:hint="eastAsia" w:ascii="宋体" w:hAnsi="宋体" w:eastAsia="宋体" w:cs="宋体"/>
                <w:b/>
                <w:bCs/>
                <w:sz w:val="24"/>
                <w:szCs w:val="24"/>
              </w:rPr>
              <w:t>开标时间：</w:t>
            </w:r>
            <w:r>
              <w:rPr>
                <w:rFonts w:hint="eastAsia" w:ascii="宋体" w:hAnsi="宋体" w:eastAsia="宋体" w:cs="宋体"/>
                <w:sz w:val="24"/>
                <w:szCs w:val="24"/>
                <w:highlight w:val="yellow"/>
              </w:rPr>
              <w:t>2025年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6</w:t>
            </w:r>
            <w:r>
              <w:rPr>
                <w:rFonts w:hint="eastAsia" w:ascii="宋体" w:hAnsi="宋体" w:cs="宋体"/>
                <w:sz w:val="24"/>
                <w:szCs w:val="24"/>
                <w:highlight w:val="yellow"/>
              </w:rPr>
              <w:t>日9:00:00</w:t>
            </w:r>
            <w:r>
              <w:rPr>
                <w:rFonts w:hint="eastAsia" w:ascii="宋体" w:hAnsi="宋体" w:eastAsia="宋体" w:cs="宋体"/>
                <w:kern w:val="0"/>
                <w:sz w:val="24"/>
                <w:szCs w:val="24"/>
                <w:highlight w:val="yellow"/>
              </w:rPr>
              <w:t>。</w:t>
            </w:r>
          </w:p>
          <w:p w14:paraId="7437DFEB">
            <w:pPr>
              <w:ind w:firstLine="482" w:firstLineChars="200"/>
              <w:rPr>
                <w:rFonts w:ascii="宋体" w:hAnsi="宋体" w:eastAsia="宋体" w:cs="宋体"/>
                <w:sz w:val="24"/>
                <w:szCs w:val="24"/>
              </w:rPr>
            </w:pPr>
            <w:r>
              <w:rPr>
                <w:rFonts w:hint="eastAsia" w:ascii="宋体" w:hAnsi="宋体" w:eastAsia="宋体" w:cs="宋体"/>
                <w:b/>
                <w:bCs/>
                <w:sz w:val="24"/>
                <w:szCs w:val="24"/>
                <w:highlight w:val="yellow"/>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highlight w:val="yellow"/>
                <w:lang w:val="en-US" w:eastAsia="zh-CN"/>
              </w:rPr>
              <w:t>3</w:t>
            </w:r>
            <w:r>
              <w:rPr>
                <w:rFonts w:hint="eastAsia" w:ascii="宋体" w:hAnsi="宋体" w:eastAsia="宋体" w:cs="宋体"/>
                <w:sz w:val="24"/>
                <w:szCs w:val="24"/>
                <w:highlight w:val="yellow"/>
              </w:rPr>
              <w:t>楼会议室。</w:t>
            </w:r>
          </w:p>
        </w:tc>
      </w:tr>
      <w:tr w14:paraId="0604E9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29FDE9B">
            <w:pPr>
              <w:jc w:val="center"/>
              <w:rPr>
                <w:rFonts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4A2B9BCD">
            <w:pPr>
              <w:pStyle w:val="12"/>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rPr>
              <w:t>资质标审核</w:t>
            </w:r>
            <w:bookmarkStart w:id="4" w:name="OLE_LINK2"/>
            <w:r>
              <w:rPr>
                <w:rFonts w:hint="eastAsia" w:ascii="宋体" w:hAnsi="宋体" w:eastAsia="宋体" w:cs="宋体"/>
                <w:b/>
                <w:bCs/>
                <w:sz w:val="24"/>
                <w:szCs w:val="24"/>
              </w:rPr>
              <w:t>→</w:t>
            </w:r>
            <w:bookmarkEnd w:id="4"/>
            <w:r>
              <w:rPr>
                <w:rFonts w:hint="eastAsia" w:ascii="宋体" w:hAnsi="宋体" w:eastAsia="宋体" w:cs="宋体"/>
                <w:b/>
                <w:bCs/>
                <w:sz w:val="24"/>
                <w:szCs w:val="24"/>
              </w:rPr>
              <w:t>唱标→技术标评审→商务标评审</w:t>
            </w:r>
            <w:r>
              <w:rPr>
                <w:rFonts w:hint="eastAsia" w:ascii="宋体" w:hAnsi="宋体" w:eastAsia="宋体" w:cs="宋体"/>
                <w:b/>
                <w:bCs/>
                <w:sz w:val="24"/>
                <w:szCs w:val="24"/>
                <w:highlight w:val="yellow"/>
              </w:rPr>
              <w:t>。</w:t>
            </w:r>
            <w:r>
              <w:rPr>
                <w:rFonts w:hint="eastAsia" w:ascii="宋体" w:hAnsi="宋体" w:eastAsia="宋体" w:cs="宋体"/>
                <w:b/>
                <w:bCs/>
                <w:sz w:val="24"/>
                <w:szCs w:val="24"/>
                <w:highlight w:val="yellow"/>
                <w:lang w:val="en-US" w:eastAsia="zh-CN"/>
              </w:rPr>
              <w:t>资质</w:t>
            </w:r>
            <w:r>
              <w:rPr>
                <w:rFonts w:hint="eastAsia" w:ascii="宋体" w:hAnsi="宋体" w:eastAsia="宋体" w:cs="宋体"/>
                <w:b/>
                <w:bCs/>
                <w:sz w:val="24"/>
                <w:szCs w:val="24"/>
                <w:highlight w:val="yellow"/>
              </w:rPr>
              <w:t>入围后，原则上合理最低价中标。</w:t>
            </w:r>
            <w:r>
              <w:rPr>
                <w:rFonts w:hint="eastAsia" w:ascii="宋体" w:hAnsi="宋体" w:eastAsia="宋体" w:cs="宋体"/>
                <w:sz w:val="24"/>
                <w:szCs w:val="24"/>
              </w:rPr>
              <w:t>具体详见“第二部分投标须知第六条：评标原则”。</w:t>
            </w:r>
          </w:p>
        </w:tc>
      </w:tr>
      <w:tr w14:paraId="737F24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8C5400">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2A263D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FA8D5B6">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3B1B8767">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14:paraId="4A4E83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81720B5">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39E7715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411FD3A7">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7D079524">
            <w:pPr>
              <w:pStyle w:val="17"/>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52985AFD">
            <w:pPr>
              <w:pStyle w:val="17"/>
              <w:ind w:firstLine="480" w:firstLineChars="200"/>
              <w:rPr>
                <w:rFonts w:hAnsi="宋体" w:eastAsia="宋体" w:cs="宋体"/>
                <w:color w:val="000000"/>
                <w:sz w:val="24"/>
                <w:szCs w:val="24"/>
              </w:rPr>
            </w:pPr>
            <w:r>
              <w:rPr>
                <w:rFonts w:hint="eastAsia" w:ascii="宋体" w:hAnsi="宋体" w:eastAsia="宋体" w:cs="宋体"/>
                <w:color w:val="auto"/>
                <w:sz w:val="24"/>
                <w:highlight w:val="none"/>
                <w:u w:val="none"/>
                <w:lang w:val="en-US" w:eastAsia="zh-CN"/>
              </w:rPr>
              <w:t>以实际派工日期开始计算，35天内完成模具制作</w:t>
            </w:r>
            <w:r>
              <w:rPr>
                <w:rFonts w:hint="eastAsia" w:hAnsi="宋体" w:eastAsia="宋体" w:cs="宋体"/>
                <w:color w:val="000000"/>
                <w:sz w:val="24"/>
                <w:szCs w:val="24"/>
              </w:rPr>
              <w:t>。</w:t>
            </w:r>
          </w:p>
        </w:tc>
      </w:tr>
      <w:tr w14:paraId="179FCD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EF3800C">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5E845913">
            <w:pPr>
              <w:pStyle w:val="17"/>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165A0C8A">
            <w:pPr>
              <w:pStyle w:val="17"/>
              <w:ind w:firstLine="482" w:firstLineChars="200"/>
              <w:rPr>
                <w:rFonts w:hint="default" w:hAnsi="宋体" w:eastAsia="宋体" w:cs="宋体"/>
                <w:color w:val="000000"/>
                <w:sz w:val="24"/>
                <w:szCs w:val="24"/>
                <w:lang w:val="en-US"/>
              </w:rPr>
            </w:pPr>
            <w:r>
              <w:rPr>
                <w:rFonts w:hint="eastAsia" w:hAnsi="宋体" w:eastAsia="宋体" w:cs="宋体"/>
                <w:b/>
                <w:bCs/>
                <w:color w:val="000000"/>
                <w:sz w:val="24"/>
                <w:szCs w:val="24"/>
              </w:rPr>
              <w:t>交货地点：：</w:t>
            </w:r>
            <w:r>
              <w:rPr>
                <w:rFonts w:hint="eastAsia" w:hAnsi="宋体" w:eastAsia="宋体" w:cs="宋体"/>
                <w:sz w:val="24"/>
                <w:szCs w:val="24"/>
                <w:lang w:val="en-US" w:eastAsia="zh-CN"/>
              </w:rPr>
              <w:t>章丘区世纪大道6677号</w:t>
            </w:r>
            <w:r>
              <w:rPr>
                <w:rFonts w:hint="eastAsia" w:hAnsi="宋体" w:eastAsia="宋体" w:cs="宋体"/>
                <w:sz w:val="24"/>
                <w:szCs w:val="24"/>
                <w:lang w:val="en-US" w:eastAsia="zh-CN"/>
              </w:rPr>
              <w:t>重汽济南成型厂</w:t>
            </w:r>
          </w:p>
        </w:tc>
      </w:tr>
      <w:tr w14:paraId="67E7EA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898600E">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38A9DF4A">
            <w:pPr>
              <w:pStyle w:val="12"/>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u w:val="single"/>
                <w:lang w:val="en-US" w:eastAsia="zh-CN"/>
              </w:rPr>
              <w:t>1</w:t>
            </w:r>
            <w:r>
              <w:rPr>
                <w:rFonts w:hint="eastAsia" w:ascii="宋体" w:hAnsi="宋体" w:eastAsia="宋体" w:cs="宋体"/>
                <w:b/>
                <w:sz w:val="24"/>
                <w:szCs w:val="24"/>
              </w:rPr>
              <w:t>年。</w:t>
            </w:r>
            <w:r>
              <w:rPr>
                <w:rFonts w:hint="eastAsia" w:ascii="宋体" w:hAnsi="宋体" w:eastAsia="宋体" w:cs="宋体"/>
                <w:sz w:val="24"/>
                <w:szCs w:val="24"/>
              </w:rPr>
              <w:t>（投标人可在满足上述最短质保期基础上竞报）</w:t>
            </w:r>
          </w:p>
        </w:tc>
      </w:tr>
      <w:tr w14:paraId="27988C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471961EA">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33CE33B0">
            <w:pPr>
              <w:pStyle w:val="17"/>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p>
          <w:p w14:paraId="0A0548DB">
            <w:pPr>
              <w:numPr>
                <w:ilvl w:val="0"/>
                <w:numId w:val="0"/>
              </w:numPr>
              <w:rPr>
                <w:rFonts w:hint="eastAsia" w:ascii="宋体" w:hAnsi="宋体" w:eastAsia="宋体" w:cs="宋体"/>
                <w:color w:val="000000"/>
                <w:kern w:val="2"/>
                <w:sz w:val="24"/>
                <w:szCs w:val="24"/>
                <w:lang w:val="en-US" w:eastAsia="zh-CN" w:bidi="ar-SA"/>
              </w:rPr>
            </w:pPr>
            <w:r>
              <w:rPr>
                <w:rFonts w:hint="eastAsia" w:ascii="宋体" w:hAnsi="宋体" w:cs="宋体"/>
                <w:sz w:val="24"/>
                <w:szCs w:val="24"/>
              </w:rPr>
              <w:t xml:space="preserve"> </w:t>
            </w:r>
            <w:r>
              <w:rPr>
                <w:rFonts w:hint="eastAsia" w:ascii="宋体" w:hAnsi="宋体" w:cs="宋体"/>
                <w:sz w:val="24"/>
                <w:szCs w:val="24"/>
                <w:lang w:val="en-US" w:eastAsia="zh-CN"/>
              </w:rPr>
              <w:t xml:space="preserve"> </w:t>
            </w:r>
            <w:r>
              <w:rPr>
                <w:rFonts w:hint="eastAsia" w:ascii="宋体" w:hAnsi="宋体" w:eastAsia="宋体" w:cs="宋体"/>
                <w:color w:val="000000"/>
                <w:kern w:val="2"/>
                <w:sz w:val="24"/>
                <w:szCs w:val="24"/>
                <w:lang w:val="en-US" w:eastAsia="zh-CN" w:bidi="ar-SA"/>
              </w:rPr>
              <w:t>（1</w:t>
            </w:r>
            <w:r>
              <w:rPr>
                <w:rFonts w:hint="eastAsia" w:ascii="宋体" w:hAnsi="宋体" w:eastAsia="宋体" w:cs="宋体"/>
                <w:color w:val="000000"/>
                <w:kern w:val="2"/>
                <w:sz w:val="24"/>
                <w:szCs w:val="24"/>
                <w:lang w:val="en-US" w:eastAsia="zh-CN" w:bidi="ar-SA"/>
              </w:rPr>
              <w:t>）结算方式：</w:t>
            </w:r>
          </w:p>
          <w:p w14:paraId="7A351E1D">
            <w:pPr>
              <w:numPr>
                <w:ilvl w:val="0"/>
                <w:numId w:val="0"/>
              </w:num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采用发票挂账 90 天，半年期商业汇票（商业汇票包括银行承兑汇票和商业承兑汇票）付款。需方不付预付款，产品经需方检验合格后，需方按照约定扣除质量保证金后，供方全额开具税率13%的增值税专用发票，需方依据入库单进行挂账，需方财务流程审核通过后以半年期商业汇票付款据实结算。质量保证期为验收合格后一年，质量保证金在质量保证期满无质量问题后无息返还。</w:t>
            </w:r>
          </w:p>
          <w:p w14:paraId="69DC90D3">
            <w:pPr>
              <w:numPr>
                <w:ilvl w:val="0"/>
                <w:numId w:val="0"/>
              </w:numPr>
              <w:rPr>
                <w:rFonts w:hint="default"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（2）质量保证金收取：</w:t>
            </w:r>
          </w:p>
          <w:p w14:paraId="21CB2CD3">
            <w:pPr>
              <w:numPr>
                <w:ilvl w:val="0"/>
                <w:numId w:val="0"/>
              </w:numP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年度质保金额度=供方上一年度入账发票（含税）采购额×5%×风险系数，最低1万元，最高200万元（年度合同金额低于1万元的，按合同金额的5%收取，一次性合同质保金按合同金额的5%收取）。年度质量索赔费用与年度供货额的比率，为质量索赔比率（A）；根据不同的质量索赔比率设定不同的风险系数：A≤2%，风险系数=1； 2%&lt; A≤5%，风险系数=1.2；5%&lt; A≤10%，风险系数=1.5； A&gt;10%，风险系数=2。对于新准入的供方，按照当年度已挂账发票（含税）逐票预留5%（最高200万元），均自甲方应付账款中扣除。</w:t>
            </w:r>
          </w:p>
          <w:p w14:paraId="16158032">
            <w:pPr>
              <w:pStyle w:val="35"/>
              <w:adjustRightInd w:val="0"/>
              <w:spacing w:after="0" w:line="240" w:lineRule="auto"/>
              <w:ind w:firstLine="0" w:firstLineChars="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度审核通过后30日支付。如有质量问题，质量保证金予以相应扣除。</w:t>
            </w:r>
          </w:p>
          <w:p w14:paraId="51E3B4B6">
            <w:p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highlight w:val="yellow"/>
                <w:lang w:val="en-US" w:eastAsia="zh-CN"/>
              </w:rPr>
              <w:t>*注：付款方式及付款比例原则上不允许偏离。</w:t>
            </w:r>
          </w:p>
        </w:tc>
      </w:tr>
      <w:tr w14:paraId="5D7490F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22641029">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73CCAC1D">
            <w:pPr>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14:paraId="0DF3CFB8">
            <w:pPr>
              <w:ind w:firstLine="480" w:firstLineChars="200"/>
              <w:rPr>
                <w:rFonts w:ascii="宋体" w:hAnsi="宋体" w:cs="宋体"/>
                <w:bCs/>
                <w:sz w:val="24"/>
                <w:szCs w:val="24"/>
              </w:rPr>
            </w:pPr>
            <w:r>
              <w:rPr>
                <w:rFonts w:hint="eastAsia" w:ascii="宋体" w:hAnsi="宋体" w:eastAsia="宋体" w:cs="宋体"/>
                <w:sz w:val="24"/>
                <w:szCs w:val="24"/>
                <w:lang w:bidi="ar"/>
              </w:rPr>
              <w:t>见最终合同签订信息</w:t>
            </w:r>
          </w:p>
        </w:tc>
      </w:tr>
      <w:tr w14:paraId="70F20D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BEB6798">
            <w:pPr>
              <w:pStyle w:val="12"/>
              <w:jc w:val="center"/>
              <w:rPr>
                <w:rFonts w:ascii="宋体" w:hAnsi="宋体" w:eastAsia="宋体" w:cs="宋体"/>
                <w:sz w:val="24"/>
                <w:szCs w:val="24"/>
              </w:rPr>
            </w:pPr>
            <w:r>
              <w:rPr>
                <w:rFonts w:hint="eastAsia" w:ascii="宋体" w:hAnsi="宋体" w:eastAsia="宋体" w:cs="宋体"/>
                <w:b/>
                <w:bCs/>
                <w:sz w:val="24"/>
                <w:szCs w:val="24"/>
              </w:rPr>
              <w:t>8.其它</w:t>
            </w:r>
          </w:p>
        </w:tc>
      </w:tr>
      <w:tr w14:paraId="113F145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104AA47">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B05313E">
            <w:pPr>
              <w:pStyle w:val="12"/>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0562BC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BFCB236">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684DA292">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180C384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7F5485A">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57E57026">
            <w:pPr>
              <w:pStyle w:val="12"/>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lang w:val="en-US" w:eastAsia="zh-CN"/>
              </w:rPr>
              <w:t>5</w:t>
            </w:r>
            <w:r>
              <w:rPr>
                <w:rFonts w:hint="eastAsia" w:ascii="宋体" w:hAnsi="宋体" w:eastAsia="宋体" w:cs="宋体"/>
                <w:sz w:val="24"/>
                <w:szCs w:val="24"/>
              </w:rPr>
              <w:t>日内</w:t>
            </w:r>
            <w:r>
              <w:rPr>
                <w:rFonts w:hint="eastAsia" w:ascii="宋体" w:hAnsi="宋体" w:eastAsia="宋体" w:cs="宋体"/>
                <w:sz w:val="24"/>
                <w:szCs w:val="24"/>
                <w:lang w:val="en-US" w:eastAsia="zh-CN"/>
              </w:rPr>
              <w:t>编制</w:t>
            </w:r>
            <w:r>
              <w:rPr>
                <w:rFonts w:hint="eastAsia" w:ascii="宋体" w:hAnsi="宋体" w:eastAsia="宋体" w:cs="宋体"/>
                <w:sz w:val="24"/>
                <w:szCs w:val="24"/>
              </w:rPr>
              <w:t>完成</w:t>
            </w:r>
            <w:r>
              <w:rPr>
                <w:rFonts w:hint="eastAsia" w:ascii="宋体" w:hAnsi="宋体" w:eastAsia="宋体" w:cs="宋体"/>
                <w:sz w:val="24"/>
                <w:szCs w:val="24"/>
                <w:lang w:val="en-US" w:eastAsia="zh-CN"/>
              </w:rPr>
              <w:t>项目计划和项目组织机构并盖章发给招标方</w:t>
            </w:r>
            <w:r>
              <w:rPr>
                <w:rFonts w:hint="eastAsia" w:ascii="宋体" w:hAnsi="宋体" w:eastAsia="宋体" w:cs="宋体"/>
                <w:sz w:val="24"/>
                <w:szCs w:val="24"/>
              </w:rPr>
              <w:t>。</w:t>
            </w:r>
          </w:p>
        </w:tc>
      </w:tr>
      <w:bookmarkEnd w:id="3"/>
    </w:tbl>
    <w:p w14:paraId="122A018C">
      <w:pPr>
        <w:pStyle w:val="17"/>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56740CD6">
      <w:pPr>
        <w:pStyle w:val="17"/>
        <w:jc w:val="center"/>
        <w:outlineLvl w:val="0"/>
        <w:rPr>
          <w:rFonts w:ascii="Calibri" w:hAnsi="Calibri" w:eastAsia="宋体" w:cs="Times New Roman"/>
          <w:b/>
          <w:bCs/>
          <w:kern w:val="44"/>
          <w:sz w:val="36"/>
          <w:szCs w:val="44"/>
        </w:rPr>
      </w:pPr>
      <w:bookmarkStart w:id="5" w:name="_Toc22879"/>
      <w:r>
        <w:rPr>
          <w:rFonts w:hint="eastAsia" w:ascii="Calibri" w:hAnsi="Calibri" w:eastAsia="宋体" w:cs="Times New Roman"/>
          <w:b/>
          <w:bCs/>
          <w:kern w:val="44"/>
          <w:sz w:val="36"/>
          <w:szCs w:val="44"/>
        </w:rPr>
        <w:t>第二部分 投标须知</w:t>
      </w:r>
    </w:p>
    <w:p w14:paraId="0CEA8BBE">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14:paraId="3E265357">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6" w:name="OLE_LINK1"/>
      <w:r>
        <w:rPr>
          <w:rFonts w:hint="eastAsia" w:ascii="宋体" w:hAnsi="宋体" w:eastAsia="宋体" w:cs="宋体"/>
          <w:color w:val="000000"/>
          <w:sz w:val="24"/>
          <w:szCs w:val="24"/>
        </w:rPr>
        <w:t>见《投标须知前附表》。</w:t>
      </w:r>
    </w:p>
    <w:bookmarkEnd w:id="6"/>
    <w:p w14:paraId="5517FAA9">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14:paraId="56FEA1E5">
      <w:pPr>
        <w:pStyle w:val="17"/>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14:paraId="6F16F61B">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75710D17">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27833F43">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3D234468">
      <w:pPr>
        <w:pStyle w:val="17"/>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5CADE1A4">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14:paraId="71BEE915">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2BB1C06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（附件1</w:t>
      </w:r>
      <w:r>
        <w:rPr>
          <w:rFonts w:hint="eastAsia" w:ascii="宋体" w:hAnsi="宋体" w:eastAsia="宋体" w:cs="宋体"/>
          <w:color w:val="000000"/>
          <w:sz w:val="24"/>
          <w:szCs w:val="24"/>
          <w:highlight w:val="yellow"/>
          <w:lang w:val="en-US" w:eastAsia="zh-CN"/>
        </w:rPr>
        <w:t>5</w:t>
      </w: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w:t>
      </w:r>
      <w:r>
        <w:rPr>
          <w:rFonts w:hint="eastAsia" w:ascii="宋体" w:hAnsi="宋体" w:eastAsia="宋体" w:cs="宋体"/>
          <w:b/>
          <w:color w:val="000000"/>
          <w:sz w:val="24"/>
          <w:szCs w:val="24"/>
          <w:highlight w:val="yellow"/>
          <w:lang w:val="en-US" w:eastAsia="zh-CN"/>
        </w:rPr>
        <w:t>6</w:t>
      </w:r>
      <w:r>
        <w:rPr>
          <w:rFonts w:hint="eastAsia" w:ascii="宋体" w:hAnsi="宋体" w:eastAsia="宋体" w:cs="宋体"/>
          <w:b/>
          <w:color w:val="000000"/>
          <w:sz w:val="24"/>
          <w:szCs w:val="24"/>
          <w:highlight w:val="yellow"/>
        </w:rPr>
        <w:t>）</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w:t>
      </w:r>
      <w:r>
        <w:rPr>
          <w:rFonts w:hint="eastAsia" w:ascii="宋体" w:hAnsi="宋体" w:eastAsia="宋体" w:cs="宋体"/>
          <w:color w:val="000000"/>
          <w:sz w:val="24"/>
          <w:szCs w:val="24"/>
          <w:highlight w:val="yellow"/>
          <w:lang w:val="en-US" w:eastAsia="zh-CN"/>
        </w:rPr>
        <w:t>3</w:t>
      </w:r>
      <w:r>
        <w:rPr>
          <w:rFonts w:hint="eastAsia" w:ascii="宋体" w:hAnsi="宋体" w:eastAsia="宋体" w:cs="宋体"/>
          <w:color w:val="000000"/>
          <w:sz w:val="24"/>
          <w:szCs w:val="24"/>
        </w:rPr>
        <w:t>准备资料并上传，资质审查通过即为报名成功，公示期间请尽快报名。</w:t>
      </w:r>
    </w:p>
    <w:p w14:paraId="0559484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35EAF81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6398E2BA">
      <w:pPr>
        <w:keepNext/>
        <w:keepLines/>
        <w:numPr>
          <w:ilvl w:val="0"/>
          <w:numId w:val="3"/>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47FA33ED">
      <w:pPr>
        <w:pStyle w:val="17"/>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对于投标条件详见招标文件“第一部分投标须知前附表1.6”。</w:t>
      </w:r>
    </w:p>
    <w:p w14:paraId="3E923D27">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04F13EED">
      <w:pPr>
        <w:pStyle w:val="17"/>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sz w:val="24"/>
          <w:szCs w:val="24"/>
          <w:lang w:val="en-US" w:eastAsia="zh-CN"/>
        </w:rPr>
        <w:t>公开</w:t>
      </w:r>
      <w:r>
        <w:rPr>
          <w:rFonts w:hint="eastAsia" w:hAnsi="宋体" w:eastAsia="宋体" w:cs="宋体"/>
          <w:color w:val="000000"/>
          <w:sz w:val="24"/>
          <w:szCs w:val="24"/>
          <w:highlight w:val="none"/>
        </w:rPr>
        <w:t>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61CF8756">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33AB344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14:paraId="21BF7414">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14:paraId="47935E6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2B59B4A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3F01FDB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68D9942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48E8806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C736CE8">
      <w:pPr>
        <w:pStyle w:val="17"/>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28B1B609">
      <w:pPr>
        <w:pStyle w:val="17"/>
        <w:spacing w:line="360" w:lineRule="auto"/>
        <w:ind w:firstLine="480" w:firstLineChars="200"/>
        <w:rPr>
          <w:rFonts w:hAnsi="宋体" w:eastAsia="宋体" w:cs="宋体"/>
          <w:color w:val="000000"/>
          <w:sz w:val="24"/>
          <w:szCs w:val="24"/>
          <w:highlight w:val="yellow"/>
        </w:rPr>
      </w:pPr>
      <w:r>
        <w:rPr>
          <w:rFonts w:hint="eastAsia" w:hAnsi="宋体" w:eastAsia="宋体" w:cs="宋体"/>
          <w:color w:val="000000"/>
          <w:sz w:val="24"/>
          <w:szCs w:val="24"/>
          <w:highlight w:val="yellow"/>
        </w:rPr>
        <w:t>4.7设备设施颜色严格执行我公司企业标准《设备设施颜色标识》（Q/ZZ30070</w:t>
      </w:r>
    </w:p>
    <w:p w14:paraId="3E2A1EE5">
      <w:pPr>
        <w:pStyle w:val="17"/>
        <w:spacing w:line="360" w:lineRule="auto"/>
        <w:rPr>
          <w:rFonts w:hAnsi="宋体" w:eastAsia="宋体" w:cs="宋体"/>
          <w:color w:val="000000"/>
          <w:sz w:val="24"/>
          <w:szCs w:val="24"/>
          <w:highlight w:val="yellow"/>
        </w:rPr>
      </w:pPr>
      <w:r>
        <w:rPr>
          <w:rFonts w:hint="eastAsia" w:hAnsi="宋体" w:eastAsia="宋体" w:cs="宋体"/>
          <w:color w:val="000000"/>
          <w:sz w:val="24"/>
          <w:szCs w:val="24"/>
          <w:highlight w:val="yellow"/>
        </w:rPr>
        <w:t>—2020）。</w:t>
      </w:r>
    </w:p>
    <w:p w14:paraId="01EE61B8">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17A4CF6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48009D3A">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366666C4">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7C0AC954">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00A9C7AE">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14:paraId="42454E7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见《投标须知前附表》2.1。</w:t>
      </w:r>
    </w:p>
    <w:p w14:paraId="567FB79E">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5DFAC7D3">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中国重汽</w:t>
      </w:r>
      <w:r>
        <w:rPr>
          <w:rFonts w:hint="eastAsia" w:ascii="宋体" w:hAnsi="宋体" w:eastAsia="宋体" w:cs="宋体"/>
          <w:sz w:val="24"/>
          <w:szCs w:val="24"/>
          <w:lang w:val="en-US" w:eastAsia="zh-CN"/>
        </w:rPr>
        <w:t>e采通</w:t>
      </w:r>
      <w:r>
        <w:rPr>
          <w:rFonts w:hint="eastAsia" w:ascii="宋体" w:hAnsi="宋体" w:eastAsia="宋体" w:cs="宋体"/>
          <w:color w:val="000000"/>
          <w:sz w:val="24"/>
          <w:szCs w:val="24"/>
        </w:rPr>
        <w:t>。</w:t>
      </w:r>
    </w:p>
    <w:p w14:paraId="2ADEBE24">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2BB1513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14:paraId="15B084CF">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4974F69C">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5992CC88">
      <w:pPr>
        <w:pStyle w:val="111"/>
        <w:ind w:firstLine="480"/>
        <w:rPr>
          <w:rFonts w:eastAsia="宋体" w:cs="宋体"/>
        </w:rPr>
      </w:pPr>
      <w:r>
        <w:rPr>
          <w:rFonts w:hint="eastAsia" w:eastAsia="宋体" w:cs="宋体"/>
        </w:rPr>
        <w:t>4.2招标人银行账户信息如下：见《投标须知前附表》4.2。</w:t>
      </w:r>
    </w:p>
    <w:p w14:paraId="118E99D3">
      <w:pPr>
        <w:pStyle w:val="111"/>
        <w:ind w:firstLine="480"/>
        <w:rPr>
          <w:rFonts w:eastAsia="宋体" w:cs="宋体"/>
        </w:rPr>
      </w:pPr>
      <w:r>
        <w:rPr>
          <w:rFonts w:hint="eastAsia" w:eastAsia="宋体" w:cs="宋体"/>
        </w:rPr>
        <w:t>转账附言：公司名称+项目名称+投标保证金；</w:t>
      </w:r>
    </w:p>
    <w:p w14:paraId="5EDFDBCE">
      <w:pPr>
        <w:pStyle w:val="111"/>
        <w:ind w:firstLine="480"/>
        <w:rPr>
          <w:rFonts w:eastAsia="宋体" w:cs="宋体"/>
        </w:rPr>
      </w:pPr>
      <w:r>
        <w:rPr>
          <w:rFonts w:hint="eastAsia" w:eastAsia="宋体" w:cs="宋体"/>
        </w:rPr>
        <w:t>对于没有中标的投标人，投标保证金将于招标人内部完成中标人评审并确认最终中标人后在</w:t>
      </w:r>
      <w:r>
        <w:rPr>
          <w:rFonts w:hint="eastAsia" w:eastAsia="宋体" w:cs="宋体"/>
          <w:lang w:val="en-US" w:eastAsia="zh-CN"/>
        </w:rPr>
        <w:t>30</w:t>
      </w:r>
      <w:r>
        <w:rPr>
          <w:rFonts w:hint="eastAsia" w:eastAsia="宋体" w:cs="宋体"/>
        </w:rPr>
        <w:t>工作日内予以原路返还（无息）；对于中标方，投标保证金将在签订合同后</w:t>
      </w:r>
      <w:r>
        <w:rPr>
          <w:rFonts w:hint="eastAsia" w:eastAsia="宋体" w:cs="宋体"/>
          <w:lang w:val="en-US" w:eastAsia="zh-CN"/>
        </w:rPr>
        <w:t>30</w:t>
      </w:r>
      <w:r>
        <w:rPr>
          <w:rFonts w:hint="eastAsia" w:eastAsia="宋体" w:cs="宋体"/>
        </w:rPr>
        <w:t>个工作日内原路返还（无息）；</w:t>
      </w:r>
    </w:p>
    <w:p w14:paraId="64D612B2">
      <w:pPr>
        <w:pStyle w:val="111"/>
        <w:ind w:firstLine="480"/>
        <w:rPr>
          <w:rFonts w:eastAsia="宋体" w:cs="宋体"/>
        </w:rPr>
      </w:pPr>
      <w:r>
        <w:rPr>
          <w:rFonts w:hint="eastAsia" w:eastAsia="宋体" w:cs="宋体"/>
        </w:rPr>
        <w:t>4.3说明</w:t>
      </w:r>
    </w:p>
    <w:p w14:paraId="393CAF11">
      <w:pPr>
        <w:pStyle w:val="111"/>
        <w:ind w:firstLine="480"/>
        <w:rPr>
          <w:rFonts w:eastAsia="宋体" w:cs="宋体"/>
        </w:rPr>
      </w:pPr>
      <w:r>
        <w:rPr>
          <w:rFonts w:hint="eastAsia" w:eastAsia="宋体" w:cs="宋体"/>
        </w:rPr>
        <w:t>4.3.1 投标人在向招标人出示《投标保证金缴纳凭证》后方可进行投标；</w:t>
      </w:r>
    </w:p>
    <w:p w14:paraId="6B92760A">
      <w:pPr>
        <w:pStyle w:val="111"/>
        <w:ind w:firstLine="480"/>
        <w:rPr>
          <w:rFonts w:eastAsia="宋体" w:cs="宋体"/>
        </w:rPr>
      </w:pPr>
      <w:r>
        <w:rPr>
          <w:rFonts w:hint="eastAsia" w:eastAsia="宋体" w:cs="宋体"/>
        </w:rPr>
        <w:t>4.3.2 发生以下情况时，招标人有权没收保证金：</w:t>
      </w:r>
    </w:p>
    <w:p w14:paraId="4D70C386">
      <w:pPr>
        <w:pStyle w:val="111"/>
        <w:ind w:firstLine="480"/>
        <w:rPr>
          <w:rFonts w:eastAsia="宋体" w:cs="宋体"/>
        </w:rPr>
      </w:pPr>
      <w:r>
        <w:rPr>
          <w:rFonts w:hint="eastAsia" w:eastAsia="宋体" w:cs="宋体"/>
        </w:rPr>
        <w:t>4.3.2.1 截至开标前3天，投标人无正当理由且未以书面形式递交说明而在投标截止日不来投标的；</w:t>
      </w:r>
    </w:p>
    <w:p w14:paraId="26010D84">
      <w:pPr>
        <w:pStyle w:val="111"/>
        <w:ind w:firstLine="480"/>
        <w:rPr>
          <w:rFonts w:eastAsia="宋体" w:cs="宋体"/>
        </w:rPr>
      </w:pPr>
      <w:r>
        <w:rPr>
          <w:rFonts w:hint="eastAsia" w:eastAsia="宋体" w:cs="宋体"/>
        </w:rPr>
        <w:t>4.3.2.2 投标人递送投标文件后，无正当理由放弃投标的；</w:t>
      </w:r>
    </w:p>
    <w:p w14:paraId="0BDF1C5F">
      <w:pPr>
        <w:pStyle w:val="111"/>
        <w:ind w:firstLine="480"/>
        <w:rPr>
          <w:rFonts w:eastAsia="宋体" w:cs="宋体"/>
        </w:rPr>
      </w:pPr>
      <w:r>
        <w:rPr>
          <w:rFonts w:hint="eastAsia" w:eastAsia="宋体" w:cs="宋体"/>
        </w:rPr>
        <w:t>4.3.2.3若为视频开标，招标过程中澄清函等资料原件未按要求提交的；</w:t>
      </w:r>
    </w:p>
    <w:p w14:paraId="5352847A">
      <w:pPr>
        <w:pStyle w:val="111"/>
        <w:ind w:firstLine="480"/>
        <w:rPr>
          <w:rFonts w:eastAsia="宋体" w:cs="宋体"/>
        </w:rPr>
      </w:pPr>
      <w:r>
        <w:rPr>
          <w:rFonts w:hint="eastAsia" w:eastAsia="宋体" w:cs="宋体"/>
        </w:rPr>
        <w:t>4.3.2.4自中标通知书发出之日起30日内，中标人无正当理由不签订合同的；</w:t>
      </w:r>
    </w:p>
    <w:p w14:paraId="2619F13D">
      <w:pPr>
        <w:pStyle w:val="111"/>
        <w:spacing w:line="360" w:lineRule="auto"/>
        <w:ind w:firstLine="480"/>
        <w:rPr>
          <w:rFonts w:hint="eastAsia" w:ascii="宋体" w:hAnsi="宋体" w:eastAsia="宋体" w:cs="宋体"/>
          <w:sz w:val="24"/>
          <w:szCs w:val="24"/>
        </w:rPr>
      </w:pPr>
      <w:r>
        <w:rPr>
          <w:rFonts w:hint="eastAsia" w:eastAsia="宋体" w:cs="宋体"/>
        </w:rPr>
        <w:t>4.3.2.</w:t>
      </w:r>
      <w:r>
        <w:rPr>
          <w:rFonts w:hint="eastAsia" w:eastAsia="宋体" w:cs="宋体"/>
          <w:lang w:val="en-US" w:eastAsia="zh-CN"/>
        </w:rPr>
        <w:t>5</w:t>
      </w:r>
      <w:r>
        <w:rPr>
          <w:rFonts w:hint="eastAsia" w:eastAsia="宋体" w:cs="宋体"/>
        </w:rPr>
        <w:t>供应商在响应文件中提供虚假材料的；</w:t>
      </w:r>
    </w:p>
    <w:p w14:paraId="0A29B23A">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w:t>
      </w:r>
      <w:r>
        <w:rPr>
          <w:rFonts w:hint="eastAsia" w:eastAsia="宋体" w:cs="宋体"/>
          <w:sz w:val="24"/>
          <w:szCs w:val="24"/>
          <w:lang w:val="en-US" w:eastAsia="zh-CN"/>
        </w:rPr>
        <w:t>6</w:t>
      </w:r>
      <w:r>
        <w:rPr>
          <w:rFonts w:hint="eastAsia" w:ascii="宋体" w:hAnsi="宋体" w:eastAsia="宋体" w:cs="宋体"/>
          <w:sz w:val="24"/>
          <w:szCs w:val="24"/>
        </w:rPr>
        <w:t>投标人在投标过程中被查实有串标、围标、陪标等违规违纪行为的；</w:t>
      </w:r>
    </w:p>
    <w:p w14:paraId="4D48E50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投标人有违约违规行为或被投诉、举报的，在调查处理期间，保证金暂不退还，待调查处理结束后按有关规定处理。</w:t>
      </w:r>
    </w:p>
    <w:p w14:paraId="11CEA8B6">
      <w:pPr>
        <w:pStyle w:val="111"/>
        <w:ind w:firstLine="480"/>
        <w:rPr>
          <w:rFonts w:eastAsia="宋体" w:cs="宋体"/>
        </w:rPr>
      </w:pPr>
      <w:r>
        <w:rPr>
          <w:rFonts w:hint="eastAsia" w:eastAsia="宋体" w:cs="宋体"/>
        </w:rPr>
        <w:t>4.4投标报名截止时间</w:t>
      </w:r>
    </w:p>
    <w:p w14:paraId="185B09C2">
      <w:pPr>
        <w:pStyle w:val="111"/>
        <w:ind w:firstLine="480"/>
        <w:rPr>
          <w:rFonts w:eastAsia="宋体" w:cs="宋体"/>
        </w:rPr>
      </w:pPr>
      <w:r>
        <w:rPr>
          <w:rFonts w:hint="eastAsia" w:eastAsia="宋体" w:cs="宋体"/>
        </w:rPr>
        <w:t>报名方式：见《投标须知前附表》2.3。</w:t>
      </w:r>
    </w:p>
    <w:p w14:paraId="4DFC04F8">
      <w:pPr>
        <w:pStyle w:val="111"/>
        <w:ind w:firstLine="480"/>
        <w:rPr>
          <w:rFonts w:eastAsia="宋体" w:cs="宋体"/>
        </w:rPr>
      </w:pPr>
      <w:r>
        <w:rPr>
          <w:rFonts w:hint="eastAsia" w:eastAsia="宋体" w:cs="宋体"/>
        </w:rPr>
        <w:t>报名提交资料：</w:t>
      </w:r>
      <w:r>
        <w:rPr>
          <w:rFonts w:hint="eastAsia" w:eastAsia="宋体" w:cs="宋体"/>
          <w:highlight w:val="yellow"/>
        </w:rPr>
        <w:t>均为盖章电子扫描版，用“公司名称+文件名称”命名</w:t>
      </w:r>
      <w:r>
        <w:rPr>
          <w:rFonts w:hint="eastAsia" w:eastAsia="宋体" w:cs="宋体"/>
        </w:rPr>
        <w:t>。</w:t>
      </w:r>
    </w:p>
    <w:p w14:paraId="115D2A94">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3299D3C1">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22084BAF">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1C54C275">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0D41C1C0">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14:paraId="498B3EEB">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0FFA3D2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rPr>
        <w:t>。</w:t>
      </w:r>
    </w:p>
    <w:p w14:paraId="5F4B9429">
      <w:pPr>
        <w:spacing w:line="360" w:lineRule="auto"/>
        <w:jc w:val="left"/>
        <w:outlineLvl w:val="1"/>
        <w:rPr>
          <w:rFonts w:ascii="宋体" w:hAnsi="宋体" w:eastAsia="宋体" w:cs="宋体"/>
          <w:b/>
          <w:sz w:val="24"/>
          <w:szCs w:val="24"/>
        </w:rPr>
      </w:pPr>
      <w:bookmarkStart w:id="7" w:name="_Toc33265653"/>
      <w:bookmarkStart w:id="8" w:name="_Toc33266627"/>
      <w:bookmarkStart w:id="9" w:name="_Toc33266950"/>
      <w:bookmarkStart w:id="10" w:name="_Toc33267001"/>
      <w:bookmarkStart w:id="11" w:name="_Toc33266914"/>
      <w:bookmarkStart w:id="12" w:name="_Toc33265752"/>
      <w:bookmarkStart w:id="13" w:name="_Toc33285487"/>
      <w:r>
        <w:rPr>
          <w:rFonts w:hint="eastAsia" w:ascii="宋体" w:hAnsi="宋体" w:eastAsia="宋体" w:cs="宋体"/>
          <w:b/>
          <w:sz w:val="24"/>
          <w:szCs w:val="24"/>
        </w:rPr>
        <w:t>六、评价原则</w:t>
      </w:r>
      <w:bookmarkEnd w:id="7"/>
      <w:bookmarkEnd w:id="8"/>
      <w:bookmarkEnd w:id="9"/>
      <w:bookmarkEnd w:id="10"/>
      <w:bookmarkEnd w:id="11"/>
      <w:bookmarkEnd w:id="12"/>
      <w:bookmarkEnd w:id="13"/>
      <w:bookmarkStart w:id="14" w:name="_Toc395116633"/>
    </w:p>
    <w:bookmarkEnd w:id="14"/>
    <w:p w14:paraId="1F0F2065">
      <w:pPr>
        <w:adjustRightInd w:val="0"/>
        <w:snapToGrid w:val="0"/>
        <w:spacing w:line="360" w:lineRule="auto"/>
        <w:ind w:firstLine="480" w:firstLineChars="200"/>
        <w:rPr>
          <w:rFonts w:ascii="宋体" w:hAnsi="宋体" w:eastAsia="宋体" w:cs="宋体"/>
          <w:b/>
          <w:color w:val="000000"/>
          <w:sz w:val="24"/>
          <w:szCs w:val="24"/>
        </w:rPr>
      </w:pPr>
      <w:r>
        <w:rPr>
          <w:rFonts w:hint="eastAsia" w:ascii="宋体" w:hAnsi="宋体" w:eastAsia="宋体" w:cs="宋体"/>
          <w:sz w:val="24"/>
          <w:szCs w:val="24"/>
        </w:rPr>
        <w:t>本次招标采用</w:t>
      </w:r>
      <w:bookmarkStart w:id="15" w:name="_Toc33266915"/>
      <w:bookmarkStart w:id="16" w:name="_Toc33265654"/>
      <w:bookmarkStart w:id="17" w:name="_Toc33265753"/>
      <w:bookmarkStart w:id="18" w:name="_Toc33267002"/>
      <w:bookmarkStart w:id="19" w:name="_Toc33285489"/>
      <w:bookmarkStart w:id="20" w:name="_Toc33266628"/>
      <w:bookmarkStart w:id="21" w:name="_Toc395116634"/>
      <w:bookmarkStart w:id="22" w:name="_Toc33266951"/>
      <w:r>
        <w:rPr>
          <w:rFonts w:hint="eastAsia" w:ascii="宋体" w:hAnsi="宋体" w:eastAsia="宋体" w:cs="宋体"/>
          <w:sz w:val="24"/>
          <w:szCs w:val="24"/>
        </w:rPr>
        <w:t>合理</w:t>
      </w:r>
      <w:r>
        <w:rPr>
          <w:rFonts w:hint="eastAsia" w:ascii="宋体" w:hAnsi="宋体" w:eastAsia="宋体" w:cs="宋体"/>
          <w:sz w:val="24"/>
          <w:szCs w:val="24"/>
          <w:lang w:val="en-US" w:eastAsia="zh-CN"/>
        </w:rPr>
        <w:t>综合评价法</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本着公平、公正、公开的原则，本着公平、公正、公开的原则，在满足技术要求的前提下，对招标文件中规定的各项因素进行综合评审，确定中标人（不保证最低价格中标）</w:t>
      </w:r>
      <w:r>
        <w:rPr>
          <w:rFonts w:hint="eastAsia" w:ascii="宋体" w:hAnsi="宋体" w:eastAsia="宋体" w:cs="宋体"/>
          <w:b/>
          <w:color w:val="000000"/>
          <w:sz w:val="24"/>
          <w:szCs w:val="24"/>
        </w:rPr>
        <w:t>，对未中标单位不做任何解释。</w:t>
      </w:r>
    </w:p>
    <w:bookmarkEnd w:id="15"/>
    <w:bookmarkEnd w:id="16"/>
    <w:bookmarkEnd w:id="17"/>
    <w:bookmarkEnd w:id="18"/>
    <w:bookmarkEnd w:id="19"/>
    <w:bookmarkEnd w:id="20"/>
    <w:bookmarkEnd w:id="21"/>
    <w:bookmarkEnd w:id="22"/>
    <w:p w14:paraId="0822B4BD">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评标流程：</w:t>
      </w:r>
    </w:p>
    <w:p w14:paraId="7E54528D">
      <w:pPr>
        <w:pStyle w:val="17"/>
        <w:spacing w:line="360" w:lineRule="auto"/>
        <w:ind w:firstLine="482" w:firstLineChars="200"/>
        <w:rPr>
          <w:rFonts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14:paraId="30D05225">
      <w:pPr>
        <w:numPr>
          <w:ilvl w:val="0"/>
          <w:numId w:val="5"/>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w:t>
      </w:r>
      <w:r>
        <w:rPr>
          <w:rFonts w:hint="eastAsia" w:ascii="宋体" w:hAnsi="宋体" w:eastAsia="宋体" w:cs="宋体"/>
          <w:b/>
          <w:bCs/>
          <w:color w:val="000000"/>
          <w:sz w:val="24"/>
          <w:szCs w:val="24"/>
          <w:highlight w:val="none"/>
        </w:rPr>
        <w:t>1.1-1.1</w:t>
      </w:r>
      <w:r>
        <w:rPr>
          <w:rFonts w:hint="eastAsia" w:ascii="宋体" w:hAnsi="宋体" w:eastAsia="宋体" w:cs="宋体"/>
          <w:b/>
          <w:bCs/>
          <w:color w:val="000000"/>
          <w:sz w:val="24"/>
          <w:szCs w:val="24"/>
          <w:highlight w:val="none"/>
          <w:lang w:val="en-US" w:eastAsia="zh-CN"/>
        </w:rPr>
        <w:t>3</w:t>
      </w:r>
      <w:r>
        <w:rPr>
          <w:rFonts w:hint="eastAsia" w:ascii="宋体" w:hAnsi="宋体" w:eastAsia="宋体" w:cs="宋体"/>
          <w:b/>
          <w:bCs/>
          <w:color w:val="000000"/>
          <w:sz w:val="24"/>
          <w:szCs w:val="24"/>
        </w:rPr>
        <w:t>准备资料，上传完毕后，等待审核</w:t>
      </w:r>
      <w:r>
        <w:rPr>
          <w:rFonts w:hint="eastAsia" w:ascii="宋体" w:hAnsi="宋体" w:eastAsia="宋体" w:cs="宋体"/>
          <w:b/>
          <w:color w:val="000000"/>
          <w:sz w:val="24"/>
          <w:szCs w:val="24"/>
        </w:rPr>
        <w:t>；</w:t>
      </w:r>
    </w:p>
    <w:p w14:paraId="03EE8CAC">
      <w:pPr>
        <w:numPr>
          <w:ilvl w:val="0"/>
          <w:numId w:val="6"/>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14:paraId="46C678E0">
      <w:pPr>
        <w:numPr>
          <w:ilvl w:val="0"/>
          <w:numId w:val="5"/>
        </w:numPr>
        <w:spacing w:line="360" w:lineRule="auto"/>
        <w:rPr>
          <w:rFonts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14:paraId="681A2ABE">
      <w:pPr>
        <w:numPr>
          <w:ilvl w:val="0"/>
          <w:numId w:val="5"/>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14:paraId="693D7BA4">
      <w:pPr>
        <w:numPr>
          <w:ilvl w:val="0"/>
          <w:numId w:val="7"/>
        </w:numPr>
        <w:spacing w:line="360" w:lineRule="auto"/>
        <w:rPr>
          <w:rFonts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236B5471">
      <w:pPr>
        <w:numPr>
          <w:ilvl w:val="0"/>
          <w:numId w:val="8"/>
        </w:numPr>
        <w:spacing w:line="360" w:lineRule="auto"/>
        <w:rPr>
          <w:rFonts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14:paraId="39D61700">
      <w:pPr>
        <w:numPr>
          <w:ilvl w:val="0"/>
          <w:numId w:val="9"/>
        </w:numPr>
        <w:spacing w:line="360" w:lineRule="auto"/>
        <w:ind w:left="-100" w:leftChars="0" w:firstLine="480" w:firstLineChars="0"/>
        <w:rPr>
          <w:rFonts w:hint="eastAsia" w:ascii="宋体" w:hAnsi="宋体" w:eastAsia="宋体" w:cs="宋体"/>
          <w:sz w:val="24"/>
          <w:szCs w:val="24"/>
          <w:highlight w:val="none"/>
        </w:rPr>
      </w:pPr>
      <w:r>
        <w:rPr>
          <w:rFonts w:hint="eastAsia" w:ascii="宋体" w:hAnsi="宋体" w:cs="宋体"/>
          <w:b w:val="0"/>
          <w:bCs/>
          <w:sz w:val="24"/>
          <w:szCs w:val="24"/>
          <w:highlight w:val="none"/>
        </w:rPr>
        <w:t>商务报价</w:t>
      </w:r>
      <w:r>
        <w:rPr>
          <w:rFonts w:hint="eastAsia" w:ascii="宋体" w:hAnsi="宋体" w:cs="宋体"/>
          <w:sz w:val="24"/>
          <w:szCs w:val="24"/>
          <w:highlight w:val="none"/>
        </w:rPr>
        <w:t>时，每轮报价需在系统内填报项目总价，项目总价作为评标依据，由高到低进行淘汰。</w:t>
      </w:r>
      <w:r>
        <w:rPr>
          <w:rFonts w:hint="eastAsia" w:ascii="宋体" w:hAnsi="宋体" w:eastAsia="宋体" w:cs="宋体"/>
          <w:sz w:val="24"/>
          <w:szCs w:val="24"/>
          <w:highlight w:val="none"/>
        </w:rPr>
        <w:t>商务标最后一轮</w:t>
      </w:r>
      <w:r>
        <w:rPr>
          <w:rFonts w:hint="eastAsia" w:ascii="宋体" w:hAnsi="宋体" w:eastAsia="宋体" w:cs="宋体"/>
          <w:sz w:val="24"/>
          <w:szCs w:val="24"/>
          <w:highlight w:val="none"/>
          <w:lang w:val="en-US" w:eastAsia="zh-CN"/>
        </w:rPr>
        <w:t>上传</w:t>
      </w:r>
      <w:r>
        <w:rPr>
          <w:rFonts w:hint="eastAsia" w:ascii="宋体" w:hAnsi="宋体" w:cs="宋体"/>
          <w:sz w:val="24"/>
          <w:szCs w:val="24"/>
          <w:highlight w:val="none"/>
        </w:rPr>
        <w:t>报价一览表（附件</w:t>
      </w:r>
      <w:r>
        <w:rPr>
          <w:rFonts w:hint="eastAsia" w:ascii="宋体" w:hAnsi="宋体" w:cs="宋体"/>
          <w:sz w:val="24"/>
          <w:szCs w:val="24"/>
          <w:highlight w:val="none"/>
          <w:lang w:val="en-US" w:eastAsia="zh-CN"/>
        </w:rPr>
        <w:t>1</w:t>
      </w:r>
      <w:r>
        <w:rPr>
          <w:rFonts w:hint="eastAsia" w:ascii="宋体" w:hAnsi="宋体" w:cs="宋体"/>
          <w:sz w:val="24"/>
          <w:szCs w:val="24"/>
          <w:highlight w:val="none"/>
        </w:rPr>
        <w:t>）</w:t>
      </w:r>
      <w:r>
        <w:rPr>
          <w:rFonts w:hint="eastAsia" w:ascii="宋体" w:hAnsi="宋体" w:eastAsia="宋体" w:cs="宋体"/>
          <w:sz w:val="24"/>
          <w:szCs w:val="24"/>
          <w:highlight w:val="none"/>
        </w:rPr>
        <w:t>澄清整付价格、工期等详细信息</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并</w:t>
      </w:r>
      <w:r>
        <w:rPr>
          <w:rFonts w:hint="eastAsia" w:ascii="宋体" w:hAnsi="宋体" w:cs="宋体"/>
          <w:sz w:val="24"/>
          <w:szCs w:val="24"/>
          <w:highlight w:val="none"/>
        </w:rPr>
        <w:t>注明含税价、税率及不含税价。招标方根据最终报价折算降价幅度，</w:t>
      </w:r>
      <w:r>
        <w:rPr>
          <w:rFonts w:hint="eastAsia" w:ascii="宋体" w:hAnsi="宋体" w:cs="宋体"/>
          <w:sz w:val="24"/>
          <w:szCs w:val="24"/>
          <w:highlight w:val="none"/>
          <w:lang w:val="en-US" w:eastAsia="zh-CN"/>
        </w:rPr>
        <w:t>项目</w:t>
      </w:r>
      <w:r>
        <w:rPr>
          <w:rFonts w:hint="eastAsia" w:ascii="宋体" w:hAnsi="宋体" w:cs="宋体"/>
          <w:sz w:val="24"/>
          <w:szCs w:val="24"/>
          <w:highlight w:val="none"/>
        </w:rPr>
        <w:t>内</w:t>
      </w:r>
      <w:r>
        <w:rPr>
          <w:rFonts w:hint="eastAsia" w:ascii="宋体" w:hAnsi="宋体" w:cs="宋体"/>
          <w:sz w:val="24"/>
          <w:szCs w:val="24"/>
          <w:highlight w:val="none"/>
          <w:lang w:val="en-US" w:eastAsia="zh-CN"/>
        </w:rPr>
        <w:t>每项工装在招标基价基础上</w:t>
      </w:r>
      <w:r>
        <w:rPr>
          <w:rFonts w:hint="eastAsia" w:ascii="宋体" w:hAnsi="宋体" w:eastAsia="宋体" w:cs="宋体"/>
          <w:b/>
          <w:bCs/>
          <w:sz w:val="24"/>
          <w:szCs w:val="24"/>
          <w:highlight w:val="none"/>
        </w:rPr>
        <w:t>同比例降价</w:t>
      </w:r>
      <w:r>
        <w:rPr>
          <w:rFonts w:hint="eastAsia" w:ascii="宋体" w:hAnsi="宋体" w:eastAsia="宋体" w:cs="宋体"/>
          <w:sz w:val="24"/>
          <w:szCs w:val="24"/>
          <w:highlight w:val="none"/>
        </w:rPr>
        <w:t>。</w:t>
      </w:r>
    </w:p>
    <w:p w14:paraId="67E951A9">
      <w:pPr>
        <w:spacing w:line="360" w:lineRule="auto"/>
        <w:ind w:left="420" w:leftChars="200"/>
        <w:rPr>
          <w:color w:val="auto"/>
          <w:sz w:val="24"/>
          <w:szCs w:val="24"/>
          <w:highlight w:val="none"/>
          <w:u w:val="none"/>
        </w:rPr>
      </w:pPr>
      <w:r>
        <w:rPr>
          <w:rFonts w:hint="eastAsia"/>
          <w:sz w:val="24"/>
          <w:szCs w:val="24"/>
          <w:highlight w:val="none"/>
        </w:rPr>
        <w:t>要求：投标单位严格根据我单位所提供招标明细附件的技术资料、工艺要求，认真核算价格和工期，分别填入报价栏内。</w:t>
      </w:r>
    </w:p>
    <w:p w14:paraId="5FCE8DF3">
      <w:pPr>
        <w:numPr>
          <w:ilvl w:val="0"/>
          <w:numId w:val="9"/>
        </w:numPr>
        <w:shd w:val="clear" w:color="auto" w:fill="auto"/>
        <w:spacing w:line="360" w:lineRule="auto"/>
        <w:ind w:left="-100" w:leftChars="0" w:firstLine="480" w:firstLineChars="0"/>
        <w:rPr>
          <w:rFonts w:hint="eastAsia"/>
          <w:color w:val="auto"/>
          <w:sz w:val="24"/>
          <w:szCs w:val="24"/>
          <w:highlight w:val="none"/>
          <w:u w:val="none"/>
        </w:rPr>
      </w:pPr>
      <w:r>
        <w:rPr>
          <w:rFonts w:hint="eastAsia"/>
          <w:color w:val="auto"/>
          <w:sz w:val="24"/>
          <w:szCs w:val="24"/>
          <w:highlight w:val="none"/>
          <w:u w:val="none"/>
        </w:rPr>
        <w:t>经初审合格的投标文件其投标报价为有效报价。</w:t>
      </w:r>
    </w:p>
    <w:p w14:paraId="26676944">
      <w:pPr>
        <w:numPr>
          <w:ilvl w:val="0"/>
          <w:numId w:val="9"/>
        </w:numPr>
        <w:shd w:val="clear" w:color="auto" w:fill="auto"/>
        <w:spacing w:line="360" w:lineRule="auto"/>
        <w:ind w:left="-100" w:leftChars="0" w:firstLine="480" w:firstLineChars="0"/>
        <w:rPr>
          <w:rFonts w:hint="eastAsia"/>
          <w:color w:val="auto"/>
          <w:sz w:val="24"/>
          <w:szCs w:val="24"/>
          <w:highlight w:val="none"/>
          <w:u w:val="none"/>
        </w:rPr>
      </w:pPr>
      <w:r>
        <w:rPr>
          <w:rFonts w:hint="eastAsia"/>
          <w:color w:val="auto"/>
          <w:sz w:val="24"/>
          <w:szCs w:val="24"/>
          <w:highlight w:val="none"/>
          <w:u w:val="none"/>
        </w:rPr>
        <w:t>评标价格均以元（RMB）为单位计算，小数点后保留两位，第三位四舍五入。</w:t>
      </w:r>
    </w:p>
    <w:p w14:paraId="106D6C3F">
      <w:pPr>
        <w:numPr>
          <w:ilvl w:val="0"/>
          <w:numId w:val="9"/>
        </w:numPr>
        <w:shd w:val="clear" w:color="auto" w:fill="auto"/>
        <w:spacing w:line="360" w:lineRule="auto"/>
        <w:ind w:left="-100" w:leftChars="0" w:firstLine="480" w:firstLineChars="0"/>
        <w:rPr>
          <w:rFonts w:ascii="宋体" w:hAnsi="宋体" w:eastAsia="宋体" w:cs="宋体"/>
          <w:b/>
          <w:sz w:val="24"/>
          <w:szCs w:val="24"/>
        </w:rPr>
      </w:pPr>
      <w:r>
        <w:rPr>
          <w:rFonts w:hint="eastAsia"/>
          <w:color w:val="auto"/>
          <w:sz w:val="24"/>
          <w:szCs w:val="24"/>
          <w:highlight w:val="none"/>
          <w:u w:val="none"/>
        </w:rPr>
        <w:t>评标委员会二分之一以上人员认为某投标总报价有低于成本价嫌疑的，视为无效报价，不进入下一步评审。</w:t>
      </w:r>
    </w:p>
    <w:p w14:paraId="18BAE727">
      <w:pPr>
        <w:numPr>
          <w:ilvl w:val="255"/>
          <w:numId w:val="0"/>
        </w:num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14:paraId="5A8D021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40B5708A">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14:paraId="090ED7A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109B872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1B70D32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6A6520AE">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7931603C">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14:paraId="53A218CF">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14:paraId="3CCDECE5">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8E869B8">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62695CAC">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663BF774">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AC322C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3984D0A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3DBA84AF">
      <w:pPr>
        <w:pStyle w:val="17"/>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32238E5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7D188579">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3F20515B">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344C89C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55A7E80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19559EC1">
      <w:pPr>
        <w:pStyle w:val="17"/>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619036B3">
      <w:pPr>
        <w:pStyle w:val="17"/>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685B6A97">
      <w:pPr>
        <w:pStyle w:val="1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w:t>
      </w:r>
      <w:r>
        <w:rPr>
          <w:rFonts w:hint="eastAsia" w:hAnsi="宋体" w:eastAsia="宋体" w:cs="宋体"/>
          <w:color w:val="000000"/>
          <w:sz w:val="24"/>
          <w:szCs w:val="24"/>
          <w:lang w:val="en-US" w:eastAsia="zh-CN"/>
        </w:rPr>
        <w:t>投标限价</w:t>
      </w:r>
      <w:r>
        <w:rPr>
          <w:rFonts w:hint="eastAsia" w:ascii="宋体" w:hAnsi="宋体" w:eastAsia="宋体" w:cs="宋体"/>
          <w:color w:val="000000"/>
          <w:sz w:val="24"/>
          <w:szCs w:val="24"/>
          <w:lang w:eastAsia="zh-CN"/>
        </w:rPr>
        <w:t>的；</w:t>
      </w:r>
    </w:p>
    <w:p w14:paraId="1A74FA9E">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75C13A72">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11A2BEC8">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55016D13">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14:paraId="1623C0B1">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692A3495">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3" w:name="OLE_LINK26"/>
      <w:bookmarkStart w:id="24" w:name="OLE_LINK29"/>
      <w:bookmarkStart w:id="25" w:name="OLE_LINK25"/>
      <w:bookmarkStart w:id="26" w:name="OLE_LINK27"/>
      <w:bookmarkStart w:id="27" w:name="OLE_LINK28"/>
      <w:r>
        <w:rPr>
          <w:rFonts w:hint="eastAsia" w:ascii="宋体" w:hAnsi="宋体" w:eastAsia="宋体" w:cs="宋体"/>
          <w:bCs/>
          <w:sz w:val="24"/>
          <w:szCs w:val="24"/>
        </w:rPr>
        <w:t>；</w:t>
      </w:r>
      <w:bookmarkEnd w:id="23"/>
      <w:bookmarkEnd w:id="24"/>
      <w:bookmarkEnd w:id="25"/>
      <w:bookmarkEnd w:id="26"/>
      <w:bookmarkEnd w:id="27"/>
    </w:p>
    <w:p w14:paraId="4B9F431B">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1D60E1F0">
      <w:pPr>
        <w:pStyle w:val="17"/>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14:paraId="0F4F1B92">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F660C1A">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3C3486B8">
      <w:pPr>
        <w:pStyle w:val="17"/>
        <w:spacing w:line="360" w:lineRule="auto"/>
        <w:jc w:val="center"/>
        <w:rPr>
          <w:rFonts w:hAnsi="宋体" w:eastAsia="宋体" w:cs="宋体"/>
          <w:b/>
          <w:bCs/>
          <w:kern w:val="44"/>
          <w:sz w:val="24"/>
          <w:szCs w:val="24"/>
        </w:rPr>
        <w:sectPr>
          <w:headerReference r:id="rId9" w:type="default"/>
          <w:footerReference r:id="rId10" w:type="default"/>
          <w:pgSz w:w="11907" w:h="16840"/>
          <w:pgMar w:top="1304" w:right="1418" w:bottom="1304" w:left="1418" w:header="724" w:footer="851" w:gutter="0"/>
          <w:cols w:space="720" w:num="1"/>
          <w:docGrid w:linePitch="290" w:charSpace="-3931"/>
        </w:sectPr>
      </w:pPr>
    </w:p>
    <w:p w14:paraId="103EEBEC">
      <w:pPr>
        <w:pStyle w:val="17"/>
        <w:numPr>
          <w:ilvl w:val="255"/>
          <w:numId w:val="0"/>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第三部分 投标文件编制</w:t>
      </w:r>
      <w:bookmarkEnd w:id="5"/>
    </w:p>
    <w:p w14:paraId="58ED7800">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14:paraId="29218BD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06FE89E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6DFD31BD">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256A2329">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14:paraId="73D3AD5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1AADCD7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18AFB5E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27E1514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09F8EBA4">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2D749EF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6E02250B">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6353F840">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14:paraId="2767A6C3">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highlight w:val="yellow"/>
        </w:rPr>
        <w:t>本项目投标文件分为</w:t>
      </w:r>
      <w:r>
        <w:rPr>
          <w:rFonts w:hint="eastAsia" w:ascii="宋体" w:hAnsi="宋体" w:eastAsia="宋体" w:cs="宋体"/>
          <w:b/>
          <w:sz w:val="24"/>
          <w:szCs w:val="24"/>
          <w:highlight w:val="yellow"/>
        </w:rPr>
        <w:t>纸质版</w:t>
      </w:r>
      <w:r>
        <w:rPr>
          <w:rFonts w:hint="eastAsia" w:ascii="宋体" w:hAnsi="宋体" w:eastAsia="宋体" w:cs="宋体"/>
          <w:bCs/>
          <w:sz w:val="24"/>
          <w:szCs w:val="24"/>
          <w:highlight w:val="yellow"/>
        </w:rPr>
        <w:t>投标文件和</w:t>
      </w:r>
      <w:r>
        <w:rPr>
          <w:rFonts w:hint="eastAsia" w:ascii="宋体" w:hAnsi="宋体" w:eastAsia="宋体" w:cs="宋体"/>
          <w:b/>
          <w:sz w:val="24"/>
          <w:szCs w:val="24"/>
          <w:highlight w:val="yellow"/>
        </w:rPr>
        <w:t>电子版</w:t>
      </w:r>
      <w:r>
        <w:rPr>
          <w:rFonts w:hint="eastAsia" w:ascii="宋体" w:hAnsi="宋体" w:eastAsia="宋体" w:cs="宋体"/>
          <w:bCs/>
          <w:sz w:val="24"/>
          <w:szCs w:val="24"/>
          <w:highlight w:val="yellow"/>
        </w:rPr>
        <w:t>投标文件，均由</w:t>
      </w:r>
      <w:r>
        <w:rPr>
          <w:rFonts w:hint="eastAsia" w:ascii="宋体" w:hAnsi="宋体" w:eastAsia="宋体" w:cs="宋体"/>
          <w:b/>
          <w:sz w:val="24"/>
          <w:szCs w:val="24"/>
          <w:highlight w:val="yellow"/>
        </w:rPr>
        <w:t>《投标文件（资质标）》、《投标文件（技术标）》、《投标文件（商务标）》（开标一览表）</w:t>
      </w:r>
      <w:r>
        <w:rPr>
          <w:rFonts w:hint="eastAsia" w:ascii="宋体" w:hAnsi="宋体" w:eastAsia="宋体" w:cs="宋体"/>
          <w:bCs/>
          <w:sz w:val="24"/>
          <w:szCs w:val="24"/>
          <w:highlight w:val="yellow"/>
        </w:rPr>
        <w:t>文件组成，共计3</w:t>
      </w:r>
      <w:r>
        <w:rPr>
          <w:rFonts w:hint="eastAsia" w:ascii="宋体" w:hAnsi="宋体" w:eastAsia="宋体" w:cs="宋体"/>
          <w:bCs/>
          <w:color w:val="000000"/>
          <w:sz w:val="24"/>
          <w:szCs w:val="24"/>
          <w:highlight w:val="yellow"/>
        </w:rPr>
        <w:t>个文件。</w:t>
      </w:r>
    </w:p>
    <w:p w14:paraId="4E7555D0">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0669F7A4">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2A4DF159">
      <w:pPr>
        <w:spacing w:line="360" w:lineRule="auto"/>
        <w:ind w:firstLine="482" w:firstLineChars="200"/>
        <w:rPr>
          <w:rFonts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0B30A19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63B4423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155E58A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rPr>
        <w:t>被授权人</w:t>
      </w:r>
      <w:r>
        <w:rPr>
          <w:rFonts w:hint="eastAsia" w:ascii="宋体" w:hAnsi="宋体" w:eastAsia="宋体" w:cs="宋体"/>
          <w:kern w:val="0"/>
          <w:sz w:val="24"/>
          <w:szCs w:val="24"/>
          <w:lang w:bidi="en-US"/>
        </w:rPr>
        <w:t>近6个月及以上在授权单位的社保缴纳证明</w:t>
      </w:r>
      <w:r>
        <w:rPr>
          <w:rFonts w:hint="eastAsia" w:ascii="宋体" w:hAnsi="宋体" w:eastAsia="宋体" w:cs="宋体"/>
          <w:b/>
          <w:color w:val="000000"/>
          <w:sz w:val="24"/>
          <w:szCs w:val="24"/>
        </w:rPr>
        <w:t>；</w:t>
      </w:r>
    </w:p>
    <w:p w14:paraId="614B6AF1">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1.4经会计师事务所审计且出具无保留意见的近</w:t>
      </w:r>
      <w:r>
        <w:rPr>
          <w:rFonts w:hint="eastAsia" w:ascii="宋体" w:hAnsi="宋体" w:eastAsia="宋体" w:cs="宋体"/>
          <w:color w:val="000000"/>
          <w:sz w:val="24"/>
          <w:szCs w:val="24"/>
          <w:lang w:val="en-US" w:eastAsia="zh-CN"/>
        </w:rPr>
        <w:t>三</w:t>
      </w:r>
      <w:r>
        <w:rPr>
          <w:rFonts w:hint="eastAsia" w:ascii="宋体" w:hAnsi="宋体" w:eastAsia="宋体" w:cs="宋体"/>
          <w:color w:val="000000"/>
          <w:sz w:val="24"/>
          <w:szCs w:val="24"/>
        </w:rPr>
        <w:t>年的财务审计报告，并加盖公章，包括但不限于报告页、经审计的资产负债表、利润表、现金流量表及报表附注</w:t>
      </w:r>
      <w:r>
        <w:rPr>
          <w:rFonts w:hint="eastAsia" w:ascii="宋体" w:hAnsi="宋体" w:eastAsia="宋体" w:cs="宋体"/>
          <w:color w:val="000000"/>
          <w:sz w:val="24"/>
          <w:szCs w:val="24"/>
          <w:lang w:eastAsia="zh-CN"/>
        </w:rPr>
        <w:t>，</w:t>
      </w:r>
      <w:r>
        <w:rPr>
          <w:rFonts w:hint="eastAsia" w:hAnsi="宋体" w:eastAsia="宋体" w:cs="宋体"/>
          <w:color w:val="000000"/>
          <w:sz w:val="24"/>
          <w:szCs w:val="24"/>
          <w:highlight w:val="none"/>
        </w:rPr>
        <w:t>（如投标人公司没有经审计的财务报告，可提供加盖公章的近</w:t>
      </w:r>
      <w:r>
        <w:rPr>
          <w:rFonts w:hint="eastAsia" w:hAnsi="宋体" w:eastAsia="宋体" w:cs="宋体"/>
          <w:color w:val="000000"/>
          <w:sz w:val="24"/>
          <w:szCs w:val="24"/>
          <w:highlight w:val="none"/>
          <w:lang w:val="en-US" w:eastAsia="zh-CN"/>
        </w:rPr>
        <w:t>三</w:t>
      </w:r>
      <w:r>
        <w:rPr>
          <w:rFonts w:hint="eastAsia" w:hAnsi="宋体" w:eastAsia="宋体" w:cs="宋体"/>
          <w:color w:val="000000"/>
          <w:sz w:val="24"/>
          <w:szCs w:val="24"/>
          <w:highlight w:val="none"/>
        </w:rPr>
        <w:t>年财务报表，包括但不限于资产负债表、利润表、现金流量表）</w:t>
      </w:r>
      <w:r>
        <w:rPr>
          <w:rFonts w:hint="eastAsia" w:ascii="宋体" w:hAnsi="宋体" w:eastAsia="宋体" w:cs="宋体"/>
          <w:color w:val="000000"/>
          <w:sz w:val="24"/>
          <w:szCs w:val="24"/>
        </w:rPr>
        <w:t>。必须连续，同时填写投标人基本情况及资产情况汇总表（附件3）</w:t>
      </w:r>
      <w:r>
        <w:rPr>
          <w:rFonts w:hint="eastAsia" w:ascii="宋体" w:hAnsi="宋体" w:eastAsia="宋体" w:cs="宋体"/>
          <w:color w:val="000000"/>
          <w:sz w:val="24"/>
          <w:szCs w:val="24"/>
          <w:lang w:eastAsia="zh-CN"/>
        </w:rPr>
        <w:t>；</w:t>
      </w:r>
    </w:p>
    <w:p w14:paraId="3385DBD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314F392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1.6投标人在国家企业信用信息公示系统中无与本项目有关的行政处罚、经营异常和失信信息的声明；（附投标当日系统内相关截图或报告）</w:t>
      </w:r>
    </w:p>
    <w:p w14:paraId="475108B4">
      <w:pPr>
        <w:spacing w:line="360" w:lineRule="auto"/>
        <w:ind w:firstLine="480" w:firstLineChars="200"/>
      </w:pPr>
      <w:r>
        <w:rPr>
          <w:rFonts w:hint="eastAsia" w:ascii="宋体" w:hAnsi="宋体" w:eastAsia="宋体" w:cs="宋体"/>
          <w:color w:val="000000"/>
          <w:sz w:val="24"/>
          <w:szCs w:val="24"/>
        </w:rPr>
        <w:t>1.7</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0AC7B25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1.8企业信用证明材料（征信中心出具的信用报告）；</w:t>
      </w:r>
    </w:p>
    <w:p w14:paraId="572AE43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2381B3A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0</w:t>
      </w:r>
      <w:r>
        <w:rPr>
          <w:rFonts w:hint="eastAsia" w:ascii="宋体" w:hAnsi="宋体" w:eastAsia="宋体" w:cs="宋体"/>
          <w:color w:val="000000"/>
          <w:sz w:val="24"/>
          <w:szCs w:val="24"/>
        </w:rPr>
        <w:t>保密承诺函（附件4）；</w:t>
      </w:r>
    </w:p>
    <w:p w14:paraId="41D4C9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年1月1日至今，企业近三年同类项目业绩证明，</w:t>
      </w:r>
      <w:r>
        <w:rPr>
          <w:rFonts w:ascii="宋体" w:hAnsi="宋体" w:eastAsia="宋体" w:cs="宋体"/>
          <w:sz w:val="24"/>
          <w:szCs w:val="24"/>
        </w:rPr>
        <w:t>须提供</w:t>
      </w:r>
      <w:r>
        <w:rPr>
          <w:rFonts w:hint="eastAsia" w:hAnsi="宋体" w:eastAsia="宋体" w:cs="宋体"/>
          <w:b/>
          <w:bCs/>
          <w:color w:val="000000"/>
          <w:kern w:val="0"/>
          <w:sz w:val="24"/>
          <w:szCs w:val="24"/>
        </w:rPr>
        <w:t>用户清单</w:t>
      </w:r>
      <w:r>
        <w:rPr>
          <w:rFonts w:ascii="宋体" w:hAnsi="宋体" w:eastAsia="宋体" w:cs="宋体"/>
          <w:sz w:val="24"/>
          <w:szCs w:val="24"/>
        </w:rPr>
        <w:t>、采购合同</w:t>
      </w:r>
      <w:r>
        <w:rPr>
          <w:rFonts w:hint="eastAsia" w:ascii="宋体" w:hAnsi="宋体" w:eastAsia="宋体" w:cs="宋体"/>
          <w:sz w:val="24"/>
          <w:szCs w:val="24"/>
        </w:rPr>
        <w:t>复印件</w:t>
      </w:r>
      <w:r>
        <w:rPr>
          <w:rFonts w:hint="eastAsia" w:ascii="宋体" w:hAnsi="宋体" w:eastAsia="宋体" w:cs="宋体"/>
          <w:color w:val="000000"/>
          <w:sz w:val="24"/>
          <w:szCs w:val="24"/>
        </w:rPr>
        <w:t>；</w:t>
      </w:r>
    </w:p>
    <w:p w14:paraId="49DE87CA">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cs="宋体"/>
          <w:color w:val="000000"/>
          <w:sz w:val="24"/>
          <w:szCs w:val="24"/>
          <w:lang w:val="en-US" w:eastAsia="zh-CN"/>
        </w:rPr>
        <w:t>1.12</w:t>
      </w:r>
      <w:r>
        <w:rPr>
          <w:rFonts w:hint="eastAsia" w:ascii="宋体" w:hAnsi="宋体" w:eastAsia="宋体" w:cs="宋体"/>
          <w:color w:val="000000"/>
          <w:sz w:val="24"/>
          <w:szCs w:val="24"/>
        </w:rPr>
        <w:t>有效期内的生产许可证（实行生产许可制度的企业提供）加盖公章</w:t>
      </w:r>
      <w:r>
        <w:rPr>
          <w:rFonts w:hint="eastAsia" w:ascii="宋体" w:hAnsi="宋体" w:eastAsia="宋体" w:cs="宋体"/>
          <w:color w:val="000000"/>
          <w:sz w:val="24"/>
          <w:szCs w:val="24"/>
          <w:lang w:eastAsia="zh-CN"/>
        </w:rPr>
        <w:t>；</w:t>
      </w:r>
    </w:p>
    <w:p w14:paraId="67D03970">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cs="宋体"/>
          <w:color w:val="000000"/>
          <w:sz w:val="24"/>
          <w:szCs w:val="24"/>
          <w:lang w:val="en-US" w:eastAsia="zh-CN"/>
        </w:rPr>
        <w:t>1.13</w:t>
      </w:r>
      <w:r>
        <w:rPr>
          <w:rFonts w:hint="eastAsia" w:ascii="宋体" w:hAnsi="宋体" w:eastAsia="宋体" w:cs="宋体"/>
          <w:color w:val="000000"/>
          <w:sz w:val="24"/>
          <w:szCs w:val="24"/>
        </w:rPr>
        <w:t>产品鉴定证书（如需）</w:t>
      </w:r>
      <w:r>
        <w:rPr>
          <w:rFonts w:hint="eastAsia" w:ascii="宋体" w:hAnsi="宋体" w:eastAsia="宋体" w:cs="宋体"/>
          <w:color w:val="000000"/>
          <w:sz w:val="24"/>
          <w:szCs w:val="24"/>
          <w:lang w:eastAsia="zh-CN"/>
        </w:rPr>
        <w:t>；</w:t>
      </w:r>
    </w:p>
    <w:p w14:paraId="0E7E38A5">
      <w:pPr>
        <w:spacing w:line="360" w:lineRule="auto"/>
        <w:ind w:firstLine="480" w:firstLineChars="200"/>
        <w:rPr>
          <w:rFonts w:hint="eastAsia" w:ascii="宋体" w:hAnsi="宋体" w:cs="宋体"/>
          <w:color w:val="000000"/>
          <w:sz w:val="24"/>
          <w:szCs w:val="24"/>
          <w:lang w:eastAsia="zh-CN"/>
        </w:rPr>
      </w:pPr>
      <w:r>
        <w:rPr>
          <w:rFonts w:hint="eastAsia" w:ascii="宋体" w:hAnsi="宋体" w:cs="宋体"/>
          <w:color w:val="000000"/>
          <w:sz w:val="24"/>
          <w:szCs w:val="24"/>
          <w:lang w:val="en-US" w:eastAsia="zh-CN"/>
        </w:rPr>
        <w:t>1.14</w:t>
      </w:r>
      <w:r>
        <w:rPr>
          <w:rFonts w:hint="eastAsia" w:ascii="宋体" w:hAnsi="宋体" w:eastAsia="宋体" w:cs="宋体"/>
          <w:color w:val="000000"/>
          <w:sz w:val="24"/>
          <w:szCs w:val="24"/>
        </w:rPr>
        <w:t>质量体系认证证书（如需）</w:t>
      </w:r>
      <w:r>
        <w:rPr>
          <w:rFonts w:hint="eastAsia" w:ascii="宋体" w:hAnsi="宋体" w:eastAsia="宋体" w:cs="宋体"/>
          <w:color w:val="000000"/>
          <w:sz w:val="24"/>
          <w:szCs w:val="24"/>
          <w:lang w:eastAsia="zh-CN"/>
        </w:rPr>
        <w:t>；</w:t>
      </w:r>
    </w:p>
    <w:p w14:paraId="26A59D86">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cs="宋体"/>
          <w:color w:val="000000"/>
          <w:sz w:val="24"/>
          <w:szCs w:val="24"/>
          <w:lang w:val="en-US" w:eastAsia="zh-CN"/>
        </w:rPr>
        <w:t>1.15</w:t>
      </w:r>
      <w:r>
        <w:rPr>
          <w:rFonts w:hint="eastAsia" w:ascii="宋体" w:hAnsi="宋体" w:eastAsia="宋体" w:cs="宋体"/>
          <w:color w:val="000000"/>
          <w:sz w:val="24"/>
          <w:szCs w:val="24"/>
        </w:rPr>
        <w:t>产品和主要元器件“CCC”认证证书（如需）</w:t>
      </w:r>
      <w:r>
        <w:rPr>
          <w:rFonts w:hint="eastAsia" w:ascii="宋体" w:hAnsi="宋体" w:eastAsia="宋体" w:cs="宋体"/>
          <w:color w:val="000000"/>
          <w:sz w:val="24"/>
          <w:szCs w:val="24"/>
          <w:lang w:eastAsia="zh-CN"/>
        </w:rPr>
        <w:t>；</w:t>
      </w:r>
    </w:p>
    <w:p w14:paraId="2C753DAE">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cs="宋体"/>
          <w:color w:val="000000"/>
          <w:sz w:val="24"/>
          <w:szCs w:val="24"/>
          <w:lang w:val="en-US" w:eastAsia="zh-CN"/>
        </w:rPr>
        <w:t>1.16</w:t>
      </w:r>
      <w:r>
        <w:rPr>
          <w:rFonts w:hint="eastAsia" w:ascii="宋体" w:hAnsi="宋体" w:eastAsia="宋体" w:cs="宋体"/>
          <w:color w:val="000000"/>
          <w:sz w:val="24"/>
          <w:szCs w:val="24"/>
        </w:rPr>
        <w:t>产品的检测、检验报告复印件（如有，需权威部门出具）</w:t>
      </w:r>
      <w:r>
        <w:rPr>
          <w:rFonts w:hint="eastAsia" w:ascii="宋体" w:hAnsi="宋体" w:eastAsia="宋体" w:cs="宋体"/>
          <w:color w:val="000000"/>
          <w:sz w:val="24"/>
          <w:szCs w:val="24"/>
          <w:lang w:eastAsia="zh-CN"/>
        </w:rPr>
        <w:t>；</w:t>
      </w:r>
    </w:p>
    <w:p w14:paraId="28FBBD79">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cs="宋体"/>
          <w:color w:val="000000"/>
          <w:sz w:val="24"/>
          <w:szCs w:val="24"/>
          <w:lang w:val="en-US" w:eastAsia="zh-CN"/>
        </w:rPr>
        <w:t>1.17</w:t>
      </w:r>
      <w:r>
        <w:rPr>
          <w:rFonts w:hint="eastAsia" w:ascii="宋体" w:hAnsi="宋体" w:eastAsia="宋体" w:cs="宋体"/>
          <w:color w:val="000000"/>
          <w:sz w:val="24"/>
          <w:szCs w:val="24"/>
        </w:rPr>
        <w:t>招标文件要求的其它必要资格文件</w:t>
      </w:r>
      <w:r>
        <w:rPr>
          <w:rFonts w:hint="eastAsia" w:ascii="宋体" w:hAnsi="宋体" w:eastAsia="宋体" w:cs="宋体"/>
          <w:color w:val="000000"/>
          <w:sz w:val="24"/>
          <w:szCs w:val="24"/>
          <w:lang w:eastAsia="zh-CN"/>
        </w:rPr>
        <w:t>；</w:t>
      </w:r>
    </w:p>
    <w:p w14:paraId="139419B5">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cs="宋体"/>
          <w:color w:val="000000"/>
          <w:sz w:val="24"/>
          <w:szCs w:val="24"/>
          <w:lang w:val="en-US" w:eastAsia="zh-CN"/>
        </w:rPr>
        <w:t>1.18</w:t>
      </w:r>
      <w:r>
        <w:rPr>
          <w:rFonts w:hint="eastAsia" w:ascii="宋体" w:hAnsi="宋体" w:eastAsia="宋体" w:cs="宋体"/>
          <w:color w:val="000000"/>
          <w:sz w:val="24"/>
          <w:szCs w:val="24"/>
        </w:rPr>
        <w:t>投标方认为对其投标有利的其他资料</w:t>
      </w:r>
      <w:r>
        <w:rPr>
          <w:rFonts w:hint="eastAsia" w:ascii="宋体" w:hAnsi="宋体" w:eastAsia="宋体" w:cs="宋体"/>
          <w:color w:val="000000"/>
          <w:sz w:val="24"/>
          <w:szCs w:val="24"/>
          <w:lang w:eastAsia="zh-CN"/>
        </w:rPr>
        <w:t>；</w:t>
      </w:r>
    </w:p>
    <w:p w14:paraId="1B5484C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投标保证金缴纳凭证，同时正文描述付款账号、户名、开户行名称、开户行行号、保证金金额。</w:t>
      </w:r>
    </w:p>
    <w:p w14:paraId="1475EEA1">
      <w:pPr>
        <w:spacing w:line="360" w:lineRule="auto"/>
        <w:ind w:firstLine="482" w:firstLineChars="200"/>
        <w:rPr>
          <w:rFonts w:hint="default" w:ascii="宋体" w:hAnsi="宋体" w:eastAsia="宋体" w:cs="宋体"/>
          <w:b/>
          <w:bCs/>
          <w:sz w:val="24"/>
          <w:szCs w:val="24"/>
          <w:highlight w:val="yellow"/>
          <w:lang w:val="en-US" w:eastAsia="zh-CN"/>
        </w:rPr>
      </w:pPr>
      <w:bookmarkStart w:id="28" w:name="_Toc212369515"/>
      <w:r>
        <w:rPr>
          <w:rFonts w:hint="eastAsia" w:ascii="宋体" w:hAnsi="宋体" w:eastAsia="宋体" w:cs="宋体"/>
          <w:b/>
          <w:bCs/>
          <w:sz w:val="24"/>
          <w:szCs w:val="24"/>
          <w:highlight w:val="yellow"/>
        </w:rPr>
        <w:t>2.</w:t>
      </w:r>
      <w:r>
        <w:rPr>
          <w:rFonts w:hint="eastAsia" w:ascii="宋体" w:hAnsi="宋体" w:eastAsia="宋体" w:cs="宋体"/>
          <w:b/>
          <w:sz w:val="24"/>
          <w:szCs w:val="24"/>
          <w:highlight w:val="yellow"/>
        </w:rPr>
        <w:t>《投标文件（技术标）》</w:t>
      </w:r>
      <w:r>
        <w:rPr>
          <w:rFonts w:hint="eastAsia" w:ascii="宋体" w:hAnsi="宋体" w:eastAsia="宋体" w:cs="宋体"/>
          <w:b/>
          <w:bCs/>
          <w:sz w:val="24"/>
          <w:szCs w:val="24"/>
          <w:highlight w:val="yellow"/>
        </w:rPr>
        <w:t>：</w:t>
      </w:r>
      <w:bookmarkEnd w:id="28"/>
    </w:p>
    <w:p w14:paraId="0B505C66">
      <w:pPr>
        <w:spacing w:line="360" w:lineRule="auto"/>
        <w:ind w:firstLine="480" w:firstLineChars="200"/>
        <w:rPr>
          <w:rFonts w:ascii="宋体" w:hAnsi="宋体" w:eastAsia="宋体" w:cs="宋体"/>
          <w:b/>
          <w:color w:val="000000"/>
          <w:sz w:val="24"/>
          <w:szCs w:val="24"/>
          <w:highlight w:val="yellow"/>
        </w:rPr>
      </w:pPr>
      <w:r>
        <w:rPr>
          <w:rFonts w:hint="eastAsia" w:ascii="宋体" w:hAnsi="宋体" w:eastAsia="宋体" w:cs="宋体"/>
          <w:color w:val="000000"/>
          <w:sz w:val="24"/>
          <w:szCs w:val="24"/>
          <w:highlight w:val="yellow"/>
        </w:rPr>
        <w:t>2.1技术规格偏离表（附件5-1），</w:t>
      </w:r>
      <w:r>
        <w:rPr>
          <w:rFonts w:hint="eastAsia" w:ascii="宋体" w:hAnsi="宋体" w:eastAsia="宋体" w:cs="宋体"/>
          <w:b/>
          <w:color w:val="000000"/>
          <w:sz w:val="24"/>
          <w:szCs w:val="24"/>
          <w:highlight w:val="yellow"/>
        </w:rPr>
        <w:t>必须先进行两列要求一一对照，不允许直接写无偏离；</w:t>
      </w:r>
    </w:p>
    <w:p w14:paraId="4EC7592F">
      <w:pPr>
        <w:spacing w:line="360" w:lineRule="auto"/>
        <w:ind w:firstLine="480" w:firstLineChars="200"/>
        <w:rPr>
          <w:rFonts w:hint="eastAsia" w:ascii="宋体" w:hAnsi="宋体" w:eastAsia="宋体" w:cs="宋体"/>
          <w:bCs/>
          <w:color w:val="auto"/>
          <w:sz w:val="24"/>
          <w:szCs w:val="24"/>
          <w:highlight w:val="none"/>
          <w:u w:val="none"/>
        </w:rPr>
      </w:pPr>
      <w:r>
        <w:rPr>
          <w:rFonts w:hint="eastAsia" w:ascii="宋体" w:hAnsi="宋体" w:eastAsia="宋体" w:cs="宋体"/>
          <w:bCs/>
          <w:color w:val="auto"/>
          <w:sz w:val="24"/>
          <w:szCs w:val="24"/>
          <w:highlight w:val="none"/>
          <w:u w:val="none"/>
          <w:lang w:val="en-US" w:eastAsia="zh-CN"/>
        </w:rPr>
        <w:t>2.2</w:t>
      </w:r>
      <w:r>
        <w:rPr>
          <w:rFonts w:hint="eastAsia" w:ascii="宋体" w:hAnsi="宋体" w:eastAsia="宋体" w:cs="宋体"/>
          <w:bCs/>
          <w:color w:val="auto"/>
          <w:sz w:val="24"/>
          <w:szCs w:val="24"/>
          <w:highlight w:val="none"/>
          <w:u w:val="none"/>
        </w:rPr>
        <w:t>技术标书提供资料要求首页为</w:t>
      </w:r>
      <w:r>
        <w:rPr>
          <w:rFonts w:hint="eastAsia" w:ascii="宋体" w:hAnsi="宋体" w:eastAsia="宋体" w:cs="宋体"/>
          <w:bCs/>
          <w:color w:val="auto"/>
          <w:sz w:val="24"/>
          <w:szCs w:val="24"/>
          <w:highlight w:val="none"/>
          <w:u w:val="none"/>
          <w:lang w:eastAsia="zh-CN"/>
        </w:rPr>
        <w:t>《</w:t>
      </w:r>
      <w:r>
        <w:rPr>
          <w:rFonts w:hint="eastAsia" w:ascii="宋体" w:hAnsi="宋体" w:eastAsia="宋体" w:cs="宋体"/>
          <w:bCs/>
          <w:color w:val="auto"/>
          <w:sz w:val="24"/>
          <w:szCs w:val="24"/>
          <w:highlight w:val="none"/>
          <w:u w:val="none"/>
        </w:rPr>
        <w:t>技术条款偏离表</w:t>
      </w:r>
      <w:r>
        <w:rPr>
          <w:rFonts w:hint="eastAsia" w:ascii="宋体" w:hAnsi="宋体" w:eastAsia="宋体" w:cs="宋体"/>
          <w:bCs/>
          <w:color w:val="auto"/>
          <w:sz w:val="24"/>
          <w:szCs w:val="24"/>
          <w:highlight w:val="none"/>
          <w:u w:val="none"/>
          <w:lang w:eastAsia="zh-CN"/>
        </w:rPr>
        <w:t>》</w:t>
      </w:r>
      <w:r>
        <w:rPr>
          <w:rFonts w:hint="eastAsia" w:ascii="宋体" w:hAnsi="宋体" w:eastAsia="宋体" w:cs="宋体"/>
          <w:bCs/>
          <w:color w:val="auto"/>
          <w:sz w:val="24"/>
          <w:szCs w:val="24"/>
          <w:highlight w:val="none"/>
          <w:u w:val="none"/>
        </w:rPr>
        <w:t>，其余按照技术评分标准编制提供。</w:t>
      </w:r>
    </w:p>
    <w:p w14:paraId="763B937C">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2.3提供</w:t>
      </w:r>
      <w:r>
        <w:rPr>
          <w:rFonts w:hint="eastAsia" w:ascii="宋体" w:hAnsi="宋体" w:eastAsia="宋体" w:cs="宋体"/>
          <w:color w:val="000000"/>
          <w:sz w:val="24"/>
          <w:szCs w:val="24"/>
          <w:highlight w:val="yellow"/>
          <w:lang w:eastAsia="zh-CN"/>
        </w:rPr>
        <w:t>2022</w:t>
      </w:r>
      <w:r>
        <w:rPr>
          <w:rFonts w:hint="eastAsia" w:ascii="宋体" w:hAnsi="宋体" w:eastAsia="宋体" w:cs="宋体"/>
          <w:color w:val="000000"/>
          <w:sz w:val="24"/>
          <w:szCs w:val="24"/>
          <w:highlight w:val="yellow"/>
        </w:rPr>
        <w:t>年1月1日以来同类产品的制造销售业绩（用户名单、联系方式），并附合同复印件。该同类项目业绩一览表必</w:t>
      </w:r>
      <w:r>
        <w:rPr>
          <w:rFonts w:hint="eastAsia" w:ascii="宋体" w:hAnsi="宋体" w:eastAsia="宋体" w:cs="宋体"/>
          <w:b/>
          <w:bCs/>
          <w:color w:val="000000"/>
          <w:sz w:val="24"/>
          <w:szCs w:val="24"/>
          <w:highlight w:val="yellow"/>
        </w:rPr>
        <w:t>须如实填写，应全尽全</w:t>
      </w:r>
      <w:r>
        <w:rPr>
          <w:rFonts w:hint="eastAsia" w:ascii="宋体" w:hAnsi="宋体" w:eastAsia="宋体" w:cs="宋体"/>
          <w:color w:val="000000"/>
          <w:sz w:val="24"/>
          <w:szCs w:val="24"/>
          <w:highlight w:val="yellow"/>
        </w:rPr>
        <w:t>；</w:t>
      </w:r>
      <w:r>
        <w:rPr>
          <w:rFonts w:hint="eastAsia" w:ascii="宋体" w:hAnsi="宋体" w:eastAsia="宋体" w:cs="宋体"/>
          <w:b/>
          <w:bCs/>
          <w:color w:val="000000"/>
          <w:sz w:val="24"/>
          <w:szCs w:val="24"/>
          <w:highlight w:val="yellow"/>
        </w:rPr>
        <w:t>一览表最终的所有业绩合同总额汇总必填</w:t>
      </w:r>
      <w:r>
        <w:rPr>
          <w:rFonts w:hint="eastAsia" w:ascii="宋体" w:hAnsi="宋体" w:eastAsia="宋体" w:cs="宋体"/>
          <w:color w:val="000000"/>
          <w:sz w:val="24"/>
          <w:szCs w:val="24"/>
          <w:highlight w:val="yellow"/>
        </w:rPr>
        <w:t>，数据将影响现场评标专家组对投标单位的业绩考评。</w:t>
      </w:r>
    </w:p>
    <w:p w14:paraId="7E71B74D">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2.4供货期及保证措施；</w:t>
      </w:r>
    </w:p>
    <w:p w14:paraId="6B920745">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2.5产品的技术服务和售后服务内容及措施；</w:t>
      </w:r>
    </w:p>
    <w:p w14:paraId="5C2DDD79">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2.6交货进度及计划；</w:t>
      </w:r>
    </w:p>
    <w:p w14:paraId="66964B17">
      <w:pPr>
        <w:spacing w:line="360" w:lineRule="auto"/>
        <w:ind w:firstLine="480" w:firstLineChars="200"/>
        <w:rPr>
          <w:rFonts w:ascii="宋体" w:hAnsi="宋体" w:eastAsia="宋体" w:cs="宋体"/>
          <w:color w:val="000000"/>
          <w:sz w:val="24"/>
          <w:szCs w:val="24"/>
          <w:highlight w:val="yellow"/>
        </w:rPr>
      </w:pPr>
      <w:bookmarkStart w:id="29" w:name="_Toc536542319"/>
      <w:r>
        <w:rPr>
          <w:rFonts w:hint="eastAsia" w:ascii="宋体" w:hAnsi="宋体" w:eastAsia="宋体" w:cs="宋体"/>
          <w:color w:val="000000"/>
          <w:sz w:val="24"/>
          <w:szCs w:val="24"/>
          <w:highlight w:val="yellow"/>
        </w:rPr>
        <w:t>2.7投标产品技术支持材料</w:t>
      </w:r>
      <w:bookmarkEnd w:id="29"/>
      <w:r>
        <w:rPr>
          <w:rFonts w:hint="eastAsia" w:ascii="宋体" w:hAnsi="宋体" w:eastAsia="宋体" w:cs="宋体"/>
          <w:color w:val="000000"/>
          <w:sz w:val="24"/>
          <w:szCs w:val="24"/>
          <w:highlight w:val="yellow"/>
        </w:rPr>
        <w:t>；</w:t>
      </w:r>
    </w:p>
    <w:p w14:paraId="2ECB8CEB">
      <w:pPr>
        <w:spacing w:line="360" w:lineRule="auto"/>
        <w:ind w:firstLine="480" w:firstLineChars="200"/>
        <w:rPr>
          <w:rFonts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2.8设备质量承诺函（附件7）；</w:t>
      </w:r>
    </w:p>
    <w:p w14:paraId="51E9EBDC">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2.9投标人需提交的其它资料。</w:t>
      </w:r>
    </w:p>
    <w:p w14:paraId="160A449F">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22F7383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01356A0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bCs/>
          <w:color w:val="000000"/>
          <w:sz w:val="24"/>
          <w:szCs w:val="24"/>
          <w:highlight w:val="none"/>
          <w:lang w:eastAsia="zh-CN"/>
        </w:rPr>
        <w:t>【分项报价中需明确：规格型号、材质、重量、数量、品牌、价格等信息，注明是否包含加工费等其他费用】</w:t>
      </w:r>
      <w:r>
        <w:rPr>
          <w:rFonts w:hint="eastAsia" w:ascii="宋体" w:hAnsi="宋体" w:eastAsia="宋体" w:cs="宋体"/>
          <w:b/>
          <w:color w:val="000000"/>
          <w:sz w:val="24"/>
          <w:szCs w:val="24"/>
        </w:rPr>
        <w:t>；</w:t>
      </w:r>
    </w:p>
    <w:p w14:paraId="79308D2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9"/>
      <w:bookmarkStart w:id="31" w:name="OLE_LINK18"/>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56A383AE">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59FF9B47">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3DF4D04E">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3.6按招标文件投标人须知和技术规格书中要求提供的有关文件</w:t>
      </w:r>
      <w:r>
        <w:rPr>
          <w:rFonts w:hint="eastAsia" w:ascii="宋体" w:hAnsi="宋体" w:eastAsia="宋体" w:cs="宋体"/>
          <w:color w:val="000000"/>
          <w:sz w:val="24"/>
          <w:szCs w:val="24"/>
          <w:lang w:val="en-US" w:eastAsia="zh-CN"/>
        </w:rPr>
        <w:t>;</w:t>
      </w:r>
    </w:p>
    <w:p w14:paraId="5303BC43">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3.7</w:t>
      </w:r>
      <w:r>
        <w:rPr>
          <w:rFonts w:hint="eastAsia" w:ascii="宋体" w:hAnsi="宋体" w:eastAsia="宋体" w:cs="Times New Roman"/>
          <w:color w:val="000000"/>
          <w:sz w:val="24"/>
          <w:szCs w:val="24"/>
          <w:lang w:val="en-US" w:eastAsia="zh-CN"/>
        </w:rPr>
        <w:t>技术条件满足</w:t>
      </w:r>
      <w:r>
        <w:rPr>
          <w:rFonts w:hint="eastAsia" w:ascii="宋体" w:hAnsi="宋体" w:eastAsia="宋体" w:cs="宋体"/>
          <w:color w:val="000000"/>
          <w:sz w:val="24"/>
          <w:szCs w:val="24"/>
          <w:lang w:val="en-US" w:eastAsia="zh-CN"/>
        </w:rPr>
        <w:t>招标</w:t>
      </w:r>
      <w:r>
        <w:rPr>
          <w:rFonts w:hint="eastAsia" w:ascii="宋体" w:hAnsi="宋体" w:eastAsia="宋体" w:cs="Times New Roman"/>
          <w:color w:val="000000"/>
          <w:sz w:val="24"/>
          <w:szCs w:val="24"/>
          <w:lang w:val="en-US" w:eastAsia="zh-CN"/>
        </w:rPr>
        <w:t>文件的承诺书</w:t>
      </w:r>
      <w:r>
        <w:rPr>
          <w:rFonts w:hint="eastAsia" w:ascii="宋体" w:hAnsi="宋体" w:eastAsia="宋体" w:cs="Times New Roman"/>
          <w:color w:val="000000"/>
          <w:sz w:val="24"/>
          <w:szCs w:val="24"/>
        </w:rPr>
        <w:t>。</w:t>
      </w:r>
    </w:p>
    <w:p w14:paraId="73E80E2F">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14:paraId="287516B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5EAE7054">
      <w:pPr>
        <w:pStyle w:val="17"/>
        <w:jc w:val="center"/>
        <w:rPr>
          <w:rFonts w:ascii="Calibri" w:hAnsi="Calibri" w:eastAsia="宋体" w:cs="Times New Roman"/>
          <w:b/>
          <w:bCs/>
          <w:kern w:val="44"/>
          <w:sz w:val="36"/>
          <w:szCs w:val="44"/>
        </w:rPr>
        <w:sectPr>
          <w:footerReference r:id="rId11" w:type="default"/>
          <w:pgSz w:w="11907" w:h="16840"/>
          <w:pgMar w:top="1304" w:right="1418" w:bottom="1304" w:left="1418" w:header="724" w:footer="851" w:gutter="0"/>
          <w:cols w:space="720" w:num="1"/>
          <w:docGrid w:linePitch="290" w:charSpace="-3931"/>
        </w:sectPr>
      </w:pPr>
    </w:p>
    <w:bookmarkEnd w:id="0"/>
    <w:bookmarkEnd w:id="1"/>
    <w:p w14:paraId="0D9385C8">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14:paraId="6F80012D">
      <w:pPr>
        <w:pStyle w:val="17"/>
      </w:pPr>
    </w:p>
    <w:p w14:paraId="1D0BFBEC">
      <w:pPr>
        <w:spacing w:line="276" w:lineRule="auto"/>
        <w:jc w:val="center"/>
        <w:rPr>
          <w:rFonts w:hint="eastAsia" w:ascii="Calibri" w:hAnsi="Calibri" w:eastAsia="宋体" w:cs="Times New Roman"/>
          <w:b/>
          <w:bCs/>
          <w:color w:val="000000"/>
          <w:spacing w:val="-8"/>
          <w:sz w:val="48"/>
          <w:szCs w:val="44"/>
          <w:lang w:eastAsia="zh-CN"/>
        </w:rPr>
      </w:pPr>
      <w:bookmarkStart w:id="33" w:name="_Toc169605884"/>
      <w:bookmarkStart w:id="34" w:name="_Toc465187648"/>
      <w:bookmarkStart w:id="35" w:name="_Toc169605877"/>
      <w:r>
        <w:rPr>
          <w:rFonts w:hint="eastAsia" w:ascii="Calibri" w:hAnsi="宋体" w:eastAsia="宋体" w:cs="Times New Roman"/>
          <w:b/>
          <w:bCs/>
          <w:color w:val="000000"/>
          <w:spacing w:val="-8"/>
          <w:sz w:val="48"/>
          <w:szCs w:val="44"/>
          <w:lang w:eastAsia="zh-CN"/>
        </w:rPr>
        <w:t>济南成型厂5吨整体式转向节模具新制项目</w:t>
      </w:r>
    </w:p>
    <w:p w14:paraId="0586E4FB">
      <w:pPr>
        <w:jc w:val="right"/>
        <w:rPr>
          <w:rFonts w:ascii="Calibri" w:hAnsi="Calibri" w:eastAsia="宋体" w:cs="Times New Roman"/>
          <w:color w:val="000000"/>
          <w:sz w:val="28"/>
          <w:szCs w:val="28"/>
        </w:rPr>
      </w:pPr>
    </w:p>
    <w:p w14:paraId="2AD2F675">
      <w:pPr>
        <w:pStyle w:val="17"/>
      </w:pPr>
    </w:p>
    <w:p w14:paraId="68F0B5B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77CB95DD">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1788467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560E9C0C">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6572E60D">
      <w:pPr>
        <w:pStyle w:val="17"/>
      </w:pPr>
    </w:p>
    <w:p w14:paraId="7A487CF2">
      <w:pPr>
        <w:pStyle w:val="17"/>
        <w:rPr>
          <w:rFonts w:ascii="黑体" w:hAnsi="宋体" w:eastAsia="黑体" w:cs="Times New Roman"/>
          <w:color w:val="000000"/>
          <w:sz w:val="72"/>
          <w:szCs w:val="72"/>
        </w:rPr>
      </w:pPr>
    </w:p>
    <w:p w14:paraId="697F9C5C">
      <w:pPr>
        <w:pStyle w:val="17"/>
        <w:rPr>
          <w:rFonts w:ascii="黑体" w:hAnsi="宋体" w:eastAsia="黑体" w:cs="Times New Roman"/>
          <w:color w:val="000000"/>
          <w:sz w:val="72"/>
          <w:szCs w:val="72"/>
        </w:rPr>
      </w:pPr>
    </w:p>
    <w:p w14:paraId="4D231187">
      <w:pPr>
        <w:spacing w:line="860" w:lineRule="exact"/>
        <w:rPr>
          <w:rFonts w:ascii="华文仿宋" w:hAnsi="华文仿宋" w:eastAsia="华文仿宋"/>
          <w:sz w:val="32"/>
          <w:szCs w:val="28"/>
        </w:rPr>
      </w:pPr>
    </w:p>
    <w:p w14:paraId="3A782835">
      <w:pPr>
        <w:spacing w:line="860" w:lineRule="exact"/>
        <w:rPr>
          <w:rFonts w:ascii="华文仿宋" w:hAnsi="华文仿宋" w:eastAsia="华文仿宋"/>
          <w:sz w:val="32"/>
          <w:szCs w:val="28"/>
        </w:rPr>
      </w:pPr>
    </w:p>
    <w:p w14:paraId="3E87C2A9">
      <w:pPr>
        <w:spacing w:line="860" w:lineRule="exact"/>
        <w:rPr>
          <w:rFonts w:ascii="华文仿宋" w:hAnsi="华文仿宋" w:eastAsia="华文仿宋"/>
          <w:sz w:val="32"/>
          <w:szCs w:val="28"/>
        </w:rPr>
      </w:pPr>
    </w:p>
    <w:p w14:paraId="6CBB6578">
      <w:pPr>
        <w:spacing w:line="860" w:lineRule="exact"/>
        <w:rPr>
          <w:rFonts w:ascii="华文仿宋" w:hAnsi="华文仿宋" w:eastAsia="华文仿宋"/>
          <w:b/>
          <w:bCs/>
          <w:sz w:val="32"/>
          <w:szCs w:val="28"/>
        </w:rPr>
      </w:pPr>
    </w:p>
    <w:p w14:paraId="3645AEF0">
      <w:pPr>
        <w:pStyle w:val="17"/>
        <w:rPr>
          <w:b/>
          <w:bCs/>
        </w:rPr>
      </w:pPr>
    </w:p>
    <w:p w14:paraId="68828B14">
      <w:pPr>
        <w:jc w:val="center"/>
        <w:rPr>
          <w:rFonts w:hint="default" w:ascii="宋体" w:hAnsi="Calibri" w:eastAsia="宋体" w:cs="Times New Roman"/>
          <w:color w:val="000000"/>
          <w:sz w:val="28"/>
          <w:szCs w:val="28"/>
          <w:highlight w:val="none"/>
          <w:lang w:val="en-US" w:eastAsia="zh-CN"/>
        </w:rPr>
      </w:pPr>
      <w:r>
        <w:rPr>
          <w:rFonts w:hint="eastAsia" w:ascii="宋体" w:hAnsi="宋体" w:eastAsia="宋体" w:cs="Times New Roman"/>
          <w:color w:val="000000"/>
          <w:sz w:val="28"/>
          <w:szCs w:val="28"/>
          <w:highlight w:val="none"/>
        </w:rPr>
        <w:t>招标人：中国重汽集团济南</w:t>
      </w:r>
      <w:r>
        <w:rPr>
          <w:rFonts w:hint="eastAsia" w:ascii="宋体" w:hAnsi="宋体" w:eastAsia="宋体" w:cs="Times New Roman"/>
          <w:color w:val="000000"/>
          <w:sz w:val="28"/>
          <w:szCs w:val="28"/>
          <w:highlight w:val="none"/>
          <w:lang w:val="en-US" w:eastAsia="zh-CN"/>
        </w:rPr>
        <w:t>成型厂</w:t>
      </w:r>
    </w:p>
    <w:p w14:paraId="6AC6B9CA">
      <w:pPr>
        <w:jc w:val="center"/>
        <w:rPr>
          <w:rFonts w:ascii="Calibri" w:hAnsi="Calibri" w:eastAsia="宋体" w:cs="Times New Roman"/>
          <w:color w:val="000000"/>
          <w:sz w:val="28"/>
          <w:szCs w:val="28"/>
          <w:highlight w:val="none"/>
        </w:rPr>
      </w:pPr>
    </w:p>
    <w:p w14:paraId="76446F7A">
      <w:pPr>
        <w:jc w:val="center"/>
        <w:rPr>
          <w:rFonts w:ascii="Calibri" w:hAnsi="Calibri" w:eastAsia="宋体" w:cs="Times New Roman"/>
          <w:b/>
          <w:bCs/>
          <w:kern w:val="44"/>
          <w:sz w:val="36"/>
          <w:szCs w:val="44"/>
        </w:rPr>
      </w:pPr>
      <w:r>
        <w:rPr>
          <w:rFonts w:ascii="Calibri" w:hAnsi="Calibri" w:eastAsia="宋体" w:cs="Times New Roman"/>
          <w:color w:val="000000"/>
          <w:sz w:val="28"/>
          <w:szCs w:val="28"/>
          <w:highlight w:val="none"/>
        </w:rPr>
        <w:t>20</w:t>
      </w:r>
      <w:r>
        <w:rPr>
          <w:rFonts w:ascii="Calibri" w:hAnsi="Calibri" w:eastAsia="宋体" w:cs="Times New Roman"/>
          <w:color w:val="000000"/>
          <w:sz w:val="28"/>
          <w:szCs w:val="28"/>
        </w:rPr>
        <w:t>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14:paraId="15016660">
      <w:pPr>
        <w:spacing w:line="360" w:lineRule="auto"/>
        <w:rPr>
          <w:rFonts w:ascii="宋体" w:hAnsi="宋体" w:eastAsia="宋体" w:cs="Times New Roman"/>
          <w:b/>
          <w:sz w:val="36"/>
          <w:szCs w:val="36"/>
        </w:rPr>
        <w:sectPr>
          <w:footerReference r:id="rId12" w:type="default"/>
          <w:pgSz w:w="11907" w:h="16840"/>
          <w:pgMar w:top="1304" w:right="1418" w:bottom="1304" w:left="1418" w:header="724" w:footer="851" w:gutter="0"/>
          <w:cols w:space="720" w:num="1"/>
          <w:docGrid w:linePitch="290" w:charSpace="-3931"/>
        </w:sectPr>
      </w:pPr>
    </w:p>
    <w:bookmarkEnd w:id="33"/>
    <w:p w14:paraId="2009D2C8">
      <w:pPr>
        <w:spacing w:line="360" w:lineRule="auto"/>
        <w:jc w:val="left"/>
        <w:rPr>
          <w:sz w:val="24"/>
          <w:szCs w:val="24"/>
        </w:rPr>
      </w:pPr>
      <w:r>
        <w:rPr>
          <w:rFonts w:hint="eastAsia"/>
          <w:sz w:val="24"/>
          <w:szCs w:val="24"/>
          <w:lang w:val="en-US" w:eastAsia="zh-CN"/>
        </w:rPr>
        <w:t>一、</w:t>
      </w:r>
      <w:r>
        <w:rPr>
          <w:sz w:val="24"/>
          <w:szCs w:val="24"/>
        </w:rPr>
        <w:t>招标内容：</w:t>
      </w:r>
    </w:p>
    <w:p w14:paraId="711C3C2D">
      <w:pPr>
        <w:spacing w:line="360" w:lineRule="auto"/>
        <w:ind w:firstLine="480" w:firstLineChars="200"/>
        <w:jc w:val="left"/>
        <w:rPr>
          <w:rFonts w:hint="eastAsia"/>
          <w:sz w:val="24"/>
          <w:szCs w:val="24"/>
        </w:rPr>
      </w:pPr>
      <w:r>
        <w:rPr>
          <w:rFonts w:hint="eastAsia"/>
          <w:sz w:val="24"/>
          <w:szCs w:val="24"/>
        </w:rPr>
        <w:t>本项目为</w:t>
      </w:r>
      <w:r>
        <w:rPr>
          <w:rFonts w:hint="eastAsia" w:ascii="宋体" w:hAnsi="宋体"/>
          <w:sz w:val="24"/>
          <w:szCs w:val="24"/>
        </w:rPr>
        <w:t>济南成型厂5吨整体式转向节模具新制项目</w:t>
      </w:r>
      <w:r>
        <w:rPr>
          <w:rFonts w:hint="eastAsia"/>
          <w:sz w:val="24"/>
          <w:szCs w:val="24"/>
        </w:rPr>
        <w:t>，</w:t>
      </w:r>
      <w:r>
        <w:rPr>
          <w:rFonts w:hint="eastAsia" w:ascii="宋体" w:hAnsi="宋体"/>
          <w:sz w:val="24"/>
          <w:szCs w:val="24"/>
        </w:rPr>
        <w:t>根据项目所涉及工装分类及内容</w:t>
      </w:r>
      <w:r>
        <w:rPr>
          <w:rFonts w:hint="eastAsia"/>
          <w:sz w:val="24"/>
          <w:szCs w:val="24"/>
        </w:rPr>
        <w:t>明细如下：</w:t>
      </w:r>
    </w:p>
    <w:tbl>
      <w:tblPr>
        <w:tblStyle w:val="36"/>
        <w:tblW w:w="957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6"/>
        <w:gridCol w:w="1080"/>
        <w:gridCol w:w="1916"/>
        <w:gridCol w:w="761"/>
        <w:gridCol w:w="761"/>
        <w:gridCol w:w="2385"/>
        <w:gridCol w:w="2040"/>
      </w:tblGrid>
      <w:tr w14:paraId="25880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579"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01F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包1：0430/0431转向节模具自制项目</w:t>
            </w:r>
          </w:p>
        </w:tc>
      </w:tr>
      <w:tr w14:paraId="42BAB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9A4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ED6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模具名称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4CE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工装编号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C8B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BA5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6C4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招标基价（元/件）</w:t>
            </w:r>
          </w:p>
        </w:tc>
        <w:tc>
          <w:tcPr>
            <w:tcW w:w="2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A25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5ABCC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BB4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E79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锻模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67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ZD5201-0430/201、301</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245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付</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029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AE6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188043.3</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DF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新制，寿命1500件</w:t>
            </w:r>
          </w:p>
        </w:tc>
      </w:tr>
      <w:tr w14:paraId="2A7F4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4CE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855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预锻上顶料杆1</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AB8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ZD5201-0430/202</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8BE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E0C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96A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282.5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65E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00DF4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64F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56E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预锻上顶料杆2</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99B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ZD5201-0430/203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DF8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8E1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8C1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285.89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6DC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2C81C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5E0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32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预锻下顶料杆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F87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ZD5201-0430/204</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628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B6D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573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665.57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DD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41B6E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A9A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BB7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终锻上顶料杆1</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BEB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ZD5201-0430/302</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A7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933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19A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282.5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CDD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4957B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2A9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37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终锻上顶料杆2</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3F6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ZD5201-0430/303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1F7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F82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958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285.89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7F6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5ED98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CE2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E65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终锻下顶料杆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102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ZD5201-0430/304</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EA7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3C5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162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665.57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853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4A286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B41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AC7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下凸模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34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ZD5801-0430/16</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6CD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DE8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330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12271.8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3C3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新制，寿命18000件</w:t>
            </w:r>
          </w:p>
        </w:tc>
      </w:tr>
      <w:tr w14:paraId="52C1E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A30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22D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卸料板</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5A8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ZD5801-0430/17</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390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63E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9BC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11593.8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834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w:t>
            </w:r>
          </w:p>
        </w:tc>
      </w:tr>
      <w:tr w14:paraId="4671C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A12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6F9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切边下顶料杆1</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1E8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ZD5801-0430/20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047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F3B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78B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253.12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AE1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37E3A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AA4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B32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切边下顶料杆2</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3EC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ZD5801-0430/21</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603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772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F36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259.67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136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47F9A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B22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012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上凸模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805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ZD5801-0430/14</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892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13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B7A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12116.43</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3E2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新制，寿命18000件</w:t>
            </w:r>
          </w:p>
        </w:tc>
      </w:tr>
      <w:tr w14:paraId="63E73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2AD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0D7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995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ZD5801-0430/15</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B11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95C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076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26695.12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8B1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基体新制，刃口焊修，寿命6000件</w:t>
            </w:r>
          </w:p>
        </w:tc>
      </w:tr>
      <w:tr w14:paraId="363EC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5A4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A1F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切边上顶料杆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90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ZD5801-0430/6</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110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D41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C76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143.79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118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74DA4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75A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89B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锻模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025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ZD5201-0431/201、301</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285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付</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855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FCB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188043.3</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7F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新制，寿命1500件</w:t>
            </w:r>
          </w:p>
        </w:tc>
      </w:tr>
      <w:tr w14:paraId="11057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98B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AF0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预锻上顶料杆1</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37C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ZD5201-0431/202</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D6E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87C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282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282.5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0AE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16172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5CB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000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预锻上顶料杆2</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4D1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ZD5201-0431/203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43E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6CB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15D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285.89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18A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4CF7C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8DD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56D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预锻下顶料杆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3D4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ZD5201-0431/204</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7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837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60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665.57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C63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0D90B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490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D50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终锻上顶料杆1</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36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ZD5201-0431/302</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6EE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6D8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E94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282.5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CF0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50EF5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3A7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613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终锻上顶料杆2</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2C6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ZD5201-0431/303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51E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15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40F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285.89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549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73FDE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259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487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终锻下顶料杆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B78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ZD5201-0431/304</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3D4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FA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1F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665.57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116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7FAA9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22E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C74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下凸模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307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ZD5801-0431/16</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427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85F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BAE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12271.8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9A6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新制，寿命18000件</w:t>
            </w:r>
          </w:p>
        </w:tc>
      </w:tr>
      <w:tr w14:paraId="2C8E9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05A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317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卸料板</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5C1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ZD5801-0431/17</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C02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7FA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763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11593.8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136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w:t>
            </w:r>
          </w:p>
        </w:tc>
      </w:tr>
      <w:tr w14:paraId="0E106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851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7FE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切边下顶料杆1</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53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ZD5801-0431/20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6EC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951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EB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253.12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917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05CC5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455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367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切边下顶料杆2</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4E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ZD5801-0431/21</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E70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D71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99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259.67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809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53AB0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849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CEB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上凸模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F20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ZD5801-0431/14</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4B9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CA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DD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12116.43</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E8C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新制，寿命18000件</w:t>
            </w:r>
          </w:p>
        </w:tc>
      </w:tr>
      <w:tr w14:paraId="7BC4C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F34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FB4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6CB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ZD5801-0431/15</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BB0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579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629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26695.12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4AB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基体新制，刃口焊修，寿命6000件</w:t>
            </w:r>
          </w:p>
        </w:tc>
      </w:tr>
      <w:tr w14:paraId="1F6C8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0AF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CFA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切边上顶料杆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212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ZD5801-0431/6</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2DA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3FB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DE8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143.79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31F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00D60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color="auto" w:fill="auto"/>
            <w:noWrap/>
            <w:vAlign w:val="center"/>
          </w:tcPr>
          <w:p w14:paraId="1066E053">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2ED6F0D2">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2C153DFD">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7708F916">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4D598CA5">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3EA1CBF9">
            <w:pPr>
              <w:jc w:val="center"/>
              <w:rPr>
                <w:rFonts w:hint="eastAsia" w:ascii="宋体" w:hAnsi="宋体" w:eastAsia="宋体" w:cs="宋体"/>
                <w:i w:val="0"/>
                <w:iCs w:val="0"/>
                <w:color w:val="000000"/>
                <w:sz w:val="22"/>
                <w:szCs w:val="22"/>
                <w:u w:val="none"/>
              </w:rPr>
            </w:pPr>
          </w:p>
        </w:tc>
        <w:tc>
          <w:tcPr>
            <w:tcW w:w="2040" w:type="dxa"/>
            <w:tcBorders>
              <w:top w:val="nil"/>
              <w:left w:val="nil"/>
              <w:bottom w:val="nil"/>
              <w:right w:val="nil"/>
            </w:tcBorders>
            <w:shd w:val="clear" w:color="auto" w:fill="auto"/>
            <w:noWrap/>
            <w:vAlign w:val="center"/>
          </w:tcPr>
          <w:p w14:paraId="6ECBE43E">
            <w:pPr>
              <w:jc w:val="center"/>
              <w:rPr>
                <w:rFonts w:hint="eastAsia" w:ascii="宋体" w:hAnsi="宋体" w:eastAsia="宋体" w:cs="宋体"/>
                <w:i w:val="0"/>
                <w:iCs w:val="0"/>
                <w:color w:val="000000"/>
                <w:sz w:val="22"/>
                <w:szCs w:val="22"/>
                <w:u w:val="none"/>
              </w:rPr>
            </w:pPr>
          </w:p>
        </w:tc>
      </w:tr>
      <w:tr w14:paraId="0A34B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color="auto" w:fill="auto"/>
            <w:noWrap/>
            <w:vAlign w:val="center"/>
          </w:tcPr>
          <w:p w14:paraId="35CFEF7B">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5C4BA041">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2152A9F5">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68505447">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08C7BFE4">
            <w:pPr>
              <w:jc w:val="cente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0993F4C3">
            <w:pPr>
              <w:jc w:val="center"/>
              <w:rPr>
                <w:rFonts w:hint="eastAsia" w:ascii="宋体" w:hAnsi="宋体" w:eastAsia="宋体" w:cs="宋体"/>
                <w:i w:val="0"/>
                <w:iCs w:val="0"/>
                <w:color w:val="000000"/>
                <w:sz w:val="22"/>
                <w:szCs w:val="22"/>
                <w:u w:val="none"/>
              </w:rPr>
            </w:pPr>
          </w:p>
        </w:tc>
        <w:tc>
          <w:tcPr>
            <w:tcW w:w="2040" w:type="dxa"/>
            <w:tcBorders>
              <w:top w:val="nil"/>
              <w:left w:val="nil"/>
              <w:bottom w:val="nil"/>
              <w:right w:val="nil"/>
            </w:tcBorders>
            <w:shd w:val="clear" w:color="auto" w:fill="auto"/>
            <w:noWrap/>
            <w:vAlign w:val="center"/>
          </w:tcPr>
          <w:p w14:paraId="778CE888">
            <w:pPr>
              <w:jc w:val="center"/>
              <w:rPr>
                <w:rFonts w:hint="eastAsia" w:ascii="宋体" w:hAnsi="宋体" w:eastAsia="宋体" w:cs="宋体"/>
                <w:i w:val="0"/>
                <w:iCs w:val="0"/>
                <w:color w:val="000000"/>
                <w:sz w:val="22"/>
                <w:szCs w:val="22"/>
                <w:u w:val="none"/>
              </w:rPr>
            </w:pPr>
          </w:p>
        </w:tc>
      </w:tr>
      <w:tr w14:paraId="57551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579"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3E2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32"/>
                <w:szCs w:val="32"/>
                <w:u w:val="none"/>
                <w:lang w:val="en-US" w:eastAsia="zh-CN" w:bidi="ar"/>
              </w:rPr>
              <w:t>包2：0428/0429转向节模具自制项目</w:t>
            </w:r>
          </w:p>
        </w:tc>
      </w:tr>
      <w:tr w14:paraId="6B0EF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B28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515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模具名称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817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工装编号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B05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063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644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招标基价（元/件）</w:t>
            </w:r>
          </w:p>
        </w:tc>
        <w:tc>
          <w:tcPr>
            <w:tcW w:w="20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A3E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14E03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003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53B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成型镦粗</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0F7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ZD5201-0428/100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437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AB2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149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15848.25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6F1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477EAE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B7F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6C3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锻模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AF3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ZD5201-0428/200、300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22C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付</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DA4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9E2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132701.55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0FE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新制，寿命1500件</w:t>
            </w:r>
          </w:p>
        </w:tc>
      </w:tr>
      <w:tr w14:paraId="445A3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0BD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503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预锻下顶料杆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33A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ZD5201-0428/203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7D9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AE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DD6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665.57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CE1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00064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B8E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B30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终锻下顶料杆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7AF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ZD5201-0428/303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B40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19B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027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665.57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074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1D6BC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E65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B17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6D2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ZD5803-0428/03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439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674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58C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18561.38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A2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基体新制，刃口焊修，寿命6000件</w:t>
            </w:r>
          </w:p>
        </w:tc>
      </w:tr>
      <w:tr w14:paraId="75993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E6A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A40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抱切上模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7E8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ZD5803-0428/04</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8FF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502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6A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17198.6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8CA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新制，寿命18000件</w:t>
            </w:r>
          </w:p>
        </w:tc>
      </w:tr>
      <w:tr w14:paraId="7AE37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909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904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压板</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150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ZD5803-0428/05</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F63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588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C96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587.6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B63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w:t>
            </w:r>
          </w:p>
        </w:tc>
      </w:tr>
      <w:tr w14:paraId="6900E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A44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0C5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卸料杆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A88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ZD5803-0428/08</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9CE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6FC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24C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281.94</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0AF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7106D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89E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6B4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字头压块</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56D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ZD5803-0428/04-1</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CC7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48B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CBA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136.17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71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47161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116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EB7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飞边卸料板</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59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ZD5803-0428/10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1EA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260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C7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11842.4</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741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w:t>
            </w:r>
          </w:p>
        </w:tc>
      </w:tr>
      <w:tr w14:paraId="2EADE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C0E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CB2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抱切下模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41C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ZD5803-0428/12</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D60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761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476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24261.1</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983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新制，寿命18000件</w:t>
            </w:r>
          </w:p>
        </w:tc>
      </w:tr>
      <w:tr w14:paraId="6B33F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C08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0EB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顶杆横梁</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E8A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ZD5803-0428/15</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27F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B8C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D7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3257.23</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3EC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4ED48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9FB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3CF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锻模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FE3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ZD5201-0429/200、300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F02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付</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D55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454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132701.55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DBE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新制，寿命1500件</w:t>
            </w:r>
          </w:p>
        </w:tc>
      </w:tr>
      <w:tr w14:paraId="1F5DC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9F1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E0B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预锻下顶料杆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689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ZD5201-0429/203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531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EE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7FB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665.57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00E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56F1A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673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FC0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终锻下顶料杆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CF1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ZD5201-0429/303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2D7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956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91B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665.57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CBE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新制，寿命3000件</w:t>
            </w:r>
          </w:p>
        </w:tc>
      </w:tr>
      <w:tr w14:paraId="1B4E1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144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913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180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ZD5803-0429/03</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3C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F63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A65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18561.38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47C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基体新制，刃口焊修，寿命6000件</w:t>
            </w:r>
          </w:p>
        </w:tc>
      </w:tr>
      <w:tr w14:paraId="3FDBB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C30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66B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抱切上模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B78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ZD5803-0429/04</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5FE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5B3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5AC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17198.6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71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新制，寿命18000件</w:t>
            </w:r>
          </w:p>
        </w:tc>
      </w:tr>
      <w:tr w14:paraId="74C36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61E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A08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压板</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E4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ZD5803-0429/05</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1C3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E9F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FA6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587.6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E2F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w:t>
            </w:r>
          </w:p>
        </w:tc>
      </w:tr>
      <w:tr w14:paraId="06E56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E1E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134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卸料杆</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03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ZD5803-0429/08</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9AD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96C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268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281.94</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059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7A88A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F99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6A2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字头压块</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EE6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ZD5803-0429/04-1</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BFF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3B4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810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136.17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4A8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r w14:paraId="39C08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B90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7BA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飞边卸料板</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4C3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ZD5803-0429/10</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468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317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DB8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11842.4</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8FF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w:t>
            </w:r>
          </w:p>
        </w:tc>
      </w:tr>
      <w:tr w14:paraId="077E7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532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FE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抱切下模</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38D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ZD5803-0429/12</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6D5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8D2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790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24261.1</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061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新制，寿命18000件</w:t>
            </w:r>
          </w:p>
        </w:tc>
      </w:tr>
      <w:tr w14:paraId="00A41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CAE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F68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顶杆横梁</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479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ZD5803-0429/15</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61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7C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3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36A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2"/>
                <w:szCs w:val="22"/>
                <w:u w:val="none"/>
                <w:lang w:val="en-US" w:eastAsia="zh-CN" w:bidi="ar"/>
              </w:rPr>
              <w:t>3257.23</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BEF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新制，寿命12000件</w:t>
            </w:r>
          </w:p>
        </w:tc>
      </w:tr>
    </w:tbl>
    <w:p w14:paraId="727D17F9">
      <w:pPr>
        <w:spacing w:line="360" w:lineRule="auto"/>
        <w:jc w:val="left"/>
        <w:rPr>
          <w:rFonts w:hint="eastAsia"/>
          <w:sz w:val="24"/>
          <w:szCs w:val="24"/>
        </w:rPr>
      </w:pPr>
    </w:p>
    <w:p w14:paraId="2634593D">
      <w:pPr>
        <w:pStyle w:val="5"/>
        <w:spacing w:line="360" w:lineRule="auto"/>
        <w:rPr>
          <w:rFonts w:hint="default" w:eastAsia="宋体"/>
          <w:color w:val="auto"/>
          <w:highlight w:val="none"/>
          <w:lang w:val="en-US" w:eastAsia="zh-CN"/>
        </w:rPr>
      </w:pPr>
      <w:r>
        <w:rPr>
          <w:rFonts w:hint="eastAsia"/>
          <w:color w:val="auto"/>
        </w:rPr>
        <w:t>注：</w:t>
      </w:r>
      <w:r>
        <w:rPr>
          <w:rFonts w:hint="eastAsia" w:ascii="Times New Roman" w:hAnsi="Times New Roman" w:eastAsia="宋体" w:cs="Times New Roman"/>
          <w:color w:val="auto"/>
          <w:sz w:val="24"/>
          <w:szCs w:val="24"/>
          <w:highlight w:val="none"/>
          <w:u w:val="none"/>
          <w:lang w:val="en-US" w:eastAsia="zh-CN"/>
        </w:rPr>
        <w:t>以上招标基价为含税价格。派工改制过程中，供方需将图纸编号刻制于模具本体上。</w:t>
      </w:r>
    </w:p>
    <w:p w14:paraId="134787B6">
      <w:pPr>
        <w:pStyle w:val="5"/>
        <w:numPr>
          <w:ilvl w:val="0"/>
          <w:numId w:val="10"/>
        </w:numPr>
        <w:spacing w:line="360" w:lineRule="auto"/>
        <w:ind w:firstLine="480" w:firstLineChars="200"/>
        <w:rPr>
          <w:rFonts w:ascii="宋体" w:hAnsi="宋体" w:cs="宋体"/>
          <w:highlight w:val="none"/>
          <w:lang w:bidi="ar"/>
        </w:rPr>
      </w:pPr>
      <w:r>
        <w:rPr>
          <w:rFonts w:hint="eastAsia" w:ascii="宋体" w:hAnsi="宋体" w:cs="宋体"/>
          <w:lang w:bidi="ar"/>
        </w:rPr>
        <w:t>本次招标项目总限价</w:t>
      </w:r>
      <w:r>
        <w:rPr>
          <w:rFonts w:hint="eastAsia" w:ascii="宋体" w:hAnsi="宋体" w:cs="宋体"/>
          <w:lang w:val="en-US" w:eastAsia="zh-CN" w:bidi="ar"/>
        </w:rPr>
        <w:t>94.56</w:t>
      </w:r>
      <w:r>
        <w:rPr>
          <w:rFonts w:hint="eastAsia" w:ascii="宋体" w:hAnsi="宋体" w:cs="宋体"/>
          <w:highlight w:val="none"/>
          <w:lang w:bidi="ar"/>
        </w:rPr>
        <w:t>万元（含税）。其中</w:t>
      </w:r>
    </w:p>
    <w:p w14:paraId="52955015">
      <w:pPr>
        <w:pStyle w:val="5"/>
        <w:spacing w:line="360" w:lineRule="auto"/>
        <w:rPr>
          <w:rFonts w:hint="eastAsia" w:ascii="Times New Roman" w:hAnsi="Times New Roman" w:eastAsia="宋体" w:cs="Times New Roman"/>
          <w:color w:val="auto"/>
          <w:sz w:val="24"/>
          <w:szCs w:val="24"/>
          <w:highlight w:val="none"/>
          <w:u w:val="none"/>
          <w:lang w:val="en-US" w:eastAsia="zh-CN"/>
        </w:rPr>
      </w:pPr>
      <w:r>
        <w:rPr>
          <w:rFonts w:hint="eastAsia" w:ascii="宋体" w:hAnsi="宋体" w:cs="宋体"/>
          <w:highlight w:val="none"/>
          <w:lang w:bidi="ar"/>
        </w:rPr>
        <w:t>包1</w:t>
      </w:r>
      <w:r>
        <w:rPr>
          <w:rFonts w:hint="eastAsia" w:ascii="宋体" w:hAnsi="宋体" w:cs="宋体"/>
          <w:highlight w:val="none"/>
          <w:lang w:eastAsia="zh-CN" w:bidi="ar"/>
        </w:rPr>
        <w:t>：</w:t>
      </w:r>
      <w:r>
        <w:rPr>
          <w:rFonts w:hint="eastAsia" w:ascii="Times New Roman" w:hAnsi="Times New Roman" w:eastAsia="宋体" w:cs="Times New Roman"/>
          <w:color w:val="auto"/>
          <w:sz w:val="24"/>
          <w:szCs w:val="24"/>
          <w:highlight w:val="none"/>
          <w:u w:val="none"/>
          <w:lang w:val="en-US" w:eastAsia="zh-CN"/>
        </w:rPr>
        <w:t>0430/0431转向节模具自制项目，限价50.77万元（含税）。</w:t>
      </w:r>
    </w:p>
    <w:p w14:paraId="5FCFC214">
      <w:pPr>
        <w:pStyle w:val="5"/>
        <w:spacing w:line="360" w:lineRule="auto"/>
        <w:rPr>
          <w:rFonts w:hint="eastAsia" w:ascii="宋体" w:hAnsi="宋体" w:cs="宋体"/>
          <w:highlight w:val="none"/>
          <w:lang w:bidi="ar"/>
        </w:rPr>
      </w:pPr>
      <w:r>
        <w:rPr>
          <w:rFonts w:hint="eastAsia" w:ascii="Times New Roman" w:hAnsi="Times New Roman" w:eastAsia="宋体" w:cs="Times New Roman"/>
          <w:color w:val="auto"/>
          <w:sz w:val="24"/>
          <w:szCs w:val="24"/>
          <w:highlight w:val="none"/>
          <w:u w:val="none"/>
          <w:lang w:val="en-US" w:eastAsia="zh-CN"/>
        </w:rPr>
        <w:t>包2：0428/0429转向节模具自制项目，限</w:t>
      </w:r>
      <w:r>
        <w:rPr>
          <w:rFonts w:hint="eastAsia" w:ascii="宋体" w:hAnsi="宋体" w:cs="宋体"/>
          <w:highlight w:val="none"/>
          <w:lang w:bidi="ar"/>
        </w:rPr>
        <w:t>价</w:t>
      </w:r>
      <w:r>
        <w:rPr>
          <w:rFonts w:hint="eastAsia" w:ascii="宋体" w:hAnsi="宋体" w:cs="宋体"/>
          <w:highlight w:val="none"/>
          <w:lang w:val="en-US" w:eastAsia="zh-CN" w:bidi="ar"/>
        </w:rPr>
        <w:t>43.79</w:t>
      </w:r>
      <w:r>
        <w:rPr>
          <w:rFonts w:hint="eastAsia" w:ascii="宋体" w:hAnsi="宋体" w:cs="宋体"/>
          <w:highlight w:val="none"/>
          <w:lang w:bidi="ar"/>
        </w:rPr>
        <w:t>万元（含税）。</w:t>
      </w:r>
    </w:p>
    <w:p w14:paraId="6A5BE334">
      <w:pPr>
        <w:pStyle w:val="5"/>
        <w:numPr>
          <w:ilvl w:val="0"/>
          <w:numId w:val="10"/>
        </w:numPr>
        <w:spacing w:line="360" w:lineRule="auto"/>
        <w:ind w:firstLine="480" w:firstLineChars="200"/>
        <w:rPr>
          <w:rFonts w:hint="eastAsia" w:ascii="宋体" w:hAnsi="宋体" w:cs="宋体"/>
          <w:highlight w:val="none"/>
          <w:lang w:bidi="ar"/>
        </w:rPr>
      </w:pPr>
      <w:r>
        <w:rPr>
          <w:rFonts w:hint="eastAsia" w:ascii="宋体" w:hAnsi="宋体" w:cs="宋体"/>
          <w:highlight w:val="none"/>
          <w:lang w:bidi="ar"/>
        </w:rPr>
        <w:t>允许分投分中，报价高于分包价格无法完成投标。</w:t>
      </w:r>
    </w:p>
    <w:p w14:paraId="5754AF92">
      <w:pPr>
        <w:shd w:val="clear" w:color="auto" w:fill="auto"/>
        <w:spacing w:line="360" w:lineRule="auto"/>
        <w:ind w:firstLine="480" w:firstLineChars="200"/>
        <w:rPr>
          <w:rFonts w:hint="eastAsia" w:ascii="宋体" w:hAnsi="宋体" w:eastAsia="宋体" w:cs="宋体"/>
          <w:bCs/>
          <w:color w:val="auto"/>
          <w:sz w:val="24"/>
          <w:szCs w:val="24"/>
          <w:highlight w:val="none"/>
          <w:u w:val="none"/>
        </w:rPr>
      </w:pPr>
      <w:r>
        <w:rPr>
          <w:rFonts w:hint="eastAsia" w:ascii="宋体" w:hAnsi="宋体" w:eastAsia="宋体" w:cs="宋体"/>
          <w:bCs/>
          <w:color w:val="auto"/>
          <w:sz w:val="24"/>
          <w:szCs w:val="24"/>
          <w:highlight w:val="none"/>
          <w:u w:val="none"/>
          <w:lang w:val="en-US" w:eastAsia="zh-CN"/>
        </w:rPr>
        <w:t>二、.</w:t>
      </w:r>
      <w:r>
        <w:rPr>
          <w:rFonts w:hint="eastAsia" w:ascii="宋体" w:hAnsi="宋体" w:eastAsia="宋体" w:cs="宋体"/>
          <w:bCs/>
          <w:color w:val="auto"/>
          <w:sz w:val="24"/>
          <w:szCs w:val="24"/>
          <w:highlight w:val="none"/>
          <w:u w:val="none"/>
        </w:rPr>
        <w:t>技术标书提供资料要求首页为</w:t>
      </w:r>
      <w:r>
        <w:rPr>
          <w:rFonts w:hint="eastAsia" w:ascii="宋体" w:hAnsi="宋体" w:eastAsia="宋体" w:cs="宋体"/>
          <w:bCs/>
          <w:color w:val="auto"/>
          <w:sz w:val="24"/>
          <w:szCs w:val="24"/>
          <w:highlight w:val="none"/>
          <w:u w:val="none"/>
          <w:lang w:eastAsia="zh-CN"/>
        </w:rPr>
        <w:t>《</w:t>
      </w:r>
      <w:r>
        <w:rPr>
          <w:rFonts w:hint="eastAsia" w:ascii="宋体" w:hAnsi="宋体" w:eastAsia="宋体" w:cs="宋体"/>
          <w:bCs/>
          <w:color w:val="auto"/>
          <w:sz w:val="24"/>
          <w:szCs w:val="24"/>
          <w:highlight w:val="none"/>
          <w:u w:val="none"/>
        </w:rPr>
        <w:t>技术条款偏离表</w:t>
      </w:r>
      <w:r>
        <w:rPr>
          <w:rFonts w:hint="eastAsia" w:ascii="宋体" w:hAnsi="宋体" w:eastAsia="宋体" w:cs="宋体"/>
          <w:bCs/>
          <w:color w:val="auto"/>
          <w:sz w:val="24"/>
          <w:szCs w:val="24"/>
          <w:highlight w:val="none"/>
          <w:u w:val="none"/>
          <w:lang w:eastAsia="zh-CN"/>
        </w:rPr>
        <w:t>》</w:t>
      </w:r>
      <w:r>
        <w:rPr>
          <w:rFonts w:hint="eastAsia" w:ascii="宋体" w:hAnsi="宋体" w:eastAsia="宋体" w:cs="宋体"/>
          <w:bCs/>
          <w:color w:val="auto"/>
          <w:sz w:val="24"/>
          <w:szCs w:val="24"/>
          <w:highlight w:val="none"/>
          <w:u w:val="none"/>
        </w:rPr>
        <w:t>，其余按照技术评分标准编制提供。标准如下：</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4"/>
        <w:gridCol w:w="821"/>
        <w:gridCol w:w="2658"/>
        <w:gridCol w:w="5093"/>
      </w:tblGrid>
      <w:tr w14:paraId="50EB8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2" w:type="dxa"/>
            <w:noWrap w:val="0"/>
            <w:vAlign w:val="center"/>
          </w:tcPr>
          <w:p w14:paraId="23D3273F">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序号</w:t>
            </w:r>
          </w:p>
        </w:tc>
        <w:tc>
          <w:tcPr>
            <w:tcW w:w="900" w:type="dxa"/>
            <w:noWrap w:val="0"/>
            <w:vAlign w:val="center"/>
          </w:tcPr>
          <w:p w14:paraId="77C4E710">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类别</w:t>
            </w:r>
          </w:p>
        </w:tc>
        <w:tc>
          <w:tcPr>
            <w:tcW w:w="9010" w:type="dxa"/>
            <w:gridSpan w:val="2"/>
            <w:noWrap w:val="0"/>
            <w:vAlign w:val="center"/>
          </w:tcPr>
          <w:p w14:paraId="1686FE8A">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评审内容（满分100分）</w:t>
            </w:r>
          </w:p>
        </w:tc>
      </w:tr>
      <w:tr w14:paraId="4058D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38CABD4E">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1</w:t>
            </w:r>
          </w:p>
        </w:tc>
        <w:tc>
          <w:tcPr>
            <w:tcW w:w="900" w:type="dxa"/>
            <w:vMerge w:val="restart"/>
            <w:noWrap w:val="0"/>
            <w:vAlign w:val="center"/>
          </w:tcPr>
          <w:p w14:paraId="4726B30A">
            <w:pPr>
              <w:pStyle w:val="4"/>
              <w:jc w:val="center"/>
              <w:rPr>
                <w:rFonts w:hint="eastAsia" w:ascii="宋体" w:hAnsi="宋体" w:eastAsia="宋体" w:cs="宋体"/>
                <w:color w:val="auto"/>
                <w:highlight w:val="none"/>
                <w:u w:val="none"/>
                <w:vertAlign w:val="baseline"/>
                <w:lang w:val="en-US" w:eastAsia="zh-CN"/>
              </w:rPr>
            </w:pPr>
          </w:p>
          <w:p w14:paraId="549E505B">
            <w:pPr>
              <w:pStyle w:val="4"/>
              <w:jc w:val="center"/>
              <w:rPr>
                <w:rFonts w:hint="eastAsia" w:ascii="宋体" w:hAnsi="宋体" w:eastAsia="宋体" w:cs="宋体"/>
                <w:color w:val="auto"/>
                <w:highlight w:val="none"/>
                <w:u w:val="none"/>
                <w:vertAlign w:val="baseline"/>
                <w:lang w:val="en-US" w:eastAsia="zh-CN"/>
              </w:rPr>
            </w:pPr>
          </w:p>
          <w:p w14:paraId="2545BF08">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技</w:t>
            </w:r>
          </w:p>
          <w:p w14:paraId="0A0E9A6E">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术</w:t>
            </w:r>
          </w:p>
          <w:p w14:paraId="57654A11">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部</w:t>
            </w:r>
          </w:p>
          <w:p w14:paraId="4F732037">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分</w:t>
            </w:r>
          </w:p>
        </w:tc>
        <w:tc>
          <w:tcPr>
            <w:tcW w:w="3022" w:type="dxa"/>
            <w:noWrap w:val="0"/>
            <w:vAlign w:val="center"/>
          </w:tcPr>
          <w:p w14:paraId="189D359A">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关键加工设备（0-10分）</w:t>
            </w:r>
          </w:p>
        </w:tc>
        <w:tc>
          <w:tcPr>
            <w:tcW w:w="5988" w:type="dxa"/>
            <w:noWrap w:val="0"/>
            <w:vAlign w:val="top"/>
          </w:tcPr>
          <w:p w14:paraId="1D00F350">
            <w:pPr>
              <w:pStyle w:val="4"/>
              <w:jc w:val="left"/>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rPr>
              <w:t>提供设备品牌型号、技术参数等信息，有加工投标产品的设备能力</w:t>
            </w:r>
            <w:r>
              <w:rPr>
                <w:rFonts w:hint="eastAsia" w:ascii="宋体" w:hAnsi="宋体" w:eastAsia="宋体" w:cs="宋体"/>
                <w:color w:val="auto"/>
                <w:highlight w:val="none"/>
                <w:u w:val="none"/>
                <w:vertAlign w:val="baseline"/>
                <w:lang w:eastAsia="zh-CN"/>
              </w:rPr>
              <w:t>。</w:t>
            </w:r>
          </w:p>
        </w:tc>
      </w:tr>
      <w:tr w14:paraId="59794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0DAD9BC8">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2</w:t>
            </w:r>
          </w:p>
        </w:tc>
        <w:tc>
          <w:tcPr>
            <w:tcW w:w="900" w:type="dxa"/>
            <w:vMerge w:val="continue"/>
            <w:noWrap w:val="0"/>
            <w:vAlign w:val="center"/>
          </w:tcPr>
          <w:p w14:paraId="4E7ECE2D">
            <w:pPr>
              <w:pStyle w:val="4"/>
              <w:jc w:val="center"/>
              <w:rPr>
                <w:rFonts w:hint="eastAsia" w:ascii="宋体" w:hAnsi="宋体" w:eastAsia="宋体" w:cs="宋体"/>
                <w:color w:val="auto"/>
                <w:highlight w:val="none"/>
                <w:u w:val="none"/>
                <w:vertAlign w:val="baseline"/>
              </w:rPr>
            </w:pPr>
          </w:p>
        </w:tc>
        <w:tc>
          <w:tcPr>
            <w:tcW w:w="3022" w:type="dxa"/>
            <w:noWrap w:val="0"/>
            <w:vAlign w:val="center"/>
          </w:tcPr>
          <w:p w14:paraId="1864958B">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检测设备（0-10分）</w:t>
            </w:r>
          </w:p>
        </w:tc>
        <w:tc>
          <w:tcPr>
            <w:tcW w:w="5988" w:type="dxa"/>
            <w:noWrap w:val="0"/>
            <w:vAlign w:val="top"/>
          </w:tcPr>
          <w:p w14:paraId="132D63FD">
            <w:pPr>
              <w:pStyle w:val="4"/>
              <w:jc w:val="left"/>
              <w:rPr>
                <w:rFonts w:hint="eastAsia" w:ascii="宋体" w:hAnsi="宋体" w:eastAsia="宋体" w:cs="宋体"/>
                <w:color w:val="auto"/>
                <w:highlight w:val="none"/>
                <w:u w:val="none"/>
                <w:vertAlign w:val="baseline"/>
                <w:lang w:eastAsia="zh-CN"/>
              </w:rPr>
            </w:pPr>
            <w:r>
              <w:rPr>
                <w:rFonts w:hint="eastAsia" w:ascii="宋体" w:hAnsi="宋体" w:eastAsia="宋体" w:cs="宋体"/>
                <w:color w:val="auto"/>
                <w:highlight w:val="none"/>
                <w:u w:val="none"/>
                <w:vertAlign w:val="baseline"/>
              </w:rPr>
              <w:t>提供设备品牌型号、技术参数等信息，有检测投标产品的能力</w:t>
            </w:r>
            <w:r>
              <w:rPr>
                <w:rFonts w:hint="eastAsia" w:ascii="宋体" w:hAnsi="宋体" w:eastAsia="宋体" w:cs="宋体"/>
                <w:color w:val="auto"/>
                <w:highlight w:val="none"/>
                <w:u w:val="none"/>
                <w:vertAlign w:val="baseline"/>
                <w:lang w:eastAsia="zh-CN"/>
              </w:rPr>
              <w:t>。</w:t>
            </w:r>
          </w:p>
        </w:tc>
      </w:tr>
      <w:tr w14:paraId="115B6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3D9D6495">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3</w:t>
            </w:r>
          </w:p>
        </w:tc>
        <w:tc>
          <w:tcPr>
            <w:tcW w:w="900" w:type="dxa"/>
            <w:vMerge w:val="continue"/>
            <w:noWrap w:val="0"/>
            <w:vAlign w:val="center"/>
          </w:tcPr>
          <w:p w14:paraId="463CFDE9">
            <w:pPr>
              <w:pStyle w:val="4"/>
              <w:jc w:val="center"/>
              <w:rPr>
                <w:rFonts w:hint="eastAsia" w:ascii="宋体" w:hAnsi="宋体" w:eastAsia="宋体" w:cs="宋体"/>
                <w:color w:val="auto"/>
                <w:highlight w:val="none"/>
                <w:u w:val="none"/>
                <w:vertAlign w:val="baseline"/>
              </w:rPr>
            </w:pPr>
          </w:p>
        </w:tc>
        <w:tc>
          <w:tcPr>
            <w:tcW w:w="3022" w:type="dxa"/>
            <w:noWrap w:val="0"/>
            <w:vAlign w:val="center"/>
          </w:tcPr>
          <w:p w14:paraId="0CF80A3E">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工装模具设计能力及制作工艺水平（0-10分）</w:t>
            </w:r>
          </w:p>
        </w:tc>
        <w:tc>
          <w:tcPr>
            <w:tcW w:w="5988" w:type="dxa"/>
            <w:noWrap w:val="0"/>
            <w:vAlign w:val="top"/>
          </w:tcPr>
          <w:p w14:paraId="28766EB4">
            <w:pPr>
              <w:pStyle w:val="4"/>
              <w:jc w:val="left"/>
              <w:rPr>
                <w:rFonts w:hint="eastAsia" w:ascii="宋体" w:hAnsi="宋体" w:eastAsia="宋体" w:cs="宋体"/>
                <w:color w:val="auto"/>
                <w:highlight w:val="none"/>
                <w:u w:val="none"/>
                <w:vertAlign w:val="baseline"/>
                <w:lang w:eastAsia="zh-CN"/>
              </w:rPr>
            </w:pPr>
            <w:r>
              <w:rPr>
                <w:rFonts w:hint="eastAsia" w:ascii="宋体" w:hAnsi="宋体" w:eastAsia="宋体" w:cs="宋体"/>
                <w:color w:val="auto"/>
                <w:highlight w:val="none"/>
                <w:u w:val="none"/>
                <w:vertAlign w:val="baseline"/>
              </w:rPr>
              <w:t>提供中高级职称人员证书复印件及社保参保证明;制作工艺描述等</w:t>
            </w:r>
            <w:r>
              <w:rPr>
                <w:rFonts w:hint="eastAsia" w:ascii="宋体" w:hAnsi="宋体" w:eastAsia="宋体" w:cs="宋体"/>
                <w:color w:val="auto"/>
                <w:highlight w:val="none"/>
                <w:u w:val="none"/>
                <w:vertAlign w:val="baseline"/>
                <w:lang w:eastAsia="zh-CN"/>
              </w:rPr>
              <w:t>。</w:t>
            </w:r>
          </w:p>
        </w:tc>
      </w:tr>
      <w:tr w14:paraId="476AB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05B66E3A">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4</w:t>
            </w:r>
          </w:p>
        </w:tc>
        <w:tc>
          <w:tcPr>
            <w:tcW w:w="900" w:type="dxa"/>
            <w:vMerge w:val="continue"/>
            <w:noWrap w:val="0"/>
            <w:vAlign w:val="center"/>
          </w:tcPr>
          <w:p w14:paraId="5D098D11">
            <w:pPr>
              <w:pStyle w:val="4"/>
              <w:jc w:val="center"/>
              <w:rPr>
                <w:rFonts w:hint="eastAsia" w:ascii="宋体" w:hAnsi="宋体" w:eastAsia="宋体" w:cs="宋体"/>
                <w:color w:val="auto"/>
                <w:highlight w:val="none"/>
                <w:u w:val="none"/>
                <w:vertAlign w:val="baseline"/>
              </w:rPr>
            </w:pPr>
          </w:p>
        </w:tc>
        <w:tc>
          <w:tcPr>
            <w:tcW w:w="3022" w:type="dxa"/>
            <w:noWrap w:val="0"/>
            <w:vAlign w:val="center"/>
          </w:tcPr>
          <w:p w14:paraId="4DF69E20">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计算机模拟能力（0-10分）</w:t>
            </w:r>
          </w:p>
        </w:tc>
        <w:tc>
          <w:tcPr>
            <w:tcW w:w="5988" w:type="dxa"/>
            <w:noWrap w:val="0"/>
            <w:vAlign w:val="top"/>
          </w:tcPr>
          <w:p w14:paraId="2CEC539B">
            <w:pPr>
              <w:pStyle w:val="4"/>
              <w:jc w:val="left"/>
              <w:rPr>
                <w:rFonts w:hint="eastAsia" w:ascii="宋体" w:hAnsi="宋体" w:eastAsia="宋体" w:cs="宋体"/>
                <w:color w:val="auto"/>
                <w:highlight w:val="none"/>
                <w:u w:val="none"/>
                <w:vertAlign w:val="baseline"/>
                <w:lang w:eastAsia="zh-CN"/>
              </w:rPr>
            </w:pPr>
            <w:r>
              <w:rPr>
                <w:rFonts w:hint="eastAsia" w:ascii="宋体" w:hAnsi="宋体" w:eastAsia="宋体" w:cs="宋体"/>
                <w:color w:val="auto"/>
                <w:highlight w:val="none"/>
                <w:u w:val="none"/>
                <w:vertAlign w:val="baseline"/>
              </w:rPr>
              <w:t>有三维设计软件和锻造模拟仿真软件</w:t>
            </w:r>
            <w:r>
              <w:rPr>
                <w:rFonts w:hint="eastAsia" w:ascii="宋体" w:hAnsi="宋体" w:eastAsia="宋体" w:cs="宋体"/>
                <w:color w:val="auto"/>
                <w:highlight w:val="none"/>
                <w:u w:val="none"/>
                <w:vertAlign w:val="baseline"/>
                <w:lang w:eastAsia="zh-CN"/>
              </w:rPr>
              <w:t>。</w:t>
            </w:r>
          </w:p>
        </w:tc>
      </w:tr>
      <w:tr w14:paraId="4F2B2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3F93C73B">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5</w:t>
            </w:r>
          </w:p>
        </w:tc>
        <w:tc>
          <w:tcPr>
            <w:tcW w:w="900" w:type="dxa"/>
            <w:vMerge w:val="continue"/>
            <w:noWrap w:val="0"/>
            <w:vAlign w:val="center"/>
          </w:tcPr>
          <w:p w14:paraId="147051CF">
            <w:pPr>
              <w:pStyle w:val="4"/>
              <w:jc w:val="center"/>
              <w:rPr>
                <w:rFonts w:hint="eastAsia" w:ascii="宋体" w:hAnsi="宋体" w:eastAsia="宋体" w:cs="宋体"/>
                <w:color w:val="auto"/>
                <w:highlight w:val="none"/>
                <w:u w:val="none"/>
                <w:vertAlign w:val="baseline"/>
              </w:rPr>
            </w:pPr>
          </w:p>
        </w:tc>
        <w:tc>
          <w:tcPr>
            <w:tcW w:w="3022" w:type="dxa"/>
            <w:noWrap w:val="0"/>
            <w:vAlign w:val="center"/>
          </w:tcPr>
          <w:p w14:paraId="24BEB00E">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类似业绩（0-10分）</w:t>
            </w:r>
          </w:p>
        </w:tc>
        <w:tc>
          <w:tcPr>
            <w:tcW w:w="5988" w:type="dxa"/>
            <w:noWrap w:val="0"/>
            <w:vAlign w:val="top"/>
          </w:tcPr>
          <w:p w14:paraId="255380B3">
            <w:pPr>
              <w:pStyle w:val="4"/>
              <w:jc w:val="left"/>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rPr>
              <w:t>与招标产品、生产设备、生产工艺类似业绩，业绩较好得</w:t>
            </w:r>
            <w:r>
              <w:rPr>
                <w:rFonts w:hint="eastAsia" w:ascii="宋体" w:hAnsi="宋体" w:eastAsia="宋体" w:cs="宋体"/>
                <w:color w:val="auto"/>
                <w:highlight w:val="none"/>
                <w:u w:val="none"/>
                <w:vertAlign w:val="baseline"/>
                <w:lang w:val="en-US" w:eastAsia="zh-CN"/>
              </w:rPr>
              <w:t>6-10</w:t>
            </w:r>
            <w:r>
              <w:rPr>
                <w:rFonts w:hint="eastAsia" w:ascii="宋体" w:hAnsi="宋体" w:eastAsia="宋体" w:cs="宋体"/>
                <w:color w:val="auto"/>
                <w:highlight w:val="none"/>
                <w:u w:val="none"/>
                <w:vertAlign w:val="baseline"/>
              </w:rPr>
              <w:t xml:space="preserve">分，业绩一般得 </w:t>
            </w:r>
            <w:r>
              <w:rPr>
                <w:rFonts w:hint="eastAsia" w:ascii="宋体" w:hAnsi="宋体" w:eastAsia="宋体" w:cs="宋体"/>
                <w:color w:val="auto"/>
                <w:highlight w:val="none"/>
                <w:u w:val="none"/>
                <w:vertAlign w:val="baseline"/>
                <w:lang w:val="en-US" w:eastAsia="zh-CN"/>
              </w:rPr>
              <w:t>5</w:t>
            </w:r>
            <w:r>
              <w:rPr>
                <w:rFonts w:hint="eastAsia" w:ascii="宋体" w:hAnsi="宋体" w:eastAsia="宋体" w:cs="宋体"/>
                <w:color w:val="auto"/>
                <w:highlight w:val="none"/>
                <w:u w:val="none"/>
                <w:vertAlign w:val="baseline"/>
              </w:rPr>
              <w:t xml:space="preserve">分;与招标产品、生产设备、生产工艺部分类似业绩，得 </w:t>
            </w:r>
            <w:r>
              <w:rPr>
                <w:rFonts w:hint="eastAsia" w:ascii="宋体" w:hAnsi="宋体" w:eastAsia="宋体" w:cs="宋体"/>
                <w:color w:val="auto"/>
                <w:highlight w:val="none"/>
                <w:u w:val="none"/>
                <w:vertAlign w:val="baseline"/>
                <w:lang w:val="en-US" w:eastAsia="zh-CN"/>
              </w:rPr>
              <w:t>1</w:t>
            </w:r>
            <w:r>
              <w:rPr>
                <w:rFonts w:hint="eastAsia" w:ascii="宋体" w:hAnsi="宋体" w:eastAsia="宋体" w:cs="宋体"/>
                <w:color w:val="auto"/>
                <w:highlight w:val="none"/>
                <w:u w:val="none"/>
                <w:vertAlign w:val="baseline"/>
              </w:rPr>
              <w:t>-</w:t>
            </w:r>
            <w:r>
              <w:rPr>
                <w:rFonts w:hint="eastAsia" w:ascii="宋体" w:hAnsi="宋体" w:eastAsia="宋体" w:cs="宋体"/>
                <w:color w:val="auto"/>
                <w:highlight w:val="none"/>
                <w:u w:val="none"/>
                <w:vertAlign w:val="baseline"/>
                <w:lang w:val="en-US" w:eastAsia="zh-CN"/>
              </w:rPr>
              <w:t>4</w:t>
            </w:r>
            <w:r>
              <w:rPr>
                <w:rFonts w:hint="eastAsia" w:ascii="宋体" w:hAnsi="宋体" w:eastAsia="宋体" w:cs="宋体"/>
                <w:color w:val="auto"/>
                <w:highlight w:val="none"/>
                <w:u w:val="none"/>
                <w:vertAlign w:val="baseline"/>
              </w:rPr>
              <w:t>分;无</w:t>
            </w:r>
            <w:r>
              <w:rPr>
                <w:rFonts w:hint="eastAsia" w:ascii="宋体" w:hAnsi="宋体" w:eastAsia="宋体" w:cs="宋体"/>
                <w:color w:val="auto"/>
                <w:highlight w:val="none"/>
                <w:u w:val="none"/>
                <w:vertAlign w:val="baseline"/>
                <w:lang w:val="en-US" w:eastAsia="zh-CN"/>
              </w:rPr>
              <w:t>类似业绩得0分。</w:t>
            </w:r>
          </w:p>
        </w:tc>
      </w:tr>
      <w:tr w14:paraId="2B80A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3EFA1C01">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6</w:t>
            </w:r>
          </w:p>
        </w:tc>
        <w:tc>
          <w:tcPr>
            <w:tcW w:w="900" w:type="dxa"/>
            <w:vMerge w:val="continue"/>
            <w:noWrap w:val="0"/>
            <w:vAlign w:val="center"/>
          </w:tcPr>
          <w:p w14:paraId="1FD41570">
            <w:pPr>
              <w:pStyle w:val="4"/>
              <w:jc w:val="center"/>
              <w:rPr>
                <w:rFonts w:hint="eastAsia" w:ascii="宋体" w:hAnsi="宋体" w:eastAsia="宋体" w:cs="宋体"/>
                <w:color w:val="auto"/>
                <w:highlight w:val="none"/>
                <w:u w:val="none"/>
                <w:vertAlign w:val="baseline"/>
              </w:rPr>
            </w:pPr>
          </w:p>
        </w:tc>
        <w:tc>
          <w:tcPr>
            <w:tcW w:w="3022" w:type="dxa"/>
            <w:noWrap w:val="0"/>
            <w:vAlign w:val="center"/>
          </w:tcPr>
          <w:p w14:paraId="3641FA00">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工艺方案整体描述（0-10分）</w:t>
            </w:r>
          </w:p>
        </w:tc>
        <w:tc>
          <w:tcPr>
            <w:tcW w:w="5988" w:type="dxa"/>
            <w:noWrap w:val="0"/>
            <w:vAlign w:val="top"/>
          </w:tcPr>
          <w:p w14:paraId="5641CEE2">
            <w:pPr>
              <w:pStyle w:val="4"/>
              <w:jc w:val="left"/>
              <w:rPr>
                <w:rFonts w:hint="eastAsia" w:ascii="宋体" w:hAnsi="宋体" w:eastAsia="宋体" w:cs="宋体"/>
                <w:color w:val="auto"/>
                <w:highlight w:val="none"/>
                <w:u w:val="none"/>
                <w:vertAlign w:val="baseline"/>
              </w:rPr>
            </w:pPr>
            <w:r>
              <w:rPr>
                <w:rFonts w:hint="eastAsia" w:ascii="宋体" w:hAnsi="宋体" w:eastAsia="宋体" w:cs="宋体"/>
                <w:color w:val="auto"/>
                <w:highlight w:val="none"/>
                <w:u w:val="none"/>
                <w:vertAlign w:val="baseline"/>
              </w:rPr>
              <w:t>根据投标书总体描述情况或现场答疑情况由专家自主综合评价。</w:t>
            </w:r>
          </w:p>
        </w:tc>
      </w:tr>
      <w:tr w14:paraId="2FDAE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1F62BC12">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7</w:t>
            </w:r>
          </w:p>
        </w:tc>
        <w:tc>
          <w:tcPr>
            <w:tcW w:w="900" w:type="dxa"/>
            <w:vMerge w:val="continue"/>
            <w:noWrap w:val="0"/>
            <w:vAlign w:val="center"/>
          </w:tcPr>
          <w:p w14:paraId="729FC15B">
            <w:pPr>
              <w:pStyle w:val="4"/>
              <w:jc w:val="center"/>
              <w:rPr>
                <w:rFonts w:hint="eastAsia" w:ascii="宋体" w:hAnsi="宋体" w:eastAsia="宋体" w:cs="宋体"/>
                <w:color w:val="auto"/>
                <w:highlight w:val="none"/>
                <w:u w:val="none"/>
                <w:vertAlign w:val="baseline"/>
              </w:rPr>
            </w:pPr>
          </w:p>
        </w:tc>
        <w:tc>
          <w:tcPr>
            <w:tcW w:w="3022" w:type="dxa"/>
            <w:noWrap w:val="0"/>
            <w:vAlign w:val="center"/>
          </w:tcPr>
          <w:p w14:paraId="7091F351">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供货周期（0-20分）</w:t>
            </w:r>
          </w:p>
        </w:tc>
        <w:tc>
          <w:tcPr>
            <w:tcW w:w="5988" w:type="dxa"/>
            <w:noWrap w:val="0"/>
            <w:vAlign w:val="top"/>
          </w:tcPr>
          <w:p w14:paraId="58DF0B37">
            <w:pPr>
              <w:pStyle w:val="4"/>
              <w:jc w:val="left"/>
              <w:rPr>
                <w:rFonts w:hint="eastAsia" w:ascii="宋体" w:hAnsi="宋体" w:eastAsia="宋体" w:cs="宋体"/>
                <w:color w:val="auto"/>
                <w:highlight w:val="none"/>
                <w:u w:val="none"/>
                <w:vertAlign w:val="baseline"/>
              </w:rPr>
            </w:pPr>
            <w:r>
              <w:rPr>
                <w:rFonts w:hint="eastAsia" w:ascii="宋体" w:hAnsi="宋体" w:eastAsia="宋体" w:cs="宋体"/>
                <w:color w:val="auto"/>
                <w:highlight w:val="none"/>
                <w:u w:val="none"/>
                <w:vertAlign w:val="baseline"/>
              </w:rPr>
              <w:t>优于招标文件要求得6-</w:t>
            </w:r>
            <w:r>
              <w:rPr>
                <w:rFonts w:hint="eastAsia" w:ascii="宋体" w:hAnsi="宋体" w:eastAsia="宋体" w:cs="宋体"/>
                <w:color w:val="auto"/>
                <w:highlight w:val="none"/>
                <w:u w:val="none"/>
                <w:vertAlign w:val="baseline"/>
                <w:lang w:val="en-US" w:eastAsia="zh-CN"/>
              </w:rPr>
              <w:t>20</w:t>
            </w:r>
            <w:r>
              <w:rPr>
                <w:rFonts w:hint="eastAsia" w:ascii="宋体" w:hAnsi="宋体" w:eastAsia="宋体" w:cs="宋体"/>
                <w:color w:val="auto"/>
                <w:highlight w:val="none"/>
                <w:u w:val="none"/>
                <w:vertAlign w:val="baseline"/>
              </w:rPr>
              <w:t>分;满足招标文件要求得5分;不满足0分。</w:t>
            </w:r>
          </w:p>
        </w:tc>
      </w:tr>
      <w:tr w14:paraId="5C0D2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789023C1">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8</w:t>
            </w:r>
          </w:p>
        </w:tc>
        <w:tc>
          <w:tcPr>
            <w:tcW w:w="900" w:type="dxa"/>
            <w:vMerge w:val="continue"/>
            <w:noWrap w:val="0"/>
            <w:vAlign w:val="center"/>
          </w:tcPr>
          <w:p w14:paraId="299D6644">
            <w:pPr>
              <w:pStyle w:val="4"/>
              <w:jc w:val="center"/>
              <w:rPr>
                <w:rFonts w:hint="eastAsia" w:ascii="宋体" w:hAnsi="宋体" w:eastAsia="宋体" w:cs="宋体"/>
                <w:color w:val="auto"/>
                <w:highlight w:val="none"/>
                <w:u w:val="none"/>
                <w:vertAlign w:val="baseline"/>
              </w:rPr>
            </w:pPr>
          </w:p>
        </w:tc>
        <w:tc>
          <w:tcPr>
            <w:tcW w:w="3022" w:type="dxa"/>
            <w:noWrap w:val="0"/>
            <w:vAlign w:val="center"/>
          </w:tcPr>
          <w:p w14:paraId="662C7215">
            <w:pPr>
              <w:pStyle w:val="4"/>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质保期及售后服务（0-20分）</w:t>
            </w:r>
          </w:p>
        </w:tc>
        <w:tc>
          <w:tcPr>
            <w:tcW w:w="5988" w:type="dxa"/>
            <w:noWrap w:val="0"/>
            <w:vAlign w:val="top"/>
          </w:tcPr>
          <w:p w14:paraId="167D03A8">
            <w:pPr>
              <w:pStyle w:val="4"/>
              <w:jc w:val="left"/>
              <w:rPr>
                <w:rFonts w:hint="eastAsia" w:ascii="宋体" w:hAnsi="宋体" w:eastAsia="宋体" w:cs="宋体"/>
                <w:color w:val="auto"/>
                <w:highlight w:val="none"/>
                <w:u w:val="none"/>
                <w:vertAlign w:val="baseline"/>
              </w:rPr>
            </w:pPr>
            <w:r>
              <w:rPr>
                <w:rFonts w:hint="eastAsia" w:ascii="宋体" w:hAnsi="宋体" w:eastAsia="宋体" w:cs="宋体"/>
                <w:color w:val="auto"/>
                <w:highlight w:val="none"/>
                <w:u w:val="none"/>
                <w:vertAlign w:val="baseline"/>
              </w:rPr>
              <w:t>售后服务措施得当，质保期优于招标文件要求 6-</w:t>
            </w:r>
            <w:r>
              <w:rPr>
                <w:rFonts w:hint="eastAsia" w:ascii="宋体" w:hAnsi="宋体" w:eastAsia="宋体" w:cs="宋体"/>
                <w:color w:val="auto"/>
                <w:highlight w:val="none"/>
                <w:u w:val="none"/>
                <w:vertAlign w:val="baseline"/>
                <w:lang w:val="en-US" w:eastAsia="zh-CN"/>
              </w:rPr>
              <w:t>20</w:t>
            </w:r>
            <w:r>
              <w:rPr>
                <w:rFonts w:hint="eastAsia" w:ascii="宋体" w:hAnsi="宋体" w:eastAsia="宋体" w:cs="宋体"/>
                <w:color w:val="auto"/>
                <w:highlight w:val="none"/>
                <w:u w:val="none"/>
                <w:vertAlign w:val="baseline"/>
              </w:rPr>
              <w:t>分、满足招标文件要求5分;不满足0分。</w:t>
            </w:r>
          </w:p>
        </w:tc>
      </w:tr>
    </w:tbl>
    <w:p w14:paraId="6BBD900B">
      <w:pPr>
        <w:numPr>
          <w:ilvl w:val="0"/>
          <w:numId w:val="11"/>
        </w:numPr>
        <w:shd w:val="clear" w:color="auto" w:fill="auto"/>
        <w:spacing w:line="360" w:lineRule="auto"/>
        <w:ind w:firstLine="480" w:firstLineChars="200"/>
        <w:rPr>
          <w:rFonts w:hint="eastAsia" w:ascii="宋体" w:hAnsi="宋体" w:eastAsia="宋体" w:cs="宋体"/>
          <w:color w:val="auto"/>
          <w:sz w:val="24"/>
          <w:highlight w:val="none"/>
          <w:u w:val="none"/>
        </w:rPr>
      </w:pPr>
      <w:r>
        <w:rPr>
          <w:rFonts w:hint="eastAsia" w:ascii="宋体" w:hAnsi="宋体" w:eastAsia="宋体" w:cs="宋体"/>
          <w:color w:val="auto"/>
          <w:sz w:val="24"/>
          <w:highlight w:val="none"/>
          <w:u w:val="none"/>
          <w:lang w:val="en-US" w:eastAsia="zh-CN"/>
        </w:rPr>
        <w:t>工艺能力：达不到技术定额一票否决。</w:t>
      </w:r>
      <w:r>
        <w:rPr>
          <w:rFonts w:hint="eastAsia" w:ascii="宋体" w:hAnsi="宋体" w:eastAsia="宋体" w:cs="宋体"/>
          <w:color w:val="auto"/>
          <w:sz w:val="24"/>
          <w:highlight w:val="none"/>
          <w:u w:val="none"/>
        </w:rPr>
        <w:t>技术标按照最终得分及专家意见进行淘汰。</w:t>
      </w:r>
    </w:p>
    <w:p w14:paraId="3B864C73">
      <w:pPr>
        <w:numPr>
          <w:ilvl w:val="0"/>
          <w:numId w:val="0"/>
        </w:numPr>
        <w:shd w:val="clear" w:color="auto" w:fill="auto"/>
        <w:spacing w:line="360" w:lineRule="auto"/>
        <w:rPr>
          <w:rFonts w:hint="default" w:ascii="宋体" w:hAnsi="宋体" w:eastAsia="宋体" w:cs="宋体"/>
          <w:color w:val="auto"/>
          <w:sz w:val="24"/>
          <w:highlight w:val="none"/>
          <w:u w:val="none"/>
          <w:lang w:val="en-US" w:eastAsia="zh-CN"/>
        </w:rPr>
      </w:pPr>
      <w:r>
        <w:rPr>
          <w:rFonts w:hint="eastAsia" w:ascii="宋体" w:hAnsi="宋体" w:cs="宋体"/>
          <w:color w:val="auto"/>
          <w:sz w:val="24"/>
          <w:highlight w:val="none"/>
          <w:u w:val="none"/>
          <w:lang w:val="en-US" w:eastAsia="zh-CN"/>
        </w:rPr>
        <w:t xml:space="preserve">       供货</w:t>
      </w:r>
      <w:r>
        <w:rPr>
          <w:rFonts w:hint="eastAsia" w:ascii="宋体" w:hAnsi="宋体" w:eastAsia="宋体" w:cs="宋体"/>
          <w:color w:val="auto"/>
          <w:sz w:val="24"/>
          <w:highlight w:val="none"/>
          <w:u w:val="none"/>
          <w:lang w:val="en-US" w:eastAsia="zh-CN"/>
        </w:rPr>
        <w:t>周期：以实际派工日期开始计算，35天内完成模具制作</w:t>
      </w:r>
      <w:r>
        <w:rPr>
          <w:rFonts w:hint="eastAsia" w:ascii="宋体" w:hAnsi="宋体" w:cs="宋体"/>
          <w:color w:val="auto"/>
          <w:sz w:val="24"/>
          <w:highlight w:val="none"/>
          <w:u w:val="none"/>
          <w:lang w:val="en-US" w:eastAsia="zh-CN"/>
        </w:rPr>
        <w:t>。</w:t>
      </w:r>
    </w:p>
    <w:p w14:paraId="61EFA7FE">
      <w:pPr>
        <w:ind w:firstLine="480" w:firstLineChars="200"/>
        <w:rPr>
          <w:rFonts w:hint="eastAsia" w:ascii="宋体" w:hAnsi="宋体" w:eastAsia="宋体" w:cs="宋体"/>
          <w:color w:val="auto"/>
          <w:sz w:val="24"/>
          <w:szCs w:val="24"/>
          <w:highlight w:val="none"/>
          <w:u w:val="none"/>
          <w:lang w:eastAsia="zh-CN"/>
        </w:rPr>
      </w:pPr>
      <w:r>
        <w:rPr>
          <w:rFonts w:hint="eastAsia" w:ascii="宋体" w:hAnsi="宋体" w:eastAsia="宋体" w:cs="宋体"/>
          <w:color w:val="auto"/>
          <w:sz w:val="24"/>
          <w:highlight w:val="none"/>
          <w:u w:val="none"/>
          <w:lang w:val="en-US" w:eastAsia="zh-CN"/>
        </w:rPr>
        <w:t>3.</w:t>
      </w:r>
      <w:r>
        <w:rPr>
          <w:rFonts w:hint="eastAsia" w:ascii="宋体" w:hAnsi="宋体" w:eastAsia="宋体" w:cs="宋体"/>
          <w:color w:val="auto"/>
          <w:sz w:val="24"/>
          <w:szCs w:val="24"/>
          <w:highlight w:val="none"/>
          <w:u w:val="none"/>
        </w:rPr>
        <w:t>技术标文件加盖公章，作成PDF电子版系统中上传</w:t>
      </w:r>
      <w:r>
        <w:rPr>
          <w:rFonts w:hint="eastAsia" w:ascii="宋体" w:hAnsi="宋体" w:eastAsia="宋体" w:cs="宋体"/>
          <w:color w:val="auto"/>
          <w:sz w:val="24"/>
          <w:szCs w:val="24"/>
          <w:highlight w:val="none"/>
          <w:u w:val="none"/>
          <w:lang w:eastAsia="zh-CN"/>
        </w:rPr>
        <w:t>。</w:t>
      </w:r>
    </w:p>
    <w:p w14:paraId="75F49D71">
      <w:pPr>
        <w:shd w:val="clear" w:color="auto" w:fill="auto"/>
        <w:spacing w:line="360" w:lineRule="auto"/>
        <w:ind w:firstLine="480" w:firstLineChars="200"/>
        <w:rPr>
          <w:rFonts w:hint="eastAsia" w:ascii="宋体" w:hAnsi="宋体" w:eastAsia="宋体" w:cs="宋体"/>
          <w:color w:val="auto"/>
          <w:sz w:val="24"/>
          <w:highlight w:val="none"/>
          <w:u w:val="none"/>
          <w:lang w:val="en-US" w:eastAsia="zh-CN"/>
        </w:rPr>
      </w:pPr>
      <w:r>
        <w:rPr>
          <w:rFonts w:hint="eastAsia" w:ascii="宋体" w:hAnsi="宋体" w:eastAsia="宋体" w:cs="宋体"/>
          <w:color w:val="auto"/>
          <w:sz w:val="24"/>
          <w:highlight w:val="none"/>
          <w:u w:val="none"/>
          <w:lang w:val="en-US" w:eastAsia="zh-CN"/>
        </w:rPr>
        <w:t>4.技术评分说明</w:t>
      </w:r>
    </w:p>
    <w:p w14:paraId="795B86D8">
      <w:pPr>
        <w:shd w:val="clear" w:color="auto" w:fill="auto"/>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a、投标人技术得分取所有评委对该投标人计分之和的算术平均值。</w:t>
      </w:r>
    </w:p>
    <w:p w14:paraId="48F59821">
      <w:pPr>
        <w:shd w:val="clear" w:color="auto" w:fill="auto"/>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b、最终得分小数点后保留2位有效数字。</w:t>
      </w:r>
    </w:p>
    <w:p w14:paraId="23591C64">
      <w:pPr>
        <w:shd w:val="clear" w:color="auto" w:fill="auto"/>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c、评委打分超过得分界限或未按本方法赋分时，该评委的打分按废票处理。</w:t>
      </w:r>
    </w:p>
    <w:p w14:paraId="64CE3E03">
      <w:pPr>
        <w:shd w:val="clear" w:color="auto" w:fill="auto"/>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d、评标过程中，若出现本办法以外的特殊情况时，将暂停评标，有关情况处理意见待招标工作小组确认后，再行评定。</w:t>
      </w:r>
    </w:p>
    <w:p w14:paraId="03CEB01D">
      <w:pPr>
        <w:shd w:val="clear" w:color="auto" w:fill="auto"/>
        <w:spacing w:line="360" w:lineRule="auto"/>
        <w:ind w:firstLine="480" w:firstLineChars="200"/>
        <w:rPr>
          <w:rFonts w:hint="default" w:ascii="宋体" w:hAnsi="宋体" w:eastAsia="宋体" w:cs="宋体"/>
          <w:color w:val="auto"/>
          <w:sz w:val="24"/>
          <w:szCs w:val="24"/>
          <w:highlight w:val="yellow"/>
          <w:u w:val="none"/>
          <w:lang w:val="en-US" w:eastAsia="zh-CN"/>
        </w:rPr>
      </w:pPr>
      <w:r>
        <w:rPr>
          <w:rFonts w:hint="eastAsia" w:ascii="宋体" w:hAnsi="宋体" w:eastAsia="宋体" w:cs="宋体"/>
          <w:color w:val="auto"/>
          <w:sz w:val="24"/>
          <w:szCs w:val="24"/>
          <w:highlight w:val="yellow"/>
          <w:u w:val="none"/>
          <w:lang w:val="en-US" w:eastAsia="zh-CN"/>
        </w:rPr>
        <w:t>*注意：其余技术要求参考技术协议内容</w:t>
      </w:r>
    </w:p>
    <w:p w14:paraId="26A5EA07">
      <w:pPr>
        <w:rPr>
          <w:rFonts w:ascii="宋体" w:hAnsi="宋体" w:eastAsia="宋体" w:cs="宋体"/>
          <w:sz w:val="24"/>
          <w:szCs w:val="24"/>
        </w:rPr>
      </w:pPr>
      <w:r>
        <w:rPr>
          <w:rFonts w:ascii="宋体" w:hAnsi="宋体" w:eastAsia="宋体" w:cs="宋体"/>
          <w:sz w:val="24"/>
          <w:szCs w:val="24"/>
        </w:rPr>
        <w:br w:type="page"/>
      </w:r>
    </w:p>
    <w:p w14:paraId="694F2016">
      <w:pPr>
        <w:adjustRightInd w:val="0"/>
        <w:snapToGrid w:val="0"/>
        <w:spacing w:line="360" w:lineRule="auto"/>
        <w:rPr>
          <w:rFonts w:ascii="宋体" w:hAnsi="宋体" w:eastAsia="宋体" w:cs="宋体"/>
          <w:sz w:val="24"/>
          <w:szCs w:val="24"/>
        </w:rPr>
      </w:pPr>
    </w:p>
    <w:p w14:paraId="4363D2F4">
      <w:pPr>
        <w:keepNext w:val="0"/>
        <w:keepLines w:val="0"/>
        <w:pageBreakBefore w:val="0"/>
        <w:tabs>
          <w:tab w:val="left" w:pos="2865"/>
        </w:tabs>
        <w:kinsoku/>
        <w:wordWrap/>
        <w:overflowPunct/>
        <w:topLinePunct w:val="0"/>
        <w:bidi w:val="0"/>
        <w:snapToGrid/>
        <w:spacing w:line="440" w:lineRule="exact"/>
        <w:jc w:val="center"/>
        <w:rPr>
          <w:rFonts w:hint="eastAsia"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t>技  术  协  议</w:t>
      </w:r>
    </w:p>
    <w:p w14:paraId="20B73570">
      <w:pPr>
        <w:keepNext w:val="0"/>
        <w:keepLines w:val="0"/>
        <w:pageBreakBefore w:val="0"/>
        <w:tabs>
          <w:tab w:val="left" w:pos="2865"/>
        </w:tabs>
        <w:kinsoku/>
        <w:wordWrap/>
        <w:overflowPunct/>
        <w:topLinePunct w:val="0"/>
        <w:bidi w:val="0"/>
        <w:snapToGrid/>
        <w:spacing w:line="440" w:lineRule="exact"/>
        <w:jc w:val="center"/>
        <w:rPr>
          <w:rFonts w:hint="eastAsia" w:asciiTheme="majorEastAsia" w:hAnsiTheme="majorEastAsia" w:eastAsiaTheme="majorEastAsia" w:cstheme="majorEastAsia"/>
          <w:b/>
          <w:sz w:val="24"/>
          <w:szCs w:val="24"/>
          <w:highlight w:val="none"/>
        </w:rPr>
      </w:pPr>
      <w:r>
        <w:rPr>
          <w:rFonts w:hint="eastAsia" w:asciiTheme="majorEastAsia" w:hAnsiTheme="majorEastAsia" w:eastAsiaTheme="majorEastAsia" w:cstheme="majorEastAsia"/>
          <w:b/>
          <w:sz w:val="24"/>
          <w:szCs w:val="24"/>
          <w:highlight w:val="none"/>
        </w:rPr>
        <w:t xml:space="preserve">总  要  求   </w:t>
      </w:r>
    </w:p>
    <w:p w14:paraId="0932AA3F">
      <w:pPr>
        <w:keepNext w:val="0"/>
        <w:keepLines w:val="0"/>
        <w:pageBreakBefore w:val="0"/>
        <w:tabs>
          <w:tab w:val="left" w:pos="2865"/>
        </w:tabs>
        <w:kinsoku/>
        <w:wordWrap/>
        <w:overflowPunct/>
        <w:topLinePunct w:val="0"/>
        <w:bidi w:val="0"/>
        <w:snapToGrid/>
        <w:spacing w:line="440" w:lineRule="exact"/>
        <w:textAlignment w:val="baseline"/>
        <w:rPr>
          <w:rFonts w:ascii="宋体" w:hAnsi="宋体"/>
          <w:sz w:val="20"/>
          <w:highlight w:val="none"/>
        </w:rPr>
      </w:pPr>
      <w:r>
        <w:rPr>
          <w:rFonts w:hint="eastAsia" w:ascii="宋体" w:hAnsi="宋体"/>
          <w:sz w:val="20"/>
          <w:highlight w:val="none"/>
        </w:rPr>
        <w:t xml:space="preserve">甲方：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ascii="宋体" w:hAnsi="宋体"/>
          <w:sz w:val="20"/>
          <w:highlight w:val="none"/>
        </w:rPr>
        <w:t>（以下简称甲方）</w:t>
      </w:r>
    </w:p>
    <w:p w14:paraId="563E7CB9">
      <w:pPr>
        <w:keepNext w:val="0"/>
        <w:keepLines w:val="0"/>
        <w:pageBreakBefore w:val="0"/>
        <w:kinsoku/>
        <w:wordWrap/>
        <w:overflowPunct/>
        <w:topLinePunct w:val="0"/>
        <w:bidi w:val="0"/>
        <w:snapToGrid/>
        <w:spacing w:line="440" w:lineRule="exact"/>
        <w:textAlignment w:val="baseline"/>
        <w:rPr>
          <w:rFonts w:ascii="宋体" w:hAnsi="宋体"/>
          <w:sz w:val="20"/>
          <w:highlight w:val="none"/>
        </w:rPr>
      </w:pPr>
      <w:r>
        <w:rPr>
          <w:rFonts w:ascii="宋体" w:hAnsi="宋体"/>
          <w:sz w:val="20"/>
          <w:highlight w:val="none"/>
        </w:rPr>
        <w:t>乙方</w:t>
      </w:r>
      <w:r>
        <w:rPr>
          <w:rFonts w:hint="eastAsia" w:ascii="宋体" w:hAnsi="宋体"/>
          <w:sz w:val="20"/>
          <w:highlight w:val="none"/>
          <w:lang w:eastAsia="zh-CN"/>
        </w:rPr>
        <w:t>：</w:t>
      </w:r>
      <w:r>
        <w:rPr>
          <w:rFonts w:hint="eastAsia" w:ascii="宋体" w:hAnsi="宋体"/>
          <w:sz w:val="20"/>
          <w:highlight w:val="none"/>
          <w:lang w:val="en-US" w:eastAsia="zh-CN"/>
        </w:rPr>
        <w:t xml:space="preserve">         </w:t>
      </w:r>
      <w:r>
        <w:rPr>
          <w:rFonts w:hint="eastAsia" w:ascii="宋体" w:hAnsi="宋体"/>
          <w:highlight w:val="none"/>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ascii="宋体" w:hAnsi="宋体"/>
          <w:sz w:val="20"/>
          <w:highlight w:val="none"/>
        </w:rPr>
        <w:t>（以下简称乙方）</w:t>
      </w:r>
    </w:p>
    <w:p w14:paraId="47C5AC20">
      <w:pPr>
        <w:keepNext w:val="0"/>
        <w:keepLines w:val="0"/>
        <w:pageBreakBefore w:val="0"/>
        <w:tabs>
          <w:tab w:val="left" w:pos="2865"/>
        </w:tabs>
        <w:kinsoku/>
        <w:wordWrap/>
        <w:overflowPunct/>
        <w:topLinePunct w:val="0"/>
        <w:bidi w:val="0"/>
        <w:snapToGrid/>
        <w:spacing w:line="440" w:lineRule="exact"/>
        <w:ind w:firstLine="400" w:firstLineChars="200"/>
        <w:textAlignment w:val="baseline"/>
        <w:rPr>
          <w:rFonts w:ascii="宋体" w:hAnsi="宋体"/>
          <w:sz w:val="20"/>
          <w:highlight w:val="none"/>
        </w:rPr>
      </w:pPr>
      <w:r>
        <w:rPr>
          <w:rFonts w:ascii="宋体" w:hAnsi="宋体"/>
          <w:sz w:val="20"/>
          <w:highlight w:val="none"/>
        </w:rPr>
        <w:t>乙方作为合格</w:t>
      </w:r>
      <w:r>
        <w:rPr>
          <w:rFonts w:hint="eastAsia" w:ascii="宋体" w:hAnsi="宋体"/>
          <w:sz w:val="20"/>
          <w:highlight w:val="none"/>
          <w:lang w:eastAsia="zh-CN"/>
        </w:rPr>
        <w:t>乙方</w:t>
      </w:r>
      <w:r>
        <w:rPr>
          <w:rFonts w:ascii="宋体" w:hAnsi="宋体"/>
          <w:sz w:val="20"/>
          <w:highlight w:val="none"/>
        </w:rPr>
        <w:t>，其工艺保证能力、生产能力、质量保证能力须经甲方技术、生产、质量、采购等部门考察评审，并予以认可。</w:t>
      </w:r>
    </w:p>
    <w:p w14:paraId="2FC8DDCD">
      <w:pPr>
        <w:keepNext w:val="0"/>
        <w:keepLines w:val="0"/>
        <w:pageBreakBefore w:val="0"/>
        <w:tabs>
          <w:tab w:val="left" w:pos="2865"/>
        </w:tabs>
        <w:kinsoku/>
        <w:wordWrap/>
        <w:overflowPunct/>
        <w:topLinePunct w:val="0"/>
        <w:bidi w:val="0"/>
        <w:snapToGrid/>
        <w:spacing w:line="440" w:lineRule="exact"/>
        <w:ind w:firstLine="400" w:firstLineChars="200"/>
        <w:textAlignment w:val="baseline"/>
        <w:rPr>
          <w:rFonts w:hint="eastAsia" w:ascii="宋体" w:hAnsi="宋体"/>
          <w:sz w:val="20"/>
          <w:highlight w:val="none"/>
        </w:rPr>
      </w:pPr>
      <w:r>
        <w:rPr>
          <w:rFonts w:ascii="宋体" w:hAnsi="宋体"/>
          <w:sz w:val="20"/>
          <w:highlight w:val="none"/>
        </w:rPr>
        <w:t>为了保证模具外委制作的质量，就乙方向甲方供货的技术要求、产品技术认证、产品质量等事宜经双方充分协商达成以下协议，作为乙方今后供货时，双方共同执行的依据。</w:t>
      </w:r>
    </w:p>
    <w:p w14:paraId="2CB34C7A">
      <w:pPr>
        <w:keepNext w:val="0"/>
        <w:keepLines w:val="0"/>
        <w:pageBreakBefore w:val="0"/>
        <w:tabs>
          <w:tab w:val="left" w:pos="2865"/>
        </w:tabs>
        <w:kinsoku/>
        <w:wordWrap/>
        <w:overflowPunct/>
        <w:topLinePunct w:val="0"/>
        <w:bidi w:val="0"/>
        <w:snapToGrid/>
        <w:spacing w:line="440" w:lineRule="exact"/>
        <w:jc w:val="center"/>
        <w:rPr>
          <w:rFonts w:hint="eastAsia" w:ascii="宋体" w:hAnsi="宋体"/>
          <w:b/>
          <w:color w:val="auto"/>
          <w:sz w:val="20"/>
          <w:highlight w:val="none"/>
          <w:lang w:eastAsia="zh-CN"/>
        </w:rPr>
      </w:pPr>
      <w:r>
        <w:rPr>
          <w:rFonts w:hint="eastAsia" w:ascii="宋体" w:hAnsi="宋体"/>
          <w:b/>
          <w:color w:val="auto"/>
          <w:sz w:val="20"/>
          <w:highlight w:val="none"/>
        </w:rPr>
        <w:t xml:space="preserve">第一条  </w:t>
      </w:r>
      <w:r>
        <w:rPr>
          <w:rFonts w:hint="eastAsia" w:ascii="宋体" w:hAnsi="宋体"/>
          <w:b/>
          <w:color w:val="auto"/>
          <w:sz w:val="20"/>
          <w:highlight w:val="none"/>
          <w:lang w:val="en-US" w:eastAsia="zh-CN"/>
        </w:rPr>
        <w:t>基本要求</w:t>
      </w:r>
    </w:p>
    <w:p w14:paraId="19D9EAF8">
      <w:pPr>
        <w:keepNext w:val="0"/>
        <w:keepLines w:val="0"/>
        <w:pageBreakBefore w:val="0"/>
        <w:tabs>
          <w:tab w:val="left" w:pos="2865"/>
        </w:tabs>
        <w:kinsoku/>
        <w:wordWrap/>
        <w:overflowPunct/>
        <w:topLinePunct w:val="0"/>
        <w:bidi w:val="0"/>
        <w:snapToGrid/>
        <w:spacing w:line="440" w:lineRule="exact"/>
        <w:ind w:firstLine="400" w:firstLineChars="200"/>
        <w:textAlignment w:val="baseline"/>
        <w:rPr>
          <w:rFonts w:hint="eastAsia" w:ascii="宋体" w:hAnsi="宋体"/>
          <w:sz w:val="20"/>
          <w:highlight w:val="none"/>
        </w:rPr>
      </w:pPr>
      <w:r>
        <w:rPr>
          <w:rFonts w:hint="eastAsia" w:ascii="宋体" w:hAnsi="宋体"/>
          <w:sz w:val="20"/>
          <w:highlight w:val="none"/>
        </w:rPr>
        <w:t>1、</w:t>
      </w:r>
      <w:r>
        <w:rPr>
          <w:rFonts w:hint="eastAsia" w:ascii="宋体" w:hAnsi="宋体"/>
          <w:sz w:val="20"/>
          <w:highlight w:val="none"/>
          <w:lang w:val="en-US" w:eastAsia="zh-CN"/>
        </w:rPr>
        <w:t>乙方</w:t>
      </w:r>
      <w:r>
        <w:rPr>
          <w:rFonts w:hint="eastAsia" w:ascii="宋体" w:hAnsi="宋体"/>
          <w:sz w:val="20"/>
          <w:highlight w:val="none"/>
        </w:rPr>
        <w:t>所供的货物，必须符合中国最新版的法律、法规和相关标准、规范的要求，符合项目所在地政府有关特殊要求。</w:t>
      </w:r>
    </w:p>
    <w:p w14:paraId="01A20970">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00" w:firstLineChars="200"/>
        <w:textAlignment w:val="baseline"/>
        <w:rPr>
          <w:rFonts w:hint="eastAsia" w:ascii="宋体" w:hAnsi="宋体"/>
          <w:sz w:val="20"/>
          <w:highlight w:val="none"/>
          <w:lang w:eastAsia="zh-CN"/>
        </w:rPr>
      </w:pPr>
      <w:r>
        <w:rPr>
          <w:rFonts w:hint="eastAsia" w:ascii="宋体" w:hAnsi="宋体"/>
          <w:sz w:val="20"/>
          <w:highlight w:val="none"/>
          <w:lang w:val="en-US" w:eastAsia="zh-CN"/>
        </w:rPr>
        <w:t>2、乙方</w:t>
      </w:r>
      <w:r>
        <w:rPr>
          <w:rFonts w:hint="eastAsia" w:ascii="宋体" w:hAnsi="宋体"/>
          <w:sz w:val="20"/>
          <w:highlight w:val="none"/>
        </w:rPr>
        <w:t>应保证所供货物的完整性</w:t>
      </w:r>
      <w:r>
        <w:rPr>
          <w:rFonts w:hint="eastAsia" w:ascii="宋体" w:hAnsi="宋体"/>
          <w:sz w:val="20"/>
          <w:highlight w:val="none"/>
          <w:lang w:eastAsia="zh-CN"/>
        </w:rPr>
        <w:t>、</w:t>
      </w:r>
      <w:r>
        <w:rPr>
          <w:rFonts w:hint="eastAsia" w:ascii="宋体" w:hAnsi="宋体"/>
          <w:sz w:val="20"/>
          <w:highlight w:val="none"/>
        </w:rPr>
        <w:t>成套性</w:t>
      </w:r>
      <w:r>
        <w:rPr>
          <w:rFonts w:hint="eastAsia" w:ascii="宋体" w:hAnsi="宋体"/>
          <w:sz w:val="20"/>
          <w:highlight w:val="none"/>
          <w:lang w:eastAsia="zh-CN"/>
        </w:rPr>
        <w:t>、</w:t>
      </w:r>
      <w:r>
        <w:rPr>
          <w:rFonts w:hint="eastAsia" w:ascii="宋体" w:hAnsi="宋体"/>
          <w:sz w:val="20"/>
          <w:highlight w:val="none"/>
          <w:lang w:val="en-US" w:eastAsia="zh-CN"/>
        </w:rPr>
        <w:t>全新性</w:t>
      </w:r>
      <w:r>
        <w:rPr>
          <w:rFonts w:hint="eastAsia" w:ascii="宋体" w:hAnsi="宋体"/>
          <w:sz w:val="20"/>
          <w:highlight w:val="none"/>
        </w:rPr>
        <w:t>，能保证货物的正常运行、使用</w:t>
      </w:r>
      <w:r>
        <w:rPr>
          <w:rFonts w:hint="eastAsia" w:ascii="宋体" w:hAnsi="宋体"/>
          <w:sz w:val="20"/>
          <w:highlight w:val="none"/>
          <w:lang w:eastAsia="zh-CN"/>
        </w:rPr>
        <w:t>。</w:t>
      </w:r>
    </w:p>
    <w:p w14:paraId="4E6CE983">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00" w:firstLineChars="200"/>
        <w:textAlignment w:val="baseline"/>
        <w:rPr>
          <w:rFonts w:hint="eastAsia" w:ascii="宋体" w:hAnsi="宋体"/>
          <w:sz w:val="20"/>
          <w:highlight w:val="none"/>
        </w:rPr>
      </w:pPr>
      <w:r>
        <w:rPr>
          <w:rFonts w:hint="eastAsia" w:ascii="宋体" w:hAnsi="宋体"/>
          <w:sz w:val="20"/>
          <w:highlight w:val="none"/>
          <w:lang w:val="en-US" w:eastAsia="zh-CN"/>
        </w:rPr>
        <w:t>3、</w:t>
      </w:r>
      <w:r>
        <w:rPr>
          <w:rFonts w:hint="eastAsia" w:ascii="宋体" w:hAnsi="宋体"/>
          <w:sz w:val="20"/>
          <w:highlight w:val="none"/>
          <w:lang w:eastAsia="zh-CN"/>
        </w:rPr>
        <w:t>甲方</w:t>
      </w:r>
      <w:r>
        <w:rPr>
          <w:rFonts w:hint="eastAsia" w:ascii="宋体" w:hAnsi="宋体"/>
          <w:sz w:val="20"/>
          <w:highlight w:val="none"/>
        </w:rPr>
        <w:t>提供给</w:t>
      </w:r>
      <w:r>
        <w:rPr>
          <w:rFonts w:hint="eastAsia" w:ascii="宋体" w:hAnsi="宋体"/>
          <w:sz w:val="20"/>
          <w:highlight w:val="none"/>
          <w:lang w:eastAsia="zh-CN"/>
        </w:rPr>
        <w:t>乙方</w:t>
      </w:r>
      <w:r>
        <w:rPr>
          <w:rFonts w:hint="eastAsia" w:ascii="宋体" w:hAnsi="宋体"/>
          <w:sz w:val="20"/>
          <w:highlight w:val="none"/>
        </w:rPr>
        <w:t>PDF版图纸及</w:t>
      </w:r>
      <w:r>
        <w:rPr>
          <w:rFonts w:hint="eastAsia" w:ascii="宋体" w:hAnsi="宋体"/>
          <w:sz w:val="20"/>
          <w:highlight w:val="none"/>
          <w:lang w:val="en-US" w:eastAsia="zh-CN"/>
        </w:rPr>
        <w:t>模体/锻件</w:t>
      </w:r>
      <w:r>
        <w:rPr>
          <w:rFonts w:hint="eastAsia" w:ascii="宋体" w:hAnsi="宋体"/>
          <w:sz w:val="20"/>
          <w:highlight w:val="none"/>
        </w:rPr>
        <w:t>三维造型</w:t>
      </w:r>
      <w:r>
        <w:rPr>
          <w:rFonts w:hint="eastAsia" w:ascii="宋体" w:hAnsi="宋体"/>
          <w:sz w:val="20"/>
          <w:highlight w:val="none"/>
          <w:lang w:val="en-US" w:eastAsia="zh-CN"/>
        </w:rPr>
        <w:t>等</w:t>
      </w:r>
      <w:r>
        <w:rPr>
          <w:rFonts w:hint="eastAsia" w:ascii="宋体" w:hAnsi="宋体"/>
          <w:sz w:val="20"/>
          <w:highlight w:val="none"/>
        </w:rPr>
        <w:t>，</w:t>
      </w:r>
      <w:r>
        <w:rPr>
          <w:rFonts w:hint="eastAsia" w:ascii="宋体" w:hAnsi="宋体"/>
          <w:sz w:val="20"/>
          <w:highlight w:val="none"/>
          <w:lang w:eastAsia="zh-CN"/>
        </w:rPr>
        <w:t>甲方</w:t>
      </w:r>
      <w:r>
        <w:rPr>
          <w:rFonts w:hint="eastAsia" w:ascii="宋体" w:hAnsi="宋体"/>
          <w:sz w:val="20"/>
          <w:highlight w:val="none"/>
        </w:rPr>
        <w:t>拥有对图纸的知识产权，</w:t>
      </w:r>
      <w:r>
        <w:rPr>
          <w:rFonts w:hint="eastAsia" w:ascii="宋体" w:hAnsi="宋体"/>
          <w:sz w:val="20"/>
          <w:highlight w:val="none"/>
          <w:lang w:eastAsia="zh-CN"/>
        </w:rPr>
        <w:t>乙方</w:t>
      </w:r>
      <w:r>
        <w:rPr>
          <w:rFonts w:hint="eastAsia" w:ascii="宋体" w:hAnsi="宋体"/>
          <w:sz w:val="20"/>
          <w:highlight w:val="none"/>
        </w:rPr>
        <w:t>应对</w:t>
      </w:r>
      <w:r>
        <w:rPr>
          <w:rFonts w:hint="eastAsia" w:ascii="宋体" w:hAnsi="宋体"/>
          <w:sz w:val="20"/>
          <w:highlight w:val="none"/>
          <w:lang w:eastAsia="zh-CN"/>
        </w:rPr>
        <w:t>甲方</w:t>
      </w:r>
      <w:r>
        <w:rPr>
          <w:rFonts w:hint="eastAsia" w:ascii="宋体" w:hAnsi="宋体"/>
          <w:sz w:val="20"/>
          <w:highlight w:val="none"/>
        </w:rPr>
        <w:t>采购的货物所涉及的技术、产能等信息负有保密义务。</w:t>
      </w:r>
    </w:p>
    <w:p w14:paraId="544D1C5A">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00" w:firstLineChars="200"/>
        <w:textAlignment w:val="baseline"/>
        <w:rPr>
          <w:rFonts w:hint="eastAsia" w:ascii="宋体" w:hAnsi="宋体"/>
          <w:sz w:val="20"/>
          <w:highlight w:val="none"/>
        </w:rPr>
      </w:pPr>
      <w:r>
        <w:rPr>
          <w:rFonts w:hint="eastAsia" w:ascii="宋体" w:hAnsi="宋体"/>
          <w:sz w:val="20"/>
          <w:highlight w:val="none"/>
          <w:lang w:val="en-US" w:eastAsia="zh-CN"/>
        </w:rPr>
        <w:t>4、</w:t>
      </w:r>
      <w:r>
        <w:rPr>
          <w:rFonts w:hint="eastAsia" w:ascii="宋体" w:hAnsi="宋体"/>
          <w:sz w:val="20"/>
          <w:highlight w:val="none"/>
          <w:lang w:eastAsia="zh-CN"/>
        </w:rPr>
        <w:t>乙方</w:t>
      </w:r>
      <w:r>
        <w:rPr>
          <w:rFonts w:hint="eastAsia" w:ascii="宋体" w:hAnsi="宋体"/>
          <w:sz w:val="20"/>
          <w:highlight w:val="none"/>
        </w:rPr>
        <w:t>在委托外协加工时，必须征得</w:t>
      </w:r>
      <w:r>
        <w:rPr>
          <w:rFonts w:hint="eastAsia" w:ascii="宋体" w:hAnsi="宋体"/>
          <w:sz w:val="20"/>
          <w:highlight w:val="none"/>
          <w:lang w:eastAsia="zh-CN"/>
        </w:rPr>
        <w:t>甲方</w:t>
      </w:r>
      <w:r>
        <w:rPr>
          <w:rFonts w:hint="eastAsia" w:ascii="宋体" w:hAnsi="宋体"/>
          <w:sz w:val="20"/>
          <w:highlight w:val="none"/>
        </w:rPr>
        <w:t>的书面认可，并对外协方提出技术保密要求，不得将图纸外传，加工完成后，应将外协图纸收回。</w:t>
      </w:r>
    </w:p>
    <w:p w14:paraId="2172CFE4">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00" w:firstLineChars="200"/>
        <w:textAlignment w:val="baseline"/>
        <w:rPr>
          <w:rFonts w:hint="eastAsia" w:ascii="宋体" w:hAnsi="宋体"/>
          <w:sz w:val="20"/>
          <w:highlight w:val="none"/>
        </w:rPr>
      </w:pPr>
      <w:r>
        <w:rPr>
          <w:rFonts w:hint="eastAsia" w:ascii="宋体" w:hAnsi="宋体"/>
          <w:sz w:val="20"/>
          <w:highlight w:val="none"/>
          <w:lang w:val="en-US" w:eastAsia="zh-CN"/>
        </w:rPr>
        <w:t>5、</w:t>
      </w:r>
      <w:r>
        <w:rPr>
          <w:rFonts w:hint="eastAsia" w:ascii="宋体" w:hAnsi="宋体"/>
          <w:sz w:val="20"/>
          <w:highlight w:val="none"/>
          <w:lang w:eastAsia="zh-CN"/>
        </w:rPr>
        <w:t>乙方</w:t>
      </w:r>
      <w:r>
        <w:rPr>
          <w:rFonts w:hint="eastAsia" w:ascii="宋体" w:hAnsi="宋体"/>
          <w:sz w:val="20"/>
          <w:highlight w:val="none"/>
        </w:rPr>
        <w:t>不得自行改变</w:t>
      </w:r>
      <w:r>
        <w:rPr>
          <w:rFonts w:hint="eastAsia" w:ascii="宋体" w:hAnsi="宋体"/>
          <w:sz w:val="20"/>
          <w:highlight w:val="none"/>
          <w:lang w:eastAsia="zh-CN"/>
        </w:rPr>
        <w:t>甲方</w:t>
      </w:r>
      <w:r>
        <w:rPr>
          <w:rFonts w:hint="eastAsia" w:ascii="宋体" w:hAnsi="宋体"/>
          <w:sz w:val="20"/>
          <w:highlight w:val="none"/>
        </w:rPr>
        <w:t>提供的技术资料和技术质量要求，如确实需要更改，须事先征得</w:t>
      </w:r>
      <w:r>
        <w:rPr>
          <w:rFonts w:hint="eastAsia" w:ascii="宋体" w:hAnsi="宋体"/>
          <w:sz w:val="20"/>
          <w:highlight w:val="none"/>
          <w:lang w:eastAsia="zh-CN"/>
        </w:rPr>
        <w:t>甲方</w:t>
      </w:r>
      <w:r>
        <w:rPr>
          <w:rFonts w:hint="eastAsia" w:ascii="宋体" w:hAnsi="宋体"/>
          <w:sz w:val="20"/>
          <w:highlight w:val="none"/>
        </w:rPr>
        <w:t>的书面同意。</w:t>
      </w:r>
    </w:p>
    <w:p w14:paraId="5FD7493B">
      <w:pPr>
        <w:keepNext w:val="0"/>
        <w:keepLines w:val="0"/>
        <w:pageBreakBefore w:val="0"/>
        <w:tabs>
          <w:tab w:val="left" w:pos="2865"/>
        </w:tabs>
        <w:kinsoku/>
        <w:wordWrap/>
        <w:overflowPunct/>
        <w:topLinePunct w:val="0"/>
        <w:bidi w:val="0"/>
        <w:snapToGrid/>
        <w:spacing w:line="440" w:lineRule="exact"/>
        <w:ind w:firstLine="400" w:firstLineChars="200"/>
        <w:textAlignment w:val="baseline"/>
        <w:rPr>
          <w:rFonts w:hint="eastAsia" w:ascii="宋体" w:hAnsi="宋体"/>
          <w:sz w:val="20"/>
          <w:highlight w:val="none"/>
          <w:lang w:eastAsia="zh-CN"/>
        </w:rPr>
      </w:pPr>
      <w:r>
        <w:rPr>
          <w:rFonts w:hint="eastAsia" w:ascii="宋体" w:hAnsi="宋体"/>
          <w:sz w:val="20"/>
          <w:highlight w:val="none"/>
          <w:lang w:val="en-US" w:eastAsia="zh-CN"/>
        </w:rPr>
        <w:t>6、</w:t>
      </w:r>
      <w:r>
        <w:rPr>
          <w:rFonts w:hint="eastAsia" w:ascii="宋体" w:hAnsi="宋体"/>
          <w:sz w:val="20"/>
          <w:highlight w:val="none"/>
        </w:rPr>
        <w:t>在</w:t>
      </w:r>
      <w:r>
        <w:rPr>
          <w:rFonts w:hint="eastAsia" w:ascii="宋体" w:hAnsi="宋体"/>
          <w:sz w:val="20"/>
          <w:highlight w:val="none"/>
          <w:lang w:eastAsia="zh-CN"/>
        </w:rPr>
        <w:t>乙方</w:t>
      </w:r>
      <w:r>
        <w:rPr>
          <w:rFonts w:hint="eastAsia" w:ascii="宋体" w:hAnsi="宋体"/>
          <w:sz w:val="20"/>
          <w:highlight w:val="none"/>
        </w:rPr>
        <w:t>冶炼钢坯和锻造钢坯过程中</w:t>
      </w:r>
      <w:r>
        <w:rPr>
          <w:rFonts w:hint="eastAsia" w:ascii="宋体" w:hAnsi="宋体"/>
          <w:sz w:val="20"/>
          <w:highlight w:val="none"/>
          <w:lang w:eastAsia="zh-CN"/>
        </w:rPr>
        <w:t>甲方</w:t>
      </w:r>
      <w:r>
        <w:rPr>
          <w:rFonts w:hint="eastAsia" w:ascii="宋体" w:hAnsi="宋体"/>
          <w:sz w:val="20"/>
          <w:highlight w:val="none"/>
          <w:lang w:val="en-US" w:eastAsia="zh-CN"/>
        </w:rPr>
        <w:t>如需要可</w:t>
      </w:r>
      <w:r>
        <w:rPr>
          <w:rFonts w:hint="eastAsia" w:ascii="宋体" w:hAnsi="宋体"/>
          <w:sz w:val="20"/>
          <w:highlight w:val="none"/>
        </w:rPr>
        <w:t>到</w:t>
      </w:r>
      <w:r>
        <w:rPr>
          <w:rFonts w:hint="eastAsia" w:ascii="宋体" w:hAnsi="宋体"/>
          <w:sz w:val="20"/>
          <w:highlight w:val="none"/>
          <w:lang w:eastAsia="zh-CN"/>
        </w:rPr>
        <w:t>乙方</w:t>
      </w:r>
      <w:r>
        <w:rPr>
          <w:rFonts w:hint="eastAsia" w:ascii="宋体" w:hAnsi="宋体"/>
          <w:sz w:val="20"/>
          <w:highlight w:val="none"/>
        </w:rPr>
        <w:t>现场进行监制</w:t>
      </w:r>
      <w:r>
        <w:rPr>
          <w:rFonts w:hint="eastAsia" w:ascii="宋体" w:hAnsi="宋体"/>
          <w:sz w:val="20"/>
          <w:highlight w:val="none"/>
          <w:lang w:eastAsia="zh-CN"/>
        </w:rPr>
        <w:t>。</w:t>
      </w:r>
    </w:p>
    <w:p w14:paraId="76C51CE7">
      <w:pPr>
        <w:keepNext w:val="0"/>
        <w:keepLines w:val="0"/>
        <w:pageBreakBefore w:val="0"/>
        <w:tabs>
          <w:tab w:val="left" w:pos="2865"/>
        </w:tabs>
        <w:kinsoku/>
        <w:wordWrap/>
        <w:overflowPunct/>
        <w:topLinePunct w:val="0"/>
        <w:bidi w:val="0"/>
        <w:snapToGrid/>
        <w:spacing w:line="440" w:lineRule="exact"/>
        <w:jc w:val="center"/>
        <w:rPr>
          <w:rFonts w:hint="eastAsia" w:ascii="宋体" w:hAnsi="宋体" w:eastAsia="宋体" w:cs="宋体"/>
          <w:b/>
          <w:color w:val="auto"/>
          <w:sz w:val="20"/>
          <w:szCs w:val="20"/>
          <w:highlight w:val="none"/>
        </w:rPr>
      </w:pPr>
      <w:r>
        <w:rPr>
          <w:rFonts w:hint="eastAsia" w:ascii="宋体" w:hAnsi="宋体" w:eastAsia="宋体" w:cs="宋体"/>
          <w:b/>
          <w:color w:val="auto"/>
          <w:sz w:val="20"/>
          <w:szCs w:val="20"/>
          <w:highlight w:val="none"/>
        </w:rPr>
        <w:t>第</w:t>
      </w:r>
      <w:r>
        <w:rPr>
          <w:rFonts w:hint="eastAsia" w:ascii="宋体" w:hAnsi="宋体" w:eastAsia="宋体" w:cs="宋体"/>
          <w:b/>
          <w:color w:val="auto"/>
          <w:sz w:val="20"/>
          <w:szCs w:val="20"/>
          <w:highlight w:val="none"/>
          <w:lang w:val="en-US" w:eastAsia="zh-CN"/>
        </w:rPr>
        <w:t>二</w:t>
      </w:r>
      <w:r>
        <w:rPr>
          <w:rFonts w:hint="eastAsia" w:ascii="宋体" w:hAnsi="宋体" w:eastAsia="宋体" w:cs="宋体"/>
          <w:b/>
          <w:color w:val="auto"/>
          <w:sz w:val="20"/>
          <w:szCs w:val="20"/>
          <w:highlight w:val="none"/>
        </w:rPr>
        <w:t>条  技术规范</w:t>
      </w:r>
    </w:p>
    <w:p w14:paraId="671B7157">
      <w:pPr>
        <w:keepNext w:val="0"/>
        <w:keepLines w:val="0"/>
        <w:pageBreakBefore w:val="0"/>
        <w:tabs>
          <w:tab w:val="left" w:pos="2865"/>
        </w:tabs>
        <w:kinsoku/>
        <w:wordWrap/>
        <w:overflowPunct/>
        <w:topLinePunct w:val="0"/>
        <w:bidi w:val="0"/>
        <w:snapToGrid/>
        <w:spacing w:line="440" w:lineRule="exact"/>
        <w:jc w:val="left"/>
        <w:rPr>
          <w:rFonts w:hint="default" w:ascii="宋体" w:hAnsi="宋体" w:eastAsia="宋体" w:cs="宋体"/>
          <w:b/>
          <w:color w:val="auto"/>
          <w:sz w:val="20"/>
          <w:szCs w:val="20"/>
          <w:highlight w:val="none"/>
          <w:lang w:val="en-US" w:eastAsia="zh-CN"/>
        </w:rPr>
      </w:pPr>
      <w:r>
        <w:rPr>
          <w:rFonts w:hint="eastAsia" w:ascii="宋体" w:hAnsi="宋体" w:eastAsia="宋体" w:cs="宋体"/>
          <w:b/>
          <w:color w:val="auto"/>
          <w:sz w:val="20"/>
          <w:szCs w:val="20"/>
          <w:highlight w:val="none"/>
          <w:lang w:val="en-US" w:eastAsia="zh-CN"/>
        </w:rPr>
        <w:t xml:space="preserve">    一、新制模块</w:t>
      </w:r>
      <w:r>
        <w:rPr>
          <w:rFonts w:hint="eastAsia" w:ascii="宋体" w:hAnsi="宋体" w:cs="宋体"/>
          <w:b/>
          <w:color w:val="auto"/>
          <w:sz w:val="20"/>
          <w:szCs w:val="20"/>
          <w:highlight w:val="none"/>
          <w:lang w:val="en-US" w:eastAsia="zh-CN"/>
        </w:rPr>
        <w:t>技术要求</w:t>
      </w:r>
    </w:p>
    <w:p w14:paraId="1DC8AA03">
      <w:pPr>
        <w:pStyle w:val="125"/>
        <w:keepNext w:val="0"/>
        <w:keepLines w:val="0"/>
        <w:pageBreakBefore w:val="0"/>
        <w:tabs>
          <w:tab w:val="left" w:pos="900"/>
        </w:tabs>
        <w:kinsoku/>
        <w:wordWrap/>
        <w:overflowPunct/>
        <w:topLinePunct w:val="0"/>
        <w:bidi w:val="0"/>
        <w:snapToGrid/>
        <w:spacing w:line="440" w:lineRule="exact"/>
        <w:ind w:firstLine="4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cs="宋体"/>
          <w:color w:val="auto"/>
          <w:sz w:val="20"/>
          <w:szCs w:val="20"/>
          <w:highlight w:val="none"/>
          <w:lang w:val="en-US" w:eastAsia="zh-CN"/>
        </w:rPr>
        <w:t>乙方</w:t>
      </w:r>
      <w:r>
        <w:rPr>
          <w:rFonts w:hint="eastAsia" w:ascii="宋体" w:hAnsi="宋体" w:eastAsia="宋体" w:cs="宋体"/>
          <w:color w:val="auto"/>
          <w:sz w:val="20"/>
          <w:szCs w:val="20"/>
          <w:highlight w:val="none"/>
        </w:rPr>
        <w:t>提供的货物必须符合以下标准要求：</w:t>
      </w:r>
    </w:p>
    <w:p w14:paraId="2F2DC328">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GB/T11880 模锻锤和大型机械压力机用模块技术条件</w:t>
      </w:r>
    </w:p>
    <w:p w14:paraId="290F38EC">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GB3077 合金结构钢技术条件</w:t>
      </w:r>
    </w:p>
    <w:p w14:paraId="483C9357">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GB11352 一般工程用铸造碳钢件</w:t>
      </w:r>
    </w:p>
    <w:p w14:paraId="2510F7C2">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GB1184 形状和位置公差   未注公差的规定</w:t>
      </w:r>
    </w:p>
    <w:p w14:paraId="175740D9">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GB/T1804 一般公差  线性尺寸的未注公差技术条件</w:t>
      </w:r>
    </w:p>
    <w:p w14:paraId="6EC23E88">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GB/T222 钢的成品化学成分允许偏差</w:t>
      </w:r>
    </w:p>
    <w:p w14:paraId="3BDD5C0A">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GB/T231.1 金属布氏硬度试验  第1部分  试验方法</w:t>
      </w:r>
    </w:p>
    <w:p w14:paraId="2D8BA15E">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GB/T1299 合金工具钢</w:t>
      </w:r>
    </w:p>
    <w:p w14:paraId="48867E1C">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GB/T6402 钢锻材超声波检验方法</w:t>
      </w:r>
    </w:p>
    <w:p w14:paraId="1C1466BE">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GB/T10561 钢中非金属夹杂物含量的测定—标准评级图显微检验法</w:t>
      </w:r>
    </w:p>
    <w:p w14:paraId="5082F2FB">
      <w:pPr>
        <w:pStyle w:val="4"/>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GB/T</w:t>
      </w:r>
      <w:r>
        <w:rPr>
          <w:rFonts w:hint="eastAsia" w:ascii="宋体" w:hAnsi="宋体" w:eastAsia="宋体" w:cs="宋体"/>
          <w:color w:val="auto"/>
          <w:sz w:val="20"/>
          <w:szCs w:val="20"/>
          <w:highlight w:val="none"/>
          <w:lang w:val="en-US" w:eastAsia="zh-CN"/>
        </w:rPr>
        <w:t>16923 钢件的正火与退火</w:t>
      </w:r>
    </w:p>
    <w:p w14:paraId="5787F5C4">
      <w:pPr>
        <w:pStyle w:val="4"/>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GB/</w:t>
      </w:r>
      <w:r>
        <w:rPr>
          <w:rFonts w:hint="eastAsia" w:ascii="宋体" w:hAnsi="宋体" w:eastAsia="宋体" w:cs="宋体"/>
          <w:color w:val="auto"/>
          <w:sz w:val="20"/>
          <w:szCs w:val="20"/>
          <w:highlight w:val="none"/>
          <w:lang w:val="en-US" w:eastAsia="zh-CN"/>
        </w:rPr>
        <w:t>T16924 钢件的淬火与回火</w:t>
      </w:r>
    </w:p>
    <w:p w14:paraId="2FDB5CA0">
      <w:pPr>
        <w:pStyle w:val="4"/>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GB/T15824 热作模具钢热疲劳试验方法</w:t>
      </w:r>
    </w:p>
    <w:p w14:paraId="5CD36856">
      <w:pPr>
        <w:pStyle w:val="4"/>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JB/T8431 锻模 热模锻用钢 技术条件</w:t>
      </w:r>
    </w:p>
    <w:p w14:paraId="45A73754">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以上标准中条款</w:t>
      </w:r>
      <w:r>
        <w:rPr>
          <w:rFonts w:hint="eastAsia" w:ascii="宋体" w:hAnsi="宋体" w:eastAsia="宋体" w:cs="宋体"/>
          <w:color w:val="auto"/>
          <w:sz w:val="20"/>
          <w:szCs w:val="20"/>
          <w:highlight w:val="none"/>
          <w:lang w:val="en-US" w:eastAsia="zh-CN"/>
        </w:rPr>
        <w:t>以及其引用的标准或条款</w:t>
      </w:r>
      <w:r>
        <w:rPr>
          <w:rFonts w:hint="eastAsia" w:ascii="宋体" w:hAnsi="宋体" w:eastAsia="宋体" w:cs="宋体"/>
          <w:color w:val="auto"/>
          <w:sz w:val="20"/>
          <w:szCs w:val="20"/>
          <w:highlight w:val="none"/>
        </w:rPr>
        <w:t>通过本</w:t>
      </w:r>
      <w:r>
        <w:rPr>
          <w:rFonts w:hint="eastAsia" w:ascii="宋体" w:hAnsi="宋体" w:eastAsia="宋体" w:cs="宋体"/>
          <w:color w:val="auto"/>
          <w:sz w:val="20"/>
          <w:szCs w:val="20"/>
          <w:highlight w:val="none"/>
          <w:lang w:val="en-US" w:eastAsia="zh-CN"/>
        </w:rPr>
        <w:t>协议</w:t>
      </w:r>
      <w:r>
        <w:rPr>
          <w:rFonts w:hint="eastAsia" w:ascii="宋体" w:hAnsi="宋体" w:eastAsia="宋体" w:cs="宋体"/>
          <w:color w:val="auto"/>
          <w:sz w:val="20"/>
          <w:szCs w:val="20"/>
          <w:highlight w:val="none"/>
        </w:rPr>
        <w:t>的引用而成为本</w:t>
      </w:r>
      <w:r>
        <w:rPr>
          <w:rFonts w:hint="eastAsia" w:ascii="宋体" w:hAnsi="宋体" w:eastAsia="宋体" w:cs="宋体"/>
          <w:color w:val="auto"/>
          <w:sz w:val="20"/>
          <w:szCs w:val="20"/>
          <w:highlight w:val="none"/>
          <w:lang w:val="en-US" w:eastAsia="zh-CN"/>
        </w:rPr>
        <w:t>协议</w:t>
      </w:r>
      <w:r>
        <w:rPr>
          <w:rFonts w:hint="eastAsia" w:ascii="宋体" w:hAnsi="宋体" w:eastAsia="宋体" w:cs="宋体"/>
          <w:color w:val="auto"/>
          <w:sz w:val="20"/>
          <w:szCs w:val="20"/>
          <w:highlight w:val="none"/>
        </w:rPr>
        <w:t>的条款。凡是注日期的引用文件，其随后所有的修改单（不包括勘误的内容）或修订版均不适用于本</w:t>
      </w:r>
      <w:r>
        <w:rPr>
          <w:rFonts w:hint="eastAsia" w:ascii="宋体" w:hAnsi="宋体" w:eastAsia="宋体" w:cs="宋体"/>
          <w:color w:val="auto"/>
          <w:sz w:val="20"/>
          <w:szCs w:val="20"/>
          <w:highlight w:val="none"/>
          <w:lang w:val="en-US" w:eastAsia="zh-CN"/>
        </w:rPr>
        <w:t>协议</w:t>
      </w:r>
      <w:r>
        <w:rPr>
          <w:rFonts w:hint="eastAsia" w:ascii="宋体" w:hAnsi="宋体" w:eastAsia="宋体" w:cs="宋体"/>
          <w:color w:val="auto"/>
          <w:sz w:val="20"/>
          <w:szCs w:val="20"/>
          <w:highlight w:val="none"/>
        </w:rPr>
        <w:t>，凡是不注日期的引用文件，其最新版本适用于本</w:t>
      </w:r>
      <w:r>
        <w:rPr>
          <w:rFonts w:hint="eastAsia" w:ascii="宋体" w:hAnsi="宋体" w:eastAsia="宋体" w:cs="宋体"/>
          <w:color w:val="auto"/>
          <w:sz w:val="20"/>
          <w:szCs w:val="20"/>
          <w:highlight w:val="none"/>
          <w:lang w:val="en-US" w:eastAsia="zh-CN"/>
        </w:rPr>
        <w:t>协议</w:t>
      </w:r>
      <w:r>
        <w:rPr>
          <w:rFonts w:hint="eastAsia" w:ascii="宋体" w:hAnsi="宋体" w:eastAsia="宋体" w:cs="宋体"/>
          <w:color w:val="auto"/>
          <w:sz w:val="20"/>
          <w:szCs w:val="20"/>
          <w:highlight w:val="none"/>
        </w:rPr>
        <w:t>。</w:t>
      </w:r>
    </w:p>
    <w:p w14:paraId="2701D61E">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模块材料应采用电弧炉或其他特种冶金设备冶炼，并采用炉外精炼钢</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lang w:val="en-US" w:eastAsia="zh-CN"/>
        </w:rPr>
        <w:t>模箱、底板用模块要求采用双真空脱氧工艺或电渣重熔工艺精炼。</w:t>
      </w:r>
    </w:p>
    <w:p w14:paraId="1332126D">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lang w:val="en-US"/>
        </w:rPr>
      </w:pPr>
      <w:r>
        <w:rPr>
          <w:rFonts w:hint="eastAsia" w:ascii="宋体" w:hAnsi="宋体" w:eastAsia="宋体" w:cs="宋体"/>
          <w:color w:val="auto"/>
          <w:sz w:val="20"/>
          <w:szCs w:val="20"/>
          <w:highlight w:val="none"/>
          <w:lang w:val="en-US" w:eastAsia="zh-CN"/>
        </w:rPr>
        <w:t>3、模箱</w:t>
      </w:r>
      <w:r>
        <w:rPr>
          <w:rFonts w:hint="eastAsia" w:ascii="宋体" w:hAnsi="宋体" w:eastAsia="宋体" w:cs="宋体"/>
          <w:color w:val="auto"/>
          <w:sz w:val="20"/>
          <w:szCs w:val="20"/>
          <w:highlight w:val="none"/>
        </w:rPr>
        <w:t>的</w:t>
      </w:r>
      <w:r>
        <w:rPr>
          <w:rFonts w:hint="eastAsia" w:ascii="宋体" w:hAnsi="宋体" w:eastAsia="宋体" w:cs="宋体"/>
          <w:color w:val="auto"/>
          <w:sz w:val="20"/>
          <w:szCs w:val="20"/>
          <w:highlight w:val="none"/>
          <w:lang w:val="en-US" w:eastAsia="zh-CN"/>
        </w:rPr>
        <w:t>流线</w:t>
      </w:r>
      <w:r>
        <w:rPr>
          <w:rFonts w:hint="eastAsia" w:ascii="宋体" w:hAnsi="宋体" w:eastAsia="宋体" w:cs="宋体"/>
          <w:color w:val="auto"/>
          <w:sz w:val="20"/>
          <w:szCs w:val="20"/>
          <w:highlight w:val="none"/>
        </w:rPr>
        <w:t>必须符合图纸规定的要求</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lang w:val="en-US" w:eastAsia="zh-CN"/>
        </w:rPr>
        <w:t>锻模模块材料的的流线应垂直于打击方向，对于长轴类锻件，流线方向应当与锻件轴线平行（即平行锤锻模燕尾方向）。</w:t>
      </w:r>
    </w:p>
    <w:p w14:paraId="14FD7F10">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4、</w:t>
      </w:r>
      <w:r>
        <w:rPr>
          <w:rFonts w:hint="eastAsia" w:ascii="宋体" w:hAnsi="宋体" w:eastAsia="宋体" w:cs="宋体"/>
          <w:color w:val="auto"/>
          <w:sz w:val="20"/>
          <w:szCs w:val="20"/>
          <w:highlight w:val="none"/>
        </w:rPr>
        <w:t>用钢锭锻造模块，必须</w:t>
      </w:r>
      <w:r>
        <w:rPr>
          <w:rFonts w:hint="eastAsia" w:ascii="宋体" w:hAnsi="宋体" w:eastAsia="宋体" w:cs="宋体"/>
          <w:color w:val="auto"/>
          <w:sz w:val="20"/>
          <w:szCs w:val="20"/>
          <w:highlight w:val="none"/>
          <w:lang w:val="en-US" w:eastAsia="zh-CN"/>
        </w:rPr>
        <w:t>遵循“三镦三拔”工艺</w:t>
      </w:r>
      <w:r>
        <w:rPr>
          <w:rFonts w:hint="eastAsia" w:ascii="宋体" w:hAnsi="宋体" w:eastAsia="宋体" w:cs="宋体"/>
          <w:color w:val="auto"/>
          <w:sz w:val="20"/>
          <w:szCs w:val="20"/>
          <w:highlight w:val="none"/>
        </w:rPr>
        <w:t>，锻造比≥3，</w:t>
      </w:r>
      <w:r>
        <w:rPr>
          <w:rFonts w:hint="eastAsia" w:ascii="宋体" w:hAnsi="宋体" w:eastAsia="宋体" w:cs="宋体"/>
          <w:color w:val="auto"/>
          <w:sz w:val="20"/>
          <w:szCs w:val="20"/>
          <w:highlight w:val="none"/>
          <w:lang w:val="en-US" w:eastAsia="zh-CN"/>
        </w:rPr>
        <w:t>模箱锻造比≥3.5</w:t>
      </w:r>
      <w:r>
        <w:rPr>
          <w:rFonts w:hint="eastAsia" w:ascii="宋体" w:hAnsi="宋体" w:eastAsia="宋体" w:cs="宋体"/>
          <w:color w:val="auto"/>
          <w:sz w:val="20"/>
          <w:szCs w:val="20"/>
          <w:highlight w:val="none"/>
        </w:rPr>
        <w:t>。</w:t>
      </w:r>
    </w:p>
    <w:p w14:paraId="79AADEE6">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5、</w:t>
      </w:r>
      <w:r>
        <w:rPr>
          <w:rFonts w:hint="eastAsia" w:ascii="宋体" w:hAnsi="宋体" w:eastAsia="宋体" w:cs="宋体"/>
          <w:color w:val="auto"/>
          <w:sz w:val="20"/>
          <w:szCs w:val="20"/>
          <w:highlight w:val="none"/>
        </w:rPr>
        <w:t>模块内部不允许有白点、裂纹、缩孔等缺陷。</w:t>
      </w:r>
    </w:p>
    <w:p w14:paraId="1C85C6D2">
      <w:pPr>
        <w:pStyle w:val="4"/>
        <w:keepNext w:val="0"/>
        <w:keepLines w:val="0"/>
        <w:pageBreakBefore w:val="0"/>
        <w:kinsoku/>
        <w:wordWrap/>
        <w:overflowPunct/>
        <w:topLinePunct w:val="0"/>
        <w:bidi w:val="0"/>
        <w:snapToGrid/>
        <w:spacing w:line="440" w:lineRule="exact"/>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 xml:space="preserve">    6、热处理时，有效加热区的温度偏差应按照</w:t>
      </w:r>
      <w:r>
        <w:rPr>
          <w:rFonts w:hint="eastAsia" w:ascii="宋体" w:hAnsi="宋体" w:eastAsia="宋体" w:cs="宋体"/>
          <w:color w:val="auto"/>
          <w:sz w:val="20"/>
          <w:szCs w:val="20"/>
          <w:highlight w:val="none"/>
        </w:rPr>
        <w:t>GB/T</w:t>
      </w:r>
      <w:r>
        <w:rPr>
          <w:rFonts w:hint="eastAsia" w:ascii="宋体" w:hAnsi="宋体" w:eastAsia="宋体" w:cs="宋体"/>
          <w:color w:val="auto"/>
          <w:sz w:val="20"/>
          <w:szCs w:val="20"/>
          <w:highlight w:val="none"/>
          <w:lang w:val="en-US" w:eastAsia="zh-CN"/>
        </w:rPr>
        <w:t>16923 以及</w:t>
      </w:r>
      <w:r>
        <w:rPr>
          <w:rFonts w:hint="eastAsia" w:ascii="宋体" w:hAnsi="宋体" w:eastAsia="宋体" w:cs="宋体"/>
          <w:color w:val="auto"/>
          <w:sz w:val="20"/>
          <w:szCs w:val="20"/>
          <w:highlight w:val="none"/>
        </w:rPr>
        <w:t>GB/T</w:t>
      </w:r>
      <w:r>
        <w:rPr>
          <w:rFonts w:hint="eastAsia" w:ascii="宋体" w:hAnsi="宋体" w:eastAsia="宋体" w:cs="宋体"/>
          <w:color w:val="auto"/>
          <w:sz w:val="20"/>
          <w:szCs w:val="20"/>
          <w:highlight w:val="none"/>
          <w:lang w:val="en-US" w:eastAsia="zh-CN"/>
        </w:rPr>
        <w:t>16924的规定。淬火加热的温度偏差不应超出±10℃，并且保证不少于2次的回火，模箱精加工过程中增加一次低温去应力回火。</w:t>
      </w:r>
    </w:p>
    <w:p w14:paraId="0FF32A1C">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7、</w:t>
      </w:r>
      <w:r>
        <w:rPr>
          <w:rFonts w:hint="eastAsia" w:ascii="宋体" w:hAnsi="宋体" w:eastAsia="宋体" w:cs="宋体"/>
          <w:color w:val="auto"/>
          <w:sz w:val="20"/>
          <w:szCs w:val="20"/>
          <w:highlight w:val="none"/>
        </w:rPr>
        <w:t>模块应进行超声波探伤检查，检测方法应符合GB/T6402的相关规定，超声波探伤检查判定符合GB/T11880的规定。</w:t>
      </w:r>
    </w:p>
    <w:p w14:paraId="3C75F39A">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8、</w:t>
      </w:r>
      <w:r>
        <w:rPr>
          <w:rFonts w:hint="eastAsia" w:ascii="宋体" w:hAnsi="宋体" w:eastAsia="宋体" w:cs="宋体"/>
          <w:color w:val="auto"/>
          <w:sz w:val="20"/>
          <w:szCs w:val="20"/>
          <w:highlight w:val="none"/>
        </w:rPr>
        <w:t>钢中的非金属夹杂物检测评级参照GB/T10561，应符合下述规定：</w:t>
      </w:r>
    </w:p>
    <w:p w14:paraId="7BF56A62">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     </w:t>
      </w:r>
      <w:r>
        <w:rPr>
          <w:rFonts w:hint="eastAsia" w:ascii="宋体" w:hAnsi="宋体" w:eastAsia="宋体" w:cs="宋体"/>
          <w:color w:val="auto"/>
          <w:sz w:val="20"/>
          <w:szCs w:val="20"/>
          <w:highlight w:val="none"/>
          <w:lang w:val="en-US" w:eastAsia="zh-CN"/>
        </w:rPr>
        <w:t>A、B、C、D类夹杂物</w:t>
      </w:r>
      <w:r>
        <w:rPr>
          <w:rFonts w:hint="eastAsia" w:ascii="宋体" w:hAnsi="宋体" w:eastAsia="宋体" w:cs="宋体"/>
          <w:color w:val="auto"/>
          <w:sz w:val="20"/>
          <w:szCs w:val="20"/>
          <w:highlight w:val="none"/>
        </w:rPr>
        <w:t>≤</w:t>
      </w:r>
      <w:r>
        <w:rPr>
          <w:rFonts w:hint="eastAsia" w:ascii="宋体" w:hAnsi="宋体" w:eastAsia="宋体" w:cs="宋体"/>
          <w:color w:val="auto"/>
          <w:sz w:val="20"/>
          <w:szCs w:val="20"/>
          <w:highlight w:val="none"/>
          <w:lang w:val="en-US" w:eastAsia="zh-CN"/>
        </w:rPr>
        <w:t>0.5</w:t>
      </w:r>
      <w:r>
        <w:rPr>
          <w:rFonts w:hint="eastAsia" w:ascii="宋体" w:hAnsi="宋体" w:eastAsia="宋体" w:cs="宋体"/>
          <w:color w:val="auto"/>
          <w:sz w:val="20"/>
          <w:szCs w:val="20"/>
          <w:highlight w:val="none"/>
        </w:rPr>
        <w:t>级。</w:t>
      </w:r>
    </w:p>
    <w:p w14:paraId="6ACBA42A">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9、</w:t>
      </w:r>
      <w:r>
        <w:rPr>
          <w:rFonts w:hint="eastAsia" w:ascii="宋体" w:hAnsi="宋体" w:eastAsia="宋体" w:cs="宋体"/>
          <w:color w:val="auto"/>
          <w:sz w:val="20"/>
          <w:szCs w:val="20"/>
          <w:highlight w:val="none"/>
        </w:rPr>
        <w:t>模块试验方法及验收规则：必须符合GB/T11880的相关规定。</w:t>
      </w:r>
      <w:r>
        <w:rPr>
          <w:rFonts w:hint="eastAsia" w:ascii="宋体" w:hAnsi="宋体" w:eastAsia="宋体" w:cs="宋体"/>
          <w:color w:val="auto"/>
          <w:sz w:val="20"/>
          <w:szCs w:val="20"/>
          <w:highlight w:val="none"/>
          <w:lang w:val="en-US" w:eastAsia="zh-CN"/>
        </w:rPr>
        <w:t>如图纸有明确要求按照图纸要求执行。</w:t>
      </w:r>
    </w:p>
    <w:p w14:paraId="4080AF1F">
      <w:pPr>
        <w:pStyle w:val="5"/>
        <w:keepNext w:val="0"/>
        <w:keepLines w:val="0"/>
        <w:pageBreakBefore w:val="0"/>
        <w:numPr>
          <w:ilvl w:val="0"/>
          <w:numId w:val="0"/>
        </w:numPr>
        <w:kinsoku/>
        <w:wordWrap/>
        <w:overflowPunct/>
        <w:topLinePunct w:val="0"/>
        <w:bidi w:val="0"/>
        <w:snapToGrid/>
        <w:spacing w:line="440" w:lineRule="exact"/>
        <w:rPr>
          <w:rFonts w:hint="eastAsia" w:ascii="宋体" w:hAnsi="宋体" w:eastAsia="宋体" w:cs="宋体"/>
          <w:b/>
          <w:bCs/>
          <w:color w:val="auto"/>
          <w:sz w:val="20"/>
          <w:szCs w:val="20"/>
          <w:highlight w:val="none"/>
          <w:lang w:val="en-US" w:eastAsia="zh-CN"/>
        </w:rPr>
      </w:pPr>
      <w:r>
        <w:rPr>
          <w:rFonts w:hint="eastAsia" w:ascii="宋体" w:hAnsi="宋体" w:cs="宋体"/>
          <w:b/>
          <w:bCs/>
          <w:i w:val="0"/>
          <w:iCs w:val="0"/>
          <w:color w:val="auto"/>
          <w:kern w:val="0"/>
          <w:sz w:val="20"/>
          <w:szCs w:val="20"/>
          <w:highlight w:val="none"/>
          <w:u w:val="none"/>
          <w:lang w:val="en-US" w:eastAsia="zh-CN" w:bidi="ar"/>
        </w:rPr>
        <w:t>二、</w:t>
      </w:r>
      <w:r>
        <w:rPr>
          <w:rFonts w:hint="eastAsia" w:ascii="宋体" w:hAnsi="宋体" w:eastAsia="宋体" w:cs="宋体"/>
          <w:b/>
          <w:bCs/>
          <w:i w:val="0"/>
          <w:iCs w:val="0"/>
          <w:color w:val="auto"/>
          <w:kern w:val="0"/>
          <w:sz w:val="20"/>
          <w:szCs w:val="20"/>
          <w:highlight w:val="none"/>
          <w:u w:val="none"/>
          <w:lang w:val="en-US" w:eastAsia="zh-CN" w:bidi="ar"/>
        </w:rPr>
        <w:t>新制</w:t>
      </w:r>
      <w:r>
        <w:rPr>
          <w:rFonts w:hint="eastAsia" w:ascii="宋体" w:hAnsi="宋体" w:cs="宋体"/>
          <w:b/>
          <w:bCs/>
          <w:i w:val="0"/>
          <w:iCs w:val="0"/>
          <w:color w:val="auto"/>
          <w:kern w:val="0"/>
          <w:sz w:val="20"/>
          <w:szCs w:val="20"/>
          <w:highlight w:val="none"/>
          <w:u w:val="none"/>
          <w:lang w:val="en-US" w:eastAsia="zh-CN" w:bidi="ar"/>
        </w:rPr>
        <w:t>模具技术</w:t>
      </w:r>
      <w:r>
        <w:rPr>
          <w:rFonts w:hint="eastAsia" w:ascii="宋体" w:hAnsi="宋体" w:eastAsia="宋体" w:cs="宋体"/>
          <w:b/>
          <w:bCs/>
          <w:color w:val="auto"/>
          <w:sz w:val="20"/>
          <w:szCs w:val="20"/>
          <w:highlight w:val="none"/>
          <w:lang w:val="en-US" w:eastAsia="zh-CN"/>
        </w:rPr>
        <w:t>要求</w:t>
      </w:r>
    </w:p>
    <w:p w14:paraId="14C2F980">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eastAsia"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1、锻模，主要包括镦粗模、预锻模、终锻模以及配套顶料杆，材质均为5CrNiMo。</w:t>
      </w:r>
    </w:p>
    <w:p w14:paraId="4B31CEC3">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default"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1.1、镦粗模、预锻模、终锻模淬火后至少两次回火，硬度要求HRC44-48；</w:t>
      </w:r>
      <w:r>
        <w:rPr>
          <w:rFonts w:hint="eastAsia" w:ascii="宋体" w:hAnsi="宋体"/>
          <w:sz w:val="20"/>
          <w:szCs w:val="20"/>
          <w:highlight w:val="none"/>
          <w:lang w:val="en-US" w:eastAsia="zh-CN"/>
        </w:rPr>
        <w:t>模具型腔表面粗糙度Ra0.8，其它Ra3.2；</w:t>
      </w:r>
      <w:r>
        <w:rPr>
          <w:rFonts w:hint="eastAsia" w:ascii="宋体" w:hAnsi="宋体" w:eastAsia="宋体" w:cs="宋体"/>
          <w:color w:val="auto"/>
          <w:kern w:val="2"/>
          <w:sz w:val="20"/>
          <w:szCs w:val="20"/>
          <w:highlight w:val="none"/>
          <w:lang w:val="en-US" w:eastAsia="zh-CN" w:bidi="ar-SA"/>
        </w:rPr>
        <w:t>模具加工完成后对模具表面进行精抛</w:t>
      </w:r>
      <w:r>
        <w:rPr>
          <w:rFonts w:hint="eastAsia" w:ascii="宋体" w:hAnsi="宋体" w:cs="宋体"/>
          <w:color w:val="auto"/>
          <w:kern w:val="2"/>
          <w:sz w:val="20"/>
          <w:szCs w:val="20"/>
          <w:highlight w:val="none"/>
          <w:lang w:val="en-US" w:eastAsia="zh-CN" w:bidi="ar-SA"/>
        </w:rPr>
        <w:t>，</w:t>
      </w:r>
      <w:r>
        <w:rPr>
          <w:rFonts w:hint="eastAsia" w:ascii="宋体" w:hAnsi="宋体" w:eastAsia="宋体" w:cs="宋体"/>
          <w:color w:val="auto"/>
          <w:kern w:val="2"/>
          <w:sz w:val="20"/>
          <w:szCs w:val="20"/>
          <w:highlight w:val="none"/>
          <w:lang w:val="en-US" w:eastAsia="zh-CN" w:bidi="ar-SA"/>
        </w:rPr>
        <w:t>抛光公差及加工公差合计不得超过±0.3mm。</w:t>
      </w:r>
    </w:p>
    <w:p w14:paraId="676C3EF4">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default"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1.2、顶料杆调质处理，硬度要求HRC43-47，</w:t>
      </w:r>
      <w:r>
        <w:rPr>
          <w:rFonts w:hint="eastAsia" w:ascii="宋体" w:hAnsi="宋体"/>
          <w:sz w:val="20"/>
          <w:szCs w:val="20"/>
          <w:highlight w:val="none"/>
          <w:lang w:val="en-US" w:eastAsia="zh-CN"/>
        </w:rPr>
        <w:t>表面粗糙度Ra1.6；</w:t>
      </w:r>
      <w:r>
        <w:rPr>
          <w:rFonts w:hint="eastAsia" w:ascii="宋体" w:hAnsi="宋体"/>
          <w:sz w:val="20"/>
          <w:highlight w:val="none"/>
          <w:lang w:val="en-US" w:eastAsia="zh-CN"/>
        </w:rPr>
        <w:t>顶料杆两端面无中心孔，与锻件接触面无倒角；长度公差±0.05mm，与锻模配合直径公差（+0.1，0）mm。</w:t>
      </w:r>
    </w:p>
    <w:p w14:paraId="296C4D5E">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2、切边模具，主要包括上下凸模（抱切上下模）、凹模、卸料板、顶杆横梁、压板、字头压块以及配套顶料杆等。压板、字头压块、卸料板材质为45#钢，其余均为5CrNiMo。</w:t>
      </w:r>
    </w:p>
    <w:p w14:paraId="5D0FF8F0">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default"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2.1、上下凸模（抱切上下模），调质处理HRC38-43，型腔按照终锻热锻件加工，所有凸圆角缩小至R0.8mm，所有凹圆角在终锻热锻件圆角基础上圆角半径+5mm；大小爪凸模模底向上30mm深度与终锻热锻件一致、凸模与锻件台阶连接处扩大2mm。上下凸模（抱切上下模）外轮廓与凹模刃口配做，单边间隙1.5mm，由凸模（抱切模）做出。冲头杆部单边放大1.4mm。</w:t>
      </w:r>
      <w:r>
        <w:rPr>
          <w:rFonts w:hint="eastAsia" w:ascii="宋体" w:hAnsi="宋体"/>
          <w:color w:val="auto"/>
          <w:sz w:val="20"/>
          <w:szCs w:val="20"/>
          <w:highlight w:val="none"/>
          <w:lang w:val="en-US" w:eastAsia="zh-CN"/>
        </w:rPr>
        <w:t>模具型腔表面粗糙度Ra0.8，其它Ra3.2。冲头字头槽可直接加工也可镶焊，选用字头大小需要与目前甲方在用统一。</w:t>
      </w:r>
      <w:r>
        <w:rPr>
          <w:rFonts w:hint="eastAsia" w:ascii="宋体" w:hAnsi="宋体" w:eastAsia="宋体" w:cs="宋体"/>
          <w:color w:val="auto"/>
          <w:kern w:val="2"/>
          <w:sz w:val="20"/>
          <w:szCs w:val="20"/>
          <w:highlight w:val="none"/>
          <w:lang w:val="en-US" w:eastAsia="zh-CN" w:bidi="ar-SA"/>
        </w:rPr>
        <w:t>抛光公差及加工公差合计不得超过±0.3mm。</w:t>
      </w:r>
    </w:p>
    <w:p w14:paraId="267DC6F9">
      <w:pPr>
        <w:pStyle w:val="5"/>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00" w:firstLineChars="200"/>
        <w:rPr>
          <w:rFonts w:hint="default"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2.2、切边凹模基体调质处理，硬度要求HRC43-47，刃口堆焊HRC48-52。刃口尺寸按照终锻热锻件分模线单边放大0.7mm，刃口堆焊尺寸不小于15×15mm，刃口加工精度±0.1mm。刃口</w:t>
      </w:r>
      <w:r>
        <w:rPr>
          <w:rFonts w:hint="eastAsia" w:ascii="宋体" w:hAnsi="宋体"/>
          <w:color w:val="auto"/>
          <w:sz w:val="20"/>
          <w:szCs w:val="20"/>
          <w:highlight w:val="none"/>
          <w:lang w:val="en-US" w:eastAsia="zh-CN"/>
        </w:rPr>
        <w:t>表面粗糙度Ra0.8，其余Ra3.2。</w:t>
      </w:r>
    </w:p>
    <w:p w14:paraId="5C3A377B">
      <w:pPr>
        <w:pStyle w:val="5"/>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00" w:firstLineChars="200"/>
        <w:rPr>
          <w:rFonts w:hint="eastAsia" w:ascii="宋体" w:hAnsi="宋体" w:cs="宋体"/>
          <w:color w:val="FF0000"/>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2.3、压板、字头压块、卸料板调质处理HRC32-38、</w:t>
      </w:r>
      <w:r>
        <w:rPr>
          <w:rFonts w:hint="eastAsia" w:ascii="宋体" w:hAnsi="宋体"/>
          <w:color w:val="auto"/>
          <w:sz w:val="20"/>
          <w:szCs w:val="20"/>
          <w:highlight w:val="none"/>
          <w:lang w:val="en-US" w:eastAsia="zh-CN"/>
        </w:rPr>
        <w:t>表面粗糙度Ra6.3。</w:t>
      </w:r>
      <w:r>
        <w:rPr>
          <w:rFonts w:hint="eastAsia" w:ascii="宋体" w:hAnsi="宋体" w:cs="宋体"/>
          <w:color w:val="auto"/>
          <w:kern w:val="2"/>
          <w:sz w:val="20"/>
          <w:szCs w:val="20"/>
          <w:highlight w:val="none"/>
          <w:lang w:val="en-US" w:eastAsia="zh-CN" w:bidi="ar-SA"/>
        </w:rPr>
        <w:t>卸料板工作轮廓部分按照终锻热锻件分模线尺寸单边放大3mm。</w:t>
      </w:r>
    </w:p>
    <w:p w14:paraId="7AB23F9B">
      <w:pPr>
        <w:pStyle w:val="5"/>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00" w:firstLineChars="200"/>
        <w:rPr>
          <w:rFonts w:hint="default" w:ascii="宋体" w:hAnsi="宋体" w:cs="宋体"/>
          <w:color w:val="FF0000"/>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2.4、顶杆横梁调质处理HRC38-43，未注倒角C1，</w:t>
      </w:r>
      <w:r>
        <w:rPr>
          <w:rFonts w:hint="eastAsia" w:ascii="宋体" w:hAnsi="宋体"/>
          <w:sz w:val="20"/>
          <w:szCs w:val="20"/>
          <w:highlight w:val="none"/>
          <w:lang w:val="en-US" w:eastAsia="zh-CN"/>
        </w:rPr>
        <w:t>表面粗糙度Ra1.6</w:t>
      </w:r>
      <w:r>
        <w:rPr>
          <w:rFonts w:hint="eastAsia" w:ascii="宋体" w:hAnsi="宋体" w:cs="宋体"/>
          <w:color w:val="auto"/>
          <w:kern w:val="2"/>
          <w:sz w:val="20"/>
          <w:szCs w:val="20"/>
          <w:highlight w:val="none"/>
          <w:lang w:val="en-US" w:eastAsia="zh-CN" w:bidi="ar-SA"/>
        </w:rPr>
        <w:t>。</w:t>
      </w:r>
    </w:p>
    <w:p w14:paraId="3CDEAC43">
      <w:pPr>
        <w:pStyle w:val="5"/>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00" w:firstLineChars="200"/>
        <w:rPr>
          <w:rFonts w:hint="eastAsia"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2.5、字头压块与冲头配合使用，选用甲方在用结构。</w:t>
      </w:r>
    </w:p>
    <w:p w14:paraId="485B695F">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eastAsia" w:ascii="宋体" w:hAnsi="宋体"/>
          <w:sz w:val="20"/>
          <w:highlight w:val="none"/>
          <w:lang w:val="en-US" w:eastAsia="zh-CN"/>
        </w:rPr>
      </w:pPr>
      <w:r>
        <w:rPr>
          <w:rFonts w:hint="eastAsia" w:ascii="宋体" w:hAnsi="宋体" w:cs="宋体"/>
          <w:color w:val="auto"/>
          <w:kern w:val="2"/>
          <w:sz w:val="20"/>
          <w:szCs w:val="20"/>
          <w:highlight w:val="none"/>
          <w:lang w:val="en-US" w:eastAsia="zh-CN" w:bidi="ar-SA"/>
        </w:rPr>
        <w:t>2.6、顶料杆调质处理，硬度要求HRC43-47，</w:t>
      </w:r>
      <w:r>
        <w:rPr>
          <w:rFonts w:hint="eastAsia" w:ascii="宋体" w:hAnsi="宋体"/>
          <w:sz w:val="20"/>
          <w:szCs w:val="20"/>
          <w:highlight w:val="none"/>
          <w:lang w:val="en-US" w:eastAsia="zh-CN"/>
        </w:rPr>
        <w:t>表面粗糙度Ra1.6；</w:t>
      </w:r>
      <w:r>
        <w:rPr>
          <w:rFonts w:hint="eastAsia" w:ascii="宋体" w:hAnsi="宋体"/>
          <w:sz w:val="20"/>
          <w:highlight w:val="none"/>
          <w:lang w:val="en-US" w:eastAsia="zh-CN"/>
        </w:rPr>
        <w:t>顶料杆两端面无中心孔，与锻件接触面无倒角；长度公差±0.05mm，与锻模配合直径公差（+0.1，0）mm。</w:t>
      </w:r>
    </w:p>
    <w:p w14:paraId="6B6142A5">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eastAsia" w:ascii="宋体" w:hAnsi="宋体"/>
          <w:sz w:val="20"/>
          <w:highlight w:val="none"/>
          <w:lang w:val="en-US" w:eastAsia="zh-CN"/>
        </w:rPr>
      </w:pPr>
      <w:r>
        <w:rPr>
          <w:rFonts w:hint="eastAsia" w:ascii="宋体" w:hAnsi="宋体"/>
          <w:sz w:val="20"/>
          <w:highlight w:val="none"/>
          <w:lang w:val="en-US" w:eastAsia="zh-CN"/>
        </w:rPr>
        <w:t>3、</w:t>
      </w:r>
      <w:r>
        <w:rPr>
          <w:rFonts w:hint="eastAsia" w:ascii="宋体" w:hAnsi="宋体" w:cs="宋体"/>
          <w:color w:val="auto"/>
          <w:kern w:val="2"/>
          <w:sz w:val="20"/>
          <w:szCs w:val="20"/>
          <w:highlight w:val="none"/>
          <w:lang w:val="en-US" w:eastAsia="zh-CN" w:bidi="ar-SA"/>
        </w:rPr>
        <w:t>锻模/切边模体外形（与装配相关）必须满足甲方目前通用模座/部件装配要求，</w:t>
      </w:r>
      <w:r>
        <w:rPr>
          <w:rFonts w:hint="eastAsia" w:ascii="宋体" w:hAnsi="宋体"/>
          <w:sz w:val="20"/>
          <w:szCs w:val="20"/>
          <w:highlight w:val="none"/>
          <w:lang w:val="en-US" w:eastAsia="zh-CN"/>
        </w:rPr>
        <w:t>模具安装和配合部位形位尺寸公差执行GB/T1804-f，关键</w:t>
      </w:r>
      <w:r>
        <w:rPr>
          <w:rFonts w:hint="eastAsia" w:ascii="宋体" w:hAnsi="宋体"/>
          <w:sz w:val="20"/>
          <w:highlight w:val="none"/>
          <w:lang w:val="en-US" w:eastAsia="zh-CN"/>
        </w:rPr>
        <w:t>配合尺寸公差见表2要求，其它外形尺寸公差执行GB/T1804-m，未注倒角1×45°。</w:t>
      </w:r>
    </w:p>
    <w:p w14:paraId="61D002CD">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sz w:val="20"/>
          <w:highlight w:val="none"/>
          <w:lang w:val="en-US" w:eastAsia="zh-CN"/>
        </w:rPr>
        <w:t>4、模具标识、产品标识、生产单位代码、生产批次标识等</w:t>
      </w:r>
      <w:r>
        <w:rPr>
          <w:rFonts w:hint="eastAsia" w:ascii="宋体" w:hAnsi="宋体" w:eastAsia="宋体" w:cs="宋体"/>
          <w:sz w:val="20"/>
          <w:szCs w:val="20"/>
          <w:highlight w:val="none"/>
        </w:rPr>
        <w:t>可追溯性标识</w:t>
      </w:r>
      <w:r>
        <w:rPr>
          <w:rFonts w:hint="eastAsia" w:ascii="宋体" w:hAnsi="宋体" w:cs="宋体"/>
          <w:sz w:val="20"/>
          <w:szCs w:val="20"/>
          <w:highlight w:val="none"/>
          <w:lang w:val="en-US" w:eastAsia="zh-CN"/>
        </w:rPr>
        <w:t>必须</w:t>
      </w:r>
      <w:r>
        <w:rPr>
          <w:rFonts w:hint="eastAsia" w:ascii="宋体" w:hAnsi="宋体" w:eastAsia="宋体" w:cs="宋体"/>
          <w:sz w:val="20"/>
          <w:szCs w:val="20"/>
          <w:highlight w:val="none"/>
        </w:rPr>
        <w:t>满足甲方的特定标识要求。</w:t>
      </w:r>
    </w:p>
    <w:p w14:paraId="553A0720">
      <w:pPr>
        <w:keepNext w:val="0"/>
        <w:keepLines w:val="0"/>
        <w:pageBreakBefore w:val="0"/>
        <w:tabs>
          <w:tab w:val="left" w:pos="900"/>
        </w:tabs>
        <w:kinsoku/>
        <w:wordWrap/>
        <w:overflowPunct/>
        <w:topLinePunct w:val="0"/>
        <w:bidi w:val="0"/>
        <w:snapToGrid/>
        <w:spacing w:line="440" w:lineRule="exact"/>
        <w:ind w:firstLine="400" w:firstLineChars="200"/>
        <w:rPr>
          <w:rFonts w:hint="eastAsia"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5、达到合同要求的模具最低寿命。</w:t>
      </w:r>
    </w:p>
    <w:p w14:paraId="527B53AC">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default" w:ascii="宋体" w:hAnsi="宋体" w:eastAsia="宋体" w:cs="宋体"/>
          <w:sz w:val="20"/>
          <w:szCs w:val="20"/>
          <w:highlight w:val="none"/>
          <w:lang w:val="en-US" w:eastAsia="zh-CN"/>
        </w:rPr>
      </w:pPr>
      <w:r>
        <w:rPr>
          <w:rFonts w:hint="eastAsia" w:ascii="宋体" w:hAnsi="宋体" w:cs="宋体"/>
          <w:sz w:val="20"/>
          <w:szCs w:val="20"/>
          <w:highlight w:val="none"/>
          <w:lang w:val="en-US" w:eastAsia="zh-CN"/>
        </w:rPr>
        <w:t>6、保证模具成套可用，其它未尽事宜双方协商处理。</w:t>
      </w:r>
    </w:p>
    <w:p w14:paraId="55F6DA8A">
      <w:pPr>
        <w:keepNext w:val="0"/>
        <w:keepLines w:val="0"/>
        <w:pageBreakBefore w:val="0"/>
        <w:tabs>
          <w:tab w:val="left" w:pos="2865"/>
        </w:tabs>
        <w:kinsoku/>
        <w:wordWrap/>
        <w:overflowPunct/>
        <w:topLinePunct w:val="0"/>
        <w:bidi w:val="0"/>
        <w:snapToGrid/>
        <w:spacing w:line="440" w:lineRule="exact"/>
        <w:jc w:val="center"/>
        <w:rPr>
          <w:rFonts w:hint="default" w:ascii="宋体" w:hAnsi="宋体" w:eastAsia="宋体" w:cs="宋体"/>
          <w:b/>
          <w:color w:val="auto"/>
          <w:sz w:val="20"/>
          <w:szCs w:val="20"/>
          <w:lang w:val="en-US" w:eastAsia="zh-CN"/>
        </w:rPr>
      </w:pPr>
      <w:r>
        <w:rPr>
          <w:rFonts w:hint="eastAsia" w:ascii="宋体" w:hAnsi="宋体" w:eastAsia="宋体" w:cs="宋体"/>
          <w:b/>
          <w:color w:val="auto"/>
          <w:sz w:val="20"/>
          <w:szCs w:val="20"/>
        </w:rPr>
        <w:t>第</w:t>
      </w:r>
      <w:r>
        <w:rPr>
          <w:rFonts w:hint="eastAsia" w:ascii="宋体" w:hAnsi="宋体" w:eastAsia="宋体" w:cs="宋体"/>
          <w:b/>
          <w:color w:val="auto"/>
          <w:sz w:val="20"/>
          <w:szCs w:val="20"/>
          <w:lang w:val="en-US" w:eastAsia="zh-CN"/>
        </w:rPr>
        <w:t>三</w:t>
      </w:r>
      <w:r>
        <w:rPr>
          <w:rFonts w:hint="eastAsia" w:ascii="宋体" w:hAnsi="宋体" w:eastAsia="宋体" w:cs="宋体"/>
          <w:b/>
          <w:color w:val="auto"/>
          <w:sz w:val="20"/>
          <w:szCs w:val="20"/>
        </w:rPr>
        <w:t xml:space="preserve">条  </w:t>
      </w:r>
      <w:r>
        <w:rPr>
          <w:rFonts w:hint="eastAsia" w:ascii="宋体" w:hAnsi="宋体" w:cs="宋体"/>
          <w:b/>
          <w:color w:val="auto"/>
          <w:sz w:val="20"/>
          <w:szCs w:val="20"/>
          <w:lang w:val="en-US" w:eastAsia="zh-CN"/>
        </w:rPr>
        <w:t>技术更改及技术文件</w:t>
      </w:r>
    </w:p>
    <w:p w14:paraId="7B637439">
      <w:pPr>
        <w:keepNext w:val="0"/>
        <w:keepLines w:val="0"/>
        <w:pageBreakBefore w:val="0"/>
        <w:tabs>
          <w:tab w:val="left" w:pos="900"/>
        </w:tabs>
        <w:kinsoku/>
        <w:wordWrap/>
        <w:overflowPunct/>
        <w:topLinePunct w:val="0"/>
        <w:bidi w:val="0"/>
        <w:snapToGrid/>
        <w:spacing w:line="44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1、为确保产品质量乙方必须严格执行甲方提供的产品图纸、执行标准、工艺参数等相关的技术要求，并严格执行甲方评审认可的乙方提交的相关的技术文件（表1），加强生产过程中的质量控制。</w:t>
      </w:r>
    </w:p>
    <w:p w14:paraId="784ACD5D">
      <w:pPr>
        <w:keepNext w:val="0"/>
        <w:keepLines w:val="0"/>
        <w:pageBreakBefore w:val="0"/>
        <w:tabs>
          <w:tab w:val="left" w:pos="900"/>
        </w:tabs>
        <w:kinsoku/>
        <w:wordWrap/>
        <w:overflowPunct/>
        <w:topLinePunct w:val="0"/>
        <w:bidi w:val="0"/>
        <w:snapToGrid/>
        <w:spacing w:line="44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2、如在设计过程中遇到设计更改，甲方及时将技术更改通知乙方，乙方应按更改后的技术要求制造模具并负责将更改后的工装图（三维和二维）等技术文件及时提交给甲方。</w:t>
      </w:r>
    </w:p>
    <w:p w14:paraId="363E0483">
      <w:pPr>
        <w:tabs>
          <w:tab w:val="left" w:pos="360"/>
        </w:tabs>
        <w:spacing w:line="46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3、乙方不得自行改变双方共同确认的本协议附表中技术资料，如确实需要更改，应事先征得甲方同意。</w:t>
      </w:r>
    </w:p>
    <w:p w14:paraId="3E806A00">
      <w:pPr>
        <w:tabs>
          <w:tab w:val="left" w:pos="360"/>
        </w:tabs>
        <w:spacing w:line="46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4、乙方承诺：符合技术要求只是必要条件，满足使用要求和最终用户的要求是最终目的。</w:t>
      </w:r>
    </w:p>
    <w:p w14:paraId="40E5268D">
      <w:pPr>
        <w:keepNext w:val="0"/>
        <w:keepLines w:val="0"/>
        <w:pageBreakBefore w:val="0"/>
        <w:tabs>
          <w:tab w:val="left" w:pos="2865"/>
        </w:tabs>
        <w:kinsoku/>
        <w:wordWrap/>
        <w:overflowPunct/>
        <w:topLinePunct w:val="0"/>
        <w:bidi w:val="0"/>
        <w:snapToGrid/>
        <w:spacing w:line="440" w:lineRule="exact"/>
        <w:jc w:val="center"/>
        <w:rPr>
          <w:rFonts w:hint="default" w:ascii="宋体" w:hAnsi="宋体" w:eastAsia="宋体" w:cs="宋体"/>
          <w:b/>
          <w:color w:val="auto"/>
          <w:sz w:val="20"/>
          <w:szCs w:val="20"/>
          <w:lang w:val="en-US" w:eastAsia="zh-CN"/>
        </w:rPr>
      </w:pPr>
      <w:r>
        <w:rPr>
          <w:rFonts w:hint="eastAsia" w:ascii="宋体" w:hAnsi="宋体" w:eastAsia="宋体" w:cs="宋体"/>
          <w:b/>
          <w:color w:val="auto"/>
          <w:sz w:val="20"/>
          <w:szCs w:val="20"/>
        </w:rPr>
        <w:t>第</w:t>
      </w:r>
      <w:r>
        <w:rPr>
          <w:rFonts w:hint="eastAsia" w:ascii="宋体" w:hAnsi="宋体" w:cs="宋体"/>
          <w:b/>
          <w:color w:val="auto"/>
          <w:sz w:val="20"/>
          <w:szCs w:val="20"/>
          <w:lang w:val="en-US" w:eastAsia="zh-CN"/>
        </w:rPr>
        <w:t>四</w:t>
      </w:r>
      <w:r>
        <w:rPr>
          <w:rFonts w:hint="eastAsia" w:ascii="宋体" w:hAnsi="宋体" w:eastAsia="宋体" w:cs="宋体"/>
          <w:b/>
          <w:color w:val="auto"/>
          <w:sz w:val="20"/>
          <w:szCs w:val="20"/>
        </w:rPr>
        <w:t xml:space="preserve">条  </w:t>
      </w:r>
      <w:r>
        <w:rPr>
          <w:rFonts w:hint="eastAsia" w:ascii="宋体" w:hAnsi="宋体" w:cs="宋体"/>
          <w:b/>
          <w:color w:val="auto"/>
          <w:sz w:val="20"/>
          <w:szCs w:val="20"/>
          <w:lang w:val="en-US" w:eastAsia="zh-CN"/>
        </w:rPr>
        <w:t>制造过程变更</w:t>
      </w:r>
    </w:p>
    <w:p w14:paraId="552AB88C">
      <w:pPr>
        <w:tabs>
          <w:tab w:val="left" w:pos="360"/>
        </w:tabs>
        <w:spacing w:line="46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1、</w:t>
      </w:r>
      <w:r>
        <w:rPr>
          <w:rFonts w:hint="eastAsia" w:ascii="宋体" w:hAnsi="宋体" w:cs="宋体"/>
          <w:color w:val="auto"/>
          <w:kern w:val="2"/>
          <w:sz w:val="20"/>
          <w:szCs w:val="20"/>
          <w:highlight w:val="none"/>
          <w:lang w:val="en-US" w:eastAsia="zh-CN" w:bidi="ar-SA"/>
        </w:rPr>
        <w:t>乙方</w:t>
      </w:r>
      <w:r>
        <w:rPr>
          <w:rFonts w:hint="eastAsia" w:ascii="宋体" w:hAnsi="宋体" w:eastAsia="宋体" w:cs="宋体"/>
          <w:color w:val="auto"/>
          <w:kern w:val="2"/>
          <w:sz w:val="20"/>
          <w:szCs w:val="20"/>
          <w:highlight w:val="none"/>
          <w:lang w:val="en-US" w:eastAsia="zh-CN" w:bidi="ar-SA"/>
        </w:rPr>
        <w:t>必须保证产品在生产制造过程中达到</w:t>
      </w:r>
      <w:r>
        <w:rPr>
          <w:rFonts w:hint="eastAsia" w:ascii="宋体" w:hAnsi="宋体" w:cs="宋体"/>
          <w:color w:val="auto"/>
          <w:kern w:val="2"/>
          <w:sz w:val="20"/>
          <w:szCs w:val="20"/>
          <w:highlight w:val="none"/>
          <w:lang w:val="en-US" w:eastAsia="zh-CN" w:bidi="ar-SA"/>
        </w:rPr>
        <w:t>甲方</w:t>
      </w:r>
      <w:r>
        <w:rPr>
          <w:rFonts w:hint="eastAsia" w:ascii="宋体" w:hAnsi="宋体" w:eastAsia="宋体" w:cs="宋体"/>
          <w:color w:val="auto"/>
          <w:kern w:val="2"/>
          <w:sz w:val="20"/>
          <w:szCs w:val="20"/>
          <w:highlight w:val="none"/>
          <w:lang w:val="en-US" w:eastAsia="zh-CN" w:bidi="ar-SA"/>
        </w:rPr>
        <w:t>规定的质量要求并检测合格。</w:t>
      </w:r>
    </w:p>
    <w:p w14:paraId="73B62F16">
      <w:pPr>
        <w:tabs>
          <w:tab w:val="left" w:pos="360"/>
        </w:tabs>
        <w:spacing w:line="46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2、</w:t>
      </w:r>
      <w:r>
        <w:rPr>
          <w:rFonts w:hint="eastAsia" w:ascii="宋体" w:hAnsi="宋体" w:cs="宋体"/>
          <w:color w:val="auto"/>
          <w:kern w:val="2"/>
          <w:sz w:val="20"/>
          <w:szCs w:val="20"/>
          <w:highlight w:val="none"/>
          <w:lang w:val="en-US" w:eastAsia="zh-CN" w:bidi="ar-SA"/>
        </w:rPr>
        <w:t>甲方</w:t>
      </w:r>
      <w:r>
        <w:rPr>
          <w:rFonts w:hint="eastAsia" w:ascii="宋体" w:hAnsi="宋体" w:eastAsia="宋体" w:cs="宋体"/>
          <w:color w:val="auto"/>
          <w:kern w:val="2"/>
          <w:sz w:val="20"/>
          <w:szCs w:val="20"/>
          <w:highlight w:val="none"/>
          <w:lang w:val="en-US" w:eastAsia="zh-CN" w:bidi="ar-SA"/>
        </w:rPr>
        <w:t>根据产品质量升级等方面的要求，可向</w:t>
      </w:r>
      <w:r>
        <w:rPr>
          <w:rFonts w:hint="eastAsia" w:ascii="宋体" w:hAnsi="宋体" w:cs="宋体"/>
          <w:color w:val="auto"/>
          <w:kern w:val="2"/>
          <w:sz w:val="20"/>
          <w:szCs w:val="20"/>
          <w:highlight w:val="none"/>
          <w:lang w:val="en-US" w:eastAsia="zh-CN" w:bidi="ar-SA"/>
        </w:rPr>
        <w:t>乙方</w:t>
      </w:r>
      <w:r>
        <w:rPr>
          <w:rFonts w:hint="eastAsia" w:ascii="宋体" w:hAnsi="宋体" w:eastAsia="宋体" w:cs="宋体"/>
          <w:color w:val="auto"/>
          <w:kern w:val="2"/>
          <w:sz w:val="20"/>
          <w:szCs w:val="20"/>
          <w:highlight w:val="none"/>
          <w:lang w:val="en-US" w:eastAsia="zh-CN" w:bidi="ar-SA"/>
        </w:rPr>
        <w:t>提出对产品进行重新鉴定或认证的要求，</w:t>
      </w:r>
      <w:r>
        <w:rPr>
          <w:rFonts w:hint="eastAsia" w:ascii="宋体" w:hAnsi="宋体" w:cs="宋体"/>
          <w:color w:val="auto"/>
          <w:kern w:val="2"/>
          <w:sz w:val="20"/>
          <w:szCs w:val="20"/>
          <w:highlight w:val="none"/>
          <w:lang w:val="en-US" w:eastAsia="zh-CN" w:bidi="ar-SA"/>
        </w:rPr>
        <w:t>乙方</w:t>
      </w:r>
      <w:r>
        <w:rPr>
          <w:rFonts w:hint="eastAsia" w:ascii="宋体" w:hAnsi="宋体" w:eastAsia="宋体" w:cs="宋体"/>
          <w:color w:val="auto"/>
          <w:kern w:val="2"/>
          <w:sz w:val="20"/>
          <w:szCs w:val="20"/>
          <w:highlight w:val="none"/>
          <w:lang w:val="en-US" w:eastAsia="zh-CN" w:bidi="ar-SA"/>
        </w:rPr>
        <w:t>应提供足够的产品样本，并配合</w:t>
      </w:r>
      <w:r>
        <w:rPr>
          <w:rFonts w:hint="eastAsia" w:ascii="宋体" w:hAnsi="宋体" w:cs="宋体"/>
          <w:color w:val="auto"/>
          <w:kern w:val="2"/>
          <w:sz w:val="20"/>
          <w:szCs w:val="20"/>
          <w:highlight w:val="none"/>
          <w:lang w:val="en-US" w:eastAsia="zh-CN" w:bidi="ar-SA"/>
        </w:rPr>
        <w:t>甲方</w:t>
      </w:r>
      <w:r>
        <w:rPr>
          <w:rFonts w:hint="eastAsia" w:ascii="宋体" w:hAnsi="宋体" w:eastAsia="宋体" w:cs="宋体"/>
          <w:color w:val="auto"/>
          <w:kern w:val="2"/>
          <w:sz w:val="20"/>
          <w:szCs w:val="20"/>
          <w:highlight w:val="none"/>
          <w:lang w:val="en-US" w:eastAsia="zh-CN" w:bidi="ar-SA"/>
        </w:rPr>
        <w:t>共同完成产品的鉴定或认证工作，其结果双方共享。</w:t>
      </w:r>
    </w:p>
    <w:p w14:paraId="0EDB9D79">
      <w:pPr>
        <w:tabs>
          <w:tab w:val="left" w:pos="360"/>
        </w:tabs>
        <w:spacing w:line="460" w:lineRule="exact"/>
        <w:ind w:firstLine="400" w:firstLineChars="200"/>
        <w:rPr>
          <w:rFonts w:hint="default"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3、如果</w:t>
      </w:r>
      <w:r>
        <w:rPr>
          <w:rFonts w:hint="eastAsia" w:ascii="宋体" w:hAnsi="宋体" w:cs="宋体"/>
          <w:color w:val="auto"/>
          <w:kern w:val="2"/>
          <w:sz w:val="20"/>
          <w:szCs w:val="20"/>
          <w:highlight w:val="none"/>
          <w:lang w:val="en-US" w:eastAsia="zh-CN" w:bidi="ar-SA"/>
        </w:rPr>
        <w:t>乙方</w:t>
      </w:r>
      <w:r>
        <w:rPr>
          <w:rFonts w:hint="eastAsia" w:ascii="宋体" w:hAnsi="宋体" w:eastAsia="宋体" w:cs="宋体"/>
          <w:color w:val="auto"/>
          <w:kern w:val="2"/>
          <w:sz w:val="20"/>
          <w:szCs w:val="20"/>
          <w:highlight w:val="none"/>
          <w:lang w:val="en-US" w:eastAsia="zh-CN" w:bidi="ar-SA"/>
        </w:rPr>
        <w:t>的生产基地、生产工艺、材料或配套厂商发生了改变，则应及时书面报告</w:t>
      </w:r>
      <w:r>
        <w:rPr>
          <w:rFonts w:hint="eastAsia" w:ascii="宋体" w:hAnsi="宋体" w:cs="宋体"/>
          <w:color w:val="auto"/>
          <w:kern w:val="2"/>
          <w:sz w:val="20"/>
          <w:szCs w:val="20"/>
          <w:highlight w:val="none"/>
          <w:lang w:val="en-US" w:eastAsia="zh-CN" w:bidi="ar-SA"/>
        </w:rPr>
        <w:t>甲方</w:t>
      </w:r>
      <w:r>
        <w:rPr>
          <w:rFonts w:hint="eastAsia" w:ascii="宋体" w:hAnsi="宋体" w:eastAsia="宋体" w:cs="宋体"/>
          <w:color w:val="auto"/>
          <w:kern w:val="2"/>
          <w:sz w:val="20"/>
          <w:szCs w:val="20"/>
          <w:highlight w:val="none"/>
          <w:lang w:val="en-US" w:eastAsia="zh-CN" w:bidi="ar-SA"/>
        </w:rPr>
        <w:t>，重新提供相关资料（表1）并取得甲方评审认可。</w:t>
      </w:r>
    </w:p>
    <w:p w14:paraId="0A7270FB">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hint="eastAsia" w:ascii="宋体" w:hAnsi="宋体" w:eastAsia="宋体" w:cs="宋体"/>
          <w:b/>
          <w:sz w:val="20"/>
          <w:szCs w:val="20"/>
          <w:highlight w:val="none"/>
        </w:rPr>
      </w:pPr>
      <w:r>
        <w:rPr>
          <w:rFonts w:hint="eastAsia" w:ascii="宋体" w:hAnsi="宋体" w:eastAsia="宋体" w:cs="宋体"/>
          <w:b/>
          <w:sz w:val="20"/>
          <w:szCs w:val="20"/>
          <w:highlight w:val="none"/>
        </w:rPr>
        <w:t>第</w:t>
      </w:r>
      <w:r>
        <w:rPr>
          <w:rFonts w:hint="eastAsia" w:ascii="宋体" w:hAnsi="宋体" w:cs="宋体"/>
          <w:b/>
          <w:sz w:val="20"/>
          <w:szCs w:val="20"/>
          <w:highlight w:val="none"/>
          <w:lang w:val="en-US" w:eastAsia="zh-CN"/>
        </w:rPr>
        <w:t>五</w:t>
      </w:r>
      <w:r>
        <w:rPr>
          <w:rFonts w:hint="eastAsia" w:ascii="宋体" w:hAnsi="宋体" w:eastAsia="宋体" w:cs="宋体"/>
          <w:b/>
          <w:sz w:val="20"/>
          <w:szCs w:val="20"/>
          <w:highlight w:val="none"/>
        </w:rPr>
        <w:t>条  产品包装</w:t>
      </w:r>
    </w:p>
    <w:p w14:paraId="6A69BEF8">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rPr>
        <w:t>1、乙方产品包装须严格执行甲方的企业标准或国家标准和行业有关标准及甲方的其它包装要求。</w:t>
      </w:r>
    </w:p>
    <w:p w14:paraId="2A255D8F">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rPr>
        <w:t>2、乙方的产品包装必须保证产品质量在运输、储存过程中不降低。</w:t>
      </w:r>
    </w:p>
    <w:p w14:paraId="4E26E868">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cs="宋体"/>
          <w:sz w:val="20"/>
          <w:szCs w:val="20"/>
          <w:highlight w:val="none"/>
          <w:lang w:val="en-US" w:eastAsia="zh-CN"/>
        </w:rPr>
        <w:t>3</w:t>
      </w:r>
      <w:r>
        <w:rPr>
          <w:rFonts w:hint="eastAsia" w:ascii="宋体" w:hAnsi="宋体" w:eastAsia="宋体" w:cs="宋体"/>
          <w:sz w:val="20"/>
          <w:szCs w:val="20"/>
          <w:highlight w:val="none"/>
        </w:rPr>
        <w:t>、乙方对其供给甲方的产品必须进行可追溯性标识，同时须满足甲方的特定标识要求。</w:t>
      </w:r>
    </w:p>
    <w:p w14:paraId="30F72D73">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cs="宋体"/>
          <w:sz w:val="20"/>
          <w:szCs w:val="20"/>
          <w:highlight w:val="none"/>
          <w:lang w:val="en-US" w:eastAsia="zh-CN"/>
        </w:rPr>
        <w:t>4</w:t>
      </w:r>
      <w:r>
        <w:rPr>
          <w:rFonts w:hint="eastAsia" w:ascii="宋体" w:hAnsi="宋体" w:eastAsia="宋体" w:cs="宋体"/>
          <w:sz w:val="20"/>
          <w:szCs w:val="20"/>
          <w:highlight w:val="none"/>
        </w:rPr>
        <w:t>、产品标识部位以不影响产品质量为原则，除甲方明确要求的标识部位外，乙方可自行选择部位，并将标识部位传给甲方备案。</w:t>
      </w:r>
    </w:p>
    <w:p w14:paraId="25E969EA">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hint="eastAsia" w:ascii="宋体" w:hAnsi="宋体" w:cs="宋体"/>
          <w:b/>
          <w:sz w:val="20"/>
          <w:szCs w:val="20"/>
          <w:highlight w:val="none"/>
          <w:lang w:val="en-US" w:eastAsia="zh-CN"/>
        </w:rPr>
      </w:pPr>
      <w:r>
        <w:rPr>
          <w:rFonts w:hint="eastAsia" w:ascii="宋体" w:hAnsi="宋体" w:eastAsia="宋体" w:cs="宋体"/>
          <w:b/>
          <w:sz w:val="20"/>
          <w:szCs w:val="20"/>
          <w:highlight w:val="none"/>
        </w:rPr>
        <w:t>第</w:t>
      </w:r>
      <w:r>
        <w:rPr>
          <w:rFonts w:hint="eastAsia" w:ascii="宋体" w:hAnsi="宋体" w:cs="宋体"/>
          <w:b/>
          <w:sz w:val="20"/>
          <w:szCs w:val="20"/>
          <w:highlight w:val="none"/>
          <w:lang w:val="en-US" w:eastAsia="zh-CN"/>
        </w:rPr>
        <w:t>六</w:t>
      </w:r>
      <w:r>
        <w:rPr>
          <w:rFonts w:hint="eastAsia" w:ascii="宋体" w:hAnsi="宋体" w:eastAsia="宋体" w:cs="宋体"/>
          <w:b/>
          <w:sz w:val="20"/>
          <w:szCs w:val="20"/>
          <w:highlight w:val="none"/>
        </w:rPr>
        <w:t xml:space="preserve">条  </w:t>
      </w:r>
      <w:r>
        <w:rPr>
          <w:rFonts w:hint="eastAsia" w:ascii="宋体" w:hAnsi="宋体" w:cs="宋体"/>
          <w:b/>
          <w:sz w:val="20"/>
          <w:szCs w:val="20"/>
          <w:highlight w:val="none"/>
          <w:lang w:val="en-US" w:eastAsia="zh-CN"/>
        </w:rPr>
        <w:t>预验收及交货</w:t>
      </w:r>
    </w:p>
    <w:p w14:paraId="712487A7">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1、</w:t>
      </w:r>
      <w:r>
        <w:rPr>
          <w:rFonts w:hint="eastAsia" w:ascii="宋体" w:hAnsi="宋体" w:eastAsia="宋体" w:cs="宋体"/>
          <w:sz w:val="20"/>
          <w:szCs w:val="20"/>
          <w:highlight w:val="none"/>
        </w:rPr>
        <w:t>必要时</w:t>
      </w:r>
      <w:r>
        <w:rPr>
          <w:rFonts w:hint="eastAsia" w:ascii="宋体" w:hAnsi="宋体" w:cs="宋体"/>
          <w:sz w:val="20"/>
          <w:szCs w:val="20"/>
          <w:highlight w:val="none"/>
          <w:lang w:eastAsia="zh-CN"/>
        </w:rPr>
        <w:t>甲方</w:t>
      </w:r>
      <w:r>
        <w:rPr>
          <w:rFonts w:hint="eastAsia" w:ascii="宋体" w:hAnsi="宋体" w:eastAsia="宋体" w:cs="宋体"/>
          <w:sz w:val="20"/>
          <w:szCs w:val="20"/>
          <w:highlight w:val="none"/>
        </w:rPr>
        <w:t>派专业人员在发货前20天到乙方工厂进行预验收，检查确认</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数量及结构完整，并签署预验收备忘录。</w:t>
      </w:r>
    </w:p>
    <w:p w14:paraId="07B3F0C1">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2、</w:t>
      </w:r>
      <w:r>
        <w:rPr>
          <w:rFonts w:hint="eastAsia" w:ascii="宋体" w:hAnsi="宋体" w:eastAsia="宋体" w:cs="宋体"/>
          <w:sz w:val="20"/>
          <w:szCs w:val="20"/>
          <w:highlight w:val="none"/>
        </w:rPr>
        <w:t>交货地点：济南成型厂。</w:t>
      </w:r>
    </w:p>
    <w:p w14:paraId="7A057C66">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3、</w:t>
      </w:r>
      <w:r>
        <w:rPr>
          <w:rFonts w:hint="eastAsia" w:ascii="宋体" w:hAnsi="宋体" w:eastAsia="宋体" w:cs="宋体"/>
          <w:sz w:val="20"/>
          <w:szCs w:val="20"/>
          <w:highlight w:val="none"/>
        </w:rPr>
        <w:t>进厂检验：新工装到厂后，质量部核对</w:t>
      </w:r>
      <w:r>
        <w:rPr>
          <w:rFonts w:hint="eastAsia" w:ascii="宋体" w:hAnsi="宋体" w:cs="宋体"/>
          <w:sz w:val="20"/>
          <w:szCs w:val="20"/>
          <w:highlight w:val="none"/>
          <w:lang w:val="en-US" w:eastAsia="zh-CN"/>
        </w:rPr>
        <w:t>乙</w:t>
      </w:r>
      <w:r>
        <w:rPr>
          <w:rFonts w:hint="eastAsia" w:ascii="宋体" w:hAnsi="宋体" w:eastAsia="宋体" w:cs="宋体"/>
          <w:sz w:val="20"/>
          <w:szCs w:val="20"/>
          <w:highlight w:val="none"/>
        </w:rPr>
        <w:t>方提供自检报告（</w:t>
      </w:r>
      <w:r>
        <w:rPr>
          <w:rFonts w:hint="eastAsia" w:ascii="宋体" w:hAnsi="宋体" w:eastAsia="宋体" w:cs="宋体"/>
          <w:sz w:val="20"/>
          <w:szCs w:val="20"/>
          <w:highlight w:val="none"/>
          <w:lang w:val="en-US" w:eastAsia="zh-CN"/>
        </w:rPr>
        <w:t>表1</w:t>
      </w:r>
      <w:r>
        <w:rPr>
          <w:rFonts w:hint="eastAsia" w:ascii="宋体" w:hAnsi="宋体" w:eastAsia="宋体" w:cs="宋体"/>
          <w:sz w:val="20"/>
          <w:szCs w:val="20"/>
          <w:highlight w:val="none"/>
        </w:rPr>
        <w:t>），</w:t>
      </w:r>
      <w:r>
        <w:rPr>
          <w:rFonts w:hint="eastAsia" w:ascii="宋体" w:hAnsi="宋体" w:eastAsia="宋体" w:cs="宋体"/>
          <w:sz w:val="20"/>
          <w:szCs w:val="20"/>
          <w:highlight w:val="none"/>
          <w:lang w:val="en-US" w:eastAsia="zh-CN"/>
        </w:rPr>
        <w:t>并进行硬度、三维扫描</w:t>
      </w:r>
      <w:r>
        <w:rPr>
          <w:rFonts w:hint="eastAsia" w:ascii="宋体" w:hAnsi="宋体" w:cs="宋体"/>
          <w:sz w:val="20"/>
          <w:szCs w:val="20"/>
          <w:highlight w:val="none"/>
          <w:lang w:val="en-US" w:eastAsia="zh-CN"/>
        </w:rPr>
        <w:t>对比</w:t>
      </w:r>
      <w:r>
        <w:rPr>
          <w:rFonts w:hint="eastAsia" w:ascii="宋体" w:hAnsi="宋体" w:eastAsia="宋体" w:cs="宋体"/>
          <w:sz w:val="20"/>
          <w:szCs w:val="20"/>
          <w:highlight w:val="none"/>
          <w:lang w:val="en-US" w:eastAsia="zh-CN"/>
        </w:rPr>
        <w:t>等检验。</w:t>
      </w:r>
    </w:p>
    <w:p w14:paraId="4A4F4464">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lang w:eastAsia="zh-CN"/>
        </w:rPr>
      </w:pPr>
      <w:r>
        <w:rPr>
          <w:rFonts w:hint="eastAsia" w:ascii="宋体" w:hAnsi="宋体" w:eastAsia="宋体" w:cs="宋体"/>
          <w:sz w:val="20"/>
          <w:szCs w:val="20"/>
          <w:highlight w:val="none"/>
          <w:lang w:val="en-US" w:eastAsia="zh-CN"/>
        </w:rPr>
        <w:t>4、</w:t>
      </w:r>
      <w:r>
        <w:rPr>
          <w:rFonts w:hint="eastAsia" w:ascii="宋体" w:hAnsi="宋体" w:cs="宋体"/>
          <w:sz w:val="20"/>
          <w:szCs w:val="20"/>
          <w:highlight w:val="none"/>
          <w:lang w:eastAsia="zh-CN"/>
        </w:rPr>
        <w:t>乙方</w:t>
      </w:r>
      <w:r>
        <w:rPr>
          <w:rFonts w:hint="eastAsia" w:ascii="宋体" w:hAnsi="宋体" w:eastAsia="宋体" w:cs="宋体"/>
          <w:sz w:val="20"/>
          <w:szCs w:val="20"/>
          <w:highlight w:val="none"/>
        </w:rPr>
        <w:t>提供完整的</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清单及图纸</w:t>
      </w:r>
      <w:r>
        <w:rPr>
          <w:rFonts w:hint="eastAsia" w:ascii="宋体" w:hAnsi="宋体" w:eastAsia="宋体" w:cs="宋体"/>
          <w:sz w:val="20"/>
          <w:szCs w:val="20"/>
          <w:highlight w:val="none"/>
          <w:lang w:eastAsia="zh-CN"/>
        </w:rPr>
        <w:t>。</w:t>
      </w:r>
    </w:p>
    <w:p w14:paraId="101AA993">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5、</w:t>
      </w:r>
      <w:r>
        <w:rPr>
          <w:rFonts w:hint="eastAsia" w:ascii="宋体" w:hAnsi="宋体" w:eastAsia="宋体" w:cs="宋体"/>
          <w:sz w:val="20"/>
          <w:szCs w:val="20"/>
          <w:highlight w:val="none"/>
        </w:rPr>
        <w:t>模具做防锈处理。</w:t>
      </w:r>
    </w:p>
    <w:p w14:paraId="43681FB9">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hAnsi="宋体" w:eastAsia="宋体" w:cs="宋体"/>
          <w:sz w:val="20"/>
          <w:szCs w:val="20"/>
          <w:highlight w:val="none"/>
          <w:lang w:val="en-US" w:eastAsia="zh-CN"/>
        </w:rPr>
      </w:pPr>
      <w:r>
        <w:rPr>
          <w:rFonts w:hint="eastAsia" w:ascii="宋体" w:hAnsi="宋体" w:eastAsia="宋体" w:cs="宋体"/>
          <w:b/>
          <w:sz w:val="20"/>
          <w:szCs w:val="20"/>
          <w:highlight w:val="none"/>
        </w:rPr>
        <w:t>第</w:t>
      </w:r>
      <w:r>
        <w:rPr>
          <w:rFonts w:hint="eastAsia" w:ascii="宋体" w:hAnsi="宋体" w:cs="宋体"/>
          <w:b/>
          <w:sz w:val="20"/>
          <w:szCs w:val="20"/>
          <w:highlight w:val="none"/>
          <w:lang w:val="en-US" w:eastAsia="zh-CN"/>
        </w:rPr>
        <w:t>七</w:t>
      </w:r>
      <w:r>
        <w:rPr>
          <w:rFonts w:hint="eastAsia" w:ascii="宋体" w:hAnsi="宋体" w:eastAsia="宋体" w:cs="宋体"/>
          <w:b/>
          <w:sz w:val="20"/>
          <w:szCs w:val="20"/>
          <w:highlight w:val="none"/>
        </w:rPr>
        <w:t xml:space="preserve">条  </w:t>
      </w:r>
      <w:r>
        <w:rPr>
          <w:rFonts w:hint="eastAsia" w:ascii="宋体" w:hAnsi="宋体" w:cs="宋体"/>
          <w:b/>
          <w:sz w:val="20"/>
          <w:szCs w:val="20"/>
          <w:highlight w:val="none"/>
          <w:lang w:val="en-US" w:eastAsia="zh-CN"/>
        </w:rPr>
        <w:t>调试、验证</w:t>
      </w:r>
    </w:p>
    <w:p w14:paraId="6FDC2E83">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1、</w:t>
      </w:r>
      <w:r>
        <w:rPr>
          <w:rFonts w:hint="eastAsia" w:ascii="宋体" w:hAnsi="宋体" w:eastAsia="宋体" w:cs="宋体"/>
          <w:sz w:val="20"/>
          <w:szCs w:val="20"/>
          <w:highlight w:val="none"/>
        </w:rPr>
        <w:t>模具安装后进行空载运行，模具活动部分动作正常、可靠。</w:t>
      </w:r>
    </w:p>
    <w:p w14:paraId="294C7AD8">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2、</w:t>
      </w:r>
      <w:r>
        <w:rPr>
          <w:rFonts w:hint="eastAsia" w:ascii="宋体" w:hAnsi="宋体" w:eastAsia="宋体" w:cs="宋体"/>
          <w:sz w:val="20"/>
          <w:szCs w:val="20"/>
          <w:highlight w:val="none"/>
        </w:rPr>
        <w:t>新</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需连续生产一个班</w:t>
      </w:r>
      <w:r>
        <w:rPr>
          <w:rFonts w:hint="eastAsia" w:ascii="宋体" w:hAnsi="宋体" w:eastAsia="宋体" w:cs="宋体"/>
          <w:sz w:val="20"/>
          <w:szCs w:val="20"/>
          <w:highlight w:val="none"/>
          <w:lang w:val="en-US" w:eastAsia="zh-CN"/>
        </w:rPr>
        <w:t>或者</w:t>
      </w:r>
      <w:r>
        <w:rPr>
          <w:rFonts w:hint="eastAsia" w:ascii="宋体" w:hAnsi="宋体" w:cs="宋体"/>
          <w:sz w:val="20"/>
          <w:szCs w:val="20"/>
          <w:highlight w:val="none"/>
          <w:lang w:val="en-US" w:eastAsia="zh-CN"/>
        </w:rPr>
        <w:t>连续生产</w:t>
      </w:r>
      <w:r>
        <w:rPr>
          <w:rFonts w:hint="eastAsia" w:ascii="宋体" w:hAnsi="宋体" w:eastAsia="宋体" w:cs="宋体"/>
          <w:sz w:val="20"/>
          <w:szCs w:val="20"/>
          <w:highlight w:val="none"/>
          <w:lang w:val="en-US" w:eastAsia="zh-CN"/>
        </w:rPr>
        <w:t>不少于300件</w:t>
      </w:r>
      <w:r>
        <w:rPr>
          <w:rFonts w:hint="eastAsia" w:ascii="宋体" w:hAnsi="宋体" w:eastAsia="宋体" w:cs="宋体"/>
          <w:sz w:val="20"/>
          <w:szCs w:val="20"/>
          <w:highlight w:val="none"/>
        </w:rPr>
        <w:t>的合格</w:t>
      </w:r>
      <w:r>
        <w:rPr>
          <w:rFonts w:hint="eastAsia" w:ascii="宋体" w:hAnsi="宋体" w:eastAsia="宋体" w:cs="宋体"/>
          <w:sz w:val="20"/>
          <w:szCs w:val="20"/>
          <w:highlight w:val="none"/>
          <w:lang w:val="en-US" w:eastAsia="zh-CN"/>
        </w:rPr>
        <w:t>锻件</w:t>
      </w:r>
      <w:r>
        <w:rPr>
          <w:rFonts w:hint="eastAsia" w:ascii="宋体" w:hAnsi="宋体" w:eastAsia="宋体" w:cs="宋体"/>
          <w:sz w:val="20"/>
          <w:szCs w:val="20"/>
          <w:highlight w:val="none"/>
        </w:rPr>
        <w:t>，</w:t>
      </w:r>
      <w:r>
        <w:rPr>
          <w:rFonts w:hint="eastAsia" w:ascii="宋体" w:hAnsi="宋体" w:eastAsia="宋体" w:cs="宋体"/>
          <w:sz w:val="20"/>
          <w:szCs w:val="20"/>
          <w:highlight w:val="none"/>
          <w:lang w:val="en-US" w:eastAsia="zh-CN"/>
        </w:rPr>
        <w:t>锻件三维扫描</w:t>
      </w:r>
      <w:r>
        <w:rPr>
          <w:rFonts w:hint="eastAsia" w:ascii="宋体" w:hAnsi="宋体" w:eastAsia="宋体" w:cs="宋体"/>
          <w:sz w:val="20"/>
          <w:szCs w:val="20"/>
          <w:highlight w:val="none"/>
        </w:rPr>
        <w:t>检验</w:t>
      </w:r>
      <w:r>
        <w:rPr>
          <w:rFonts w:hint="eastAsia" w:ascii="宋体" w:hAnsi="宋体" w:cs="宋体"/>
          <w:sz w:val="20"/>
          <w:szCs w:val="20"/>
          <w:highlight w:val="none"/>
          <w:lang w:val="en-US" w:eastAsia="zh-CN"/>
        </w:rPr>
        <w:t>合</w:t>
      </w:r>
      <w:r>
        <w:rPr>
          <w:rFonts w:hint="eastAsia" w:ascii="宋体" w:hAnsi="宋体" w:eastAsia="宋体" w:cs="宋体"/>
          <w:sz w:val="20"/>
          <w:szCs w:val="20"/>
          <w:highlight w:val="none"/>
          <w:lang w:val="en-US" w:eastAsia="zh-CN"/>
        </w:rPr>
        <w:t>格且热处理后</w:t>
      </w:r>
      <w:r>
        <w:rPr>
          <w:rFonts w:hint="eastAsia" w:ascii="宋体" w:hAnsi="宋体" w:eastAsia="宋体" w:cs="宋体"/>
          <w:sz w:val="20"/>
          <w:szCs w:val="20"/>
          <w:highlight w:val="none"/>
        </w:rPr>
        <w:t>因</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设计或制作造成</w:t>
      </w:r>
      <w:r>
        <w:rPr>
          <w:rFonts w:hint="eastAsia" w:ascii="宋体" w:hAnsi="宋体" w:eastAsia="宋体" w:cs="宋体"/>
          <w:sz w:val="20"/>
          <w:szCs w:val="20"/>
          <w:highlight w:val="none"/>
          <w:lang w:val="en-US" w:eastAsia="zh-CN"/>
        </w:rPr>
        <w:t>的锻件废品率≤5%</w:t>
      </w:r>
      <w:r>
        <w:rPr>
          <w:rFonts w:hint="eastAsia" w:ascii="宋体" w:hAnsi="宋体" w:eastAsia="宋体" w:cs="宋体"/>
          <w:sz w:val="20"/>
          <w:szCs w:val="20"/>
          <w:highlight w:val="none"/>
        </w:rPr>
        <w:t>认为</w:t>
      </w:r>
      <w:r>
        <w:rPr>
          <w:rFonts w:hint="eastAsia" w:ascii="宋体" w:hAnsi="宋体" w:cs="宋体"/>
          <w:sz w:val="20"/>
          <w:szCs w:val="20"/>
          <w:highlight w:val="none"/>
          <w:lang w:val="en-US" w:eastAsia="zh-CN"/>
        </w:rPr>
        <w:t>验证成功、模具</w:t>
      </w:r>
      <w:r>
        <w:rPr>
          <w:rFonts w:hint="eastAsia" w:ascii="宋体" w:hAnsi="宋体" w:eastAsia="宋体" w:cs="宋体"/>
          <w:sz w:val="20"/>
          <w:szCs w:val="20"/>
          <w:highlight w:val="none"/>
        </w:rPr>
        <w:t>合格</w:t>
      </w:r>
      <w:r>
        <w:rPr>
          <w:rFonts w:hint="eastAsia" w:ascii="宋体" w:hAnsi="宋体" w:cs="宋体"/>
          <w:sz w:val="20"/>
          <w:szCs w:val="20"/>
          <w:highlight w:val="none"/>
          <w:lang w:eastAsia="zh-CN"/>
        </w:rPr>
        <w:t>（</w:t>
      </w:r>
      <w:r>
        <w:rPr>
          <w:rFonts w:hint="eastAsia" w:ascii="宋体" w:hAnsi="宋体" w:cs="宋体"/>
          <w:sz w:val="20"/>
          <w:szCs w:val="20"/>
          <w:highlight w:val="none"/>
          <w:lang w:val="en-US" w:eastAsia="zh-CN"/>
        </w:rPr>
        <w:t>总结报告</w:t>
      </w:r>
      <w:r>
        <w:rPr>
          <w:rFonts w:hint="eastAsia" w:ascii="宋体" w:hAnsi="宋体" w:cs="宋体"/>
          <w:sz w:val="20"/>
          <w:szCs w:val="20"/>
          <w:highlight w:val="none"/>
          <w:lang w:eastAsia="zh-CN"/>
        </w:rPr>
        <w:t>）</w:t>
      </w:r>
      <w:r>
        <w:rPr>
          <w:rFonts w:hint="eastAsia" w:ascii="宋体" w:hAnsi="宋体" w:eastAsia="宋体" w:cs="宋体"/>
          <w:sz w:val="20"/>
          <w:szCs w:val="20"/>
          <w:highlight w:val="none"/>
        </w:rPr>
        <w:t>。</w:t>
      </w:r>
    </w:p>
    <w:p w14:paraId="573DA656">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cs="宋体"/>
          <w:sz w:val="20"/>
          <w:szCs w:val="20"/>
          <w:highlight w:val="none"/>
          <w:lang w:val="en-US" w:eastAsia="zh-CN"/>
        </w:rPr>
        <w:t>3、</w:t>
      </w:r>
      <w:r>
        <w:rPr>
          <w:rFonts w:hint="eastAsia" w:ascii="宋体" w:hAnsi="宋体" w:eastAsia="宋体" w:cs="宋体"/>
          <w:b/>
          <w:bCs/>
          <w:sz w:val="20"/>
          <w:szCs w:val="20"/>
          <w:highlight w:val="none"/>
          <w:lang w:val="en-US" w:eastAsia="zh-CN"/>
        </w:rPr>
        <w:t>因</w:t>
      </w:r>
      <w:r>
        <w:rPr>
          <w:rFonts w:hint="eastAsia" w:ascii="宋体" w:hAnsi="宋体" w:cs="宋体"/>
          <w:b/>
          <w:bCs/>
          <w:sz w:val="20"/>
          <w:szCs w:val="20"/>
          <w:highlight w:val="none"/>
          <w:lang w:val="en-US" w:eastAsia="zh-CN"/>
        </w:rPr>
        <w:t>模具</w:t>
      </w:r>
      <w:r>
        <w:rPr>
          <w:rFonts w:hint="eastAsia" w:ascii="宋体" w:hAnsi="宋体" w:eastAsia="宋体" w:cs="宋体"/>
          <w:b/>
          <w:bCs/>
          <w:sz w:val="20"/>
          <w:szCs w:val="20"/>
          <w:highlight w:val="none"/>
          <w:lang w:val="en-US" w:eastAsia="zh-CN"/>
        </w:rPr>
        <w:t>设计或</w:t>
      </w:r>
      <w:r>
        <w:rPr>
          <w:rFonts w:hint="eastAsia" w:ascii="宋体" w:hAnsi="宋体" w:eastAsia="宋体" w:cs="宋体"/>
          <w:b/>
          <w:bCs/>
          <w:sz w:val="20"/>
          <w:szCs w:val="20"/>
          <w:highlight w:val="none"/>
        </w:rPr>
        <w:t>制作原因未验证成功的，由乙方免费修改模具，直至验证成功。</w:t>
      </w:r>
    </w:p>
    <w:p w14:paraId="51F00A37">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cs="宋体"/>
          <w:sz w:val="20"/>
          <w:szCs w:val="20"/>
          <w:highlight w:val="none"/>
          <w:lang w:val="en-US" w:eastAsia="zh-CN"/>
        </w:rPr>
        <w:t>4</w:t>
      </w:r>
      <w:r>
        <w:rPr>
          <w:rFonts w:hint="eastAsia" w:ascii="宋体" w:hAnsi="宋体" w:eastAsia="宋体" w:cs="宋体"/>
          <w:sz w:val="20"/>
          <w:szCs w:val="20"/>
          <w:highlight w:val="none"/>
          <w:lang w:val="en-US" w:eastAsia="zh-CN"/>
        </w:rPr>
        <w:t>、</w:t>
      </w:r>
      <w:r>
        <w:rPr>
          <w:rFonts w:hint="eastAsia" w:ascii="宋体" w:hAnsi="宋体" w:eastAsia="宋体" w:cs="宋体"/>
          <w:sz w:val="20"/>
          <w:szCs w:val="20"/>
          <w:highlight w:val="none"/>
        </w:rPr>
        <w:t>调试验证时</w:t>
      </w:r>
      <w:r>
        <w:rPr>
          <w:rFonts w:hint="eastAsia" w:ascii="宋体" w:hAnsi="宋体" w:cs="宋体"/>
          <w:sz w:val="20"/>
          <w:szCs w:val="20"/>
          <w:highlight w:val="none"/>
          <w:lang w:eastAsia="zh-CN"/>
        </w:rPr>
        <w:t>甲方</w:t>
      </w:r>
      <w:r>
        <w:rPr>
          <w:rFonts w:hint="eastAsia" w:ascii="宋体" w:hAnsi="宋体" w:eastAsia="宋体" w:cs="宋体"/>
          <w:sz w:val="20"/>
          <w:szCs w:val="20"/>
          <w:highlight w:val="none"/>
        </w:rPr>
        <w:t>提前通知</w:t>
      </w:r>
      <w:r>
        <w:rPr>
          <w:rFonts w:hint="eastAsia" w:ascii="宋体" w:hAnsi="宋体" w:cs="宋体"/>
          <w:sz w:val="20"/>
          <w:szCs w:val="20"/>
          <w:highlight w:val="none"/>
          <w:lang w:eastAsia="zh-CN"/>
        </w:rPr>
        <w:t>乙方</w:t>
      </w:r>
      <w:r>
        <w:rPr>
          <w:rFonts w:hint="eastAsia" w:ascii="宋体" w:hAnsi="宋体" w:eastAsia="宋体" w:cs="宋体"/>
          <w:sz w:val="20"/>
          <w:szCs w:val="20"/>
          <w:highlight w:val="none"/>
        </w:rPr>
        <w:t>，</w:t>
      </w:r>
      <w:r>
        <w:rPr>
          <w:rFonts w:hint="eastAsia" w:ascii="宋体" w:hAnsi="宋体" w:cs="宋体"/>
          <w:sz w:val="20"/>
          <w:szCs w:val="20"/>
          <w:highlight w:val="none"/>
          <w:lang w:eastAsia="zh-CN"/>
        </w:rPr>
        <w:t>乙方</w:t>
      </w:r>
      <w:r>
        <w:rPr>
          <w:rFonts w:hint="eastAsia" w:ascii="宋体" w:hAnsi="宋体" w:eastAsia="宋体" w:cs="宋体"/>
          <w:sz w:val="20"/>
          <w:szCs w:val="20"/>
          <w:highlight w:val="none"/>
        </w:rPr>
        <w:t>需安排技术人员到现场参与</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的验证调试。</w:t>
      </w:r>
    </w:p>
    <w:p w14:paraId="28F74135">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default" w:ascii="宋体" w:hAnsi="宋体" w:cs="宋体"/>
          <w:sz w:val="20"/>
          <w:szCs w:val="20"/>
          <w:highlight w:val="none"/>
          <w:lang w:val="en-US" w:eastAsia="zh-CN"/>
        </w:rPr>
      </w:pPr>
      <w:r>
        <w:rPr>
          <w:rFonts w:hint="eastAsia" w:ascii="宋体" w:hAnsi="宋体" w:cs="宋体"/>
          <w:sz w:val="20"/>
          <w:szCs w:val="20"/>
          <w:highlight w:val="none"/>
          <w:lang w:val="en-US" w:eastAsia="zh-CN"/>
        </w:rPr>
        <w:t>5、模具验证过程中的生产制造费用（包括原辅材料）由甲方承担。对于明确评审确认为乙方设计责任、模具制作质量问题或其它判定为乙方责任的问题，按照质量保证协议相关条款进行索赔。</w:t>
      </w:r>
    </w:p>
    <w:p w14:paraId="25586F02">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eastAsia="宋体" w:cs="宋体"/>
          <w:sz w:val="20"/>
          <w:szCs w:val="20"/>
          <w:highlight w:val="none"/>
        </w:rPr>
      </w:pPr>
    </w:p>
    <w:p w14:paraId="6F23725B">
      <w:pPr>
        <w:keepNext w:val="0"/>
        <w:keepLines w:val="0"/>
        <w:pageBreakBefore w:val="0"/>
        <w:kinsoku/>
        <w:wordWrap/>
        <w:overflowPunct/>
        <w:topLinePunct w:val="0"/>
        <w:bidi w:val="0"/>
        <w:snapToGrid/>
        <w:spacing w:line="440" w:lineRule="exact"/>
        <w:ind w:left="402" w:hanging="400" w:hangingChars="200"/>
        <w:jc w:val="center"/>
        <w:rPr>
          <w:rFonts w:hint="default" w:ascii="宋体" w:hAnsi="宋体" w:eastAsia="宋体"/>
          <w:b/>
          <w:color w:val="auto"/>
          <w:sz w:val="20"/>
          <w:highlight w:val="none"/>
          <w:lang w:val="en-US" w:eastAsia="zh-CN"/>
        </w:rPr>
      </w:pPr>
      <w:r>
        <w:rPr>
          <w:rFonts w:hint="eastAsia" w:ascii="宋体" w:hAnsi="宋体"/>
          <w:b/>
          <w:color w:val="auto"/>
          <w:sz w:val="20"/>
          <w:highlight w:val="none"/>
          <w:lang w:val="en-US" w:eastAsia="zh-CN"/>
        </w:rPr>
        <w:t>表1：</w:t>
      </w:r>
      <w:r>
        <w:rPr>
          <w:rFonts w:ascii="宋体" w:hAnsi="宋体"/>
          <w:b/>
          <w:color w:val="auto"/>
          <w:sz w:val="20"/>
          <w:highlight w:val="none"/>
        </w:rPr>
        <w:t>甲方要求乙方提交的</w:t>
      </w:r>
      <w:r>
        <w:rPr>
          <w:rFonts w:hint="eastAsia" w:ascii="宋体" w:hAnsi="宋体"/>
          <w:b/>
          <w:color w:val="auto"/>
          <w:sz w:val="20"/>
          <w:highlight w:val="none"/>
          <w:lang w:val="en-US" w:eastAsia="zh-CN"/>
        </w:rPr>
        <w:t>资料清单</w:t>
      </w:r>
    </w:p>
    <w:tbl>
      <w:tblPr>
        <w:tblStyle w:val="36"/>
        <w:tblW w:w="825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886"/>
        <w:gridCol w:w="863"/>
        <w:gridCol w:w="3502"/>
      </w:tblGrid>
      <w:tr w14:paraId="3D10918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886" w:type="dxa"/>
            <w:noWrap w:val="0"/>
            <w:vAlign w:val="center"/>
          </w:tcPr>
          <w:p w14:paraId="72F25137">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资料明细</w:t>
            </w:r>
          </w:p>
        </w:tc>
        <w:tc>
          <w:tcPr>
            <w:tcW w:w="863" w:type="dxa"/>
            <w:noWrap w:val="0"/>
            <w:vAlign w:val="center"/>
          </w:tcPr>
          <w:p w14:paraId="363C9CBC">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要求</w:t>
            </w:r>
          </w:p>
        </w:tc>
        <w:tc>
          <w:tcPr>
            <w:tcW w:w="3502" w:type="dxa"/>
            <w:noWrap w:val="0"/>
            <w:vAlign w:val="center"/>
          </w:tcPr>
          <w:p w14:paraId="26992D6A">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备注</w:t>
            </w:r>
          </w:p>
        </w:tc>
      </w:tr>
      <w:tr w14:paraId="441FA2F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0361AA40">
            <w:pPr>
              <w:keepNext w:val="0"/>
              <w:keepLines w:val="0"/>
              <w:pageBreakBefore w:val="0"/>
              <w:kinsoku/>
              <w:wordWrap/>
              <w:overflowPunct/>
              <w:topLinePunct w:val="0"/>
              <w:bidi w:val="0"/>
              <w:snapToGrid/>
              <w:spacing w:line="440" w:lineRule="exact"/>
              <w:jc w:val="left"/>
              <w:rPr>
                <w:rFonts w:ascii="宋体" w:hAnsi="宋体"/>
                <w:color w:val="auto"/>
                <w:sz w:val="20"/>
                <w:highlight w:val="none"/>
              </w:rPr>
            </w:pPr>
            <w:r>
              <w:rPr>
                <w:rFonts w:hint="eastAsia" w:ascii="宋体" w:hAnsi="宋体"/>
                <w:color w:val="auto"/>
                <w:sz w:val="20"/>
                <w:highlight w:val="none"/>
                <w:lang w:val="en-US" w:eastAsia="zh-CN"/>
              </w:rPr>
              <w:t>1</w:t>
            </w:r>
            <w:r>
              <w:rPr>
                <w:rFonts w:ascii="宋体" w:hAnsi="宋体"/>
                <w:color w:val="auto"/>
                <w:sz w:val="20"/>
                <w:highlight w:val="none"/>
              </w:rPr>
              <w:t>.过程流程图</w:t>
            </w:r>
            <w:r>
              <w:rPr>
                <w:rFonts w:hint="eastAsia" w:ascii="宋体" w:hAnsi="宋体"/>
                <w:color w:val="auto"/>
                <w:sz w:val="20"/>
                <w:highlight w:val="none"/>
              </w:rPr>
              <w:t>（或工艺卡等相关文件）</w:t>
            </w:r>
          </w:p>
        </w:tc>
        <w:tc>
          <w:tcPr>
            <w:tcW w:w="863" w:type="dxa"/>
            <w:noWrap w:val="0"/>
            <w:vAlign w:val="top"/>
          </w:tcPr>
          <w:p w14:paraId="105D0B75">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w:t>
            </w:r>
          </w:p>
        </w:tc>
        <w:tc>
          <w:tcPr>
            <w:tcW w:w="3502" w:type="dxa"/>
            <w:noWrap w:val="0"/>
            <w:vAlign w:val="top"/>
          </w:tcPr>
          <w:p w14:paraId="3C382970">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复印件</w:t>
            </w:r>
          </w:p>
        </w:tc>
      </w:tr>
      <w:tr w14:paraId="2576119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2D30FBF5">
            <w:pPr>
              <w:keepNext w:val="0"/>
              <w:keepLines w:val="0"/>
              <w:pageBreakBefore w:val="0"/>
              <w:kinsoku/>
              <w:wordWrap/>
              <w:overflowPunct/>
              <w:topLinePunct w:val="0"/>
              <w:bidi w:val="0"/>
              <w:snapToGrid/>
              <w:spacing w:line="440" w:lineRule="exact"/>
              <w:jc w:val="left"/>
              <w:rPr>
                <w:rFonts w:ascii="宋体" w:hAnsi="宋体"/>
                <w:color w:val="auto"/>
                <w:sz w:val="20"/>
                <w:highlight w:val="none"/>
              </w:rPr>
            </w:pPr>
            <w:r>
              <w:rPr>
                <w:rFonts w:hint="eastAsia" w:ascii="宋体" w:hAnsi="宋体"/>
                <w:color w:val="auto"/>
                <w:sz w:val="20"/>
                <w:highlight w:val="none"/>
                <w:lang w:val="en-US" w:eastAsia="zh-CN"/>
              </w:rPr>
              <w:t>2</w:t>
            </w:r>
            <w:r>
              <w:rPr>
                <w:rFonts w:ascii="宋体" w:hAnsi="宋体"/>
                <w:color w:val="auto"/>
                <w:sz w:val="20"/>
                <w:highlight w:val="none"/>
              </w:rPr>
              <w:t>.控制计划</w:t>
            </w:r>
            <w:r>
              <w:rPr>
                <w:rFonts w:hint="eastAsia" w:ascii="宋体" w:hAnsi="宋体"/>
                <w:color w:val="auto"/>
                <w:sz w:val="20"/>
                <w:highlight w:val="none"/>
              </w:rPr>
              <w:t>（或作业指导文件等相关文件）</w:t>
            </w:r>
          </w:p>
        </w:tc>
        <w:tc>
          <w:tcPr>
            <w:tcW w:w="863" w:type="dxa"/>
            <w:noWrap w:val="0"/>
            <w:vAlign w:val="top"/>
          </w:tcPr>
          <w:p w14:paraId="7FDED5AF">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w:t>
            </w:r>
          </w:p>
        </w:tc>
        <w:tc>
          <w:tcPr>
            <w:tcW w:w="3502" w:type="dxa"/>
            <w:noWrap w:val="0"/>
            <w:vAlign w:val="top"/>
          </w:tcPr>
          <w:p w14:paraId="7CB250E8">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复印件</w:t>
            </w:r>
          </w:p>
        </w:tc>
      </w:tr>
      <w:tr w14:paraId="49E00AC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6C427F4B">
            <w:pPr>
              <w:keepNext w:val="0"/>
              <w:keepLines w:val="0"/>
              <w:pageBreakBefore w:val="0"/>
              <w:kinsoku/>
              <w:wordWrap/>
              <w:overflowPunct/>
              <w:topLinePunct w:val="0"/>
              <w:bidi w:val="0"/>
              <w:snapToGrid/>
              <w:spacing w:line="440" w:lineRule="exact"/>
              <w:jc w:val="left"/>
              <w:rPr>
                <w:rFonts w:ascii="宋体" w:hAnsi="宋体" w:eastAsia="宋体"/>
                <w:color w:val="auto"/>
                <w:kern w:val="2"/>
                <w:sz w:val="20"/>
                <w:highlight w:val="none"/>
                <w:lang w:val="en-US" w:eastAsia="zh-CN" w:bidi="ar-SA"/>
              </w:rPr>
            </w:pPr>
            <w:r>
              <w:rPr>
                <w:rFonts w:hint="eastAsia" w:ascii="宋体" w:hAnsi="宋体"/>
                <w:color w:val="auto"/>
                <w:sz w:val="20"/>
                <w:highlight w:val="none"/>
                <w:lang w:val="en-US" w:eastAsia="zh-CN"/>
              </w:rPr>
              <w:t>3</w:t>
            </w:r>
            <w:r>
              <w:rPr>
                <w:rFonts w:ascii="宋体" w:hAnsi="宋体"/>
                <w:color w:val="auto"/>
                <w:sz w:val="20"/>
                <w:highlight w:val="none"/>
              </w:rPr>
              <w:t>.工程变更文件，如果有</w:t>
            </w:r>
          </w:p>
        </w:tc>
        <w:tc>
          <w:tcPr>
            <w:tcW w:w="863" w:type="dxa"/>
            <w:noWrap w:val="0"/>
            <w:vAlign w:val="top"/>
          </w:tcPr>
          <w:p w14:paraId="2BF2F007">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6E4AFE33">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05F43D8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71EF1FDC">
            <w:pPr>
              <w:keepNext w:val="0"/>
              <w:keepLines w:val="0"/>
              <w:pageBreakBefore w:val="0"/>
              <w:kinsoku/>
              <w:wordWrap/>
              <w:overflowPunct/>
              <w:topLinePunct w:val="0"/>
              <w:bidi w:val="0"/>
              <w:snapToGrid/>
              <w:spacing w:line="440" w:lineRule="exact"/>
              <w:jc w:val="left"/>
              <w:rPr>
                <w:rFonts w:hint="default" w:ascii="宋体" w:hAnsi="宋体" w:eastAsia="宋体"/>
                <w:color w:val="auto"/>
                <w:kern w:val="2"/>
                <w:sz w:val="20"/>
                <w:highlight w:val="none"/>
                <w:lang w:val="en-US" w:eastAsia="zh-CN" w:bidi="ar-SA"/>
              </w:rPr>
            </w:pPr>
            <w:r>
              <w:rPr>
                <w:rFonts w:hint="eastAsia" w:ascii="宋体" w:hAnsi="宋体"/>
                <w:color w:val="auto"/>
                <w:sz w:val="20"/>
                <w:highlight w:val="none"/>
                <w:lang w:val="en-US" w:eastAsia="zh-CN"/>
              </w:rPr>
              <w:t>4</w:t>
            </w:r>
            <w:r>
              <w:rPr>
                <w:rFonts w:ascii="宋体" w:hAnsi="宋体"/>
                <w:color w:val="auto"/>
                <w:sz w:val="20"/>
                <w:highlight w:val="none"/>
              </w:rPr>
              <w:t>.全尺寸测量结果</w:t>
            </w:r>
            <w:r>
              <w:rPr>
                <w:rFonts w:hint="eastAsia" w:ascii="宋体" w:hAnsi="宋体"/>
                <w:color w:val="auto"/>
                <w:sz w:val="20"/>
                <w:highlight w:val="none"/>
                <w:lang w:val="en-US" w:eastAsia="zh-CN"/>
              </w:rPr>
              <w:t>/三维扫描对比结果</w:t>
            </w:r>
          </w:p>
        </w:tc>
        <w:tc>
          <w:tcPr>
            <w:tcW w:w="863" w:type="dxa"/>
            <w:noWrap w:val="0"/>
            <w:vAlign w:val="top"/>
          </w:tcPr>
          <w:p w14:paraId="4D1B9DA6">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25FDBBBE">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66E4EDD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3886" w:type="dxa"/>
            <w:noWrap w:val="0"/>
            <w:vAlign w:val="top"/>
          </w:tcPr>
          <w:p w14:paraId="337735F9">
            <w:pPr>
              <w:keepNext w:val="0"/>
              <w:keepLines w:val="0"/>
              <w:pageBreakBefore w:val="0"/>
              <w:kinsoku/>
              <w:wordWrap/>
              <w:overflowPunct/>
              <w:topLinePunct w:val="0"/>
              <w:bidi w:val="0"/>
              <w:snapToGrid/>
              <w:spacing w:line="440" w:lineRule="exact"/>
              <w:jc w:val="left"/>
              <w:rPr>
                <w:rFonts w:ascii="宋体" w:hAnsi="宋体" w:eastAsia="宋体"/>
                <w:color w:val="auto"/>
                <w:kern w:val="2"/>
                <w:sz w:val="20"/>
                <w:highlight w:val="none"/>
                <w:lang w:val="en-US" w:eastAsia="zh-CN" w:bidi="ar-SA"/>
              </w:rPr>
            </w:pPr>
            <w:r>
              <w:rPr>
                <w:rFonts w:hint="eastAsia" w:ascii="宋体" w:hAnsi="宋体" w:cs="Times New Roman"/>
                <w:color w:val="auto"/>
                <w:sz w:val="20"/>
                <w:highlight w:val="none"/>
                <w:lang w:val="en-US" w:eastAsia="zh-CN"/>
              </w:rPr>
              <w:t>5</w:t>
            </w:r>
            <w:r>
              <w:rPr>
                <w:rFonts w:hint="eastAsia" w:ascii="宋体" w:hAnsi="宋体" w:eastAsia="宋体" w:cs="Times New Roman"/>
                <w:color w:val="auto"/>
                <w:sz w:val="20"/>
                <w:highlight w:val="none"/>
                <w:lang w:val="en-US" w:eastAsia="zh-CN"/>
              </w:rPr>
              <w:t>.模块</w:t>
            </w:r>
            <w:r>
              <w:rPr>
                <w:rFonts w:hint="eastAsia" w:ascii="宋体" w:hAnsi="宋体" w:eastAsia="宋体" w:cs="Times New Roman"/>
                <w:color w:val="auto"/>
                <w:sz w:val="20"/>
                <w:highlight w:val="none"/>
              </w:rPr>
              <w:t>超声波探伤结果报告</w:t>
            </w:r>
          </w:p>
        </w:tc>
        <w:tc>
          <w:tcPr>
            <w:tcW w:w="863" w:type="dxa"/>
            <w:noWrap w:val="0"/>
            <w:vAlign w:val="top"/>
          </w:tcPr>
          <w:p w14:paraId="0F09E80A">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5F9C4B00">
            <w:pPr>
              <w:keepNext w:val="0"/>
              <w:keepLines w:val="0"/>
              <w:pageBreakBefore w:val="0"/>
              <w:kinsoku/>
              <w:wordWrap/>
              <w:overflowPunct/>
              <w:topLinePunct w:val="0"/>
              <w:bidi w:val="0"/>
              <w:snapToGrid/>
              <w:spacing w:line="440" w:lineRule="exact"/>
              <w:jc w:val="center"/>
              <w:rPr>
                <w:rFonts w:hint="eastAsia"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54114FB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3886" w:type="dxa"/>
            <w:noWrap w:val="0"/>
            <w:vAlign w:val="top"/>
          </w:tcPr>
          <w:p w14:paraId="70F5964B">
            <w:pPr>
              <w:keepNext w:val="0"/>
              <w:keepLines w:val="0"/>
              <w:pageBreakBefore w:val="0"/>
              <w:kinsoku/>
              <w:wordWrap/>
              <w:overflowPunct/>
              <w:topLinePunct w:val="0"/>
              <w:bidi w:val="0"/>
              <w:snapToGrid/>
              <w:spacing w:line="440" w:lineRule="exact"/>
              <w:jc w:val="left"/>
              <w:rPr>
                <w:rFonts w:hint="eastAsia" w:ascii="宋体" w:hAnsi="宋体" w:eastAsia="宋体" w:cs="Times New Roman"/>
                <w:color w:val="auto"/>
                <w:kern w:val="2"/>
                <w:sz w:val="20"/>
                <w:highlight w:val="none"/>
                <w:lang w:val="en-US" w:eastAsia="zh-CN" w:bidi="ar-SA"/>
              </w:rPr>
            </w:pPr>
            <w:r>
              <w:rPr>
                <w:rFonts w:hint="eastAsia" w:ascii="宋体" w:hAnsi="宋体"/>
                <w:color w:val="auto"/>
                <w:sz w:val="20"/>
                <w:highlight w:val="none"/>
                <w:lang w:val="en-US" w:eastAsia="zh-CN"/>
              </w:rPr>
              <w:t>6</w:t>
            </w:r>
            <w:r>
              <w:rPr>
                <w:rFonts w:ascii="宋体" w:hAnsi="宋体"/>
                <w:color w:val="auto"/>
                <w:sz w:val="20"/>
                <w:highlight w:val="none"/>
              </w:rPr>
              <w:t>.材料、性能试验结果</w:t>
            </w:r>
          </w:p>
        </w:tc>
        <w:tc>
          <w:tcPr>
            <w:tcW w:w="863" w:type="dxa"/>
            <w:noWrap w:val="0"/>
            <w:vAlign w:val="top"/>
          </w:tcPr>
          <w:p w14:paraId="57F89588">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0E5A7F1F">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6278ABE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026B22A6">
            <w:pPr>
              <w:keepNext w:val="0"/>
              <w:keepLines w:val="0"/>
              <w:pageBreakBefore w:val="0"/>
              <w:kinsoku/>
              <w:wordWrap/>
              <w:overflowPunct/>
              <w:topLinePunct w:val="0"/>
              <w:bidi w:val="0"/>
              <w:snapToGrid/>
              <w:spacing w:line="440" w:lineRule="exact"/>
              <w:jc w:val="left"/>
              <w:rPr>
                <w:rFonts w:hint="eastAsia" w:ascii="宋体" w:hAnsi="宋体" w:eastAsia="宋体" w:cs="Times New Roman"/>
                <w:color w:val="auto"/>
                <w:kern w:val="2"/>
                <w:sz w:val="20"/>
                <w:highlight w:val="none"/>
                <w:lang w:val="en-US" w:eastAsia="zh-CN" w:bidi="ar-SA"/>
              </w:rPr>
            </w:pPr>
            <w:r>
              <w:rPr>
                <w:rFonts w:hint="eastAsia" w:ascii="宋体" w:hAnsi="宋体" w:cs="Times New Roman"/>
                <w:color w:val="auto"/>
                <w:sz w:val="20"/>
                <w:highlight w:val="none"/>
                <w:lang w:val="en-US" w:eastAsia="zh-CN"/>
              </w:rPr>
              <w:t>7</w:t>
            </w:r>
            <w:r>
              <w:rPr>
                <w:rFonts w:hint="eastAsia" w:ascii="宋体" w:hAnsi="宋体" w:eastAsia="宋体" w:cs="Times New Roman"/>
                <w:color w:val="auto"/>
                <w:sz w:val="20"/>
                <w:highlight w:val="none"/>
                <w:lang w:val="en-US" w:eastAsia="zh-CN"/>
              </w:rPr>
              <w:t>.</w:t>
            </w:r>
            <w:r>
              <w:rPr>
                <w:rFonts w:hint="eastAsia" w:ascii="宋体" w:hAnsi="宋体" w:eastAsia="宋体" w:cs="Times New Roman"/>
                <w:color w:val="auto"/>
                <w:sz w:val="20"/>
                <w:highlight w:val="none"/>
              </w:rPr>
              <w:t>模块材料合格证明</w:t>
            </w:r>
            <w:r>
              <w:rPr>
                <w:rFonts w:hint="eastAsia" w:ascii="宋体" w:hAnsi="宋体" w:eastAsia="宋体" w:cs="Times New Roman"/>
                <w:color w:val="auto"/>
                <w:sz w:val="20"/>
                <w:highlight w:val="none"/>
                <w:lang w:eastAsia="zh-CN"/>
              </w:rPr>
              <w:t>（</w:t>
            </w:r>
            <w:r>
              <w:rPr>
                <w:rFonts w:hint="eastAsia" w:ascii="宋体" w:hAnsi="宋体" w:eastAsia="宋体" w:cs="Times New Roman"/>
                <w:color w:val="auto"/>
                <w:sz w:val="20"/>
                <w:highlight w:val="none"/>
                <w:lang w:val="en-US" w:eastAsia="zh-CN"/>
              </w:rPr>
              <w:t>新制</w:t>
            </w:r>
            <w:r>
              <w:rPr>
                <w:rFonts w:hint="eastAsia" w:ascii="宋体" w:hAnsi="宋体" w:eastAsia="宋体" w:cs="Times New Roman"/>
                <w:color w:val="auto"/>
                <w:sz w:val="20"/>
                <w:highlight w:val="none"/>
                <w:lang w:eastAsia="zh-CN"/>
              </w:rPr>
              <w:t>）</w:t>
            </w:r>
          </w:p>
        </w:tc>
        <w:tc>
          <w:tcPr>
            <w:tcW w:w="863" w:type="dxa"/>
            <w:noWrap w:val="0"/>
            <w:vAlign w:val="center"/>
          </w:tcPr>
          <w:p w14:paraId="28CD1BE6">
            <w:pPr>
              <w:keepNext w:val="0"/>
              <w:keepLines w:val="0"/>
              <w:pageBreakBefore w:val="0"/>
              <w:kinsoku/>
              <w:wordWrap/>
              <w:overflowPunct/>
              <w:topLinePunct w:val="0"/>
              <w:bidi w:val="0"/>
              <w:snapToGrid/>
              <w:spacing w:line="440" w:lineRule="exact"/>
              <w:jc w:val="center"/>
              <w:rPr>
                <w:rFonts w:ascii="宋体" w:hAnsi="宋体" w:eastAsia="宋体" w:cs="Times New Roman"/>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4647A04E">
            <w:pPr>
              <w:keepNext w:val="0"/>
              <w:keepLines w:val="0"/>
              <w:pageBreakBefore w:val="0"/>
              <w:kinsoku/>
              <w:wordWrap/>
              <w:overflowPunct/>
              <w:topLinePunct w:val="0"/>
              <w:bidi w:val="0"/>
              <w:snapToGrid/>
              <w:spacing w:line="440" w:lineRule="exact"/>
              <w:jc w:val="center"/>
              <w:rPr>
                <w:rFonts w:ascii="宋体" w:hAnsi="宋体" w:eastAsia="宋体" w:cs="Times New Roman"/>
                <w:color w:val="auto"/>
                <w:kern w:val="2"/>
                <w:sz w:val="20"/>
                <w:highlight w:val="none"/>
                <w:lang w:val="en-US" w:eastAsia="zh-CN" w:bidi="ar-SA"/>
              </w:rPr>
            </w:pPr>
            <w:r>
              <w:rPr>
                <w:rFonts w:ascii="宋体" w:hAnsi="宋体"/>
                <w:color w:val="auto"/>
                <w:sz w:val="20"/>
                <w:highlight w:val="none"/>
              </w:rPr>
              <w:t>复印件</w:t>
            </w:r>
          </w:p>
        </w:tc>
      </w:tr>
      <w:tr w14:paraId="6EE7084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1D622196">
            <w:pPr>
              <w:keepNext w:val="0"/>
              <w:keepLines w:val="0"/>
              <w:pageBreakBefore w:val="0"/>
              <w:kinsoku/>
              <w:wordWrap/>
              <w:overflowPunct/>
              <w:topLinePunct w:val="0"/>
              <w:bidi w:val="0"/>
              <w:snapToGrid/>
              <w:spacing w:line="440" w:lineRule="exact"/>
              <w:jc w:val="left"/>
              <w:rPr>
                <w:rFonts w:hint="default" w:ascii="宋体" w:hAnsi="宋体" w:eastAsia="宋体" w:cs="Times New Roman"/>
                <w:color w:val="auto"/>
                <w:kern w:val="2"/>
                <w:sz w:val="20"/>
                <w:highlight w:val="none"/>
                <w:lang w:val="en-US" w:eastAsia="zh-CN" w:bidi="ar-SA"/>
              </w:rPr>
            </w:pPr>
            <w:r>
              <w:rPr>
                <w:rFonts w:hint="eastAsia" w:ascii="宋体" w:hAnsi="宋体" w:cs="Times New Roman"/>
                <w:color w:val="auto"/>
                <w:kern w:val="2"/>
                <w:sz w:val="20"/>
                <w:highlight w:val="none"/>
                <w:lang w:val="en-US" w:eastAsia="zh-CN" w:bidi="ar-SA"/>
              </w:rPr>
              <w:t>8.模具三维造型以及易损件二维图纸</w:t>
            </w:r>
          </w:p>
        </w:tc>
        <w:tc>
          <w:tcPr>
            <w:tcW w:w="863" w:type="dxa"/>
            <w:noWrap w:val="0"/>
            <w:vAlign w:val="center"/>
          </w:tcPr>
          <w:p w14:paraId="32F70AE1">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1643C281">
            <w:pPr>
              <w:keepNext w:val="0"/>
              <w:keepLines w:val="0"/>
              <w:pageBreakBefore w:val="0"/>
              <w:kinsoku/>
              <w:wordWrap/>
              <w:overflowPunct/>
              <w:topLinePunct w:val="0"/>
              <w:bidi w:val="0"/>
              <w:snapToGrid/>
              <w:spacing w:line="440" w:lineRule="exact"/>
              <w:jc w:val="center"/>
              <w:rPr>
                <w:rFonts w:hint="default" w:ascii="宋体" w:hAnsi="宋体" w:eastAsia="宋体"/>
                <w:color w:val="auto"/>
                <w:kern w:val="2"/>
                <w:sz w:val="20"/>
                <w:highlight w:val="none"/>
                <w:lang w:val="en-US" w:eastAsia="zh-CN" w:bidi="ar-SA"/>
              </w:rPr>
            </w:pPr>
            <w:r>
              <w:rPr>
                <w:rFonts w:hint="eastAsia" w:ascii="宋体" w:hAnsi="宋体"/>
                <w:color w:val="auto"/>
                <w:kern w:val="2"/>
                <w:sz w:val="20"/>
                <w:highlight w:val="none"/>
                <w:lang w:val="en-US" w:eastAsia="zh-CN" w:bidi="ar-SA"/>
              </w:rPr>
              <w:t>电子版</w:t>
            </w:r>
          </w:p>
        </w:tc>
      </w:tr>
    </w:tbl>
    <w:p w14:paraId="6138CB3D">
      <w:pPr>
        <w:keepNext w:val="0"/>
        <w:keepLines w:val="0"/>
        <w:pageBreakBefore w:val="0"/>
        <w:kinsoku/>
        <w:wordWrap/>
        <w:overflowPunct/>
        <w:topLinePunct w:val="0"/>
        <w:bidi w:val="0"/>
        <w:snapToGrid/>
        <w:spacing w:line="440" w:lineRule="exact"/>
        <w:rPr>
          <w:rFonts w:hint="eastAsia" w:ascii="宋体" w:hAnsi="宋体"/>
          <w:sz w:val="20"/>
          <w:highlight w:val="none"/>
        </w:rPr>
      </w:pPr>
      <w:r>
        <w:rPr>
          <w:rFonts w:ascii="宋体" w:hAnsi="宋体"/>
          <w:sz w:val="20"/>
          <w:highlight w:val="none"/>
        </w:rPr>
        <w:t>上表中“ √”表示乙方</w:t>
      </w:r>
      <w:r>
        <w:rPr>
          <w:rFonts w:hint="eastAsia" w:ascii="宋体" w:hAnsi="宋体"/>
          <w:sz w:val="20"/>
          <w:highlight w:val="none"/>
          <w:lang w:val="en-US" w:eastAsia="zh-CN"/>
        </w:rPr>
        <w:t>必须</w:t>
      </w:r>
      <w:r>
        <w:rPr>
          <w:rFonts w:ascii="宋体" w:hAnsi="宋体"/>
          <w:sz w:val="20"/>
          <w:highlight w:val="none"/>
        </w:rPr>
        <w:t>提交的资料</w:t>
      </w:r>
      <w:r>
        <w:rPr>
          <w:rFonts w:hint="eastAsia" w:ascii="宋体" w:hAnsi="宋体"/>
          <w:sz w:val="20"/>
          <w:highlight w:val="none"/>
          <w:lang w:eastAsia="zh-CN"/>
        </w:rPr>
        <w:t>，</w:t>
      </w:r>
      <w:r>
        <w:rPr>
          <w:rFonts w:ascii="宋体" w:hAnsi="宋体"/>
          <w:sz w:val="20"/>
          <w:highlight w:val="none"/>
        </w:rPr>
        <w:t>备注中填写数量、原件、复印件等说明</w:t>
      </w:r>
      <w:r>
        <w:rPr>
          <w:rFonts w:hint="eastAsia" w:ascii="宋体" w:hAnsi="宋体"/>
          <w:sz w:val="20"/>
          <w:highlight w:val="none"/>
        </w:rPr>
        <w:t>。</w:t>
      </w:r>
    </w:p>
    <w:p w14:paraId="0A730A7C">
      <w:pPr>
        <w:keepNext w:val="0"/>
        <w:keepLines w:val="0"/>
        <w:pageBreakBefore w:val="0"/>
        <w:kinsoku/>
        <w:wordWrap/>
        <w:overflowPunct/>
        <w:topLinePunct w:val="0"/>
        <w:bidi w:val="0"/>
        <w:snapToGrid/>
        <w:spacing w:line="440" w:lineRule="exact"/>
        <w:rPr>
          <w:rFonts w:hint="eastAsia" w:ascii="宋体" w:hAnsi="宋体"/>
          <w:sz w:val="20"/>
          <w:highlight w:val="none"/>
        </w:rPr>
      </w:pPr>
    </w:p>
    <w:p w14:paraId="78D343C3">
      <w:pPr>
        <w:spacing w:line="440" w:lineRule="exact"/>
        <w:jc w:val="center"/>
        <w:rPr>
          <w:rFonts w:hint="default" w:ascii="宋体" w:hAnsi="宋体" w:eastAsia="宋体"/>
          <w:b/>
          <w:sz w:val="20"/>
          <w:highlight w:val="none"/>
          <w:lang w:val="en-US" w:eastAsia="zh-CN"/>
        </w:rPr>
      </w:pPr>
      <w:r>
        <w:rPr>
          <w:rFonts w:hint="eastAsia" w:ascii="宋体" w:hAnsi="宋体"/>
          <w:b/>
          <w:sz w:val="20"/>
          <w:highlight w:val="none"/>
          <w:lang w:val="en-US" w:eastAsia="zh-CN"/>
        </w:rPr>
        <w:t>表2：关键配合尺寸公差要求</w:t>
      </w:r>
    </w:p>
    <w:tbl>
      <w:tblPr>
        <w:tblStyle w:val="36"/>
        <w:tblW w:w="8733" w:type="dxa"/>
        <w:tblInd w:w="100" w:type="dxa"/>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Layout w:type="fixed"/>
        <w:tblCellMar>
          <w:top w:w="0" w:type="dxa"/>
          <w:left w:w="108" w:type="dxa"/>
          <w:bottom w:w="0" w:type="dxa"/>
          <w:right w:w="108" w:type="dxa"/>
        </w:tblCellMar>
      </w:tblPr>
      <w:tblGrid>
        <w:gridCol w:w="675"/>
        <w:gridCol w:w="1243"/>
        <w:gridCol w:w="6815"/>
      </w:tblGrid>
      <w:tr w14:paraId="484BF0E1">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85" w:hRule="atLeast"/>
        </w:trPr>
        <w:tc>
          <w:tcPr>
            <w:tcW w:w="675" w:type="dxa"/>
            <w:tcBorders>
              <w:tl2br w:val="nil"/>
              <w:tr2bl w:val="nil"/>
            </w:tcBorders>
            <w:shd w:val="clear" w:color="auto" w:fill="auto"/>
            <w:noWrap/>
            <w:vAlign w:val="center"/>
          </w:tcPr>
          <w:p w14:paraId="55385D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243" w:type="dxa"/>
            <w:tcBorders>
              <w:tl2br w:val="nil"/>
              <w:tr2bl w:val="nil"/>
            </w:tcBorders>
            <w:shd w:val="clear" w:color="auto" w:fill="auto"/>
            <w:noWrap/>
            <w:vAlign w:val="center"/>
          </w:tcPr>
          <w:p w14:paraId="1797DE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模具类型</w:t>
            </w:r>
          </w:p>
        </w:tc>
        <w:tc>
          <w:tcPr>
            <w:tcW w:w="6815" w:type="dxa"/>
            <w:tcBorders>
              <w:tl2br w:val="nil"/>
              <w:tr2bl w:val="nil"/>
            </w:tcBorders>
            <w:shd w:val="clear" w:color="auto" w:fill="auto"/>
            <w:noWrap/>
            <w:vAlign w:val="center"/>
          </w:tcPr>
          <w:p w14:paraId="695400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关键尺寸公差要求</w:t>
            </w:r>
          </w:p>
        </w:tc>
      </w:tr>
      <w:tr w14:paraId="34175A2A">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5A6616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3" w:type="dxa"/>
            <w:vMerge w:val="restart"/>
            <w:tcBorders>
              <w:tl2br w:val="nil"/>
              <w:tr2bl w:val="nil"/>
            </w:tcBorders>
            <w:shd w:val="clear" w:color="auto" w:fill="auto"/>
            <w:noWrap/>
            <w:vAlign w:val="center"/>
          </w:tcPr>
          <w:p w14:paraId="37634D4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锻模</w:t>
            </w:r>
          </w:p>
          <w:p w14:paraId="656A6BA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（MP8000）</w:t>
            </w:r>
          </w:p>
        </w:tc>
        <w:tc>
          <w:tcPr>
            <w:tcW w:w="6815" w:type="dxa"/>
            <w:tcBorders>
              <w:tl2br w:val="nil"/>
              <w:tr2bl w:val="nil"/>
            </w:tcBorders>
            <w:shd w:val="clear" w:color="auto" w:fill="auto"/>
            <w:noWrap/>
            <w:vAlign w:val="center"/>
          </w:tcPr>
          <w:p w14:paraId="1395C01A">
            <w:pPr>
              <w:keepNext w:val="0"/>
              <w:keepLines w:val="0"/>
              <w:widowControl/>
              <w:suppressLineNumbers w:val="0"/>
              <w:jc w:val="left"/>
              <w:textAlignment w:val="center"/>
              <w:rPr>
                <w:rFonts w:hint="eastAsia"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键槽80H7mm，底部圆角R2；φ770±0.1mm，φ710（+2，0）mm</w:t>
            </w:r>
          </w:p>
        </w:tc>
      </w:tr>
      <w:tr w14:paraId="38481B69">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487FF252">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w:t>
            </w:r>
          </w:p>
        </w:tc>
        <w:tc>
          <w:tcPr>
            <w:tcW w:w="1243" w:type="dxa"/>
            <w:vMerge w:val="continue"/>
            <w:tcBorders>
              <w:tl2br w:val="nil"/>
              <w:tr2bl w:val="nil"/>
            </w:tcBorders>
            <w:shd w:val="clear" w:color="auto" w:fill="auto"/>
            <w:noWrap/>
            <w:vAlign w:val="center"/>
          </w:tcPr>
          <w:p w14:paraId="4588B472">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4845878D">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合模间隙预锻8mm、终锻6mm</w:t>
            </w:r>
            <w:r>
              <w:rPr>
                <w:rFonts w:hint="eastAsia" w:ascii="宋体" w:hAnsi="宋体" w:cs="宋体"/>
                <w:i w:val="0"/>
                <w:iCs w:val="0"/>
                <w:color w:val="000000"/>
                <w:kern w:val="0"/>
                <w:sz w:val="20"/>
                <w:szCs w:val="20"/>
                <w:u w:val="none"/>
                <w:lang w:val="en-US" w:eastAsia="zh-CN" w:bidi="ar"/>
              </w:rPr>
              <w:t>，终锻</w:t>
            </w:r>
            <w:r>
              <w:rPr>
                <w:rFonts w:hint="eastAsia" w:ascii="宋体" w:hAnsi="宋体" w:eastAsia="宋体" w:cs="宋体"/>
                <w:i w:val="0"/>
                <w:iCs w:val="0"/>
                <w:color w:val="000000"/>
                <w:kern w:val="0"/>
                <w:sz w:val="20"/>
                <w:szCs w:val="20"/>
                <w:u w:val="none"/>
                <w:lang w:val="en-US" w:eastAsia="zh-CN" w:bidi="ar"/>
              </w:rPr>
              <w:t>合模6</w:t>
            </w:r>
            <w:r>
              <w:rPr>
                <w:rFonts w:hint="eastAsia" w:ascii="宋体" w:hAnsi="宋体" w:cs="宋体"/>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5mm（包括6mm桥部）</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合模错移±0.2mm</w:t>
            </w:r>
          </w:p>
        </w:tc>
      </w:tr>
      <w:tr w14:paraId="0101306E">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44D6EE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3" w:type="dxa"/>
            <w:vMerge w:val="continue"/>
            <w:tcBorders>
              <w:tl2br w:val="nil"/>
              <w:tr2bl w:val="nil"/>
            </w:tcBorders>
            <w:shd w:val="clear" w:color="auto" w:fill="auto"/>
            <w:noWrap/>
            <w:vAlign w:val="center"/>
          </w:tcPr>
          <w:p w14:paraId="55A603E9">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3066A069">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桥口平面与模体底面</w:t>
            </w:r>
            <w:r>
              <w:rPr>
                <w:rFonts w:hint="eastAsia" w:ascii="宋体" w:hAnsi="宋体" w:eastAsia="宋体" w:cs="宋体"/>
                <w:i w:val="0"/>
                <w:iCs w:val="0"/>
                <w:color w:val="000000"/>
                <w:kern w:val="0"/>
                <w:sz w:val="20"/>
                <w:szCs w:val="20"/>
                <w:u w:val="none"/>
                <w:lang w:val="en-US" w:eastAsia="zh-CN" w:bidi="ar"/>
              </w:rPr>
              <w:t>尺寸公差±0.2mm</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sz w:val="20"/>
                <w:szCs w:val="20"/>
                <w:u w:val="none"/>
                <w:lang w:val="en-US" w:eastAsia="zh-CN"/>
              </w:rPr>
              <w:t>平行度0.2mm</w:t>
            </w:r>
          </w:p>
        </w:tc>
      </w:tr>
      <w:tr w14:paraId="1623E64A">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266E3A03">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w:t>
            </w:r>
          </w:p>
        </w:tc>
        <w:tc>
          <w:tcPr>
            <w:tcW w:w="1243" w:type="dxa"/>
            <w:vMerge w:val="restart"/>
            <w:tcBorders>
              <w:tl2br w:val="nil"/>
              <w:tr2bl w:val="nil"/>
            </w:tcBorders>
            <w:shd w:val="clear" w:color="auto" w:fill="auto"/>
            <w:noWrap/>
            <w:vAlign w:val="center"/>
          </w:tcPr>
          <w:p w14:paraId="7EE1860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锻模</w:t>
            </w:r>
          </w:p>
          <w:p w14:paraId="1706E433">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（MP</w:t>
            </w:r>
            <w:r>
              <w:rPr>
                <w:rFonts w:hint="eastAsia" w:ascii="宋体" w:hAnsi="宋体" w:cs="宋体"/>
                <w:i w:val="0"/>
                <w:iCs w:val="0"/>
                <w:color w:val="000000"/>
                <w:kern w:val="0"/>
                <w:sz w:val="20"/>
                <w:szCs w:val="20"/>
                <w:u w:val="none"/>
                <w:lang w:val="en-US" w:eastAsia="zh-CN" w:bidi="ar"/>
              </w:rPr>
              <w:t>63</w:t>
            </w:r>
            <w:r>
              <w:rPr>
                <w:rFonts w:hint="eastAsia" w:ascii="宋体" w:hAnsi="宋体" w:eastAsia="宋体" w:cs="宋体"/>
                <w:i w:val="0"/>
                <w:iCs w:val="0"/>
                <w:color w:val="000000"/>
                <w:kern w:val="0"/>
                <w:sz w:val="20"/>
                <w:szCs w:val="20"/>
                <w:u w:val="none"/>
                <w:lang w:val="en-US" w:eastAsia="zh-CN" w:bidi="ar"/>
              </w:rPr>
              <w:t>00）</w:t>
            </w:r>
          </w:p>
        </w:tc>
        <w:tc>
          <w:tcPr>
            <w:tcW w:w="6815" w:type="dxa"/>
            <w:tcBorders>
              <w:tl2br w:val="nil"/>
              <w:tr2bl w:val="nil"/>
            </w:tcBorders>
            <w:shd w:val="clear" w:color="auto" w:fill="auto"/>
            <w:noWrap/>
            <w:vAlign w:val="center"/>
          </w:tcPr>
          <w:p w14:paraId="19984024">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合模间隙预锻8mm、终锻6mm</w:t>
            </w:r>
            <w:r>
              <w:rPr>
                <w:rFonts w:hint="eastAsia" w:ascii="宋体" w:hAnsi="宋体" w:cs="宋体"/>
                <w:i w:val="0"/>
                <w:iCs w:val="0"/>
                <w:color w:val="000000"/>
                <w:kern w:val="0"/>
                <w:sz w:val="20"/>
                <w:szCs w:val="20"/>
                <w:u w:val="none"/>
                <w:lang w:val="en-US" w:eastAsia="zh-CN" w:bidi="ar"/>
              </w:rPr>
              <w:t>，终锻</w:t>
            </w:r>
            <w:r>
              <w:rPr>
                <w:rFonts w:hint="eastAsia" w:ascii="宋体" w:hAnsi="宋体" w:eastAsia="宋体" w:cs="宋体"/>
                <w:i w:val="0"/>
                <w:iCs w:val="0"/>
                <w:color w:val="000000"/>
                <w:kern w:val="0"/>
                <w:sz w:val="20"/>
                <w:szCs w:val="20"/>
                <w:u w:val="none"/>
                <w:lang w:val="en-US" w:eastAsia="zh-CN" w:bidi="ar"/>
              </w:rPr>
              <w:t>合模6</w:t>
            </w:r>
            <w:r>
              <w:rPr>
                <w:rFonts w:hint="eastAsia" w:ascii="宋体" w:hAnsi="宋体" w:cs="宋体"/>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5mm（包括6mm桥部）</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合模错移±0.2mm，模体底面距桥口面尺寸公差±0.2mm</w:t>
            </w:r>
          </w:p>
        </w:tc>
      </w:tr>
      <w:tr w14:paraId="35D0E051">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69444A59">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5</w:t>
            </w:r>
          </w:p>
        </w:tc>
        <w:tc>
          <w:tcPr>
            <w:tcW w:w="1243" w:type="dxa"/>
            <w:vMerge w:val="continue"/>
            <w:tcBorders>
              <w:tl2br w:val="nil"/>
              <w:tr2bl w:val="nil"/>
            </w:tcBorders>
            <w:shd w:val="clear" w:color="auto" w:fill="auto"/>
            <w:noWrap/>
            <w:vAlign w:val="center"/>
          </w:tcPr>
          <w:p w14:paraId="469E721E">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7EF4A43F">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型腔中心与模块中心偏差±0.05mm，压紧面15°±10′，模体平面相对装配基准面平行度0.05mm</w:t>
            </w:r>
          </w:p>
        </w:tc>
      </w:tr>
      <w:tr w14:paraId="30EE4B79">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551050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243" w:type="dxa"/>
            <w:vMerge w:val="restart"/>
            <w:tcBorders>
              <w:tl2br w:val="nil"/>
              <w:tr2bl w:val="nil"/>
            </w:tcBorders>
            <w:shd w:val="clear" w:color="auto" w:fill="auto"/>
            <w:noWrap/>
            <w:vAlign w:val="center"/>
          </w:tcPr>
          <w:p w14:paraId="08B86B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切边模（MP8000）</w:t>
            </w:r>
          </w:p>
        </w:tc>
        <w:tc>
          <w:tcPr>
            <w:tcW w:w="6815" w:type="dxa"/>
            <w:tcBorders>
              <w:tl2br w:val="nil"/>
              <w:tr2bl w:val="nil"/>
            </w:tcBorders>
            <w:shd w:val="clear" w:color="auto" w:fill="auto"/>
            <w:vAlign w:val="center"/>
          </w:tcPr>
          <w:p w14:paraId="44188B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凹模装配用键槽宽度36H7mm</w:t>
            </w:r>
          </w:p>
        </w:tc>
      </w:tr>
      <w:tr w14:paraId="01E9F806">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6751A6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243" w:type="dxa"/>
            <w:vMerge w:val="continue"/>
            <w:tcBorders>
              <w:tl2br w:val="nil"/>
              <w:tr2bl w:val="nil"/>
            </w:tcBorders>
            <w:shd w:val="clear" w:color="auto" w:fill="auto"/>
            <w:noWrap/>
            <w:vAlign w:val="center"/>
          </w:tcPr>
          <w:p w14:paraId="7A002B2B">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02371C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凹模刃口平面度0.05mm，底面平面度0.05mm，刃口平面与底面平行度0.05mm</w:t>
            </w:r>
          </w:p>
        </w:tc>
      </w:tr>
      <w:tr w14:paraId="3CDD1CEE">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6D45DD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243" w:type="dxa"/>
            <w:vMerge w:val="continue"/>
            <w:tcBorders>
              <w:tl2br w:val="nil"/>
              <w:tr2bl w:val="nil"/>
            </w:tcBorders>
            <w:shd w:val="clear" w:color="auto" w:fill="auto"/>
            <w:noWrap/>
            <w:vAlign w:val="center"/>
          </w:tcPr>
          <w:p w14:paraId="6DA38963">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118F23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上下凸模（冲头）底面装配用3个键槽宽度28H7mm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2方向键槽中心线垂直度0.05mm</w:t>
            </w:r>
          </w:p>
        </w:tc>
      </w:tr>
      <w:tr w14:paraId="7D9A06DD">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25F43E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243" w:type="dxa"/>
            <w:vMerge w:val="restart"/>
            <w:tcBorders>
              <w:tl2br w:val="nil"/>
              <w:tr2bl w:val="nil"/>
            </w:tcBorders>
            <w:shd w:val="clear" w:color="auto" w:fill="auto"/>
            <w:noWrap/>
            <w:vAlign w:val="center"/>
          </w:tcPr>
          <w:p w14:paraId="6866F3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切边模（MP</w:t>
            </w:r>
            <w:r>
              <w:rPr>
                <w:rFonts w:hint="eastAsia" w:ascii="宋体" w:hAnsi="宋体" w:cs="宋体"/>
                <w:i w:val="0"/>
                <w:iCs w:val="0"/>
                <w:color w:val="000000"/>
                <w:kern w:val="0"/>
                <w:sz w:val="20"/>
                <w:szCs w:val="20"/>
                <w:u w:val="none"/>
                <w:lang w:val="en-US" w:eastAsia="zh-CN" w:bidi="ar"/>
              </w:rPr>
              <w:t>63</w:t>
            </w:r>
            <w:r>
              <w:rPr>
                <w:rFonts w:hint="eastAsia" w:ascii="宋体" w:hAnsi="宋体" w:eastAsia="宋体" w:cs="宋体"/>
                <w:i w:val="0"/>
                <w:iCs w:val="0"/>
                <w:color w:val="000000"/>
                <w:kern w:val="0"/>
                <w:sz w:val="20"/>
                <w:szCs w:val="20"/>
                <w:u w:val="none"/>
                <w:lang w:val="en-US" w:eastAsia="zh-CN" w:bidi="ar"/>
              </w:rPr>
              <w:t>00）</w:t>
            </w:r>
          </w:p>
        </w:tc>
        <w:tc>
          <w:tcPr>
            <w:tcW w:w="6815" w:type="dxa"/>
            <w:tcBorders>
              <w:tl2br w:val="nil"/>
              <w:tr2bl w:val="nil"/>
            </w:tcBorders>
            <w:shd w:val="clear" w:color="auto" w:fill="auto"/>
            <w:noWrap/>
            <w:vAlign w:val="center"/>
          </w:tcPr>
          <w:p w14:paraId="365F7C64">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抱切上模、凹模装配键槽20N9mm</w:t>
            </w:r>
          </w:p>
        </w:tc>
      </w:tr>
      <w:tr w14:paraId="128E22E0">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430B8BE3">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10</w:t>
            </w:r>
          </w:p>
        </w:tc>
        <w:tc>
          <w:tcPr>
            <w:tcW w:w="1243" w:type="dxa"/>
            <w:vMerge w:val="continue"/>
            <w:tcBorders>
              <w:tl2br w:val="nil"/>
              <w:tr2bl w:val="nil"/>
            </w:tcBorders>
            <w:shd w:val="clear" w:color="auto" w:fill="auto"/>
            <w:noWrap/>
            <w:vAlign w:val="center"/>
          </w:tcPr>
          <w:p w14:paraId="371FC5AB">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4494D695">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抱切下模φ550±0.1mm，261±0.1mm，紧固螺纹孔φ360±0.1mm</w:t>
            </w:r>
          </w:p>
        </w:tc>
      </w:tr>
      <w:tr w14:paraId="3158E73D">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4DEDC0C5">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11</w:t>
            </w:r>
          </w:p>
        </w:tc>
        <w:tc>
          <w:tcPr>
            <w:tcW w:w="1243" w:type="dxa"/>
            <w:vMerge w:val="continue"/>
            <w:tcBorders>
              <w:tl2br w:val="nil"/>
              <w:tr2bl w:val="nil"/>
            </w:tcBorders>
            <w:shd w:val="clear" w:color="auto" w:fill="auto"/>
            <w:noWrap/>
            <w:vAlign w:val="center"/>
          </w:tcPr>
          <w:p w14:paraId="020AF7C3">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4A4D7D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凹模刃口平面度0.05mm，底面平面度0.05mm，刃口平面与底面平行度0.05mm</w:t>
            </w:r>
          </w:p>
        </w:tc>
      </w:tr>
    </w:tbl>
    <w:p w14:paraId="19D3493F">
      <w:pPr>
        <w:adjustRightInd w:val="0"/>
        <w:snapToGrid w:val="0"/>
        <w:spacing w:line="360" w:lineRule="auto"/>
        <w:ind w:firstLine="480" w:firstLineChars="200"/>
        <w:rPr>
          <w:rFonts w:ascii="宋体" w:hAnsi="宋体" w:eastAsia="宋体" w:cs="宋体"/>
          <w:sz w:val="24"/>
          <w:szCs w:val="24"/>
        </w:rPr>
      </w:pPr>
    </w:p>
    <w:p w14:paraId="249BF836">
      <w:pPr>
        <w:adjustRightInd w:val="0"/>
        <w:snapToGrid w:val="0"/>
        <w:spacing w:line="360" w:lineRule="auto"/>
        <w:ind w:firstLine="480" w:firstLineChars="200"/>
        <w:rPr>
          <w:rFonts w:ascii="宋体" w:hAnsi="宋体" w:eastAsia="宋体" w:cs="宋体"/>
          <w:sz w:val="24"/>
          <w:szCs w:val="24"/>
        </w:rPr>
      </w:pPr>
    </w:p>
    <w:p w14:paraId="0E8DF17C">
      <w:pPr>
        <w:adjustRightInd w:val="0"/>
        <w:snapToGrid w:val="0"/>
        <w:spacing w:line="360" w:lineRule="auto"/>
        <w:ind w:firstLine="480" w:firstLineChars="200"/>
        <w:rPr>
          <w:rFonts w:ascii="宋体" w:hAnsi="宋体" w:eastAsia="宋体" w:cs="宋体"/>
          <w:sz w:val="24"/>
          <w:szCs w:val="24"/>
        </w:rPr>
      </w:pPr>
    </w:p>
    <w:p w14:paraId="7675C88F">
      <w:pPr>
        <w:adjustRightInd w:val="0"/>
        <w:snapToGrid w:val="0"/>
        <w:spacing w:line="360" w:lineRule="auto"/>
        <w:ind w:firstLine="480" w:firstLineChars="200"/>
        <w:rPr>
          <w:rFonts w:ascii="宋体" w:hAnsi="宋体" w:eastAsia="宋体" w:cs="宋体"/>
          <w:sz w:val="24"/>
          <w:szCs w:val="24"/>
        </w:rPr>
      </w:pPr>
    </w:p>
    <w:p w14:paraId="1F9BFDBA">
      <w:pPr>
        <w:adjustRightInd w:val="0"/>
        <w:snapToGrid w:val="0"/>
        <w:spacing w:line="360" w:lineRule="auto"/>
        <w:ind w:firstLine="480" w:firstLineChars="200"/>
        <w:rPr>
          <w:rFonts w:ascii="宋体" w:hAnsi="宋体" w:eastAsia="宋体" w:cs="宋体"/>
          <w:sz w:val="24"/>
          <w:szCs w:val="24"/>
        </w:rPr>
      </w:pPr>
    </w:p>
    <w:p w14:paraId="3E619213">
      <w:pPr>
        <w:adjustRightInd w:val="0"/>
        <w:snapToGrid w:val="0"/>
        <w:spacing w:line="360" w:lineRule="auto"/>
        <w:ind w:firstLine="480" w:firstLineChars="200"/>
        <w:rPr>
          <w:rFonts w:ascii="宋体" w:hAnsi="宋体" w:eastAsia="宋体" w:cs="宋体"/>
          <w:sz w:val="24"/>
          <w:szCs w:val="24"/>
        </w:rPr>
      </w:pPr>
    </w:p>
    <w:p w14:paraId="402DC402">
      <w:pPr>
        <w:adjustRightInd w:val="0"/>
        <w:snapToGrid w:val="0"/>
        <w:spacing w:line="360" w:lineRule="auto"/>
        <w:ind w:firstLine="480" w:firstLineChars="200"/>
        <w:rPr>
          <w:rFonts w:ascii="宋体" w:hAnsi="宋体" w:eastAsia="宋体" w:cs="宋体"/>
          <w:sz w:val="24"/>
          <w:szCs w:val="24"/>
        </w:rPr>
      </w:pPr>
    </w:p>
    <w:p w14:paraId="36C56A27">
      <w:pPr>
        <w:adjustRightInd w:val="0"/>
        <w:snapToGrid w:val="0"/>
        <w:spacing w:line="360" w:lineRule="auto"/>
        <w:ind w:firstLine="480" w:firstLineChars="200"/>
        <w:rPr>
          <w:rFonts w:ascii="宋体" w:hAnsi="宋体" w:eastAsia="宋体" w:cs="宋体"/>
          <w:sz w:val="24"/>
          <w:szCs w:val="24"/>
        </w:rPr>
      </w:pPr>
    </w:p>
    <w:p w14:paraId="4E862373">
      <w:pPr>
        <w:adjustRightInd w:val="0"/>
        <w:snapToGrid w:val="0"/>
        <w:spacing w:line="360" w:lineRule="auto"/>
        <w:ind w:firstLine="480" w:firstLineChars="200"/>
        <w:rPr>
          <w:rFonts w:ascii="宋体" w:hAnsi="宋体" w:eastAsia="宋体" w:cs="宋体"/>
          <w:sz w:val="24"/>
          <w:szCs w:val="24"/>
        </w:rPr>
      </w:pPr>
    </w:p>
    <w:p w14:paraId="0B0ABEFC">
      <w:pPr>
        <w:adjustRightInd w:val="0"/>
        <w:snapToGrid w:val="0"/>
        <w:spacing w:line="360" w:lineRule="auto"/>
        <w:ind w:firstLine="480" w:firstLineChars="200"/>
        <w:rPr>
          <w:rFonts w:ascii="宋体" w:hAnsi="宋体" w:eastAsia="宋体" w:cs="宋体"/>
          <w:sz w:val="24"/>
          <w:szCs w:val="24"/>
        </w:rPr>
      </w:pPr>
    </w:p>
    <w:p w14:paraId="364D729C">
      <w:pPr>
        <w:adjustRightInd w:val="0"/>
        <w:snapToGrid w:val="0"/>
        <w:spacing w:line="360" w:lineRule="auto"/>
        <w:ind w:firstLine="480" w:firstLineChars="200"/>
        <w:rPr>
          <w:rFonts w:ascii="宋体" w:hAnsi="宋体" w:eastAsia="宋体" w:cs="宋体"/>
          <w:sz w:val="24"/>
          <w:szCs w:val="24"/>
        </w:rPr>
      </w:pPr>
    </w:p>
    <w:p w14:paraId="543292D4">
      <w:pPr>
        <w:adjustRightInd w:val="0"/>
        <w:snapToGrid w:val="0"/>
        <w:spacing w:line="360" w:lineRule="auto"/>
        <w:ind w:firstLine="480" w:firstLineChars="200"/>
        <w:rPr>
          <w:rFonts w:ascii="宋体" w:hAnsi="宋体" w:eastAsia="宋体" w:cs="宋体"/>
          <w:sz w:val="24"/>
          <w:szCs w:val="24"/>
        </w:rPr>
      </w:pPr>
    </w:p>
    <w:p w14:paraId="3337A5C9">
      <w:pPr>
        <w:adjustRightInd w:val="0"/>
        <w:snapToGrid w:val="0"/>
        <w:spacing w:line="360" w:lineRule="auto"/>
        <w:ind w:firstLine="480" w:firstLineChars="200"/>
        <w:rPr>
          <w:rFonts w:ascii="宋体" w:hAnsi="宋体" w:eastAsia="宋体" w:cs="宋体"/>
          <w:sz w:val="24"/>
          <w:szCs w:val="24"/>
        </w:rPr>
      </w:pPr>
    </w:p>
    <w:p w14:paraId="78DFD088">
      <w:pPr>
        <w:adjustRightInd w:val="0"/>
        <w:snapToGrid w:val="0"/>
        <w:spacing w:line="360" w:lineRule="auto"/>
        <w:ind w:firstLine="480" w:firstLineChars="200"/>
        <w:rPr>
          <w:rFonts w:ascii="宋体" w:hAnsi="宋体" w:eastAsia="宋体" w:cs="宋体"/>
          <w:sz w:val="24"/>
          <w:szCs w:val="24"/>
        </w:rPr>
      </w:pPr>
    </w:p>
    <w:p w14:paraId="3D4FDA4E">
      <w:pPr>
        <w:adjustRightInd w:val="0"/>
        <w:snapToGrid w:val="0"/>
        <w:spacing w:line="360" w:lineRule="auto"/>
        <w:jc w:val="center"/>
        <w:rPr>
          <w:rFonts w:ascii="宋体" w:hAnsi="宋体" w:eastAsia="宋体" w:cs="宋体"/>
          <w:sz w:val="24"/>
          <w:szCs w:val="24"/>
        </w:rPr>
      </w:pPr>
    </w:p>
    <w:p w14:paraId="3B76C791">
      <w:pPr>
        <w:adjustRightInd w:val="0"/>
        <w:snapToGrid w:val="0"/>
        <w:spacing w:line="360" w:lineRule="auto"/>
        <w:jc w:val="center"/>
        <w:rPr>
          <w:rFonts w:ascii="宋体" w:hAnsi="宋体" w:eastAsia="宋体" w:cs="宋体"/>
          <w:sz w:val="24"/>
          <w:szCs w:val="24"/>
        </w:rPr>
      </w:pPr>
    </w:p>
    <w:p w14:paraId="56D2C85C">
      <w:pPr>
        <w:adjustRightInd w:val="0"/>
        <w:snapToGrid w:val="0"/>
        <w:spacing w:line="360" w:lineRule="auto"/>
        <w:jc w:val="center"/>
        <w:rPr>
          <w:rFonts w:ascii="宋体" w:hAnsi="宋体" w:eastAsia="宋体" w:cs="宋体"/>
          <w:sz w:val="24"/>
          <w:szCs w:val="24"/>
        </w:rPr>
      </w:pPr>
    </w:p>
    <w:p w14:paraId="6F5D6496">
      <w:pPr>
        <w:adjustRightInd w:val="0"/>
        <w:snapToGrid w:val="0"/>
        <w:spacing w:line="360" w:lineRule="auto"/>
        <w:rPr>
          <w:rFonts w:ascii="宋体" w:hAnsi="宋体" w:eastAsia="宋体" w:cs="宋体"/>
          <w:sz w:val="24"/>
          <w:szCs w:val="24"/>
        </w:rPr>
      </w:pPr>
    </w:p>
    <w:p w14:paraId="6CE8AF4C">
      <w:pPr>
        <w:adjustRightInd w:val="0"/>
        <w:snapToGrid w:val="0"/>
        <w:spacing w:line="360" w:lineRule="auto"/>
        <w:ind w:firstLine="480" w:firstLineChars="200"/>
        <w:rPr>
          <w:rFonts w:ascii="宋体" w:hAnsi="宋体" w:eastAsia="宋体" w:cs="宋体"/>
          <w:sz w:val="24"/>
          <w:szCs w:val="24"/>
        </w:rPr>
      </w:pPr>
    </w:p>
    <w:p w14:paraId="3599EA86">
      <w:pPr>
        <w:adjustRightInd w:val="0"/>
        <w:snapToGrid w:val="0"/>
        <w:spacing w:line="360" w:lineRule="auto"/>
        <w:ind w:firstLine="480" w:firstLineChars="200"/>
        <w:rPr>
          <w:rFonts w:ascii="宋体" w:hAnsi="宋体" w:eastAsia="宋体" w:cs="宋体"/>
          <w:sz w:val="24"/>
          <w:szCs w:val="24"/>
        </w:rPr>
      </w:pPr>
    </w:p>
    <w:bookmarkEnd w:id="34"/>
    <w:bookmarkEnd w:id="35"/>
    <w:p w14:paraId="1EB838FD">
      <w:pPr>
        <w:spacing w:line="360" w:lineRule="auto"/>
        <w:jc w:val="center"/>
        <w:outlineLvl w:val="0"/>
        <w:rPr>
          <w:rFonts w:hint="eastAsia" w:ascii="宋体" w:hAnsi="宋体" w:eastAsia="宋体" w:cs="Times New Roman"/>
          <w:b/>
          <w:sz w:val="36"/>
          <w:szCs w:val="36"/>
        </w:rPr>
      </w:pPr>
      <w:bookmarkStart w:id="36" w:name="_Toc28859"/>
    </w:p>
    <w:p w14:paraId="7CDF6369">
      <w:pPr>
        <w:spacing w:line="360" w:lineRule="auto"/>
        <w:jc w:val="center"/>
        <w:outlineLvl w:val="0"/>
        <w:rPr>
          <w:rFonts w:hint="eastAsia" w:ascii="宋体" w:hAnsi="宋体" w:eastAsia="宋体" w:cs="Times New Roman"/>
          <w:b/>
          <w:sz w:val="36"/>
          <w:szCs w:val="36"/>
        </w:rPr>
      </w:pPr>
    </w:p>
    <w:p w14:paraId="09DD89AE">
      <w:pPr>
        <w:spacing w:line="360" w:lineRule="auto"/>
        <w:jc w:val="center"/>
        <w:outlineLvl w:val="0"/>
        <w:rPr>
          <w:rFonts w:hint="eastAsia" w:ascii="宋体" w:hAnsi="宋体" w:eastAsia="宋体" w:cs="Times New Roman"/>
          <w:b/>
          <w:sz w:val="36"/>
          <w:szCs w:val="36"/>
        </w:rPr>
      </w:pPr>
    </w:p>
    <w:p w14:paraId="3227C2C2">
      <w:pPr>
        <w:rPr>
          <w:rFonts w:hint="eastAsia" w:ascii="宋体" w:hAnsi="宋体" w:eastAsia="宋体" w:cs="Times New Roman"/>
          <w:b/>
          <w:sz w:val="36"/>
          <w:szCs w:val="36"/>
        </w:rPr>
      </w:pPr>
      <w:r>
        <w:rPr>
          <w:rFonts w:hint="eastAsia" w:ascii="宋体" w:hAnsi="宋体" w:eastAsia="宋体" w:cs="Times New Roman"/>
          <w:b/>
          <w:sz w:val="36"/>
          <w:szCs w:val="36"/>
        </w:rPr>
        <w:br w:type="page"/>
      </w:r>
    </w:p>
    <w:p w14:paraId="461BD875">
      <w:pPr>
        <w:spacing w:line="360" w:lineRule="auto"/>
        <w:jc w:val="center"/>
        <w:outlineLvl w:val="0"/>
        <w:rPr>
          <w:rFonts w:hint="eastAsia" w:ascii="宋体" w:hAnsi="宋体" w:eastAsia="宋体" w:cs="Times New Roman"/>
          <w:b/>
          <w:sz w:val="36"/>
          <w:szCs w:val="36"/>
        </w:rPr>
      </w:pPr>
    </w:p>
    <w:p w14:paraId="69A2F3D9">
      <w:pPr>
        <w:pStyle w:val="2"/>
        <w:tabs>
          <w:tab w:val="center" w:pos="4535"/>
        </w:tabs>
        <w:spacing w:line="360" w:lineRule="auto"/>
        <w:jc w:val="center"/>
        <w:rPr>
          <w:color w:val="auto"/>
          <w:sz w:val="21"/>
          <w:szCs w:val="21"/>
          <w:highlight w:val="none"/>
          <w:u w:val="none"/>
        </w:rPr>
      </w:pPr>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color w:val="auto"/>
          <w:szCs w:val="36"/>
          <w:highlight w:val="none"/>
          <w:u w:val="none"/>
        </w:rPr>
        <w:t>加  工  合  同  </w:t>
      </w:r>
    </w:p>
    <w:p w14:paraId="4D2BA057">
      <w:pPr>
        <w:spacing w:line="360" w:lineRule="auto"/>
        <w:jc w:val="left"/>
        <w:rPr>
          <w:color w:val="auto"/>
          <w:szCs w:val="21"/>
          <w:highlight w:val="none"/>
          <w:u w:val="none"/>
        </w:rPr>
      </w:pPr>
      <w:r>
        <w:rPr>
          <w:rFonts w:hAnsi="宋体"/>
          <w:color w:val="auto"/>
          <w:szCs w:val="21"/>
          <w:highlight w:val="none"/>
          <w:u w:val="none"/>
        </w:rPr>
        <w:t>合同编号：</w:t>
      </w:r>
    </w:p>
    <w:p w14:paraId="62C37D5F">
      <w:pPr>
        <w:spacing w:line="360" w:lineRule="auto"/>
        <w:jc w:val="left"/>
        <w:rPr>
          <w:color w:val="auto"/>
          <w:szCs w:val="21"/>
          <w:highlight w:val="none"/>
          <w:u w:val="none"/>
        </w:rPr>
      </w:pPr>
      <w:r>
        <w:rPr>
          <w:rFonts w:hAnsi="宋体"/>
          <w:color w:val="auto"/>
          <w:szCs w:val="21"/>
          <w:highlight w:val="none"/>
          <w:u w:val="none"/>
        </w:rPr>
        <w:t>签</w:t>
      </w:r>
      <w:r>
        <w:rPr>
          <w:rFonts w:hAnsi="宋体"/>
          <w:color w:val="auto"/>
          <w:spacing w:val="20"/>
          <w:szCs w:val="21"/>
          <w:highlight w:val="none"/>
          <w:u w:val="none"/>
        </w:rPr>
        <w:t>订</w:t>
      </w:r>
      <w:r>
        <w:rPr>
          <w:rFonts w:hAnsi="宋体"/>
          <w:color w:val="auto"/>
          <w:szCs w:val="21"/>
          <w:highlight w:val="none"/>
          <w:u w:val="none"/>
        </w:rPr>
        <w:t>地点：济南市</w:t>
      </w:r>
    </w:p>
    <w:p w14:paraId="1AB269C6">
      <w:pPr>
        <w:spacing w:line="360" w:lineRule="auto"/>
        <w:jc w:val="left"/>
        <w:rPr>
          <w:rFonts w:hAnsi="宋体"/>
          <w:color w:val="auto"/>
          <w:szCs w:val="21"/>
          <w:highlight w:val="none"/>
          <w:u w:val="none"/>
        </w:rPr>
      </w:pPr>
      <w:r>
        <w:rPr>
          <w:rFonts w:hAnsi="宋体"/>
          <w:color w:val="auto"/>
          <w:szCs w:val="21"/>
          <w:highlight w:val="none"/>
          <w:u w:val="none"/>
        </w:rPr>
        <w:t>签</w:t>
      </w:r>
      <w:r>
        <w:rPr>
          <w:rFonts w:hAnsi="宋体"/>
          <w:color w:val="auto"/>
          <w:spacing w:val="20"/>
          <w:szCs w:val="21"/>
          <w:highlight w:val="none"/>
          <w:u w:val="none"/>
        </w:rPr>
        <w:t>订</w:t>
      </w:r>
      <w:r>
        <w:rPr>
          <w:rFonts w:hAnsi="宋体"/>
          <w:color w:val="auto"/>
          <w:szCs w:val="21"/>
          <w:highlight w:val="none"/>
          <w:u w:val="none"/>
        </w:rPr>
        <w:t>时间：</w:t>
      </w:r>
    </w:p>
    <w:p w14:paraId="692AD104">
      <w:pPr>
        <w:spacing w:line="360" w:lineRule="auto"/>
        <w:rPr>
          <w:color w:val="auto"/>
          <w:szCs w:val="21"/>
          <w:highlight w:val="none"/>
          <w:u w:val="none"/>
        </w:rPr>
      </w:pPr>
      <w:r>
        <w:rPr>
          <w:rFonts w:hAnsi="宋体"/>
          <w:color w:val="auto"/>
          <w:szCs w:val="21"/>
          <w:highlight w:val="none"/>
          <w:u w:val="none"/>
        </w:rPr>
        <w:t>需方</w:t>
      </w:r>
      <w:r>
        <w:rPr>
          <w:color w:val="auto"/>
          <w:szCs w:val="21"/>
          <w:highlight w:val="none"/>
          <w:u w:val="none"/>
        </w:rPr>
        <w:t>:</w:t>
      </w:r>
      <w:r>
        <w:rPr>
          <w:rFonts w:hint="eastAsia" w:hAnsi="宋体"/>
          <w:color w:val="auto"/>
          <w:szCs w:val="21"/>
          <w:highlight w:val="none"/>
          <w:u w:val="none"/>
          <w:lang w:eastAsia="zh-CN"/>
        </w:rPr>
        <w:t>中国重汽集团济南智能装备公司</w:t>
      </w:r>
      <w:r>
        <w:rPr>
          <w:color w:val="auto"/>
          <w:szCs w:val="21"/>
          <w:highlight w:val="none"/>
          <w:u w:val="none"/>
        </w:rPr>
        <w:t xml:space="preserve">     </w:t>
      </w:r>
      <w:r>
        <w:rPr>
          <w:rFonts w:hint="eastAsia"/>
          <w:color w:val="auto"/>
          <w:szCs w:val="21"/>
          <w:highlight w:val="none"/>
          <w:u w:val="none"/>
          <w:lang w:val="en-US" w:eastAsia="zh-CN"/>
        </w:rPr>
        <w:t xml:space="preserve">  </w:t>
      </w:r>
      <w:r>
        <w:rPr>
          <w:rFonts w:hAnsi="宋体"/>
          <w:color w:val="auto"/>
          <w:szCs w:val="21"/>
          <w:highlight w:val="none"/>
          <w:u w:val="none"/>
        </w:rPr>
        <w:t>（以下简称需方）</w:t>
      </w:r>
      <w:r>
        <w:rPr>
          <w:color w:val="auto"/>
          <w:szCs w:val="21"/>
          <w:highlight w:val="none"/>
          <w:u w:val="none"/>
        </w:rPr>
        <w:t xml:space="preserve">   </w:t>
      </w:r>
    </w:p>
    <w:p w14:paraId="10FCF3F4">
      <w:pPr>
        <w:spacing w:line="360" w:lineRule="auto"/>
        <w:rPr>
          <w:color w:val="auto"/>
          <w:szCs w:val="21"/>
          <w:highlight w:val="none"/>
          <w:u w:val="none"/>
        </w:rPr>
      </w:pPr>
      <w:r>
        <w:rPr>
          <w:rFonts w:ascii="Times New Roman" w:hAnsi="宋体" w:eastAsia="宋体" w:cs="Times New Roman"/>
          <w:color w:val="auto"/>
          <w:szCs w:val="21"/>
          <w:highlight w:val="none"/>
          <w:u w:val="none"/>
        </w:rPr>
        <w:t>供方:</w:t>
      </w:r>
      <w:r>
        <w:rPr>
          <w:rFonts w:hint="eastAsia" w:ascii="Times New Roman" w:hAnsi="宋体" w:eastAsia="宋体" w:cs="Times New Roman"/>
          <w:color w:val="auto"/>
          <w:szCs w:val="21"/>
          <w:highlight w:val="none"/>
          <w:u w:val="none"/>
          <w:lang w:val="en-US" w:eastAsia="zh-CN"/>
        </w:rPr>
        <w:t xml:space="preserve">                    </w:t>
      </w:r>
      <w:r>
        <w:rPr>
          <w:rFonts w:hint="eastAsia" w:ascii="Helvetica" w:hAnsi="Helvetica" w:eastAsia="Helvetica" w:cs="Helvetica"/>
          <w:i w:val="0"/>
          <w:iCs w:val="0"/>
          <w:caps w:val="0"/>
          <w:color w:val="auto"/>
          <w:spacing w:val="0"/>
          <w:kern w:val="0"/>
          <w:sz w:val="18"/>
          <w:szCs w:val="18"/>
          <w:highlight w:val="none"/>
          <w:u w:val="none"/>
          <w:lang w:val="en-US" w:eastAsia="zh-CN" w:bidi="ar"/>
        </w:rPr>
        <w:t xml:space="preserve">     </w:t>
      </w:r>
      <w:r>
        <w:rPr>
          <w:color w:val="auto"/>
          <w:szCs w:val="21"/>
          <w:highlight w:val="none"/>
          <w:u w:val="none"/>
        </w:rPr>
        <w:t xml:space="preserve"> </w:t>
      </w:r>
      <w:r>
        <w:rPr>
          <w:rFonts w:hint="eastAsia"/>
          <w:color w:val="auto"/>
          <w:szCs w:val="21"/>
          <w:highlight w:val="none"/>
          <w:u w:val="none"/>
          <w:lang w:val="en-US" w:eastAsia="zh-CN"/>
        </w:rPr>
        <w:t xml:space="preserve">        </w:t>
      </w:r>
      <w:r>
        <w:rPr>
          <w:rFonts w:hAnsi="宋体"/>
          <w:color w:val="auto"/>
          <w:szCs w:val="21"/>
          <w:highlight w:val="none"/>
          <w:u w:val="none"/>
        </w:rPr>
        <w:t>（以下简称供方）</w:t>
      </w:r>
      <w:r>
        <w:rPr>
          <w:color w:val="auto"/>
          <w:szCs w:val="21"/>
          <w:highlight w:val="none"/>
          <w:u w:val="none"/>
        </w:rPr>
        <w:t xml:space="preserve">   </w:t>
      </w:r>
    </w:p>
    <w:p w14:paraId="1265420C">
      <w:pPr>
        <w:spacing w:line="360" w:lineRule="auto"/>
        <w:ind w:firstLine="525" w:firstLineChars="250"/>
        <w:rPr>
          <w:color w:val="auto"/>
          <w:spacing w:val="20"/>
          <w:szCs w:val="21"/>
          <w:highlight w:val="none"/>
          <w:u w:val="none"/>
        </w:rPr>
      </w:pPr>
      <w:r>
        <w:rPr>
          <w:rFonts w:ascii="Times New Roman" w:hAnsi="宋体" w:eastAsia="宋体" w:cs="Times New Roman"/>
          <w:color w:val="auto"/>
          <w:szCs w:val="21"/>
          <w:highlight w:val="none"/>
          <w:u w:val="none"/>
        </w:rPr>
        <w:t>根据《</w:t>
      </w:r>
      <w:r>
        <w:rPr>
          <w:rFonts w:hint="eastAsia" w:ascii="Times New Roman" w:hAnsi="宋体" w:eastAsia="宋体" w:cs="Times New Roman"/>
          <w:color w:val="auto"/>
          <w:szCs w:val="21"/>
          <w:highlight w:val="none"/>
          <w:u w:val="none"/>
        </w:rPr>
        <w:t>中华人民共和国民法典</w:t>
      </w:r>
      <w:r>
        <w:rPr>
          <w:rFonts w:ascii="Times New Roman" w:hAnsi="宋体" w:eastAsia="宋体" w:cs="Times New Roman"/>
          <w:color w:val="auto"/>
          <w:szCs w:val="21"/>
          <w:highlight w:val="none"/>
          <w:u w:val="none"/>
        </w:rPr>
        <w:t>》及有关规定，为明确双方的权利和义务关系，经双方友好协商一致，签订本合同。</w:t>
      </w:r>
    </w:p>
    <w:p w14:paraId="168D0AE9">
      <w:pPr>
        <w:numPr>
          <w:ilvl w:val="0"/>
          <w:numId w:val="12"/>
        </w:numPr>
        <w:spacing w:line="360" w:lineRule="auto"/>
        <w:rPr>
          <w:rFonts w:hint="eastAsia" w:eastAsia="黑体"/>
          <w:color w:val="auto"/>
          <w:szCs w:val="21"/>
          <w:highlight w:val="none"/>
          <w:u w:val="none"/>
        </w:rPr>
      </w:pPr>
      <w:r>
        <w:rPr>
          <w:rFonts w:eastAsia="黑体"/>
          <w:b/>
          <w:color w:val="auto"/>
          <w:szCs w:val="21"/>
          <w:highlight w:val="none"/>
          <w:u w:val="none"/>
        </w:rPr>
        <w:t>标的、价格及支付</w:t>
      </w:r>
    </w:p>
    <w:p w14:paraId="75207C07">
      <w:pPr>
        <w:spacing w:line="360" w:lineRule="auto"/>
        <w:ind w:firstLine="420" w:firstLineChars="200"/>
        <w:rPr>
          <w:rFonts w:hAnsi="宋体"/>
          <w:color w:val="auto"/>
          <w:szCs w:val="21"/>
          <w:highlight w:val="none"/>
          <w:u w:val="none"/>
        </w:rPr>
      </w:pPr>
      <w:r>
        <w:rPr>
          <w:color w:val="auto"/>
          <w:szCs w:val="21"/>
          <w:highlight w:val="none"/>
          <w:u w:val="none"/>
        </w:rPr>
        <w:t>1.1</w:t>
      </w:r>
      <w:r>
        <w:rPr>
          <w:rFonts w:ascii="Times New Roman" w:hAnsi="宋体" w:eastAsia="宋体" w:cs="Times New Roman"/>
          <w:color w:val="auto"/>
          <w:szCs w:val="21"/>
          <w:highlight w:val="none"/>
          <w:u w:val="none"/>
        </w:rPr>
        <w:t>供货产品名称、编号</w:t>
      </w:r>
      <w:r>
        <w:rPr>
          <w:rFonts w:hint="eastAsia" w:ascii="Times New Roman" w:hAnsi="宋体" w:eastAsia="宋体" w:cs="Times New Roman"/>
          <w:color w:val="auto"/>
          <w:szCs w:val="21"/>
          <w:highlight w:val="none"/>
          <w:u w:val="none"/>
          <w:lang w:eastAsia="zh-CN"/>
        </w:rPr>
        <w:t>、</w:t>
      </w:r>
      <w:r>
        <w:rPr>
          <w:rFonts w:hint="eastAsia" w:ascii="Times New Roman" w:hAnsi="宋体" w:eastAsia="宋体" w:cs="Times New Roman"/>
          <w:color w:val="auto"/>
          <w:szCs w:val="21"/>
          <w:highlight w:val="none"/>
          <w:u w:val="none"/>
        </w:rPr>
        <w:t>价格</w:t>
      </w:r>
      <w:r>
        <w:rPr>
          <w:rFonts w:hint="eastAsia" w:ascii="Times New Roman" w:hAnsi="宋体" w:eastAsia="宋体" w:cs="Times New Roman"/>
          <w:color w:val="auto"/>
          <w:szCs w:val="21"/>
          <w:highlight w:val="none"/>
          <w:u w:val="none"/>
          <w:lang w:eastAsia="zh-CN"/>
        </w:rPr>
        <w:t>、</w:t>
      </w:r>
      <w:r>
        <w:rPr>
          <w:rFonts w:hint="eastAsia" w:ascii="Times New Roman" w:hAnsi="宋体" w:eastAsia="宋体" w:cs="Times New Roman"/>
          <w:color w:val="auto"/>
          <w:szCs w:val="21"/>
          <w:highlight w:val="none"/>
          <w:u w:val="none"/>
          <w:lang w:val="en-US" w:eastAsia="zh-CN"/>
        </w:rPr>
        <w:t>承诺寿命</w:t>
      </w:r>
      <w:r>
        <w:rPr>
          <w:rFonts w:hint="eastAsia" w:ascii="Times New Roman" w:hAnsi="宋体" w:eastAsia="宋体" w:cs="Times New Roman"/>
          <w:color w:val="auto"/>
          <w:szCs w:val="21"/>
          <w:highlight w:val="none"/>
          <w:u w:val="none"/>
        </w:rPr>
        <w:t>等</w:t>
      </w:r>
      <w:r>
        <w:rPr>
          <w:rFonts w:ascii="Times New Roman" w:hAnsi="宋体" w:eastAsia="宋体" w:cs="Times New Roman"/>
          <w:color w:val="auto"/>
          <w:szCs w:val="21"/>
          <w:highlight w:val="none"/>
          <w:u w:val="none"/>
        </w:rPr>
        <w:t>详见</w:t>
      </w:r>
      <w:r>
        <w:rPr>
          <w:rFonts w:hint="eastAsia" w:ascii="Times New Roman" w:hAnsi="宋体" w:eastAsia="宋体" w:cs="Times New Roman"/>
          <w:color w:val="auto"/>
          <w:szCs w:val="21"/>
          <w:highlight w:val="none"/>
          <w:u w:val="none"/>
          <w:lang w:val="en-US" w:eastAsia="zh-CN"/>
        </w:rPr>
        <w:t>下表</w:t>
      </w:r>
      <w:r>
        <w:rPr>
          <w:rFonts w:hAnsi="宋体"/>
          <w:color w:val="auto"/>
          <w:szCs w:val="21"/>
          <w:highlight w:val="none"/>
          <w:u w:val="none"/>
        </w:rPr>
        <w:t>。</w:t>
      </w:r>
    </w:p>
    <w:tbl>
      <w:tblPr>
        <w:tblStyle w:val="36"/>
        <w:tblW w:w="104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1"/>
        <w:gridCol w:w="1866"/>
        <w:gridCol w:w="1954"/>
        <w:gridCol w:w="421"/>
        <w:gridCol w:w="1487"/>
        <w:gridCol w:w="607"/>
        <w:gridCol w:w="961"/>
        <w:gridCol w:w="2574"/>
      </w:tblGrid>
      <w:tr w14:paraId="0F71C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4" w:hRule="atLeast"/>
        </w:trPr>
        <w:tc>
          <w:tcPr>
            <w:tcW w:w="571" w:type="dxa"/>
            <w:noWrap w:val="0"/>
            <w:vAlign w:val="center"/>
          </w:tcPr>
          <w:p w14:paraId="02853C45">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866" w:type="dxa"/>
            <w:noWrap w:val="0"/>
            <w:vAlign w:val="center"/>
          </w:tcPr>
          <w:p w14:paraId="00C8731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工装名称</w:t>
            </w:r>
          </w:p>
        </w:tc>
        <w:tc>
          <w:tcPr>
            <w:tcW w:w="1954" w:type="dxa"/>
            <w:noWrap w:val="0"/>
            <w:vAlign w:val="center"/>
          </w:tcPr>
          <w:p w14:paraId="00DFBE47">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工装编号</w:t>
            </w:r>
          </w:p>
        </w:tc>
        <w:tc>
          <w:tcPr>
            <w:tcW w:w="421" w:type="dxa"/>
            <w:noWrap w:val="0"/>
            <w:vAlign w:val="center"/>
          </w:tcPr>
          <w:p w14:paraId="0F5BC3EC">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单位</w:t>
            </w:r>
          </w:p>
        </w:tc>
        <w:tc>
          <w:tcPr>
            <w:tcW w:w="1487" w:type="dxa"/>
            <w:noWrap w:val="0"/>
            <w:vAlign w:val="center"/>
          </w:tcPr>
          <w:p w14:paraId="6956C4F0">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单价（不含税）</w:t>
            </w:r>
          </w:p>
        </w:tc>
        <w:tc>
          <w:tcPr>
            <w:tcW w:w="607" w:type="dxa"/>
            <w:noWrap w:val="0"/>
            <w:vAlign w:val="center"/>
          </w:tcPr>
          <w:p w14:paraId="37BD4E3E">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税率</w:t>
            </w:r>
          </w:p>
        </w:tc>
        <w:tc>
          <w:tcPr>
            <w:tcW w:w="961" w:type="dxa"/>
            <w:noWrap w:val="0"/>
            <w:vAlign w:val="center"/>
          </w:tcPr>
          <w:p w14:paraId="0D1F268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税额</w:t>
            </w:r>
          </w:p>
        </w:tc>
        <w:tc>
          <w:tcPr>
            <w:tcW w:w="2574" w:type="dxa"/>
            <w:noWrap w:val="0"/>
            <w:vAlign w:val="center"/>
          </w:tcPr>
          <w:p w14:paraId="55F2167E">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技术定额/承诺寿命（件）</w:t>
            </w:r>
          </w:p>
        </w:tc>
      </w:tr>
      <w:tr w14:paraId="01912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71" w:type="dxa"/>
            <w:noWrap/>
            <w:vAlign w:val="center"/>
          </w:tcPr>
          <w:p w14:paraId="5BFFB80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866" w:type="dxa"/>
            <w:noWrap w:val="0"/>
            <w:vAlign w:val="center"/>
          </w:tcPr>
          <w:p w14:paraId="17321DA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1954" w:type="dxa"/>
            <w:noWrap w:val="0"/>
            <w:vAlign w:val="center"/>
          </w:tcPr>
          <w:p w14:paraId="58D3078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421" w:type="dxa"/>
            <w:noWrap w:val="0"/>
            <w:vAlign w:val="center"/>
          </w:tcPr>
          <w:p w14:paraId="0DF40B9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1487" w:type="dxa"/>
            <w:noWrap w:val="0"/>
            <w:vAlign w:val="center"/>
          </w:tcPr>
          <w:p w14:paraId="5023FD7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607" w:type="dxa"/>
            <w:noWrap w:val="0"/>
            <w:vAlign w:val="center"/>
          </w:tcPr>
          <w:p w14:paraId="08A44F1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961" w:type="dxa"/>
            <w:noWrap/>
            <w:vAlign w:val="center"/>
          </w:tcPr>
          <w:p w14:paraId="5A32648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2574" w:type="dxa"/>
            <w:noWrap w:val="0"/>
            <w:vAlign w:val="center"/>
          </w:tcPr>
          <w:p w14:paraId="6116A7C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r>
      <w:tr w14:paraId="0B91F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571" w:type="dxa"/>
            <w:noWrap/>
            <w:vAlign w:val="center"/>
          </w:tcPr>
          <w:p w14:paraId="25CF7F8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1866" w:type="dxa"/>
            <w:noWrap w:val="0"/>
            <w:vAlign w:val="center"/>
          </w:tcPr>
          <w:p w14:paraId="79CED75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1954" w:type="dxa"/>
            <w:noWrap w:val="0"/>
            <w:vAlign w:val="center"/>
          </w:tcPr>
          <w:p w14:paraId="6253CFE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421" w:type="dxa"/>
            <w:noWrap w:val="0"/>
            <w:vAlign w:val="center"/>
          </w:tcPr>
          <w:p w14:paraId="09B130B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1487" w:type="dxa"/>
            <w:noWrap w:val="0"/>
            <w:vAlign w:val="center"/>
          </w:tcPr>
          <w:p w14:paraId="71F4382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607" w:type="dxa"/>
            <w:noWrap w:val="0"/>
            <w:vAlign w:val="center"/>
          </w:tcPr>
          <w:p w14:paraId="273FAC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961" w:type="dxa"/>
            <w:noWrap/>
            <w:vAlign w:val="center"/>
          </w:tcPr>
          <w:p w14:paraId="178368F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2574" w:type="dxa"/>
            <w:noWrap w:val="0"/>
            <w:vAlign w:val="center"/>
          </w:tcPr>
          <w:p w14:paraId="55D3E23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r>
      <w:tr w14:paraId="63161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571" w:type="dxa"/>
            <w:noWrap/>
            <w:vAlign w:val="center"/>
          </w:tcPr>
          <w:p w14:paraId="33ED080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1866" w:type="dxa"/>
            <w:noWrap w:val="0"/>
            <w:vAlign w:val="center"/>
          </w:tcPr>
          <w:p w14:paraId="26D53D0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1954" w:type="dxa"/>
            <w:noWrap w:val="0"/>
            <w:vAlign w:val="center"/>
          </w:tcPr>
          <w:p w14:paraId="5F836B5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421" w:type="dxa"/>
            <w:noWrap w:val="0"/>
            <w:vAlign w:val="center"/>
          </w:tcPr>
          <w:p w14:paraId="35B6C71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1487" w:type="dxa"/>
            <w:noWrap w:val="0"/>
            <w:vAlign w:val="center"/>
          </w:tcPr>
          <w:p w14:paraId="578090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607" w:type="dxa"/>
            <w:noWrap w:val="0"/>
            <w:vAlign w:val="center"/>
          </w:tcPr>
          <w:p w14:paraId="7B70F25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961" w:type="dxa"/>
            <w:noWrap/>
            <w:vAlign w:val="center"/>
          </w:tcPr>
          <w:p w14:paraId="23729D82">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c>
          <w:tcPr>
            <w:tcW w:w="2574" w:type="dxa"/>
            <w:noWrap w:val="0"/>
            <w:vAlign w:val="center"/>
          </w:tcPr>
          <w:p w14:paraId="7606F89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p>
        </w:tc>
      </w:tr>
    </w:tbl>
    <w:p w14:paraId="087ABD57">
      <w:pPr>
        <w:spacing w:line="360" w:lineRule="auto"/>
        <w:rPr>
          <w:rFonts w:hint="eastAsia" w:eastAsia="宋体"/>
          <w:color w:val="auto"/>
          <w:szCs w:val="21"/>
          <w:highlight w:val="none"/>
          <w:u w:val="none"/>
          <w:lang w:val="en-US" w:eastAsia="zh-CN"/>
        </w:rPr>
      </w:pPr>
      <w:r>
        <w:rPr>
          <w:rFonts w:hint="eastAsia"/>
          <w:color w:val="auto"/>
          <w:szCs w:val="21"/>
          <w:highlight w:val="none"/>
          <w:u w:val="none"/>
          <w:lang w:val="en-US" w:eastAsia="zh-CN"/>
        </w:rPr>
        <w:t>注：</w:t>
      </w:r>
      <w:r>
        <w:rPr>
          <w:rFonts w:hint="eastAsia"/>
          <w:color w:val="auto"/>
          <w:highlight w:val="none"/>
          <w:u w:val="none"/>
          <w:lang w:val="en-US" w:eastAsia="zh-CN"/>
        </w:rPr>
        <w:t>派工维修过程中，供方需将图纸编号刻制于模具本体上。</w:t>
      </w:r>
    </w:p>
    <w:p w14:paraId="30B9C4AF">
      <w:pPr>
        <w:spacing w:line="360" w:lineRule="auto"/>
        <w:ind w:firstLine="420" w:firstLineChars="200"/>
        <w:rPr>
          <w:rFonts w:hint="eastAsia" w:hAnsi="宋体"/>
          <w:color w:val="auto"/>
          <w:szCs w:val="21"/>
          <w:highlight w:val="none"/>
          <w:u w:val="none"/>
        </w:rPr>
      </w:pPr>
      <w:r>
        <w:rPr>
          <w:color w:val="auto"/>
          <w:szCs w:val="21"/>
          <w:highlight w:val="none"/>
          <w:u w:val="none"/>
        </w:rPr>
        <w:t>1.1.1</w:t>
      </w:r>
      <w:r>
        <w:rPr>
          <w:rFonts w:hint="eastAsia" w:hAnsi="宋体"/>
          <w:color w:val="auto"/>
          <w:szCs w:val="21"/>
          <w:highlight w:val="none"/>
          <w:u w:val="none"/>
          <w:lang w:eastAsia="zh-CN"/>
        </w:rPr>
        <w:t>以实际派工数量为准。</w:t>
      </w:r>
      <w:r>
        <w:rPr>
          <w:rFonts w:hAnsi="宋体"/>
          <w:color w:val="auto"/>
          <w:szCs w:val="21"/>
          <w:highlight w:val="none"/>
          <w:u w:val="none"/>
        </w:rPr>
        <w:t>实际要货</w:t>
      </w:r>
      <w:r>
        <w:rPr>
          <w:rFonts w:hint="eastAsia" w:hAnsi="宋体"/>
          <w:color w:val="auto"/>
          <w:szCs w:val="21"/>
          <w:highlight w:val="none"/>
          <w:u w:val="none"/>
          <w:lang w:val="en-US" w:eastAsia="zh-CN"/>
        </w:rPr>
        <w:t>时间</w:t>
      </w:r>
      <w:r>
        <w:rPr>
          <w:rFonts w:hAnsi="宋体"/>
          <w:color w:val="auto"/>
          <w:szCs w:val="21"/>
          <w:highlight w:val="none"/>
          <w:u w:val="none"/>
        </w:rPr>
        <w:t>以需方发出的派工单</w:t>
      </w:r>
      <w:r>
        <w:rPr>
          <w:rFonts w:hint="eastAsia" w:hAnsi="宋体"/>
          <w:color w:val="auto"/>
          <w:szCs w:val="21"/>
          <w:highlight w:val="none"/>
          <w:u w:val="none"/>
          <w:lang w:val="en-US" w:eastAsia="zh-CN"/>
        </w:rPr>
        <w:t>或订单</w:t>
      </w:r>
      <w:r>
        <w:rPr>
          <w:rFonts w:hint="eastAsia" w:hAnsi="宋体"/>
          <w:color w:val="auto"/>
          <w:szCs w:val="21"/>
          <w:highlight w:val="none"/>
          <w:u w:val="none"/>
          <w:lang w:eastAsia="zh-CN"/>
        </w:rPr>
        <w:t>要求</w:t>
      </w:r>
      <w:r>
        <w:rPr>
          <w:rFonts w:hAnsi="宋体"/>
          <w:color w:val="auto"/>
          <w:szCs w:val="21"/>
          <w:highlight w:val="none"/>
          <w:u w:val="none"/>
        </w:rPr>
        <w:t>为准。</w:t>
      </w:r>
    </w:p>
    <w:p w14:paraId="1C2D373C">
      <w:pPr>
        <w:spacing w:line="360" w:lineRule="auto"/>
        <w:ind w:firstLine="420" w:firstLineChars="200"/>
        <w:rPr>
          <w:rFonts w:hint="eastAsia" w:eastAsia="宋体"/>
          <w:color w:val="auto"/>
          <w:szCs w:val="21"/>
          <w:highlight w:val="none"/>
          <w:u w:val="none"/>
          <w:lang w:eastAsia="zh-CN"/>
        </w:rPr>
      </w:pPr>
      <w:r>
        <w:rPr>
          <w:rFonts w:hint="eastAsia" w:hAnsi="宋体"/>
          <w:color w:val="auto"/>
          <w:szCs w:val="21"/>
          <w:highlight w:val="none"/>
          <w:u w:val="none"/>
        </w:rPr>
        <w:t>1.1.2合同内容为按要求进行焊修的，包含同类工装间的改制焊修。</w:t>
      </w:r>
    </w:p>
    <w:p w14:paraId="32E165F6">
      <w:pPr>
        <w:spacing w:line="360" w:lineRule="auto"/>
        <w:ind w:firstLine="420" w:firstLineChars="200"/>
        <w:rPr>
          <w:rFonts w:hAnsi="宋体"/>
          <w:color w:val="auto"/>
          <w:szCs w:val="21"/>
          <w:highlight w:val="none"/>
          <w:u w:val="none"/>
        </w:rPr>
      </w:pPr>
      <w:r>
        <w:rPr>
          <w:color w:val="auto"/>
          <w:szCs w:val="21"/>
          <w:highlight w:val="none"/>
          <w:u w:val="none"/>
        </w:rPr>
        <w:t>1.1.</w:t>
      </w:r>
      <w:r>
        <w:rPr>
          <w:rFonts w:hint="eastAsia"/>
          <w:color w:val="auto"/>
          <w:szCs w:val="21"/>
          <w:highlight w:val="none"/>
          <w:u w:val="none"/>
        </w:rPr>
        <w:t>3</w:t>
      </w:r>
      <w:r>
        <w:rPr>
          <w:rFonts w:hAnsi="宋体"/>
          <w:color w:val="auto"/>
          <w:szCs w:val="21"/>
          <w:highlight w:val="none"/>
          <w:u w:val="none"/>
        </w:rPr>
        <w:t>本合同单价是指产品到达需方指定地点的不含税价格，包括但不限于合同设备、外购、外协、配套件、原材料及设计、生产制造、检验、油漆、包装、随机备品备件、易损件、保险、管理、运</w:t>
      </w:r>
      <w:r>
        <w:rPr>
          <w:rFonts w:hint="eastAsia" w:hAnsi="宋体"/>
          <w:color w:val="auto"/>
          <w:szCs w:val="21"/>
          <w:highlight w:val="none"/>
          <w:u w:val="none"/>
        </w:rPr>
        <w:t>输</w:t>
      </w:r>
      <w:r>
        <w:rPr>
          <w:rFonts w:hAnsi="宋体"/>
          <w:color w:val="auto"/>
          <w:szCs w:val="21"/>
          <w:highlight w:val="none"/>
          <w:u w:val="none"/>
        </w:rPr>
        <w:t>、安装、调试、培训、配合、图纸资料及双方约定的交货方式相关费用等全部费用。</w:t>
      </w:r>
    </w:p>
    <w:p w14:paraId="2075C2BC">
      <w:pPr>
        <w:spacing w:line="360" w:lineRule="auto"/>
        <w:ind w:firstLine="420" w:firstLineChars="200"/>
        <w:rPr>
          <w:color w:val="auto"/>
          <w:szCs w:val="21"/>
          <w:highlight w:val="none"/>
          <w:u w:val="none"/>
        </w:rPr>
      </w:pPr>
      <w:r>
        <w:rPr>
          <w:color w:val="auto"/>
          <w:szCs w:val="21"/>
          <w:highlight w:val="none"/>
          <w:u w:val="none"/>
        </w:rPr>
        <w:t>1.2</w:t>
      </w:r>
      <w:r>
        <w:rPr>
          <w:rFonts w:hAnsi="宋体"/>
          <w:color w:val="auto"/>
          <w:szCs w:val="21"/>
          <w:highlight w:val="none"/>
          <w:u w:val="none"/>
        </w:rPr>
        <w:t>本合同执行</w:t>
      </w:r>
      <w:r>
        <w:rPr>
          <w:color w:val="auto"/>
          <w:szCs w:val="21"/>
          <w:highlight w:val="none"/>
          <w:u w:val="none"/>
        </w:rPr>
        <w:t>13%</w:t>
      </w:r>
      <w:r>
        <w:rPr>
          <w:rFonts w:hAnsi="宋体"/>
          <w:color w:val="auto"/>
          <w:szCs w:val="21"/>
          <w:highlight w:val="none"/>
          <w:u w:val="none"/>
        </w:rPr>
        <w:t>的税率，如国家出台新政策对增值税率进行了调整，则不含税价款不变，本合同含税总价在不含税价基础上根据国家最新税率进行相应的调整。</w:t>
      </w:r>
    </w:p>
    <w:p w14:paraId="4F9871DE">
      <w:pPr>
        <w:spacing w:line="360" w:lineRule="auto"/>
        <w:ind w:firstLine="420" w:firstLineChars="200"/>
        <w:rPr>
          <w:rFonts w:hint="eastAsia"/>
          <w:color w:val="auto"/>
          <w:highlight w:val="none"/>
          <w:u w:val="none"/>
          <w:lang w:val="en-US" w:eastAsia="zh-CN"/>
        </w:rPr>
      </w:pPr>
      <w:r>
        <w:rPr>
          <w:rFonts w:ascii="Times New Roman" w:hAnsi="宋体" w:eastAsia="宋体" w:cs="Times New Roman"/>
          <w:color w:val="auto"/>
          <w:szCs w:val="21"/>
          <w:highlight w:val="none"/>
          <w:u w:val="none"/>
        </w:rPr>
        <w:t>1.3</w:t>
      </w:r>
      <w:r>
        <w:rPr>
          <w:rFonts w:hAnsi="宋体"/>
          <w:color w:val="auto"/>
          <w:szCs w:val="21"/>
          <w:highlight w:val="none"/>
          <w:u w:val="none"/>
        </w:rPr>
        <w:t>结算方式：</w:t>
      </w:r>
      <w:r>
        <w:rPr>
          <w:rFonts w:hint="eastAsia" w:ascii="Times New Roman" w:hAnsi="宋体" w:eastAsia="宋体" w:cs="Times New Roman"/>
          <w:color w:val="auto"/>
          <w:szCs w:val="21"/>
          <w:highlight w:val="none"/>
          <w:u w:val="none"/>
          <w:lang w:val="en-US" w:eastAsia="zh-CN"/>
        </w:rPr>
        <w:t>采用发票挂账 90 天，半年期商业汇票（商业汇票包括银行承兑汇票和商业承兑汇票）付款。需方不付预付款，产品检验合格后，</w:t>
      </w:r>
      <w:r>
        <w:rPr>
          <w:rFonts w:hint="eastAsia" w:ascii="Times New Roman" w:hAnsi="宋体" w:eastAsia="宋体" w:cs="Times New Roman"/>
          <w:color w:val="auto"/>
          <w:kern w:val="2"/>
          <w:sz w:val="21"/>
          <w:szCs w:val="21"/>
          <w:highlight w:val="none"/>
          <w:u w:val="none"/>
          <w:lang w:val="en-US" w:eastAsia="zh-CN" w:bidi="ar-SA"/>
        </w:rPr>
        <w:t>需方按照约定扣除质量保证金后，</w:t>
      </w:r>
      <w:r>
        <w:rPr>
          <w:rFonts w:hint="eastAsia" w:ascii="Times New Roman" w:hAnsi="宋体" w:eastAsia="宋体" w:cs="Times New Roman"/>
          <w:color w:val="auto"/>
          <w:szCs w:val="21"/>
          <w:highlight w:val="none"/>
          <w:u w:val="none"/>
          <w:lang w:val="en-US" w:eastAsia="zh-CN"/>
        </w:rPr>
        <w:t>供方全额开具税率13%的增值税专用发票，需方依据入库单进行挂账。需方财务流程审核通过后以半年期商业汇票付款据实结算。供方开具增值税专用发票，因发票违规给需方造成的增值税、所得税等损失，由供方承担相关责任，包括但不限于税款、滞纳金、罚款及其它相关损失。</w:t>
      </w:r>
    </w:p>
    <w:p w14:paraId="4CFE3B5C">
      <w:pPr>
        <w:shd w:val="clear" w:color="auto" w:fill="auto"/>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hAnsi="宋体"/>
          <w:color w:val="auto"/>
          <w:szCs w:val="21"/>
          <w:highlight w:val="none"/>
          <w:u w:val="none"/>
          <w:lang w:val="en-US" w:eastAsia="zh-CN"/>
        </w:rPr>
        <w:t>质量保证金的收取按照</w:t>
      </w:r>
      <w:r>
        <w:rPr>
          <w:rFonts w:hAnsi="宋体"/>
          <w:color w:val="auto"/>
          <w:szCs w:val="21"/>
          <w:highlight w:val="none"/>
          <w:u w:val="none"/>
        </w:rPr>
        <w:t>《</w:t>
      </w:r>
      <w:r>
        <w:rPr>
          <w:rFonts w:hint="eastAsia" w:hAnsi="宋体"/>
          <w:color w:val="auto"/>
          <w:szCs w:val="21"/>
          <w:highlight w:val="none"/>
          <w:u w:val="none"/>
        </w:rPr>
        <w:t>采购产品质量保证与服务协议</w:t>
      </w:r>
      <w:r>
        <w:rPr>
          <w:rFonts w:hAnsi="宋体"/>
          <w:color w:val="auto"/>
          <w:szCs w:val="21"/>
          <w:highlight w:val="none"/>
          <w:u w:val="none"/>
        </w:rPr>
        <w:t>》</w:t>
      </w:r>
      <w:r>
        <w:rPr>
          <w:rFonts w:hint="eastAsia" w:hAnsi="宋体"/>
          <w:color w:val="auto"/>
          <w:szCs w:val="21"/>
          <w:highlight w:val="none"/>
          <w:u w:val="none"/>
          <w:lang w:val="en-US" w:eastAsia="zh-CN"/>
        </w:rPr>
        <w:t>执行</w:t>
      </w:r>
      <w:r>
        <w:rPr>
          <w:rFonts w:hint="eastAsia" w:ascii="Times New Roman" w:hAnsi="宋体" w:eastAsia="宋体" w:cs="Times New Roman"/>
          <w:color w:val="auto"/>
          <w:szCs w:val="21"/>
          <w:highlight w:val="none"/>
          <w:u w:val="none"/>
          <w:lang w:val="en-US" w:eastAsia="zh-CN"/>
        </w:rPr>
        <w:t>，维修后使用过程中达不到技术定额、承诺寿命的按照质量保证协议相关条款进行考核、追偿。</w:t>
      </w:r>
    </w:p>
    <w:p w14:paraId="288513B7">
      <w:pPr>
        <w:spacing w:line="360" w:lineRule="auto"/>
        <w:ind w:left="420"/>
        <w:rPr>
          <w:rFonts w:hint="eastAsia" w:hAnsi="宋体" w:eastAsia="宋体"/>
          <w:strike w:val="0"/>
          <w:dstrike w:val="0"/>
          <w:color w:val="auto"/>
          <w:szCs w:val="21"/>
          <w:highlight w:val="none"/>
          <w:u w:val="none"/>
          <w:lang w:eastAsia="zh-CN"/>
        </w:rPr>
      </w:pPr>
      <w:r>
        <w:rPr>
          <w:rFonts w:hint="eastAsia" w:hAnsi="宋体"/>
          <w:color w:val="auto"/>
          <w:szCs w:val="21"/>
          <w:highlight w:val="none"/>
          <w:u w:val="none"/>
        </w:rPr>
        <w:t>1.</w:t>
      </w:r>
      <w:r>
        <w:rPr>
          <w:rFonts w:hAnsi="宋体"/>
          <w:color w:val="auto"/>
          <w:szCs w:val="21"/>
          <w:highlight w:val="none"/>
          <w:u w:val="none"/>
        </w:rPr>
        <w:t>4</w:t>
      </w:r>
      <w:r>
        <w:rPr>
          <w:rFonts w:hint="eastAsia" w:hAnsi="宋体"/>
          <w:color w:val="auto"/>
          <w:szCs w:val="21"/>
          <w:highlight w:val="none"/>
          <w:u w:val="none"/>
        </w:rPr>
        <w:t>供方开</w:t>
      </w:r>
      <w:r>
        <w:rPr>
          <w:rFonts w:hint="eastAsia" w:hAnsi="宋体"/>
          <w:strike w:val="0"/>
          <w:dstrike w:val="0"/>
          <w:color w:val="auto"/>
          <w:szCs w:val="21"/>
          <w:highlight w:val="none"/>
          <w:u w:val="none"/>
        </w:rPr>
        <w:t>户行：</w:t>
      </w:r>
    </w:p>
    <w:p w14:paraId="3626FCF7">
      <w:pPr>
        <w:spacing w:line="360" w:lineRule="auto"/>
        <w:ind w:left="420" w:firstLine="630" w:firstLineChars="300"/>
        <w:rPr>
          <w:rFonts w:hint="eastAsia" w:hAnsi="宋体"/>
          <w:strike w:val="0"/>
          <w:dstrike w:val="0"/>
          <w:color w:val="auto"/>
          <w:szCs w:val="21"/>
          <w:highlight w:val="none"/>
          <w:u w:val="none"/>
        </w:rPr>
      </w:pPr>
      <w:r>
        <w:rPr>
          <w:rFonts w:hint="eastAsia" w:hAnsi="宋体"/>
          <w:strike w:val="0"/>
          <w:dstrike w:val="0"/>
          <w:color w:val="auto"/>
          <w:szCs w:val="21"/>
          <w:highlight w:val="none"/>
          <w:u w:val="none"/>
        </w:rPr>
        <w:t>账   号：</w:t>
      </w:r>
    </w:p>
    <w:p w14:paraId="66D1778A">
      <w:pPr>
        <w:spacing w:line="360" w:lineRule="auto"/>
        <w:ind w:firstLine="420" w:firstLineChars="200"/>
        <w:rPr>
          <w:rFonts w:hint="eastAsia" w:hAnsi="宋体" w:eastAsia="宋体"/>
          <w:color w:val="auto"/>
          <w:szCs w:val="21"/>
          <w:highlight w:val="none"/>
          <w:u w:val="none"/>
          <w:lang w:eastAsia="zh-CN"/>
        </w:rPr>
      </w:pPr>
      <w:r>
        <w:rPr>
          <w:rFonts w:hAnsi="宋体"/>
          <w:color w:val="auto"/>
          <w:szCs w:val="21"/>
          <w:highlight w:val="none"/>
          <w:u w:val="none"/>
        </w:rPr>
        <w:t>1.</w:t>
      </w:r>
      <w:r>
        <w:rPr>
          <w:rFonts w:hint="eastAsia" w:hAnsi="宋体"/>
          <w:color w:val="auto"/>
          <w:szCs w:val="21"/>
          <w:highlight w:val="none"/>
          <w:u w:val="none"/>
        </w:rPr>
        <w:t>5</w:t>
      </w:r>
      <w:r>
        <w:rPr>
          <w:rFonts w:hAnsi="宋体"/>
          <w:color w:val="auto"/>
          <w:szCs w:val="21"/>
          <w:highlight w:val="none"/>
          <w:u w:val="none"/>
        </w:rPr>
        <w:t>供方在收到需方发出的索赔费用</w:t>
      </w:r>
      <w:r>
        <w:rPr>
          <w:rFonts w:hint="eastAsia" w:hAnsi="宋体"/>
          <w:color w:val="auto"/>
          <w:szCs w:val="21"/>
          <w:highlight w:val="none"/>
          <w:u w:val="none"/>
        </w:rPr>
        <w:t>、经济考核</w:t>
      </w:r>
      <w:r>
        <w:rPr>
          <w:rFonts w:hAnsi="宋体"/>
          <w:color w:val="auto"/>
          <w:szCs w:val="21"/>
          <w:highlight w:val="none"/>
          <w:u w:val="none"/>
        </w:rPr>
        <w:t>等通知后</w:t>
      </w:r>
      <w:r>
        <w:rPr>
          <w:rFonts w:hint="eastAsia" w:hAnsi="宋体"/>
          <w:color w:val="auto"/>
          <w:szCs w:val="21"/>
          <w:highlight w:val="none"/>
          <w:u w:val="none"/>
        </w:rPr>
        <w:t>3</w:t>
      </w:r>
      <w:r>
        <w:rPr>
          <w:rFonts w:hAnsi="宋体"/>
          <w:color w:val="auto"/>
          <w:szCs w:val="21"/>
          <w:highlight w:val="none"/>
          <w:u w:val="none"/>
        </w:rPr>
        <w:t>日内应给予书面的答复</w:t>
      </w:r>
      <w:r>
        <w:rPr>
          <w:rFonts w:hint="eastAsia" w:hAnsi="宋体"/>
          <w:color w:val="auto"/>
          <w:szCs w:val="21"/>
          <w:highlight w:val="none"/>
          <w:u w:val="none"/>
        </w:rPr>
        <w:t>或申诉，</w:t>
      </w:r>
      <w:r>
        <w:rPr>
          <w:rFonts w:hAnsi="宋体"/>
          <w:color w:val="auto"/>
          <w:szCs w:val="21"/>
          <w:highlight w:val="none"/>
          <w:u w:val="none"/>
        </w:rPr>
        <w:t>否则视为同意</w:t>
      </w:r>
      <w:r>
        <w:rPr>
          <w:rFonts w:hint="eastAsia" w:hAnsi="宋体"/>
          <w:color w:val="auto"/>
          <w:szCs w:val="21"/>
          <w:highlight w:val="none"/>
          <w:u w:val="none"/>
        </w:rPr>
        <w:t>。索赔费用需方有权从应付货款中直接扣除,应付货款不足时在质量保证金中扣除；经济考核由供方以电汇或现金的方式结算</w:t>
      </w:r>
      <w:r>
        <w:rPr>
          <w:rFonts w:hint="eastAsia" w:hAnsi="宋体"/>
          <w:color w:val="auto"/>
          <w:szCs w:val="21"/>
          <w:highlight w:val="none"/>
          <w:u w:val="none"/>
          <w:lang w:eastAsia="zh-CN"/>
        </w:rPr>
        <w:t>，</w:t>
      </w:r>
      <w:r>
        <w:rPr>
          <w:rFonts w:hint="eastAsia" w:hAnsi="宋体"/>
          <w:color w:val="auto"/>
          <w:szCs w:val="21"/>
          <w:highlight w:val="none"/>
          <w:u w:val="none"/>
          <w:lang w:val="en-US" w:eastAsia="zh-CN"/>
        </w:rPr>
        <w:t>考核发生后</w:t>
      </w:r>
      <w:r>
        <w:rPr>
          <w:rFonts w:hint="eastAsia" w:hAnsi="宋体"/>
          <w:b/>
          <w:bCs/>
          <w:color w:val="auto"/>
          <w:szCs w:val="21"/>
          <w:highlight w:val="none"/>
          <w:u w:val="none"/>
          <w:lang w:eastAsia="zh-CN"/>
        </w:rPr>
        <w:t>供方拒不支付的，</w:t>
      </w:r>
      <w:r>
        <w:rPr>
          <w:rFonts w:hint="eastAsia" w:hAnsi="宋体"/>
          <w:color w:val="auto"/>
          <w:szCs w:val="21"/>
          <w:highlight w:val="none"/>
          <w:u w:val="none"/>
        </w:rPr>
        <w:t>需方有权从应付货款中直接扣除</w:t>
      </w:r>
      <w:r>
        <w:rPr>
          <w:rFonts w:hint="eastAsia" w:hAnsi="宋体"/>
          <w:b/>
          <w:bCs/>
          <w:color w:val="auto"/>
          <w:szCs w:val="21"/>
          <w:highlight w:val="none"/>
          <w:u w:val="none"/>
          <w:lang w:eastAsia="zh-CN"/>
        </w:rPr>
        <w:t>，</w:t>
      </w:r>
      <w:r>
        <w:rPr>
          <w:rFonts w:hint="eastAsia" w:hAnsi="宋体"/>
          <w:color w:val="auto"/>
          <w:szCs w:val="21"/>
          <w:highlight w:val="none"/>
          <w:u w:val="none"/>
        </w:rPr>
        <w:t>应付货款不足时在质量保证金中扣除</w:t>
      </w:r>
      <w:r>
        <w:rPr>
          <w:rFonts w:hint="eastAsia" w:hAnsi="宋体"/>
          <w:color w:val="auto"/>
          <w:szCs w:val="21"/>
          <w:highlight w:val="none"/>
          <w:u w:val="none"/>
          <w:lang w:eastAsia="zh-CN"/>
        </w:rPr>
        <w:t>。</w:t>
      </w:r>
    </w:p>
    <w:p w14:paraId="784F309A">
      <w:pPr>
        <w:spacing w:line="360" w:lineRule="auto"/>
        <w:rPr>
          <w:rFonts w:hint="eastAsia" w:eastAsia="黑体"/>
          <w:b/>
          <w:color w:val="auto"/>
          <w:szCs w:val="21"/>
          <w:highlight w:val="none"/>
          <w:u w:val="none"/>
        </w:rPr>
      </w:pPr>
      <w:r>
        <w:rPr>
          <w:rFonts w:hint="eastAsia" w:eastAsia="黑体"/>
          <w:b/>
          <w:color w:val="auto"/>
          <w:szCs w:val="21"/>
          <w:highlight w:val="none"/>
          <w:u w:val="none"/>
        </w:rPr>
        <w:t>二、</w:t>
      </w:r>
      <w:r>
        <w:rPr>
          <w:rFonts w:hint="eastAsia" w:eastAsia="黑体"/>
          <w:b/>
          <w:color w:val="auto"/>
          <w:szCs w:val="21"/>
          <w:highlight w:val="none"/>
          <w:u w:val="none"/>
          <w:lang w:val="en-US" w:eastAsia="zh-CN"/>
        </w:rPr>
        <w:t>合同</w:t>
      </w:r>
      <w:r>
        <w:rPr>
          <w:rFonts w:hint="eastAsia" w:eastAsia="黑体"/>
          <w:b/>
          <w:color w:val="auto"/>
          <w:szCs w:val="21"/>
          <w:highlight w:val="none"/>
          <w:u w:val="none"/>
          <w:lang w:eastAsia="zh-CN"/>
        </w:rPr>
        <w:t>派工单</w:t>
      </w:r>
      <w:r>
        <w:rPr>
          <w:rFonts w:hint="eastAsia" w:eastAsia="黑体"/>
          <w:b/>
          <w:color w:val="auto"/>
          <w:szCs w:val="21"/>
          <w:highlight w:val="none"/>
          <w:u w:val="none"/>
          <w:lang w:val="en-US" w:eastAsia="zh-CN"/>
        </w:rPr>
        <w:t>或订单</w:t>
      </w:r>
      <w:r>
        <w:rPr>
          <w:rFonts w:hint="eastAsia" w:eastAsia="黑体"/>
          <w:b/>
          <w:color w:val="auto"/>
          <w:szCs w:val="21"/>
          <w:highlight w:val="none"/>
          <w:u w:val="none"/>
        </w:rPr>
        <w:t>的执行</w:t>
      </w:r>
    </w:p>
    <w:p w14:paraId="4989B302">
      <w:pPr>
        <w:spacing w:line="360" w:lineRule="auto"/>
        <w:ind w:firstLine="420" w:firstLineChars="200"/>
        <w:rPr>
          <w:rFonts w:hint="eastAsia"/>
          <w:color w:val="auto"/>
          <w:szCs w:val="21"/>
          <w:highlight w:val="none"/>
          <w:u w:val="none"/>
        </w:rPr>
      </w:pPr>
      <w:r>
        <w:rPr>
          <w:rFonts w:hint="eastAsia"/>
          <w:color w:val="auto"/>
          <w:szCs w:val="21"/>
          <w:highlight w:val="none"/>
          <w:u w:val="none"/>
        </w:rPr>
        <w:t>2.1、</w:t>
      </w:r>
      <w:r>
        <w:rPr>
          <w:rFonts w:hint="eastAsia"/>
          <w:color w:val="auto"/>
          <w:szCs w:val="21"/>
          <w:highlight w:val="none"/>
          <w:u w:val="none"/>
          <w:lang w:val="en-US" w:eastAsia="zh-CN"/>
        </w:rPr>
        <w:t>派工单或订单</w:t>
      </w:r>
      <w:r>
        <w:rPr>
          <w:rFonts w:hint="eastAsia"/>
          <w:color w:val="auto"/>
          <w:szCs w:val="21"/>
          <w:highlight w:val="none"/>
          <w:u w:val="none"/>
        </w:rPr>
        <w:t>的执行</w:t>
      </w:r>
      <w:r>
        <w:rPr>
          <w:rFonts w:hint="eastAsia"/>
          <w:color w:val="auto"/>
          <w:szCs w:val="21"/>
          <w:highlight w:val="none"/>
          <w:u w:val="none"/>
        </w:rPr>
        <w:tab/>
      </w:r>
    </w:p>
    <w:p w14:paraId="375E8226">
      <w:pPr>
        <w:spacing w:line="360" w:lineRule="auto"/>
        <w:ind w:firstLine="420" w:firstLineChars="200"/>
        <w:rPr>
          <w:rFonts w:hint="eastAsia"/>
          <w:strike w:val="0"/>
          <w:dstrike w:val="0"/>
          <w:color w:val="auto"/>
          <w:szCs w:val="21"/>
          <w:highlight w:val="none"/>
          <w:u w:val="none"/>
        </w:rPr>
      </w:pPr>
      <w:r>
        <w:rPr>
          <w:rFonts w:hint="eastAsia"/>
          <w:color w:val="auto"/>
          <w:szCs w:val="21"/>
          <w:highlight w:val="none"/>
          <w:u w:val="none"/>
        </w:rPr>
        <w:t>2.1.1</w:t>
      </w:r>
      <w:r>
        <w:rPr>
          <w:rFonts w:hint="eastAsia" w:ascii="Times New Roman" w:hAnsi="Times New Roman" w:eastAsia="宋体" w:cs="Times New Roman"/>
          <w:color w:val="auto"/>
          <w:szCs w:val="21"/>
          <w:highlight w:val="none"/>
          <w:u w:val="none"/>
          <w:lang w:val="en-US" w:eastAsia="zh-CN"/>
        </w:rPr>
        <w:t>交货期</w:t>
      </w:r>
      <w:r>
        <w:rPr>
          <w:rFonts w:hint="eastAsia" w:ascii="Times New Roman" w:hAnsi="Times New Roman" w:eastAsia="宋体" w:cs="Times New Roman"/>
          <w:color w:val="auto"/>
          <w:szCs w:val="21"/>
          <w:highlight w:val="none"/>
          <w:u w:val="none"/>
        </w:rPr>
        <w:t>以实际派工日期开始计算</w:t>
      </w:r>
      <w:r>
        <w:rPr>
          <w:rFonts w:hint="eastAsia" w:ascii="Times New Roman" w:hAnsi="Times New Roman" w:eastAsia="宋体" w:cs="Times New Roman"/>
          <w:color w:val="auto"/>
          <w:szCs w:val="21"/>
          <w:highlight w:val="none"/>
          <w:u w:val="none"/>
          <w:lang w:eastAsia="zh-CN"/>
        </w:rPr>
        <w:t>，</w:t>
      </w:r>
      <w:r>
        <w:rPr>
          <w:rFonts w:hint="eastAsia" w:ascii="Times New Roman" w:hAnsi="Times New Roman" w:eastAsia="宋体" w:cs="Times New Roman"/>
          <w:color w:val="auto"/>
          <w:szCs w:val="21"/>
          <w:highlight w:val="none"/>
          <w:u w:val="none"/>
          <w:lang w:val="en-US" w:eastAsia="zh-CN"/>
        </w:rPr>
        <w:t>80天</w:t>
      </w:r>
      <w:r>
        <w:rPr>
          <w:rFonts w:hint="eastAsia" w:ascii="Times New Roman" w:hAnsi="Times New Roman" w:eastAsia="宋体" w:cs="Times New Roman"/>
          <w:color w:val="auto"/>
          <w:szCs w:val="21"/>
          <w:highlight w:val="none"/>
          <w:u w:val="none"/>
        </w:rPr>
        <w:t>内完成</w:t>
      </w:r>
      <w:r>
        <w:rPr>
          <w:rFonts w:hint="eastAsia" w:ascii="Times New Roman" w:hAnsi="Times New Roman" w:eastAsia="宋体" w:cs="Times New Roman"/>
          <w:color w:val="auto"/>
          <w:szCs w:val="21"/>
          <w:highlight w:val="none"/>
          <w:u w:val="none"/>
          <w:lang w:val="en-US" w:eastAsia="zh-CN"/>
        </w:rPr>
        <w:t>制作，</w:t>
      </w:r>
      <w:r>
        <w:rPr>
          <w:rFonts w:hint="eastAsia"/>
          <w:color w:val="auto"/>
          <w:szCs w:val="21"/>
          <w:highlight w:val="none"/>
          <w:u w:val="none"/>
        </w:rPr>
        <w:t>供方应根据派工单</w:t>
      </w:r>
      <w:r>
        <w:rPr>
          <w:rFonts w:hint="eastAsia"/>
          <w:color w:val="auto"/>
          <w:szCs w:val="21"/>
          <w:highlight w:val="none"/>
          <w:u w:val="none"/>
          <w:lang w:val="en-US" w:eastAsia="zh-CN"/>
        </w:rPr>
        <w:t>或订单</w:t>
      </w:r>
      <w:r>
        <w:rPr>
          <w:rFonts w:hint="eastAsia"/>
          <w:color w:val="auto"/>
          <w:szCs w:val="21"/>
          <w:highlight w:val="none"/>
          <w:u w:val="none"/>
        </w:rPr>
        <w:t>，满足需方交货数量和交货时间</w:t>
      </w:r>
      <w:r>
        <w:rPr>
          <w:rFonts w:hint="eastAsia"/>
          <w:color w:val="auto"/>
          <w:szCs w:val="21"/>
          <w:highlight w:val="none"/>
          <w:u w:val="none"/>
          <w:lang w:eastAsia="zh-CN"/>
        </w:rPr>
        <w:t>等</w:t>
      </w:r>
      <w:r>
        <w:rPr>
          <w:rFonts w:hint="eastAsia"/>
          <w:color w:val="auto"/>
          <w:szCs w:val="21"/>
          <w:highlight w:val="none"/>
          <w:u w:val="none"/>
        </w:rPr>
        <w:t>要求，需方按照双方确认的实际交付</w:t>
      </w:r>
      <w:r>
        <w:rPr>
          <w:rFonts w:hint="eastAsia"/>
          <w:strike w:val="0"/>
          <w:dstrike w:val="0"/>
          <w:color w:val="auto"/>
          <w:szCs w:val="21"/>
          <w:highlight w:val="none"/>
          <w:u w:val="none"/>
        </w:rPr>
        <w:t>的数</w:t>
      </w:r>
      <w:r>
        <w:rPr>
          <w:rFonts w:hint="eastAsia"/>
          <w:color w:val="auto"/>
          <w:szCs w:val="21"/>
          <w:highlight w:val="none"/>
          <w:u w:val="none"/>
        </w:rPr>
        <w:t>量进行结算。</w:t>
      </w:r>
      <w:r>
        <w:rPr>
          <w:rFonts w:hint="eastAsia"/>
          <w:strike w:val="0"/>
          <w:dstrike w:val="0"/>
          <w:color w:val="auto"/>
          <w:szCs w:val="21"/>
          <w:highlight w:val="none"/>
          <w:u w:val="none"/>
        </w:rPr>
        <w:t>需方通过派工单要求供方交付但供方未实际供货的工具工装产品，如供方欲事后再次交付，需方有权</w:t>
      </w:r>
      <w:r>
        <w:rPr>
          <w:rFonts w:hint="eastAsia"/>
          <w:strike w:val="0"/>
          <w:dstrike w:val="0"/>
          <w:color w:val="auto"/>
          <w:szCs w:val="21"/>
          <w:highlight w:val="none"/>
          <w:u w:val="none"/>
          <w:lang w:val="en-US" w:eastAsia="zh-CN"/>
        </w:rPr>
        <w:t>取消订单，并根据实际情况按违约责任5.2条款进行处罚</w:t>
      </w:r>
      <w:r>
        <w:rPr>
          <w:rFonts w:hint="eastAsia"/>
          <w:strike w:val="0"/>
          <w:dstrike w:val="0"/>
          <w:color w:val="auto"/>
          <w:szCs w:val="21"/>
          <w:highlight w:val="none"/>
          <w:u w:val="none"/>
        </w:rPr>
        <w:t>。</w:t>
      </w:r>
    </w:p>
    <w:p w14:paraId="2C2223C0">
      <w:pPr>
        <w:spacing w:line="360" w:lineRule="auto"/>
        <w:ind w:firstLine="420" w:firstLineChars="200"/>
        <w:rPr>
          <w:rFonts w:hint="eastAsia"/>
          <w:color w:val="auto"/>
          <w:szCs w:val="21"/>
          <w:highlight w:val="none"/>
          <w:u w:val="none"/>
        </w:rPr>
      </w:pPr>
      <w:r>
        <w:rPr>
          <w:rFonts w:hint="eastAsia"/>
          <w:color w:val="auto"/>
          <w:szCs w:val="21"/>
          <w:highlight w:val="none"/>
          <w:u w:val="none"/>
        </w:rPr>
        <w:t>2.1.2</w:t>
      </w:r>
      <w:r>
        <w:rPr>
          <w:rFonts w:hint="eastAsia"/>
          <w:color w:val="auto"/>
          <w:szCs w:val="21"/>
          <w:highlight w:val="none"/>
          <w:u w:val="none"/>
          <w:lang w:eastAsia="zh-CN"/>
        </w:rPr>
        <w:t>供方需积极配合完成需方的生产保供工作，</w:t>
      </w:r>
      <w:r>
        <w:rPr>
          <w:rFonts w:hint="eastAsia"/>
          <w:color w:val="auto"/>
          <w:szCs w:val="21"/>
          <w:highlight w:val="none"/>
          <w:u w:val="none"/>
        </w:rPr>
        <w:t>当需方为满足紧急生产需要向供方提出紧急派工</w:t>
      </w:r>
      <w:r>
        <w:rPr>
          <w:rFonts w:hint="eastAsia"/>
          <w:color w:val="auto"/>
          <w:szCs w:val="21"/>
          <w:highlight w:val="none"/>
          <w:u w:val="none"/>
          <w:lang w:val="en-US" w:eastAsia="zh-CN"/>
        </w:rPr>
        <w:t>时</w:t>
      </w:r>
      <w:r>
        <w:rPr>
          <w:rFonts w:hint="eastAsia"/>
          <w:color w:val="auto"/>
          <w:szCs w:val="21"/>
          <w:highlight w:val="none"/>
          <w:u w:val="none"/>
        </w:rPr>
        <w:t>，供方在接到派工单</w:t>
      </w:r>
      <w:r>
        <w:rPr>
          <w:rFonts w:hint="eastAsia"/>
          <w:color w:val="auto"/>
          <w:szCs w:val="21"/>
          <w:highlight w:val="none"/>
          <w:u w:val="none"/>
          <w:lang w:val="en-US" w:eastAsia="zh-CN"/>
        </w:rPr>
        <w:t>或订单</w:t>
      </w:r>
      <w:r>
        <w:rPr>
          <w:rFonts w:hint="eastAsia"/>
          <w:color w:val="auto"/>
          <w:szCs w:val="21"/>
          <w:highlight w:val="none"/>
          <w:u w:val="none"/>
        </w:rPr>
        <w:t>后应在1个小时内做出反应，</w:t>
      </w:r>
      <w:r>
        <w:rPr>
          <w:rFonts w:hint="eastAsia"/>
          <w:color w:val="auto"/>
          <w:szCs w:val="21"/>
          <w:highlight w:val="none"/>
          <w:u w:val="none"/>
          <w:lang w:eastAsia="zh-CN"/>
        </w:rPr>
        <w:t>策划方案满足需方要求，</w:t>
      </w:r>
      <w:r>
        <w:rPr>
          <w:rFonts w:hint="eastAsia"/>
          <w:strike w:val="0"/>
          <w:dstrike w:val="0"/>
          <w:color w:val="auto"/>
          <w:szCs w:val="21"/>
          <w:highlight w:val="none"/>
          <w:u w:val="none"/>
          <w:lang w:eastAsia="zh-CN"/>
        </w:rPr>
        <w:t>特殊情况</w:t>
      </w:r>
      <w:r>
        <w:rPr>
          <w:rFonts w:hint="eastAsia"/>
          <w:strike w:val="0"/>
          <w:color w:val="auto"/>
          <w:szCs w:val="21"/>
          <w:highlight w:val="none"/>
          <w:u w:val="none"/>
          <w:lang w:eastAsia="zh-CN"/>
        </w:rPr>
        <w:t>双方协调解决，或</w:t>
      </w:r>
      <w:r>
        <w:rPr>
          <w:rFonts w:hint="eastAsia"/>
          <w:color w:val="auto"/>
          <w:szCs w:val="21"/>
          <w:highlight w:val="none"/>
          <w:u w:val="none"/>
        </w:rPr>
        <w:t>采取其它的应急措施。</w:t>
      </w:r>
    </w:p>
    <w:p w14:paraId="443DC105">
      <w:pPr>
        <w:numPr>
          <w:ilvl w:val="0"/>
          <w:numId w:val="0"/>
        </w:numPr>
        <w:spacing w:line="360" w:lineRule="auto"/>
        <w:ind w:leftChars="0" w:firstLine="420" w:firstLineChars="200"/>
        <w:rPr>
          <w:rFonts w:hint="eastAsia"/>
          <w:strike w:val="0"/>
          <w:dstrike w:val="0"/>
          <w:color w:val="auto"/>
          <w:szCs w:val="21"/>
          <w:highlight w:val="none"/>
          <w:u w:val="none"/>
          <w:lang w:val="en-US" w:eastAsia="zh-CN"/>
        </w:rPr>
      </w:pPr>
      <w:r>
        <w:rPr>
          <w:rFonts w:hint="eastAsia"/>
          <w:color w:val="auto"/>
          <w:szCs w:val="21"/>
          <w:highlight w:val="none"/>
          <w:u w:val="none"/>
        </w:rPr>
        <w:t>2.1.3</w:t>
      </w:r>
      <w:r>
        <w:rPr>
          <w:rFonts w:hint="eastAsia"/>
          <w:color w:val="auto"/>
          <w:szCs w:val="21"/>
          <w:highlight w:val="none"/>
          <w:u w:val="none"/>
          <w:lang w:val="en-US" w:eastAsia="zh-CN"/>
        </w:rPr>
        <w:t>合</w:t>
      </w:r>
      <w:r>
        <w:rPr>
          <w:rFonts w:hint="eastAsia"/>
          <w:strike w:val="0"/>
          <w:dstrike w:val="0"/>
          <w:color w:val="auto"/>
          <w:szCs w:val="21"/>
          <w:highlight w:val="none"/>
          <w:u w:val="none"/>
          <w:lang w:val="en-US" w:eastAsia="zh-CN"/>
        </w:rPr>
        <w:t>同执行过程中供方无法按期交货时，应以书面形式向需方反馈，需方根据实际生产情况按照违约责任5.2条款进行处理。</w:t>
      </w:r>
    </w:p>
    <w:p w14:paraId="0BDF5C65">
      <w:pPr>
        <w:spacing w:line="360" w:lineRule="auto"/>
        <w:ind w:left="420" w:leftChars="200" w:firstLine="0" w:firstLineChars="0"/>
        <w:rPr>
          <w:rFonts w:hint="eastAsia"/>
          <w:color w:val="auto"/>
          <w:szCs w:val="21"/>
          <w:highlight w:val="none"/>
          <w:u w:val="none"/>
        </w:rPr>
      </w:pPr>
      <w:r>
        <w:rPr>
          <w:rFonts w:hint="eastAsia"/>
          <w:color w:val="auto"/>
          <w:szCs w:val="21"/>
          <w:highlight w:val="none"/>
          <w:u w:val="none"/>
        </w:rPr>
        <w:t>2.2、工具工装产品包装规定</w:t>
      </w:r>
    </w:p>
    <w:p w14:paraId="4E228FB2">
      <w:pPr>
        <w:spacing w:line="360" w:lineRule="auto"/>
        <w:ind w:firstLine="420" w:firstLineChars="200"/>
        <w:rPr>
          <w:rFonts w:hint="eastAsia"/>
          <w:color w:val="auto"/>
          <w:szCs w:val="21"/>
          <w:highlight w:val="none"/>
          <w:u w:val="none"/>
        </w:rPr>
      </w:pPr>
      <w:r>
        <w:rPr>
          <w:rFonts w:hint="eastAsia"/>
          <w:color w:val="auto"/>
          <w:szCs w:val="21"/>
          <w:highlight w:val="none"/>
          <w:u w:val="none"/>
        </w:rPr>
        <w:t>供方须对其所供工具工装产品的包装质量负责，须保证工具工装产品的品质在运输、装卸与仓储过程中无变化。因包装防护不当造成的工具工装产品品质变化及其它损失，全部由供方承担。</w:t>
      </w:r>
    </w:p>
    <w:p w14:paraId="4A1B3EC8">
      <w:pPr>
        <w:spacing w:line="360" w:lineRule="auto"/>
        <w:ind w:firstLine="420" w:firstLineChars="200"/>
        <w:rPr>
          <w:rFonts w:hint="eastAsia"/>
          <w:color w:val="auto"/>
          <w:szCs w:val="21"/>
          <w:highlight w:val="none"/>
          <w:u w:val="none"/>
        </w:rPr>
      </w:pPr>
      <w:r>
        <w:rPr>
          <w:rFonts w:hint="eastAsia"/>
          <w:color w:val="auto"/>
          <w:szCs w:val="21"/>
          <w:highlight w:val="none"/>
          <w:u w:val="none"/>
        </w:rPr>
        <w:t>2.3、履行地</w:t>
      </w:r>
    </w:p>
    <w:p w14:paraId="37423811">
      <w:pPr>
        <w:spacing w:line="360" w:lineRule="auto"/>
        <w:ind w:firstLine="420" w:firstLineChars="200"/>
        <w:rPr>
          <w:rFonts w:hint="eastAsia"/>
          <w:color w:val="auto"/>
          <w:szCs w:val="21"/>
          <w:highlight w:val="none"/>
          <w:u w:val="none"/>
        </w:rPr>
      </w:pPr>
      <w:r>
        <w:rPr>
          <w:rFonts w:hint="eastAsia"/>
          <w:color w:val="auto"/>
          <w:szCs w:val="21"/>
          <w:highlight w:val="none"/>
          <w:u w:val="none"/>
        </w:rPr>
        <w:t>2.3.</w:t>
      </w:r>
      <w:r>
        <w:rPr>
          <w:rFonts w:hint="eastAsia"/>
          <w:color w:val="auto"/>
          <w:szCs w:val="21"/>
          <w:highlight w:val="none"/>
          <w:u w:val="none"/>
          <w:lang w:val="en-US" w:eastAsia="zh-CN"/>
        </w:rPr>
        <w:t>1</w:t>
      </w:r>
      <w:r>
        <w:rPr>
          <w:rFonts w:hint="eastAsia"/>
          <w:color w:val="auto"/>
          <w:szCs w:val="21"/>
          <w:highlight w:val="none"/>
          <w:u w:val="none"/>
        </w:rPr>
        <w:t>供方承担工具工装产品的运输，工具工装产品在需方相关人员确认签收以前，工具工装产品丢失、损毁等所有风险由供方承担。</w:t>
      </w:r>
    </w:p>
    <w:p w14:paraId="03C45307">
      <w:pPr>
        <w:spacing w:line="360" w:lineRule="auto"/>
        <w:rPr>
          <w:rFonts w:eastAsia="黑体"/>
          <w:b/>
          <w:color w:val="auto"/>
          <w:szCs w:val="21"/>
          <w:highlight w:val="none"/>
          <w:u w:val="none"/>
        </w:rPr>
      </w:pPr>
      <w:r>
        <w:rPr>
          <w:rFonts w:hint="eastAsia" w:eastAsia="黑体"/>
          <w:b/>
          <w:color w:val="auto"/>
          <w:szCs w:val="21"/>
          <w:highlight w:val="none"/>
          <w:u w:val="none"/>
        </w:rPr>
        <w:t>三</w:t>
      </w:r>
      <w:r>
        <w:rPr>
          <w:rFonts w:eastAsia="黑体"/>
          <w:b/>
          <w:color w:val="auto"/>
          <w:szCs w:val="21"/>
          <w:highlight w:val="none"/>
          <w:u w:val="none"/>
        </w:rPr>
        <w:t>、技术</w:t>
      </w:r>
      <w:r>
        <w:rPr>
          <w:rFonts w:hint="eastAsia" w:eastAsia="黑体"/>
          <w:b/>
          <w:color w:val="auto"/>
          <w:szCs w:val="21"/>
          <w:highlight w:val="none"/>
          <w:u w:val="none"/>
        </w:rPr>
        <w:t>要求</w:t>
      </w:r>
    </w:p>
    <w:p w14:paraId="733C4C3C">
      <w:pPr>
        <w:spacing w:line="360" w:lineRule="auto"/>
        <w:ind w:firstLine="420" w:firstLineChars="200"/>
        <w:rPr>
          <w:rFonts w:hint="eastAsia"/>
          <w:color w:val="auto"/>
          <w:szCs w:val="21"/>
          <w:highlight w:val="none"/>
          <w:u w:val="none"/>
        </w:rPr>
      </w:pPr>
      <w:r>
        <w:rPr>
          <w:rFonts w:hint="eastAsia"/>
          <w:color w:val="auto"/>
          <w:szCs w:val="21"/>
          <w:highlight w:val="none"/>
          <w:u w:val="none"/>
        </w:rPr>
        <w:t>3.1供方所供工具工装产品的规格型号、技术标准、产品技术性能必须</w:t>
      </w:r>
      <w:r>
        <w:rPr>
          <w:rFonts w:hAnsi="宋体"/>
          <w:color w:val="auto"/>
          <w:szCs w:val="21"/>
          <w:highlight w:val="none"/>
          <w:u w:val="none"/>
        </w:rPr>
        <w:t>与合同附件：《</w:t>
      </w:r>
      <w:r>
        <w:rPr>
          <w:rFonts w:hint="eastAsia" w:hAnsi="宋体"/>
          <w:color w:val="auto"/>
          <w:szCs w:val="21"/>
          <w:highlight w:val="none"/>
          <w:u w:val="none"/>
        </w:rPr>
        <w:t>模具产品技术协议（锻造）</w:t>
      </w:r>
      <w:r>
        <w:rPr>
          <w:rFonts w:hAnsi="宋体"/>
          <w:color w:val="auto"/>
          <w:szCs w:val="21"/>
          <w:highlight w:val="none"/>
          <w:u w:val="none"/>
        </w:rPr>
        <w:t>》中规定的相应标准一致</w:t>
      </w:r>
      <w:r>
        <w:rPr>
          <w:rFonts w:hint="eastAsia" w:hAnsi="宋体"/>
          <w:color w:val="auto"/>
          <w:szCs w:val="21"/>
          <w:highlight w:val="none"/>
          <w:u w:val="none"/>
        </w:rPr>
        <w:t>。若无相应规定，则应</w:t>
      </w:r>
      <w:r>
        <w:rPr>
          <w:rFonts w:hint="eastAsia"/>
          <w:color w:val="auto"/>
          <w:szCs w:val="21"/>
          <w:highlight w:val="none"/>
          <w:u w:val="none"/>
        </w:rPr>
        <w:t>符合国家行业标准以及相关的环保、能源等方面的法律法规要求和标准。如供方所供工具工装产品不符合前述要求和标准，需方有权拒绝接受，且供方应赔偿因此给需方造成的全部损失。</w:t>
      </w:r>
    </w:p>
    <w:p w14:paraId="355D3606">
      <w:pPr>
        <w:spacing w:line="360" w:lineRule="auto"/>
        <w:ind w:firstLine="420" w:firstLineChars="200"/>
        <w:rPr>
          <w:rFonts w:hint="eastAsia"/>
          <w:color w:val="auto"/>
          <w:szCs w:val="21"/>
          <w:highlight w:val="none"/>
          <w:u w:val="none"/>
        </w:rPr>
      </w:pPr>
      <w:r>
        <w:rPr>
          <w:rFonts w:hint="eastAsia"/>
          <w:color w:val="auto"/>
          <w:szCs w:val="21"/>
          <w:highlight w:val="none"/>
          <w:u w:val="none"/>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5EB5A56A">
      <w:pPr>
        <w:spacing w:line="360" w:lineRule="auto"/>
        <w:ind w:firstLine="420" w:firstLineChars="200"/>
        <w:rPr>
          <w:rFonts w:hint="eastAsia"/>
          <w:color w:val="auto"/>
          <w:szCs w:val="21"/>
          <w:highlight w:val="none"/>
          <w:u w:val="none"/>
        </w:rPr>
      </w:pPr>
      <w:r>
        <w:rPr>
          <w:rFonts w:hint="eastAsia"/>
          <w:color w:val="auto"/>
          <w:szCs w:val="21"/>
          <w:highlight w:val="none"/>
          <w:u w:val="none"/>
        </w:rPr>
        <w:t>3.3需方</w:t>
      </w:r>
      <w:r>
        <w:rPr>
          <w:rFonts w:hAnsi="宋体"/>
          <w:color w:val="auto"/>
          <w:szCs w:val="21"/>
          <w:highlight w:val="none"/>
          <w:u w:val="none"/>
        </w:rPr>
        <w:t>委托</w:t>
      </w:r>
      <w:r>
        <w:rPr>
          <w:rFonts w:hint="eastAsia"/>
          <w:color w:val="auto"/>
          <w:szCs w:val="21"/>
          <w:highlight w:val="none"/>
          <w:u w:val="none"/>
        </w:rPr>
        <w:t>供</w:t>
      </w:r>
      <w:r>
        <w:rPr>
          <w:rFonts w:hAnsi="宋体"/>
          <w:color w:val="auto"/>
          <w:szCs w:val="21"/>
          <w:highlight w:val="none"/>
          <w:u w:val="none"/>
        </w:rPr>
        <w:t>方进行产品设计时，</w:t>
      </w:r>
      <w:r>
        <w:rPr>
          <w:rFonts w:hint="eastAsia" w:hAnsi="宋体"/>
          <w:color w:val="auto"/>
          <w:szCs w:val="21"/>
          <w:highlight w:val="none"/>
          <w:u w:val="none"/>
        </w:rPr>
        <w:t>供</w:t>
      </w:r>
      <w:r>
        <w:rPr>
          <w:rFonts w:hAnsi="宋体"/>
          <w:color w:val="auto"/>
          <w:szCs w:val="21"/>
          <w:highlight w:val="none"/>
          <w:u w:val="none"/>
        </w:rPr>
        <w:t>方应在收到</w:t>
      </w:r>
      <w:r>
        <w:rPr>
          <w:rFonts w:hint="eastAsia" w:hAnsi="宋体"/>
          <w:color w:val="auto"/>
          <w:szCs w:val="21"/>
          <w:highlight w:val="none"/>
          <w:u w:val="none"/>
        </w:rPr>
        <w:t>需</w:t>
      </w:r>
      <w:r>
        <w:rPr>
          <w:rFonts w:hAnsi="宋体"/>
          <w:color w:val="auto"/>
          <w:szCs w:val="21"/>
          <w:highlight w:val="none"/>
          <w:u w:val="none"/>
        </w:rPr>
        <w:t>方委托通知后，在十五个工作日内完成该产品的初级设计，经</w:t>
      </w:r>
      <w:r>
        <w:rPr>
          <w:rFonts w:hint="eastAsia" w:hAnsi="宋体"/>
          <w:color w:val="auto"/>
          <w:szCs w:val="21"/>
          <w:highlight w:val="none"/>
          <w:u w:val="none"/>
        </w:rPr>
        <w:t>需</w:t>
      </w:r>
      <w:r>
        <w:rPr>
          <w:rFonts w:hAnsi="宋体"/>
          <w:color w:val="auto"/>
          <w:szCs w:val="21"/>
          <w:highlight w:val="none"/>
          <w:u w:val="none"/>
        </w:rPr>
        <w:t>方签字确认后，</w:t>
      </w:r>
      <w:r>
        <w:rPr>
          <w:rFonts w:hint="eastAsia" w:hAnsi="宋体"/>
          <w:color w:val="auto"/>
          <w:szCs w:val="21"/>
          <w:highlight w:val="none"/>
          <w:u w:val="none"/>
        </w:rPr>
        <w:t>供方</w:t>
      </w:r>
      <w:r>
        <w:rPr>
          <w:rFonts w:hAnsi="宋体"/>
          <w:color w:val="auto"/>
          <w:szCs w:val="21"/>
          <w:highlight w:val="none"/>
          <w:u w:val="none"/>
        </w:rPr>
        <w:t>再进行加工制作</w:t>
      </w:r>
      <w:r>
        <w:rPr>
          <w:rFonts w:hint="eastAsia" w:hAnsi="宋体"/>
          <w:color w:val="auto"/>
          <w:szCs w:val="21"/>
          <w:highlight w:val="none"/>
          <w:u w:val="none"/>
        </w:rPr>
        <w:t>，</w:t>
      </w:r>
      <w:r>
        <w:rPr>
          <w:rFonts w:hAnsi="宋体"/>
          <w:color w:val="auto"/>
          <w:spacing w:val="20"/>
          <w:szCs w:val="21"/>
          <w:highlight w:val="none"/>
          <w:u w:val="none"/>
        </w:rPr>
        <w:t>产品制作完成后，应同时提供整套设计产品的工装图纸</w:t>
      </w:r>
      <w:r>
        <w:rPr>
          <w:rFonts w:hint="eastAsia" w:hAnsi="宋体"/>
          <w:color w:val="auto"/>
          <w:spacing w:val="20"/>
          <w:szCs w:val="21"/>
          <w:highlight w:val="none"/>
          <w:u w:val="none"/>
        </w:rPr>
        <w:t>、易损件清单、三维造型等技术资料</w:t>
      </w:r>
      <w:r>
        <w:rPr>
          <w:rFonts w:hAnsi="宋体"/>
          <w:color w:val="auto"/>
          <w:spacing w:val="20"/>
          <w:szCs w:val="21"/>
          <w:highlight w:val="none"/>
          <w:u w:val="none"/>
        </w:rPr>
        <w:t>（电子版及打印白图各一份）</w:t>
      </w:r>
      <w:r>
        <w:rPr>
          <w:rFonts w:hint="eastAsia" w:hAnsi="宋体"/>
          <w:color w:val="auto"/>
          <w:spacing w:val="20"/>
          <w:szCs w:val="21"/>
          <w:highlight w:val="none"/>
          <w:u w:val="none"/>
        </w:rPr>
        <w:t>，需</w:t>
      </w:r>
      <w:r>
        <w:rPr>
          <w:rFonts w:hAnsi="宋体"/>
          <w:color w:val="auto"/>
          <w:spacing w:val="20"/>
          <w:szCs w:val="21"/>
          <w:highlight w:val="none"/>
          <w:u w:val="none"/>
        </w:rPr>
        <w:t>方依据该图纸对工装模具进行检验。</w:t>
      </w:r>
      <w:r>
        <w:rPr>
          <w:rFonts w:hint="eastAsia" w:hAnsi="宋体"/>
          <w:color w:val="auto"/>
          <w:szCs w:val="21"/>
          <w:highlight w:val="none"/>
          <w:u w:val="none"/>
        </w:rPr>
        <w:t>若产品设计未经需方签字认可，供方</w:t>
      </w:r>
      <w:r>
        <w:rPr>
          <w:rFonts w:hint="eastAsia"/>
          <w:color w:val="auto"/>
          <w:szCs w:val="21"/>
          <w:highlight w:val="none"/>
          <w:u w:val="none"/>
        </w:rPr>
        <w:t>所供工具工装产品不符合需方要求和标准，需方有权拒绝接受，且供方应赔偿因此给需方造成的全部损失。</w:t>
      </w:r>
    </w:p>
    <w:p w14:paraId="1C722EFE">
      <w:pPr>
        <w:spacing w:line="360" w:lineRule="auto"/>
        <w:ind w:firstLine="420"/>
        <w:rPr>
          <w:rFonts w:hint="eastAsia"/>
          <w:color w:val="auto"/>
          <w:szCs w:val="21"/>
          <w:highlight w:val="none"/>
          <w:u w:val="none"/>
        </w:rPr>
      </w:pPr>
      <w:r>
        <w:rPr>
          <w:rFonts w:hint="eastAsia"/>
          <w:color w:val="auto"/>
          <w:szCs w:val="21"/>
          <w:highlight w:val="none"/>
          <w:u w:val="none"/>
        </w:rPr>
        <w:t>3.4若有需方</w:t>
      </w:r>
      <w:r>
        <w:rPr>
          <w:rFonts w:hint="eastAsia"/>
          <w:color w:val="auto"/>
          <w:szCs w:val="21"/>
          <w:highlight w:val="none"/>
          <w:u w:val="none"/>
          <w:lang w:val="en-US" w:eastAsia="zh-CN"/>
        </w:rPr>
        <w:t>遇到</w:t>
      </w:r>
      <w:r>
        <w:rPr>
          <w:rFonts w:hint="eastAsia"/>
          <w:color w:val="auto"/>
          <w:szCs w:val="21"/>
          <w:highlight w:val="none"/>
          <w:u w:val="none"/>
        </w:rPr>
        <w:t>难以处理的问题时，供方须免费及时派遣专业的技术人员到现场配合需方解决和处理问题。</w:t>
      </w:r>
    </w:p>
    <w:p w14:paraId="1FEAE0E9">
      <w:pPr>
        <w:spacing w:line="360" w:lineRule="auto"/>
        <w:rPr>
          <w:rFonts w:eastAsia="黑体"/>
          <w:b/>
          <w:color w:val="auto"/>
          <w:szCs w:val="21"/>
          <w:highlight w:val="none"/>
          <w:u w:val="none"/>
        </w:rPr>
      </w:pPr>
      <w:r>
        <w:rPr>
          <w:rFonts w:hint="eastAsia" w:eastAsia="黑体"/>
          <w:b/>
          <w:color w:val="auto"/>
          <w:szCs w:val="21"/>
          <w:highlight w:val="none"/>
          <w:u w:val="none"/>
        </w:rPr>
        <w:t>四</w:t>
      </w:r>
      <w:r>
        <w:rPr>
          <w:rFonts w:eastAsia="黑体"/>
          <w:b/>
          <w:color w:val="auto"/>
          <w:szCs w:val="21"/>
          <w:highlight w:val="none"/>
          <w:u w:val="none"/>
        </w:rPr>
        <w:t>、质量保证</w:t>
      </w:r>
    </w:p>
    <w:p w14:paraId="4F2441C9">
      <w:pPr>
        <w:spacing w:line="360" w:lineRule="auto"/>
        <w:ind w:firstLine="420"/>
        <w:rPr>
          <w:rFonts w:hint="eastAsia" w:hAnsi="宋体"/>
          <w:color w:val="auto"/>
          <w:szCs w:val="21"/>
          <w:highlight w:val="none"/>
          <w:u w:val="none"/>
        </w:rPr>
      </w:pPr>
      <w:r>
        <w:rPr>
          <w:rFonts w:hint="eastAsia"/>
          <w:color w:val="auto"/>
          <w:szCs w:val="21"/>
          <w:highlight w:val="none"/>
          <w:u w:val="none"/>
        </w:rPr>
        <w:t>4.1供方</w:t>
      </w:r>
      <w:r>
        <w:rPr>
          <w:rFonts w:hAnsi="宋体"/>
          <w:color w:val="auto"/>
          <w:szCs w:val="21"/>
          <w:highlight w:val="none"/>
          <w:u w:val="none"/>
        </w:rPr>
        <w:t>应保证其提供的合同产品在各个方面符合本合同规定的质量、规格和性能要求。</w:t>
      </w:r>
      <w:r>
        <w:rPr>
          <w:rFonts w:hint="eastAsia"/>
          <w:color w:val="auto"/>
          <w:szCs w:val="21"/>
          <w:highlight w:val="none"/>
          <w:u w:val="none"/>
        </w:rPr>
        <w:t>供</w:t>
      </w:r>
      <w:r>
        <w:rPr>
          <w:rFonts w:hAnsi="宋体"/>
          <w:color w:val="auto"/>
          <w:szCs w:val="21"/>
          <w:highlight w:val="none"/>
          <w:u w:val="none"/>
        </w:rPr>
        <w:t>方应保证其合同产品经过合理使用和维护保养，在合同产品寿命期内使用良好</w:t>
      </w:r>
      <w:r>
        <w:rPr>
          <w:rFonts w:hint="eastAsia" w:hAnsi="宋体"/>
          <w:color w:val="auto"/>
          <w:szCs w:val="21"/>
          <w:highlight w:val="none"/>
          <w:u w:val="none"/>
        </w:rPr>
        <w:t>，对因产品质量引起的相关损失负责，承担与己有关的售后服务相关费用。</w:t>
      </w:r>
    </w:p>
    <w:p w14:paraId="52E04E02">
      <w:pPr>
        <w:spacing w:line="360" w:lineRule="auto"/>
        <w:ind w:firstLine="420"/>
        <w:rPr>
          <w:rFonts w:hint="eastAsia"/>
          <w:color w:val="auto"/>
          <w:highlight w:val="none"/>
          <w:u w:val="none"/>
          <w:lang w:val="en-US" w:eastAsia="zh-CN"/>
        </w:rPr>
      </w:pPr>
      <w:r>
        <w:rPr>
          <w:rFonts w:hint="eastAsia" w:hAnsi="宋体"/>
          <w:color w:val="auto"/>
          <w:szCs w:val="21"/>
          <w:highlight w:val="none"/>
          <w:u w:val="none"/>
        </w:rPr>
        <w:t>4.2</w:t>
      </w:r>
      <w:r>
        <w:rPr>
          <w:rFonts w:hint="eastAsia"/>
          <w:color w:val="auto"/>
          <w:szCs w:val="21"/>
          <w:highlight w:val="none"/>
          <w:u w:val="none"/>
        </w:rPr>
        <w:t>供方须对其所供工具工装产品做出服务承诺，并承担质量保证责任，</w:t>
      </w:r>
      <w:r>
        <w:rPr>
          <w:rFonts w:hint="eastAsia" w:ascii="Times New Roman" w:hAnsi="Times New Roman" w:eastAsia="宋体" w:cs="Times New Roman"/>
          <w:color w:val="auto"/>
          <w:szCs w:val="21"/>
          <w:highlight w:val="none"/>
          <w:u w:val="none"/>
        </w:rPr>
        <w:t>对于有定额要求的工具工装，质量保征期内供方投产少于定额的，超出质量保证期后未达定额出现质量问题的，供方原因造成的，供方也应承担相应的质量责任。</w:t>
      </w:r>
    </w:p>
    <w:p w14:paraId="23F267F3">
      <w:pPr>
        <w:spacing w:line="360" w:lineRule="auto"/>
        <w:ind w:firstLine="420"/>
        <w:rPr>
          <w:rFonts w:hint="eastAsia"/>
          <w:color w:val="auto"/>
          <w:szCs w:val="21"/>
          <w:highlight w:val="none"/>
          <w:u w:val="none"/>
        </w:rPr>
      </w:pPr>
      <w:r>
        <w:rPr>
          <w:rFonts w:hint="eastAsia"/>
          <w:color w:val="auto"/>
          <w:szCs w:val="21"/>
          <w:highlight w:val="none"/>
          <w:u w:val="none"/>
        </w:rPr>
        <w:t>4.3</w:t>
      </w:r>
      <w:r>
        <w:rPr>
          <w:rFonts w:hAnsi="宋体"/>
          <w:color w:val="auto"/>
          <w:szCs w:val="21"/>
          <w:highlight w:val="none"/>
          <w:u w:val="none"/>
        </w:rPr>
        <w:t>在合同规定的质量保证期内，</w:t>
      </w:r>
      <w:r>
        <w:rPr>
          <w:rFonts w:hint="eastAsia"/>
          <w:color w:val="auto"/>
          <w:szCs w:val="21"/>
          <w:highlight w:val="none"/>
          <w:u w:val="none"/>
        </w:rPr>
        <w:t>供</w:t>
      </w:r>
      <w:r>
        <w:rPr>
          <w:rFonts w:hAnsi="宋体"/>
          <w:color w:val="auto"/>
          <w:szCs w:val="21"/>
          <w:highlight w:val="none"/>
          <w:u w:val="none"/>
        </w:rPr>
        <w:t>方应对由于制作工艺或材料的缺陷而造成的任何事情负责</w:t>
      </w:r>
      <w:r>
        <w:rPr>
          <w:rFonts w:hint="eastAsia" w:hAnsi="宋体"/>
          <w:color w:val="auto"/>
          <w:szCs w:val="21"/>
          <w:highlight w:val="none"/>
          <w:u w:val="none"/>
        </w:rPr>
        <w:t>，</w:t>
      </w:r>
      <w:r>
        <w:rPr>
          <w:rFonts w:hAnsi="宋体"/>
          <w:color w:val="auto"/>
          <w:szCs w:val="21"/>
          <w:highlight w:val="none"/>
          <w:u w:val="none"/>
        </w:rPr>
        <w:t>如果</w:t>
      </w:r>
      <w:r>
        <w:rPr>
          <w:rFonts w:hint="eastAsia" w:hAnsi="宋体"/>
          <w:color w:val="auto"/>
          <w:szCs w:val="21"/>
          <w:highlight w:val="none"/>
          <w:u w:val="none"/>
        </w:rPr>
        <w:t>出现工装工具</w:t>
      </w:r>
      <w:r>
        <w:rPr>
          <w:rFonts w:hAnsi="宋体"/>
          <w:color w:val="auto"/>
          <w:szCs w:val="21"/>
          <w:highlight w:val="none"/>
          <w:u w:val="none"/>
        </w:rPr>
        <w:t>的质量或规格与合同规定不符或证明产品有缺陷（包括潜在的缺陷或使用不合适的原材料等）</w:t>
      </w:r>
      <w:r>
        <w:rPr>
          <w:rFonts w:hint="eastAsia" w:hAnsi="宋体"/>
          <w:color w:val="auto"/>
          <w:szCs w:val="21"/>
          <w:highlight w:val="none"/>
          <w:u w:val="none"/>
        </w:rPr>
        <w:t>，对需方</w:t>
      </w:r>
      <w:r>
        <w:rPr>
          <w:rFonts w:hAnsi="宋体"/>
          <w:color w:val="auto"/>
          <w:szCs w:val="21"/>
          <w:highlight w:val="none"/>
          <w:u w:val="none"/>
        </w:rPr>
        <w:t>造成的损失</w:t>
      </w:r>
      <w:r>
        <w:rPr>
          <w:rFonts w:hint="eastAsia"/>
          <w:color w:val="auto"/>
          <w:szCs w:val="21"/>
          <w:highlight w:val="none"/>
          <w:u w:val="none"/>
        </w:rPr>
        <w:t>，需</w:t>
      </w:r>
      <w:r>
        <w:rPr>
          <w:rFonts w:hAnsi="宋体"/>
          <w:color w:val="auto"/>
          <w:szCs w:val="21"/>
          <w:highlight w:val="none"/>
          <w:u w:val="none"/>
        </w:rPr>
        <w:t>方有权向供方索赔</w:t>
      </w:r>
      <w:r>
        <w:rPr>
          <w:rFonts w:hint="eastAsia" w:hAnsi="宋体"/>
          <w:color w:val="auto"/>
          <w:szCs w:val="21"/>
          <w:highlight w:val="none"/>
          <w:u w:val="none"/>
        </w:rPr>
        <w:t>及考核</w:t>
      </w:r>
      <w:r>
        <w:rPr>
          <w:color w:val="auto"/>
          <w:szCs w:val="21"/>
          <w:highlight w:val="none"/>
          <w:u w:val="none"/>
        </w:rPr>
        <w:t>,</w:t>
      </w:r>
      <w:r>
        <w:rPr>
          <w:rFonts w:hint="eastAsia"/>
          <w:color w:val="auto"/>
          <w:szCs w:val="21"/>
          <w:highlight w:val="none"/>
          <w:u w:val="none"/>
        </w:rPr>
        <w:t>具体处置</w:t>
      </w:r>
      <w:r>
        <w:rPr>
          <w:rFonts w:hAnsi="宋体"/>
          <w:color w:val="auto"/>
          <w:szCs w:val="21"/>
          <w:highlight w:val="none"/>
          <w:u w:val="none"/>
        </w:rPr>
        <w:t>详见《</w:t>
      </w:r>
      <w:r>
        <w:rPr>
          <w:rFonts w:hint="eastAsia" w:hAnsi="宋体"/>
          <w:color w:val="auto"/>
          <w:szCs w:val="21"/>
          <w:highlight w:val="none"/>
          <w:u w:val="none"/>
        </w:rPr>
        <w:t>采购产品质量保证与服务协议（工装、夹具类2023）</w:t>
      </w:r>
      <w:r>
        <w:rPr>
          <w:rFonts w:hAnsi="宋体"/>
          <w:color w:val="auto"/>
          <w:szCs w:val="21"/>
          <w:highlight w:val="none"/>
          <w:u w:val="none"/>
        </w:rPr>
        <w:t>》。</w:t>
      </w:r>
      <w:r>
        <w:rPr>
          <w:rFonts w:hint="eastAsia"/>
          <w:color w:val="auto"/>
          <w:szCs w:val="21"/>
          <w:highlight w:val="none"/>
          <w:u w:val="none"/>
        </w:rPr>
        <w:t>必要时需</w:t>
      </w:r>
      <w:r>
        <w:rPr>
          <w:rFonts w:hAnsi="宋体"/>
          <w:color w:val="auto"/>
          <w:szCs w:val="21"/>
          <w:highlight w:val="none"/>
          <w:u w:val="none"/>
        </w:rPr>
        <w:t>方有权申请到</w:t>
      </w:r>
      <w:r>
        <w:rPr>
          <w:rFonts w:hint="eastAsia"/>
          <w:color w:val="auto"/>
          <w:szCs w:val="21"/>
          <w:highlight w:val="none"/>
          <w:u w:val="none"/>
        </w:rPr>
        <w:t>需</w:t>
      </w:r>
      <w:r>
        <w:rPr>
          <w:rFonts w:hAnsi="宋体"/>
          <w:color w:val="auto"/>
          <w:szCs w:val="21"/>
          <w:highlight w:val="none"/>
          <w:u w:val="none"/>
        </w:rPr>
        <w:t>方所在地技术监督部门检验，并可根据技术监督证书及质量保证条款立即向</w:t>
      </w:r>
      <w:r>
        <w:rPr>
          <w:color w:val="auto"/>
          <w:szCs w:val="21"/>
          <w:highlight w:val="none"/>
          <w:u w:val="none"/>
        </w:rPr>
        <w:t>供方</w:t>
      </w:r>
      <w:r>
        <w:rPr>
          <w:rFonts w:hAnsi="宋体"/>
          <w:color w:val="auto"/>
          <w:szCs w:val="21"/>
          <w:highlight w:val="none"/>
          <w:u w:val="none"/>
        </w:rPr>
        <w:t>提出索赔。如有</w:t>
      </w:r>
      <w:r>
        <w:rPr>
          <w:rFonts w:hint="eastAsia"/>
          <w:color w:val="auto"/>
          <w:szCs w:val="21"/>
          <w:highlight w:val="none"/>
          <w:u w:val="none"/>
        </w:rPr>
        <w:t>需</w:t>
      </w:r>
      <w:r>
        <w:rPr>
          <w:rFonts w:hAnsi="宋体"/>
          <w:color w:val="auto"/>
          <w:szCs w:val="21"/>
          <w:highlight w:val="none"/>
          <w:u w:val="none"/>
        </w:rPr>
        <w:t>方原因造成的问题，</w:t>
      </w:r>
      <w:r>
        <w:rPr>
          <w:rFonts w:hint="eastAsia"/>
          <w:color w:val="auto"/>
          <w:szCs w:val="21"/>
          <w:highlight w:val="none"/>
          <w:u w:val="none"/>
        </w:rPr>
        <w:t>供</w:t>
      </w:r>
      <w:r>
        <w:rPr>
          <w:rFonts w:hAnsi="宋体"/>
          <w:color w:val="auto"/>
          <w:szCs w:val="21"/>
          <w:highlight w:val="none"/>
          <w:u w:val="none"/>
        </w:rPr>
        <w:t>方也应及时修复和更换，但费用由</w:t>
      </w:r>
      <w:r>
        <w:rPr>
          <w:rFonts w:hint="eastAsia"/>
          <w:color w:val="auto"/>
          <w:szCs w:val="21"/>
          <w:highlight w:val="none"/>
          <w:u w:val="none"/>
        </w:rPr>
        <w:t>需方</w:t>
      </w:r>
      <w:r>
        <w:rPr>
          <w:rFonts w:hAnsi="宋体"/>
          <w:color w:val="auto"/>
          <w:szCs w:val="21"/>
          <w:highlight w:val="none"/>
          <w:u w:val="none"/>
        </w:rPr>
        <w:t>承担。</w:t>
      </w:r>
    </w:p>
    <w:p w14:paraId="502BD04C">
      <w:pPr>
        <w:spacing w:line="360" w:lineRule="auto"/>
        <w:ind w:firstLine="420"/>
        <w:rPr>
          <w:rFonts w:hint="eastAsia"/>
          <w:color w:val="auto"/>
          <w:szCs w:val="21"/>
          <w:highlight w:val="none"/>
          <w:u w:val="none"/>
        </w:rPr>
      </w:pPr>
      <w:r>
        <w:rPr>
          <w:rFonts w:hint="eastAsia"/>
          <w:color w:val="auto"/>
          <w:szCs w:val="21"/>
          <w:highlight w:val="none"/>
          <w:u w:val="none"/>
        </w:rPr>
        <w:t>4.</w:t>
      </w:r>
      <w:r>
        <w:rPr>
          <w:color w:val="auto"/>
          <w:szCs w:val="21"/>
          <w:highlight w:val="none"/>
          <w:u w:val="none"/>
        </w:rPr>
        <w:t>4</w:t>
      </w:r>
      <w:r>
        <w:rPr>
          <w:rFonts w:hint="eastAsia" w:ascii="宋体" w:hAnsi="宋体"/>
          <w:color w:val="auto"/>
          <w:highlight w:val="none"/>
          <w:u w:val="none"/>
        </w:rPr>
        <w:t>质量保证期满后，</w:t>
      </w:r>
      <w:r>
        <w:rPr>
          <w:rFonts w:hint="eastAsia"/>
          <w:color w:val="auto"/>
          <w:szCs w:val="21"/>
          <w:highlight w:val="none"/>
          <w:u w:val="none"/>
        </w:rPr>
        <w:t>供</w:t>
      </w:r>
      <w:r>
        <w:rPr>
          <w:color w:val="auto"/>
          <w:szCs w:val="21"/>
          <w:highlight w:val="none"/>
          <w:u w:val="none"/>
        </w:rPr>
        <w:t>方也应向</w:t>
      </w:r>
      <w:r>
        <w:rPr>
          <w:rFonts w:hint="eastAsia"/>
          <w:color w:val="auto"/>
          <w:szCs w:val="21"/>
          <w:highlight w:val="none"/>
          <w:u w:val="none"/>
        </w:rPr>
        <w:t>需</w:t>
      </w:r>
      <w:r>
        <w:rPr>
          <w:color w:val="auto"/>
          <w:szCs w:val="21"/>
          <w:highlight w:val="none"/>
          <w:u w:val="none"/>
        </w:rPr>
        <w:t>方提供及时的、质优的、价格优惠的技术服务和备品备件供应。</w:t>
      </w:r>
    </w:p>
    <w:p w14:paraId="12ABDF8C">
      <w:pPr>
        <w:spacing w:line="360" w:lineRule="auto"/>
        <w:ind w:firstLine="420"/>
        <w:rPr>
          <w:rFonts w:hint="eastAsia"/>
          <w:color w:val="auto"/>
          <w:szCs w:val="21"/>
          <w:highlight w:val="none"/>
          <w:u w:val="none"/>
        </w:rPr>
      </w:pPr>
      <w:r>
        <w:rPr>
          <w:rFonts w:hint="eastAsia"/>
          <w:color w:val="auto"/>
          <w:szCs w:val="21"/>
          <w:highlight w:val="none"/>
          <w:u w:val="none"/>
        </w:rPr>
        <w:t>4.</w:t>
      </w:r>
      <w:r>
        <w:rPr>
          <w:color w:val="auto"/>
          <w:szCs w:val="21"/>
          <w:highlight w:val="none"/>
          <w:u w:val="none"/>
        </w:rPr>
        <w:t>5</w:t>
      </w:r>
      <w:r>
        <w:rPr>
          <w:rFonts w:hint="eastAsia"/>
          <w:color w:val="auto"/>
          <w:szCs w:val="21"/>
          <w:highlight w:val="none"/>
          <w:u w:val="none"/>
        </w:rPr>
        <w:t>检验</w:t>
      </w:r>
    </w:p>
    <w:p w14:paraId="2C1F0C6D">
      <w:pPr>
        <w:spacing w:line="360" w:lineRule="auto"/>
        <w:ind w:firstLine="420"/>
        <w:rPr>
          <w:rFonts w:hint="eastAsia"/>
          <w:color w:val="auto"/>
          <w:szCs w:val="21"/>
          <w:highlight w:val="none"/>
          <w:u w:val="none"/>
        </w:rPr>
      </w:pPr>
      <w:r>
        <w:rPr>
          <w:rFonts w:hint="eastAsia"/>
          <w:color w:val="auto"/>
          <w:szCs w:val="21"/>
          <w:highlight w:val="none"/>
          <w:u w:val="none"/>
        </w:rPr>
        <w:t>4.</w:t>
      </w:r>
      <w:r>
        <w:rPr>
          <w:color w:val="auto"/>
          <w:szCs w:val="21"/>
          <w:highlight w:val="none"/>
          <w:u w:val="none"/>
        </w:rPr>
        <w:t>5</w:t>
      </w:r>
      <w:r>
        <w:rPr>
          <w:rFonts w:hint="eastAsia"/>
          <w:color w:val="auto"/>
          <w:szCs w:val="21"/>
          <w:highlight w:val="none"/>
          <w:u w:val="none"/>
        </w:rPr>
        <w:t>.1供方应根据需方的工具工装产品质量要求，制定产品的检验规范、标准，配置必要的检测器具和试验设备。</w:t>
      </w:r>
    </w:p>
    <w:p w14:paraId="2434CDC9">
      <w:pPr>
        <w:spacing w:line="360" w:lineRule="auto"/>
        <w:ind w:firstLine="420" w:firstLineChars="200"/>
        <w:rPr>
          <w:rFonts w:hint="eastAsia" w:ascii="Times New Roman" w:hAnsi="Times New Roman" w:eastAsia="宋体" w:cs="Times New Roman"/>
          <w:color w:val="auto"/>
          <w:szCs w:val="21"/>
          <w:highlight w:val="none"/>
          <w:u w:val="none"/>
        </w:rPr>
      </w:pPr>
      <w:r>
        <w:rPr>
          <w:rFonts w:hint="eastAsia"/>
          <w:color w:val="auto"/>
          <w:szCs w:val="21"/>
          <w:highlight w:val="none"/>
          <w:u w:val="none"/>
        </w:rPr>
        <w:t>4.</w:t>
      </w:r>
      <w:r>
        <w:rPr>
          <w:color w:val="auto"/>
          <w:szCs w:val="21"/>
          <w:highlight w:val="none"/>
          <w:u w:val="none"/>
        </w:rPr>
        <w:t>5</w:t>
      </w:r>
      <w:r>
        <w:rPr>
          <w:rFonts w:hint="eastAsia"/>
          <w:color w:val="auto"/>
          <w:szCs w:val="21"/>
          <w:highlight w:val="none"/>
          <w:u w:val="none"/>
        </w:rPr>
        <w:t>.2</w:t>
      </w:r>
      <w:r>
        <w:rPr>
          <w:rFonts w:hint="eastAsia" w:ascii="Times New Roman" w:hAnsi="Times New Roman" w:eastAsia="宋体" w:cs="Times New Roman"/>
          <w:color w:val="auto"/>
          <w:szCs w:val="21"/>
          <w:highlight w:val="none"/>
          <w:u w:val="none"/>
        </w:rPr>
        <w:t>供方在发货之前，对合同产品的有关内在和外观质量、规格、性能、数量或重量进行准确的和全面的检验，并出具其产品符合本合同规定的质量证书。但不应将其视为是对质量、规格、性能、数量或重量的最终定论。货到需方后，再由需方依据图纸及相关标准进行检验。</w:t>
      </w:r>
    </w:p>
    <w:p w14:paraId="2FEAD2B7">
      <w:pPr>
        <w:spacing w:line="360" w:lineRule="auto"/>
        <w:ind w:firstLine="420"/>
        <w:rPr>
          <w:color w:val="auto"/>
          <w:szCs w:val="21"/>
          <w:highlight w:val="none"/>
          <w:u w:val="none"/>
        </w:rPr>
      </w:pPr>
      <w:r>
        <w:rPr>
          <w:color w:val="auto"/>
          <w:szCs w:val="21"/>
          <w:highlight w:val="none"/>
          <w:u w:val="none"/>
        </w:rPr>
        <w:t>4</w:t>
      </w:r>
      <w:r>
        <w:rPr>
          <w:rFonts w:hint="eastAsia"/>
          <w:color w:val="auto"/>
          <w:szCs w:val="21"/>
          <w:highlight w:val="none"/>
          <w:u w:val="none"/>
        </w:rPr>
        <w:t>.</w:t>
      </w:r>
      <w:r>
        <w:rPr>
          <w:color w:val="auto"/>
          <w:szCs w:val="21"/>
          <w:highlight w:val="none"/>
          <w:u w:val="none"/>
        </w:rPr>
        <w:t>5</w:t>
      </w:r>
      <w:r>
        <w:rPr>
          <w:rFonts w:hint="eastAsia"/>
          <w:color w:val="auto"/>
          <w:szCs w:val="21"/>
          <w:highlight w:val="none"/>
          <w:u w:val="none"/>
        </w:rPr>
        <w:t>.3供方应主动地将产品状态、质量隐患信息及时地向需方通报，以便跟踪并进行及时有效地处理。</w:t>
      </w:r>
      <w:r>
        <w:rPr>
          <w:rFonts w:hAnsi="宋体"/>
          <w:color w:val="auto"/>
          <w:szCs w:val="21"/>
          <w:highlight w:val="none"/>
          <w:u w:val="none"/>
        </w:rPr>
        <w:t>锻造模具焊修过程中，</w:t>
      </w:r>
      <w:r>
        <w:rPr>
          <w:rFonts w:hint="eastAsia" w:hAnsi="宋体"/>
          <w:color w:val="auto"/>
          <w:szCs w:val="21"/>
          <w:highlight w:val="none"/>
          <w:u w:val="none"/>
        </w:rPr>
        <w:t>供</w:t>
      </w:r>
      <w:r>
        <w:rPr>
          <w:rFonts w:hAnsi="宋体"/>
          <w:color w:val="auto"/>
          <w:szCs w:val="21"/>
          <w:highlight w:val="none"/>
          <w:u w:val="none"/>
        </w:rPr>
        <w:t>方应对模体硬度</w:t>
      </w:r>
      <w:r>
        <w:rPr>
          <w:rFonts w:hint="eastAsia" w:hAnsi="宋体"/>
          <w:color w:val="auto"/>
          <w:szCs w:val="21"/>
          <w:highlight w:val="none"/>
          <w:u w:val="none"/>
        </w:rPr>
        <w:t>及基体状况</w:t>
      </w:r>
      <w:r>
        <w:rPr>
          <w:rFonts w:hAnsi="宋体"/>
          <w:color w:val="auto"/>
          <w:szCs w:val="21"/>
          <w:highlight w:val="none"/>
          <w:u w:val="none"/>
        </w:rPr>
        <w:t>进行检测，若发现模体硬度未达到使用标准</w:t>
      </w:r>
      <w:r>
        <w:rPr>
          <w:rFonts w:hint="eastAsia" w:hAnsi="宋体"/>
          <w:color w:val="auto"/>
          <w:szCs w:val="21"/>
          <w:highlight w:val="none"/>
          <w:u w:val="none"/>
        </w:rPr>
        <w:t>或有基体存在深度裂纹等异常情况时</w:t>
      </w:r>
      <w:r>
        <w:rPr>
          <w:rFonts w:hAnsi="宋体"/>
          <w:color w:val="auto"/>
          <w:szCs w:val="21"/>
          <w:highlight w:val="none"/>
          <w:u w:val="none"/>
        </w:rPr>
        <w:t>应及时通知</w:t>
      </w:r>
      <w:r>
        <w:rPr>
          <w:rFonts w:hint="eastAsia" w:hAnsi="宋体"/>
          <w:color w:val="auto"/>
          <w:szCs w:val="21"/>
          <w:highlight w:val="none"/>
          <w:u w:val="none"/>
        </w:rPr>
        <w:t>需</w:t>
      </w:r>
      <w:r>
        <w:rPr>
          <w:rFonts w:hAnsi="宋体"/>
          <w:color w:val="auto"/>
          <w:szCs w:val="21"/>
          <w:highlight w:val="none"/>
          <w:u w:val="none"/>
        </w:rPr>
        <w:t>方进行处理，因</w:t>
      </w:r>
      <w:r>
        <w:rPr>
          <w:rFonts w:hint="eastAsia" w:hAnsi="宋体"/>
          <w:color w:val="auto"/>
          <w:szCs w:val="21"/>
          <w:highlight w:val="none"/>
          <w:u w:val="none"/>
        </w:rPr>
        <w:t>供</w:t>
      </w:r>
      <w:r>
        <w:rPr>
          <w:rFonts w:hAnsi="宋体"/>
          <w:color w:val="auto"/>
          <w:szCs w:val="21"/>
          <w:highlight w:val="none"/>
          <w:u w:val="none"/>
        </w:rPr>
        <w:t>方未进行模体硬度</w:t>
      </w:r>
      <w:r>
        <w:rPr>
          <w:rFonts w:hint="eastAsia" w:hAnsi="宋体"/>
          <w:color w:val="auto"/>
          <w:szCs w:val="21"/>
          <w:highlight w:val="none"/>
          <w:u w:val="none"/>
        </w:rPr>
        <w:t>或基体</w:t>
      </w:r>
      <w:r>
        <w:rPr>
          <w:rFonts w:hAnsi="宋体"/>
          <w:color w:val="auto"/>
          <w:szCs w:val="21"/>
          <w:highlight w:val="none"/>
          <w:u w:val="none"/>
        </w:rPr>
        <w:t>检测而造成的一切后果由</w:t>
      </w:r>
      <w:r>
        <w:rPr>
          <w:rFonts w:hint="eastAsia" w:hAnsi="宋体"/>
          <w:color w:val="auto"/>
          <w:szCs w:val="21"/>
          <w:highlight w:val="none"/>
          <w:u w:val="none"/>
        </w:rPr>
        <w:t>供</w:t>
      </w:r>
      <w:r>
        <w:rPr>
          <w:rFonts w:hAnsi="宋体"/>
          <w:color w:val="auto"/>
          <w:szCs w:val="21"/>
          <w:highlight w:val="none"/>
          <w:u w:val="none"/>
        </w:rPr>
        <w:t>方承担。</w:t>
      </w:r>
    </w:p>
    <w:p w14:paraId="37CEAA15">
      <w:pPr>
        <w:spacing w:line="360" w:lineRule="auto"/>
        <w:ind w:firstLine="420"/>
        <w:rPr>
          <w:rFonts w:hint="eastAsia"/>
          <w:color w:val="auto"/>
          <w:szCs w:val="21"/>
          <w:highlight w:val="none"/>
          <w:u w:val="none"/>
        </w:rPr>
      </w:pPr>
      <w:r>
        <w:rPr>
          <w:rFonts w:hint="eastAsia"/>
          <w:color w:val="auto"/>
          <w:szCs w:val="21"/>
          <w:highlight w:val="none"/>
          <w:u w:val="none"/>
        </w:rPr>
        <w:t>4.</w:t>
      </w:r>
      <w:r>
        <w:rPr>
          <w:color w:val="auto"/>
          <w:szCs w:val="21"/>
          <w:highlight w:val="none"/>
          <w:u w:val="none"/>
        </w:rPr>
        <w:t>5</w:t>
      </w:r>
      <w:r>
        <w:rPr>
          <w:rFonts w:hint="eastAsia"/>
          <w:color w:val="auto"/>
          <w:szCs w:val="21"/>
          <w:highlight w:val="none"/>
          <w:u w:val="none"/>
        </w:rPr>
        <w:t>.4供方交付工具工装产品均须随货携带产品合格证或检验报告，根据国家相关法律法规要求需提供有关质监部门或其他相关部门的检测报告的，供方应予以满足。否则，需方将按入库检验不合格处置，由此引起的一切责任均由供方承担。对于新制模块还需提供材料合格证明、超声波探伤结果报告等证明材料。</w:t>
      </w:r>
    </w:p>
    <w:p w14:paraId="78E65C0E">
      <w:pPr>
        <w:tabs>
          <w:tab w:val="left" w:pos="0"/>
        </w:tabs>
        <w:adjustRightInd w:val="0"/>
        <w:snapToGrid w:val="0"/>
        <w:spacing w:line="360" w:lineRule="auto"/>
        <w:ind w:firstLine="420" w:firstLineChars="200"/>
        <w:rPr>
          <w:rFonts w:hint="eastAsia"/>
          <w:color w:val="auto"/>
          <w:szCs w:val="21"/>
          <w:highlight w:val="none"/>
          <w:u w:val="none"/>
        </w:rPr>
      </w:pPr>
      <w:r>
        <w:rPr>
          <w:rFonts w:hint="eastAsia"/>
          <w:color w:val="auto"/>
          <w:szCs w:val="21"/>
          <w:highlight w:val="none"/>
          <w:u w:val="none"/>
        </w:rPr>
        <w:t>4.</w:t>
      </w:r>
      <w:r>
        <w:rPr>
          <w:color w:val="auto"/>
          <w:szCs w:val="21"/>
          <w:highlight w:val="none"/>
          <w:u w:val="none"/>
        </w:rPr>
        <w:t>5</w:t>
      </w:r>
      <w:r>
        <w:rPr>
          <w:rFonts w:hint="eastAsia"/>
          <w:color w:val="auto"/>
          <w:szCs w:val="21"/>
          <w:highlight w:val="none"/>
          <w:u w:val="none"/>
        </w:rPr>
        <w:t>.5需方有权对供方提供的产品实施质量监督抽查，供方承诺免费提供抽样检验的零部件，质量监督抽查所发生的试验检测费用：如样品试验合格，费用由需方承担；不合格时由供方承担；第一次抽查不合格的产品，二次复检费用由供方承担。</w:t>
      </w:r>
    </w:p>
    <w:p w14:paraId="7A36A965">
      <w:pPr>
        <w:spacing w:line="360" w:lineRule="auto"/>
        <w:ind w:firstLine="420"/>
        <w:rPr>
          <w:color w:val="auto"/>
          <w:szCs w:val="21"/>
          <w:highlight w:val="none"/>
          <w:u w:val="none"/>
        </w:rPr>
      </w:pPr>
      <w:r>
        <w:rPr>
          <w:rFonts w:hint="eastAsia"/>
          <w:color w:val="auto"/>
          <w:szCs w:val="21"/>
          <w:highlight w:val="none"/>
          <w:u w:val="none"/>
        </w:rPr>
        <w:t>4.</w:t>
      </w:r>
      <w:r>
        <w:rPr>
          <w:color w:val="auto"/>
          <w:szCs w:val="21"/>
          <w:highlight w:val="none"/>
          <w:u w:val="none"/>
        </w:rPr>
        <w:t>5</w:t>
      </w:r>
      <w:r>
        <w:rPr>
          <w:rFonts w:hint="eastAsia"/>
          <w:color w:val="auto"/>
          <w:szCs w:val="21"/>
          <w:highlight w:val="none"/>
          <w:u w:val="none"/>
        </w:rPr>
        <w:t>.6为加大对工具工装产品的质量控制力度，需方将适时地开展质量稽查工作。必要时，派员赴供方处进行产品稽查，供方应给予配合。稽查结果纳入需方对供方的评价。</w:t>
      </w:r>
    </w:p>
    <w:p w14:paraId="0C5B74EE">
      <w:pPr>
        <w:spacing w:line="360" w:lineRule="auto"/>
        <w:ind w:firstLine="420"/>
        <w:rPr>
          <w:color w:val="auto"/>
          <w:szCs w:val="21"/>
          <w:highlight w:val="none"/>
          <w:u w:val="none"/>
        </w:rPr>
      </w:pPr>
      <w:r>
        <w:rPr>
          <w:rFonts w:hint="eastAsia"/>
          <w:color w:val="auto"/>
          <w:szCs w:val="21"/>
          <w:highlight w:val="none"/>
          <w:u w:val="none"/>
        </w:rPr>
        <w:t>4.</w:t>
      </w:r>
      <w:r>
        <w:rPr>
          <w:color w:val="auto"/>
          <w:szCs w:val="21"/>
          <w:highlight w:val="none"/>
          <w:u w:val="none"/>
        </w:rPr>
        <w:t>5</w:t>
      </w:r>
      <w:r>
        <w:rPr>
          <w:rFonts w:hint="eastAsia"/>
          <w:color w:val="auto"/>
          <w:szCs w:val="21"/>
          <w:highlight w:val="none"/>
          <w:u w:val="none"/>
        </w:rPr>
        <w:t>.7合同双方都有责任和义务针对反馈的质量信息进行分析，并将分析的结论与质量纠正和改进联系起来，有针对性地实施纠正和改进，从而不断改进和提高产品质量。</w:t>
      </w:r>
    </w:p>
    <w:p w14:paraId="3E55C121">
      <w:pPr>
        <w:spacing w:line="360" w:lineRule="auto"/>
        <w:rPr>
          <w:rFonts w:eastAsia="黑体"/>
          <w:b/>
          <w:color w:val="auto"/>
          <w:szCs w:val="21"/>
          <w:highlight w:val="none"/>
          <w:u w:val="none"/>
        </w:rPr>
      </w:pPr>
      <w:r>
        <w:rPr>
          <w:rFonts w:hint="eastAsia" w:eastAsia="黑体"/>
          <w:b/>
          <w:color w:val="auto"/>
          <w:szCs w:val="21"/>
          <w:highlight w:val="none"/>
          <w:u w:val="none"/>
        </w:rPr>
        <w:t>五</w:t>
      </w:r>
      <w:r>
        <w:rPr>
          <w:rFonts w:eastAsia="黑体"/>
          <w:b/>
          <w:color w:val="auto"/>
          <w:szCs w:val="21"/>
          <w:highlight w:val="none"/>
          <w:u w:val="none"/>
        </w:rPr>
        <w:t>、</w:t>
      </w:r>
      <w:r>
        <w:rPr>
          <w:rFonts w:hint="eastAsia" w:eastAsia="黑体"/>
          <w:b/>
          <w:color w:val="auto"/>
          <w:szCs w:val="21"/>
          <w:highlight w:val="none"/>
          <w:u w:val="none"/>
        </w:rPr>
        <w:t>违约责任</w:t>
      </w:r>
    </w:p>
    <w:p w14:paraId="5D7A7FBB">
      <w:pPr>
        <w:spacing w:line="360" w:lineRule="auto"/>
        <w:ind w:firstLine="420"/>
        <w:rPr>
          <w:color w:val="auto"/>
          <w:szCs w:val="21"/>
          <w:highlight w:val="none"/>
          <w:u w:val="none"/>
        </w:rPr>
      </w:pPr>
      <w:r>
        <w:rPr>
          <w:color w:val="auto"/>
          <w:szCs w:val="21"/>
          <w:highlight w:val="none"/>
          <w:u w:val="none"/>
        </w:rPr>
        <w:t>供方</w:t>
      </w:r>
      <w:r>
        <w:rPr>
          <w:rFonts w:hAnsi="宋体"/>
          <w:color w:val="auto"/>
          <w:szCs w:val="21"/>
          <w:highlight w:val="none"/>
          <w:u w:val="none"/>
        </w:rPr>
        <w:t>应承担合同产品与合同</w:t>
      </w:r>
      <w:r>
        <w:rPr>
          <w:rFonts w:hint="eastAsia" w:ascii="宋体" w:hAnsi="宋体"/>
          <w:color w:val="auto"/>
          <w:highlight w:val="none"/>
          <w:u w:val="none"/>
        </w:rPr>
        <w:t>（包括本合同及所有附件）</w:t>
      </w:r>
      <w:r>
        <w:rPr>
          <w:rFonts w:hAnsi="宋体"/>
          <w:color w:val="auto"/>
          <w:szCs w:val="21"/>
          <w:highlight w:val="none"/>
          <w:u w:val="none"/>
        </w:rPr>
        <w:t>要求不符情况下的一切责任</w:t>
      </w:r>
      <w:r>
        <w:rPr>
          <w:rFonts w:hint="eastAsia" w:hAnsi="宋体"/>
          <w:color w:val="auto"/>
          <w:szCs w:val="21"/>
          <w:highlight w:val="none"/>
          <w:u w:val="none"/>
        </w:rPr>
        <w:t>和全部经济损失</w:t>
      </w:r>
      <w:r>
        <w:rPr>
          <w:rFonts w:hAnsi="宋体"/>
          <w:color w:val="auto"/>
          <w:szCs w:val="21"/>
          <w:highlight w:val="none"/>
          <w:u w:val="none"/>
        </w:rPr>
        <w:t>，</w:t>
      </w:r>
      <w:r>
        <w:rPr>
          <w:rFonts w:hint="eastAsia"/>
          <w:color w:val="auto"/>
          <w:szCs w:val="21"/>
          <w:highlight w:val="none"/>
          <w:u w:val="none"/>
        </w:rPr>
        <w:t>需方有权取消供方的供货资格或进行经济考核，必要时追究其法律责任。</w:t>
      </w:r>
    </w:p>
    <w:p w14:paraId="5FAC8BE2">
      <w:pPr>
        <w:spacing w:line="360" w:lineRule="auto"/>
        <w:ind w:firstLine="420"/>
        <w:rPr>
          <w:color w:val="auto"/>
          <w:szCs w:val="21"/>
          <w:highlight w:val="none"/>
          <w:u w:val="none"/>
        </w:rPr>
      </w:pPr>
      <w:r>
        <w:rPr>
          <w:rFonts w:hAnsi="宋体"/>
          <w:color w:val="auto"/>
          <w:szCs w:val="21"/>
          <w:highlight w:val="none"/>
          <w:u w:val="none"/>
        </w:rPr>
        <w:t>5.1在</w:t>
      </w:r>
      <w:r>
        <w:rPr>
          <w:color w:val="auto"/>
          <w:szCs w:val="21"/>
          <w:highlight w:val="none"/>
          <w:u w:val="none"/>
        </w:rPr>
        <w:t>需方</w:t>
      </w:r>
      <w:r>
        <w:rPr>
          <w:rFonts w:hAnsi="宋体"/>
          <w:color w:val="auto"/>
          <w:szCs w:val="21"/>
          <w:highlight w:val="none"/>
          <w:u w:val="none"/>
        </w:rPr>
        <w:t>已于规定的检验和质量保证期内提出索赔的情况下，</w:t>
      </w:r>
      <w:r>
        <w:rPr>
          <w:color w:val="auto"/>
          <w:szCs w:val="21"/>
          <w:highlight w:val="none"/>
          <w:u w:val="none"/>
        </w:rPr>
        <w:t>供方</w:t>
      </w:r>
      <w:r>
        <w:rPr>
          <w:rFonts w:hAnsi="宋体"/>
          <w:color w:val="auto"/>
          <w:szCs w:val="21"/>
          <w:highlight w:val="none"/>
          <w:u w:val="none"/>
        </w:rPr>
        <w:t>应按</w:t>
      </w:r>
      <w:r>
        <w:rPr>
          <w:color w:val="auto"/>
          <w:szCs w:val="21"/>
          <w:highlight w:val="none"/>
          <w:u w:val="none"/>
        </w:rPr>
        <w:t>需方</w:t>
      </w:r>
      <w:r>
        <w:rPr>
          <w:rFonts w:hAnsi="宋体"/>
          <w:color w:val="auto"/>
          <w:szCs w:val="21"/>
          <w:highlight w:val="none"/>
          <w:u w:val="none"/>
        </w:rPr>
        <w:t>同意的下述一种或多种方法解决索赔事宜：</w:t>
      </w:r>
    </w:p>
    <w:p w14:paraId="396EEF9D">
      <w:pPr>
        <w:spacing w:line="360" w:lineRule="auto"/>
        <w:ind w:firstLine="420"/>
        <w:rPr>
          <w:color w:val="auto"/>
          <w:szCs w:val="21"/>
          <w:highlight w:val="none"/>
          <w:u w:val="none"/>
        </w:rPr>
      </w:pPr>
      <w:r>
        <w:rPr>
          <w:rFonts w:hAnsi="宋体"/>
          <w:color w:val="auto"/>
          <w:szCs w:val="21"/>
          <w:highlight w:val="none"/>
          <w:u w:val="none"/>
        </w:rPr>
        <w:t>（</w:t>
      </w:r>
      <w:r>
        <w:rPr>
          <w:color w:val="auto"/>
          <w:szCs w:val="21"/>
          <w:highlight w:val="none"/>
          <w:u w:val="none"/>
        </w:rPr>
        <w:t>1</w:t>
      </w:r>
      <w:r>
        <w:rPr>
          <w:rFonts w:hAnsi="宋体"/>
          <w:color w:val="auto"/>
          <w:szCs w:val="21"/>
          <w:highlight w:val="none"/>
          <w:u w:val="none"/>
        </w:rPr>
        <w:t>）</w:t>
      </w:r>
      <w:r>
        <w:rPr>
          <w:color w:val="auto"/>
          <w:szCs w:val="21"/>
          <w:highlight w:val="none"/>
          <w:u w:val="none"/>
        </w:rPr>
        <w:t>供方</w:t>
      </w:r>
      <w:r>
        <w:rPr>
          <w:rFonts w:hAnsi="宋体"/>
          <w:color w:val="auto"/>
          <w:szCs w:val="21"/>
          <w:highlight w:val="none"/>
          <w:u w:val="none"/>
        </w:rPr>
        <w:t>同意</w:t>
      </w:r>
      <w:r>
        <w:rPr>
          <w:color w:val="auto"/>
          <w:szCs w:val="21"/>
          <w:highlight w:val="none"/>
          <w:u w:val="none"/>
        </w:rPr>
        <w:t>需方</w:t>
      </w:r>
      <w:r>
        <w:rPr>
          <w:rFonts w:hAnsi="宋体"/>
          <w:color w:val="auto"/>
          <w:szCs w:val="21"/>
          <w:highlight w:val="none"/>
          <w:u w:val="none"/>
        </w:rPr>
        <w:t>拒收合同产品，</w:t>
      </w:r>
      <w:r>
        <w:rPr>
          <w:color w:val="auto"/>
          <w:szCs w:val="21"/>
          <w:highlight w:val="none"/>
          <w:u w:val="none"/>
        </w:rPr>
        <w:t>供方</w:t>
      </w:r>
      <w:r>
        <w:rPr>
          <w:rFonts w:hAnsi="宋体"/>
          <w:color w:val="auto"/>
          <w:szCs w:val="21"/>
          <w:highlight w:val="none"/>
          <w:u w:val="none"/>
        </w:rPr>
        <w:t>负责发生的一切损失和费用，包括利息、银行费用、运输和保险费、检验费、仓储和装卸费以及为保管和保护被拒绝产品所需要的其他必需的费用。</w:t>
      </w:r>
    </w:p>
    <w:p w14:paraId="0798753A">
      <w:pPr>
        <w:spacing w:line="360" w:lineRule="auto"/>
        <w:rPr>
          <w:color w:val="auto"/>
          <w:szCs w:val="21"/>
          <w:highlight w:val="none"/>
          <w:u w:val="none"/>
        </w:rPr>
      </w:pPr>
      <w:r>
        <w:rPr>
          <w:color w:val="auto"/>
          <w:szCs w:val="21"/>
          <w:highlight w:val="none"/>
          <w:u w:val="none"/>
        </w:rPr>
        <w:t xml:space="preserve">    </w:t>
      </w:r>
      <w:r>
        <w:rPr>
          <w:rFonts w:hAnsi="宋体"/>
          <w:color w:val="auto"/>
          <w:szCs w:val="21"/>
          <w:highlight w:val="none"/>
          <w:u w:val="none"/>
        </w:rPr>
        <w:t>（</w:t>
      </w:r>
      <w:r>
        <w:rPr>
          <w:color w:val="auto"/>
          <w:szCs w:val="21"/>
          <w:highlight w:val="none"/>
          <w:u w:val="none"/>
        </w:rPr>
        <w:t>2</w:t>
      </w:r>
      <w:r>
        <w:rPr>
          <w:rFonts w:hAnsi="宋体"/>
          <w:color w:val="auto"/>
          <w:szCs w:val="21"/>
          <w:highlight w:val="none"/>
          <w:u w:val="none"/>
        </w:rPr>
        <w:t>）根据产品的疵劣和受损程度以及</w:t>
      </w:r>
      <w:r>
        <w:rPr>
          <w:color w:val="auto"/>
          <w:szCs w:val="21"/>
          <w:highlight w:val="none"/>
          <w:u w:val="none"/>
        </w:rPr>
        <w:t>需方</w:t>
      </w:r>
      <w:r>
        <w:rPr>
          <w:rFonts w:hAnsi="宋体"/>
          <w:color w:val="auto"/>
          <w:szCs w:val="21"/>
          <w:highlight w:val="none"/>
          <w:u w:val="none"/>
        </w:rPr>
        <w:t>遭受损失的金额，经双方同意降低产品价格。</w:t>
      </w:r>
    </w:p>
    <w:p w14:paraId="618FE650">
      <w:pPr>
        <w:spacing w:line="360" w:lineRule="auto"/>
        <w:rPr>
          <w:rFonts w:hint="eastAsia"/>
          <w:color w:val="auto"/>
          <w:szCs w:val="21"/>
          <w:highlight w:val="none"/>
          <w:u w:val="none"/>
        </w:rPr>
      </w:pPr>
      <w:r>
        <w:rPr>
          <w:color w:val="auto"/>
          <w:szCs w:val="21"/>
          <w:highlight w:val="none"/>
          <w:u w:val="none"/>
        </w:rPr>
        <w:t xml:space="preserve">    </w:t>
      </w:r>
      <w:r>
        <w:rPr>
          <w:rFonts w:hAnsi="宋体"/>
          <w:color w:val="auto"/>
          <w:szCs w:val="21"/>
          <w:highlight w:val="none"/>
          <w:u w:val="none"/>
        </w:rPr>
        <w:t>（</w:t>
      </w:r>
      <w:r>
        <w:rPr>
          <w:color w:val="auto"/>
          <w:szCs w:val="21"/>
          <w:highlight w:val="none"/>
          <w:u w:val="none"/>
        </w:rPr>
        <w:t>3</w:t>
      </w:r>
      <w:r>
        <w:rPr>
          <w:rFonts w:hAnsi="宋体"/>
          <w:color w:val="auto"/>
          <w:szCs w:val="21"/>
          <w:highlight w:val="none"/>
          <w:u w:val="none"/>
        </w:rPr>
        <w:t>）更换有缺陷的零件、部件、或修理缺陷部分，以达到合同规定的规格、质量和性能，</w:t>
      </w:r>
      <w:r>
        <w:rPr>
          <w:color w:val="auto"/>
          <w:szCs w:val="21"/>
          <w:highlight w:val="none"/>
          <w:u w:val="none"/>
        </w:rPr>
        <w:t>供方</w:t>
      </w:r>
      <w:r>
        <w:rPr>
          <w:rFonts w:hAnsi="宋体"/>
          <w:color w:val="auto"/>
          <w:szCs w:val="21"/>
          <w:highlight w:val="none"/>
          <w:u w:val="none"/>
        </w:rPr>
        <w:t>承担一切费用和风险并负担</w:t>
      </w:r>
      <w:r>
        <w:rPr>
          <w:color w:val="auto"/>
          <w:szCs w:val="21"/>
          <w:highlight w:val="none"/>
          <w:u w:val="none"/>
        </w:rPr>
        <w:t>需方</w:t>
      </w:r>
      <w:r>
        <w:rPr>
          <w:rFonts w:hAnsi="宋体"/>
          <w:color w:val="auto"/>
          <w:szCs w:val="21"/>
          <w:highlight w:val="none"/>
          <w:u w:val="none"/>
        </w:rPr>
        <w:t>遭受的一切损失，同时</w:t>
      </w:r>
      <w:r>
        <w:rPr>
          <w:color w:val="auto"/>
          <w:szCs w:val="21"/>
          <w:highlight w:val="none"/>
          <w:u w:val="none"/>
        </w:rPr>
        <w:t>供方</w:t>
      </w:r>
      <w:r>
        <w:rPr>
          <w:rFonts w:hAnsi="宋体"/>
          <w:color w:val="auto"/>
          <w:szCs w:val="21"/>
          <w:highlight w:val="none"/>
          <w:u w:val="none"/>
        </w:rPr>
        <w:t>应相应延长被更换产品的质量保证期。</w:t>
      </w:r>
    </w:p>
    <w:p w14:paraId="6A07CBF8">
      <w:pPr>
        <w:spacing w:line="360" w:lineRule="auto"/>
        <w:ind w:firstLine="420"/>
        <w:rPr>
          <w:rFonts w:hint="default" w:eastAsia="宋体"/>
          <w:color w:val="auto"/>
          <w:szCs w:val="21"/>
          <w:highlight w:val="none"/>
          <w:u w:val="none"/>
          <w:lang w:val="en-US" w:eastAsia="zh-CN"/>
        </w:rPr>
      </w:pPr>
      <w:r>
        <w:rPr>
          <w:rFonts w:hint="eastAsia"/>
          <w:color w:val="auto"/>
          <w:szCs w:val="21"/>
          <w:highlight w:val="none"/>
          <w:u w:val="none"/>
        </w:rPr>
        <w:t>5.2凡因供方产品的交货时间和数量没有按需方</w:t>
      </w:r>
      <w:r>
        <w:rPr>
          <w:rFonts w:hint="eastAsia"/>
          <w:strike w:val="0"/>
          <w:dstrike w:val="0"/>
          <w:color w:val="auto"/>
          <w:szCs w:val="21"/>
          <w:highlight w:val="none"/>
          <w:u w:val="none"/>
        </w:rPr>
        <w:t>的</w:t>
      </w:r>
      <w:r>
        <w:rPr>
          <w:rFonts w:hint="eastAsia"/>
          <w:strike w:val="0"/>
          <w:dstrike w:val="0"/>
          <w:color w:val="auto"/>
          <w:szCs w:val="21"/>
          <w:highlight w:val="none"/>
          <w:u w:val="none"/>
          <w:lang w:eastAsia="zh-CN"/>
        </w:rPr>
        <w:t>派工单</w:t>
      </w:r>
      <w:r>
        <w:rPr>
          <w:rFonts w:hint="eastAsia"/>
          <w:strike w:val="0"/>
          <w:dstrike w:val="0"/>
          <w:color w:val="auto"/>
          <w:szCs w:val="21"/>
          <w:highlight w:val="none"/>
          <w:u w:val="none"/>
          <w:lang w:val="en-US" w:eastAsia="zh-CN"/>
        </w:rPr>
        <w:t>或订单</w:t>
      </w:r>
      <w:r>
        <w:rPr>
          <w:rFonts w:hint="eastAsia"/>
          <w:color w:val="auto"/>
          <w:szCs w:val="21"/>
          <w:highlight w:val="none"/>
          <w:u w:val="none"/>
        </w:rPr>
        <w:t>执行，需方有权对供方进行经济考核，每发生一起考核</w:t>
      </w:r>
      <w:r>
        <w:rPr>
          <w:color w:val="auto"/>
          <w:szCs w:val="21"/>
          <w:highlight w:val="none"/>
          <w:u w:val="none"/>
        </w:rPr>
        <w:t>5</w:t>
      </w:r>
      <w:r>
        <w:rPr>
          <w:rFonts w:hint="eastAsia"/>
          <w:color w:val="auto"/>
          <w:szCs w:val="21"/>
          <w:highlight w:val="none"/>
          <w:u w:val="none"/>
        </w:rPr>
        <w:t>00-2000元，且供方需承担因此给需方造成的一切损失。情况严重的，考核2000-10000元，且需方有权单方减少供方的供货份额或终止本合同的执行</w:t>
      </w:r>
      <w:r>
        <w:rPr>
          <w:rFonts w:hint="eastAsia"/>
          <w:color w:val="auto"/>
          <w:szCs w:val="21"/>
          <w:highlight w:val="none"/>
          <w:u w:val="none"/>
          <w:lang w:eastAsia="zh-CN"/>
        </w:rPr>
        <w:t>。</w:t>
      </w:r>
      <w:r>
        <w:rPr>
          <w:rFonts w:hint="eastAsia"/>
          <w:color w:val="auto"/>
          <w:szCs w:val="21"/>
          <w:highlight w:val="none"/>
          <w:u w:val="none"/>
          <w:lang w:val="en-US" w:eastAsia="zh-CN"/>
        </w:rPr>
        <w:t>因供方未及时交货，造成产品交付、客户停线等重大生产事故，供方将被拉入黑名单，三至五年内不得参与类似项目的投标。</w:t>
      </w:r>
      <w:r>
        <w:rPr>
          <w:rFonts w:hint="eastAsia"/>
          <w:strike w:val="0"/>
          <w:dstrike w:val="0"/>
          <w:color w:val="auto"/>
          <w:szCs w:val="21"/>
          <w:highlight w:val="none"/>
          <w:u w:val="none"/>
          <w:lang w:eastAsia="zh-CN"/>
        </w:rPr>
        <w:t>相关考核、</w:t>
      </w:r>
      <w:r>
        <w:rPr>
          <w:rFonts w:hint="eastAsia"/>
          <w:strike w:val="0"/>
          <w:dstrike w:val="0"/>
          <w:color w:val="auto"/>
          <w:szCs w:val="21"/>
          <w:highlight w:val="none"/>
          <w:u w:val="none"/>
          <w:lang w:val="en-US" w:eastAsia="zh-CN"/>
        </w:rPr>
        <w:t>索赔</w:t>
      </w:r>
      <w:r>
        <w:rPr>
          <w:rFonts w:hint="eastAsia"/>
          <w:strike w:val="0"/>
          <w:dstrike w:val="0"/>
          <w:color w:val="auto"/>
          <w:szCs w:val="21"/>
          <w:highlight w:val="none"/>
          <w:u w:val="none"/>
          <w:lang w:eastAsia="zh-CN"/>
        </w:rPr>
        <w:t>需方有权</w:t>
      </w:r>
      <w:r>
        <w:rPr>
          <w:rFonts w:hint="eastAsia"/>
          <w:color w:val="auto"/>
          <w:szCs w:val="21"/>
          <w:highlight w:val="none"/>
          <w:u w:val="none"/>
        </w:rPr>
        <w:t>从货款中直接扣除。</w:t>
      </w:r>
    </w:p>
    <w:p w14:paraId="3E2EF625">
      <w:pPr>
        <w:spacing w:line="360" w:lineRule="auto"/>
        <w:ind w:firstLine="420"/>
        <w:rPr>
          <w:rFonts w:hint="eastAsia"/>
          <w:color w:val="auto"/>
          <w:szCs w:val="21"/>
          <w:highlight w:val="none"/>
          <w:u w:val="none"/>
        </w:rPr>
      </w:pPr>
      <w:r>
        <w:rPr>
          <w:rFonts w:hint="eastAsia"/>
          <w:color w:val="auto"/>
          <w:szCs w:val="21"/>
          <w:highlight w:val="none"/>
          <w:u w:val="none"/>
        </w:rPr>
        <w:t>5.3供方在未经过需方允许的情况下，不得</w:t>
      </w:r>
      <w:r>
        <w:rPr>
          <w:color w:val="auto"/>
          <w:szCs w:val="21"/>
          <w:highlight w:val="none"/>
          <w:u w:val="none"/>
        </w:rPr>
        <w:t>将</w:t>
      </w:r>
      <w:r>
        <w:rPr>
          <w:rFonts w:hint="eastAsia"/>
          <w:color w:val="auto"/>
          <w:szCs w:val="21"/>
          <w:highlight w:val="none"/>
          <w:u w:val="none"/>
        </w:rPr>
        <w:t>中标业务</w:t>
      </w:r>
      <w:r>
        <w:rPr>
          <w:color w:val="auto"/>
          <w:szCs w:val="21"/>
          <w:highlight w:val="none"/>
          <w:u w:val="none"/>
        </w:rPr>
        <w:t>转包</w:t>
      </w:r>
      <w:r>
        <w:rPr>
          <w:rFonts w:hint="eastAsia"/>
          <w:color w:val="auto"/>
          <w:szCs w:val="21"/>
          <w:highlight w:val="none"/>
          <w:u w:val="none"/>
        </w:rPr>
        <w:t>或</w:t>
      </w:r>
      <w:r>
        <w:rPr>
          <w:color w:val="auto"/>
          <w:szCs w:val="21"/>
          <w:highlight w:val="none"/>
          <w:u w:val="none"/>
        </w:rPr>
        <w:t>分包</w:t>
      </w:r>
      <w:r>
        <w:rPr>
          <w:rFonts w:hint="eastAsia"/>
          <w:color w:val="auto"/>
          <w:szCs w:val="21"/>
          <w:highlight w:val="none"/>
          <w:u w:val="none"/>
        </w:rPr>
        <w:t>给他人，否则，需方有权解除合同并要求需方支付2000-10000元的违约金。</w:t>
      </w:r>
    </w:p>
    <w:p w14:paraId="6EE16B9F">
      <w:pPr>
        <w:spacing w:line="360" w:lineRule="auto"/>
        <w:rPr>
          <w:rFonts w:hint="eastAsia" w:ascii="宋体" w:hAnsi="宋体"/>
          <w:b/>
          <w:color w:val="auto"/>
          <w:highlight w:val="none"/>
          <w:u w:val="none"/>
        </w:rPr>
      </w:pPr>
      <w:r>
        <w:rPr>
          <w:rFonts w:hint="eastAsia" w:ascii="宋体" w:hAnsi="宋体" w:cs="宋体"/>
          <w:b/>
          <w:color w:val="auto"/>
          <w:highlight w:val="none"/>
          <w:u w:val="none"/>
        </w:rPr>
        <w:t>六、其他约定</w:t>
      </w:r>
    </w:p>
    <w:p w14:paraId="4CAA608E">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6.1产品安全</w:t>
      </w:r>
    </w:p>
    <w:p w14:paraId="226177DE">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供方应遵守国家及地方所有相关的产品安全法规与法律要求，尤其是关于产品安全、标签与包装、危险物质使用的法律规定。</w:t>
      </w:r>
    </w:p>
    <w:p w14:paraId="07D66373">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6.2劳工使用</w:t>
      </w:r>
    </w:p>
    <w:p w14:paraId="5C3401DA">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作为基本要求和一般要求，供方应遵守我国现行的关于保护劳动者的法规，其中包括不得雇佣强迫劳动力和童工；确保工作场所健康、安全，进一步提高和改善工作环境；确保职工获得有法律效力并受法律保障的相应报酬。</w:t>
      </w:r>
    </w:p>
    <w:p w14:paraId="7A52B40A">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6.3环境保护</w:t>
      </w:r>
    </w:p>
    <w:p w14:paraId="7FD3A25E">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供方应具有责任感，遵守所有有关环境的法律法规，节约适用自然资源，将生产流程及产品造成的环境污染最小化，为减少能源消耗和二氧化碳排放作出贡献。供方应不断提高环保绩效，执行适合的环境管理体系（如符合ISO14001）。</w:t>
      </w:r>
    </w:p>
    <w:p w14:paraId="1CCE75AE">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6.4透明的业务关系</w:t>
      </w:r>
    </w:p>
    <w:p w14:paraId="1EFF8657">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供方不得通过贿赂影响竞争，不得有任何形式的贪污腐败和损害需方的行为；确保其员工、分包商和代表不会向客户、官员及第三方提供、给予贿赂、回扣、未经许可的赠品、款项或其他好处；不得直接或间接地通过赠送礼物、款待或发出邀请的方式，向需方的员工提供任何不适当的好处，以此不当地影响他们的行为。供方在与政府、当局及事业单位往来时，应始终遵守严格的法律规定；参加公开招投标时，应遵守相关法律法规及自由竞争与公平竞争的原则。</w:t>
      </w:r>
    </w:p>
    <w:p w14:paraId="78F17D75">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6.5公平市场行为</w:t>
      </w:r>
    </w:p>
    <w:p w14:paraId="38C1D78C">
      <w:pPr>
        <w:spacing w:line="360" w:lineRule="auto"/>
        <w:ind w:firstLine="420" w:firstLineChars="200"/>
        <w:rPr>
          <w:rFonts w:hint="eastAsia" w:hAnsi="宋体"/>
          <w:color w:val="auto"/>
          <w:szCs w:val="21"/>
          <w:highlight w:val="none"/>
          <w:u w:val="none"/>
        </w:rPr>
      </w:pPr>
      <w:r>
        <w:rPr>
          <w:rFonts w:hint="eastAsia" w:hAnsi="宋体"/>
          <w:color w:val="auto"/>
          <w:szCs w:val="21"/>
          <w:highlight w:val="none"/>
          <w:u w:val="none"/>
        </w:rPr>
        <w:t>供方应遵守相关反垄断法，不与竞争者、供方或客户签订反竞争协议；按照现行法律要求，如实地发布商业信息，汇报商业活动情况。如果供方在市场上占据支配地位，不得滥用其市场支配地位。供方应仅与他们认为是诚信的商业合作伙伴建立业务关系，此外，还应确保不违反任何有关反洗钱的法律规定。</w:t>
      </w:r>
    </w:p>
    <w:p w14:paraId="55D43270">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6.6知识产权和商业秘密保护 </w:t>
      </w:r>
    </w:p>
    <w:p w14:paraId="650B230D">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为确保双方之间的各项协议和/或合同的签署和履行既不侵犯他人的知识产权和商业秘密，同时保证双方的相关权利不被侵犯和泄漏，维护双方的共同利益，特约定如下: </w:t>
      </w:r>
    </w:p>
    <w:p w14:paraId="18E9983F">
      <w:p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6.6.1供方除应执行与需方和/或中国重汽及附属、关联单位（如中国重汽、中国重汽汽车研究总院、中国重汽济南动力有限公司等）签署的保密协议外，本协议约定的商业秘密包括但不限于：供方根据需方或需方关联公司提供的技术要求或图纸所知悉、掌握或改进的任何技术、信息（包括但不限于商标、专利、产品外观或产品生产制造的过程、方法、技术），以需方月度、季度及年度的配套产品的计划和实际需求信息、采购资料、采购价格、质量信息及需方对外不公开的财务资料等形式体现的全部知识产权（包括但不限于所有权、使用权、申请权、许可权等）。以上商业秘密均归需方或需方关联公司所有，供方非经需方书面同意不得对第三方透露，或因供方原因使第三方得知。</w:t>
      </w:r>
    </w:p>
    <w:p w14:paraId="0E06863C">
      <w:pPr>
        <w:numPr>
          <w:ilvl w:val="0"/>
          <w:numId w:val="0"/>
        </w:num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6.6.2上述商业秘密无论以何种形式或载于何种载体，无论是以口头、图像、电子、书面方式均不影响其商业秘密属性。对于属需方受法律保护的商业秘密，如供方侵权或泄漏给第三方，供方应承担赔偿责任。对于需方的商业秘密，供方承诺：</w:t>
      </w:r>
    </w:p>
    <w:p w14:paraId="1B1CEB05">
      <w:p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6.6.2.1未经需方或中国重汽及附属、关联单位书面许可，供方不得使用上述商业秘密；已经需方或需方关联公司许可的，供方仅为履行与需方的加工合同项下的义务使用；</w:t>
      </w:r>
    </w:p>
    <w:p w14:paraId="3BB056F6">
      <w:pPr>
        <w:spacing w:line="360" w:lineRule="auto"/>
        <w:ind w:left="420" w:leftChars="200" w:firstLine="0" w:firstLineChars="0"/>
        <w:jc w:val="both"/>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6.6.2.2供方同意按照需方或中国重汽及附属、关联单位的技术文件和相关要求生产产品并进行标识；6.6.2.3供方承诺不将涉及需方或中国重汽及附属、关联单位的商业秘密的产品销售给任何需方或需方关联公司（重汽（济南）后市场智慧服务有限公司等）之外的第三人；</w:t>
      </w:r>
    </w:p>
    <w:p w14:paraId="53934141">
      <w:pPr>
        <w:spacing w:line="360" w:lineRule="auto"/>
        <w:ind w:left="420" w:leftChars="200" w:firstLine="0" w:firstLineChars="0"/>
        <w:jc w:val="both"/>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6.6.2.4供方承诺不以任何形式和理由将需方或中国重汽及附属、关联单位的商业秘密许可第三方使用；</w:t>
      </w:r>
    </w:p>
    <w:p w14:paraId="69234C7C">
      <w:pPr>
        <w:spacing w:line="360" w:lineRule="auto"/>
        <w:ind w:left="420" w:leftChars="200" w:firstLine="0" w:firstLineChars="0"/>
        <w:jc w:val="both"/>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6.6.2.5供方承诺任何时间、任何形式、任何理由不得向第三人泄露本单位所知悉、掌握的需方或中国重汽及附属、关联单位的商业秘密，并要求其员工保密和保护，除非中国有关政府或司法机关的依法调查，即使在供方与需方的实际业务合作终止后；</w:t>
      </w:r>
    </w:p>
    <w:p w14:paraId="572AFC73">
      <w:p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6.6.2.6供方与需方的实际业务合作终止后，供方承诺立即停止使用本单位所知悉、掌握的需方或中国重汽及附属、关联单位的商业秘密；</w:t>
      </w:r>
    </w:p>
    <w:p w14:paraId="513A33A3">
      <w:p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6.6.2.7不复制或通过反向工程使用该秘密。</w:t>
      </w:r>
    </w:p>
    <w:p w14:paraId="7FB39C85">
      <w:p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6.6.2.8商业秘密的保密期限为：</w:t>
      </w:r>
    </w:p>
    <w:p w14:paraId="237343E6">
      <w:pPr>
        <w:numPr>
          <w:ilvl w:val="0"/>
          <w:numId w:val="13"/>
        </w:num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在本协议执行期间全程有效。</w:t>
      </w:r>
    </w:p>
    <w:p w14:paraId="0B2430E3">
      <w:pPr>
        <w:numPr>
          <w:ilvl w:val="0"/>
          <w:numId w:val="13"/>
        </w:num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双方在本协议执行期结束后，双方在5年内仍承担全部的保密义务。 </w:t>
      </w:r>
    </w:p>
    <w:p w14:paraId="6A333507">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6.6.2.9保护需方免受损害</w:t>
      </w:r>
    </w:p>
    <w:p w14:paraId="2A4CFD34">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a.供方保证过去、现在以及将来供应给需方的所有产品、材料，不侵害任何第三人的知识产权或其他权利，保证使需方和中国重汽及附属、关联单位免受因车辆装配使用或销售供方的产品而发生其他第三人因此向需方或中国重汽及附属、关联单位提出任何有关知识产权及其他的权利请求。对涉及第三人知识产权的配套产品，供方须向需方提供产品所涉的知识产权及其权属、效力、有权使用的证明文件等，并对该文件负责。如证明文件内容发生变动，供方应第一时间书面通知需方。</w:t>
      </w:r>
    </w:p>
    <w:p w14:paraId="0C3AB946">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b.如供方提供给需方产品、材料存在侵犯第三人知识产权或其他权利的问题，发生第三人向需方或中国重汽及附属、关联单位提出任何请求或赔偿，由供方承担由此产生的全部责任，并保证需方或中国重汽的利益不受任何损害。</w:t>
      </w:r>
    </w:p>
    <w:p w14:paraId="03B2A124">
      <w:p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c.如发生第三人向需方或中国重汽及附属、关联单位提出有关知识产权或其他权利方面的请求，供方有义务在接到需方通知的第一时间内向需方提供相关产品或材料的权利证明资料，并积极向第三人或有权机关进行解释、协商，采取必要的补救措施，妥善处理争议，确保需方或中国重汽及附属、关联单位利益不受任何的损失（包括声誉损害）。需方及中国重汽及附属、关联单位有权根据具体情况，本着减少不利影响及损失的原则，采取一切必要措施，包括但不限于暂停或终止使用争议产品，要求供方做出不侵权担保，对需方或中国重汽采取的处理措施，供方应予积极协助，且需方及中国重汽及附属、关联单位无须因此承担对供货合作的任何违约责任。</w:t>
      </w:r>
    </w:p>
    <w:p w14:paraId="0026E590">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d.如第三人因此向需方或中国重汽及附属、关联单位提出任何形式的索赔，包括但不限于直接和间接的经济损失、调查取证费、差旅费、诉讼费、律师费等，均应由供方承担，在确定赔偿金额后，供方应直接向第三人全额赔偿；如需方或中国重汽因此被有权机关决定承担罚款及赔偿等责任时，供方应按有权机关规定（包括支付方式和时间等）向有权机关缴纳或向第三人支付需方或中国重汽及附属、关联单位承担的全部金额。对于需方或中国重汽及附属、关联单位的经销商因此被第三人进行的任何索赔，供方也应按此向需方、中国重汽及附属、关联单位以及中国重汽的经销商进行立即支付。 </w:t>
      </w:r>
    </w:p>
    <w:p w14:paraId="435A5389">
      <w:p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e.需方或中国重汽及附属、关联单位因使用供方产品被第三人主张权利而导致需方或中国重汽集团损失包括但不限于：需方或中国重汽及附属、关联单位紧急更换其他产品而增加的费用，需方或中国重汽因此不能履行交货义务而被要求承担的违约责任，需方及中国重汽及附属、关联单位声誉损失等，供方应予赔偿。同时，需方或中国重汽及附属、关联单位为处理与第三人争议而支出之费用，包括但不限于调查取证费、审计鉴定费、差旅费、律师费等，由供方全额承担，需方或中国重汽及附属、关联单位有权在争议发生时即要求供方先行预付。</w:t>
      </w:r>
    </w:p>
    <w:p w14:paraId="11F5858E">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f.供方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中国重汽及其关联方所有。供方确认并同意： </w:t>
      </w:r>
    </w:p>
    <w:p w14:paraId="5BDA22AB">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1）未经需方书面许可，供方不得行使上述知识产权；已经需方许可的，供方仅为履行 </w:t>
      </w:r>
    </w:p>
    <w:p w14:paraId="761A5C1A">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本协议项下的义务使用； </w:t>
      </w:r>
    </w:p>
    <w:p w14:paraId="57600445">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2）严格按照需方技术文件和要求生产产品并进行标识，； </w:t>
      </w:r>
    </w:p>
    <w:p w14:paraId="18FA275C">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3）不将涉及需方知识产权的产品销售给任何需方及其关联公司之外的第三人； </w:t>
      </w:r>
    </w:p>
    <w:p w14:paraId="3738557C">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4)不以任何形式和理由将需方知识产权许可第三方使用； </w:t>
      </w:r>
    </w:p>
    <w:p w14:paraId="62B70302">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5)不得向第三人泄露上述知识产权，即使在本协议终止后； </w:t>
      </w:r>
    </w:p>
    <w:p w14:paraId="13094A76">
      <w:pPr>
        <w:spacing w:line="360" w:lineRule="auto"/>
        <w:ind w:firstLine="420" w:firstLineChars="200"/>
        <w:rPr>
          <w:rFonts w:hint="eastAsia" w:ascii="Times New Roman" w:hAnsi="宋体" w:eastAsia="宋体" w:cs="Times New Roman"/>
          <w:color w:val="auto"/>
          <w:szCs w:val="21"/>
          <w:highlight w:val="none"/>
          <w:u w:val="none"/>
        </w:rPr>
      </w:pPr>
      <w:r>
        <w:rPr>
          <w:rFonts w:hint="eastAsia" w:ascii="Times New Roman" w:hAnsi="宋体" w:eastAsia="宋体" w:cs="Times New Roman"/>
          <w:color w:val="auto"/>
          <w:szCs w:val="21"/>
          <w:highlight w:val="none"/>
          <w:u w:val="none"/>
          <w:lang w:val="en-US" w:eastAsia="zh-CN"/>
        </w:rPr>
        <w:t xml:space="preserve">6)本协议终止后，供方立即停止使用上述知识产权。 </w:t>
      </w:r>
    </w:p>
    <w:p w14:paraId="12212C9B">
      <w:pPr>
        <w:spacing w:line="360" w:lineRule="auto"/>
        <w:ind w:firstLine="420" w:firstLineChars="200"/>
        <w:rPr>
          <w:rFonts w:hint="eastAsia" w:ascii="Times New Roman" w:hAnsi="宋体" w:eastAsia="宋体" w:cs="Times New Roman"/>
          <w:color w:val="auto"/>
          <w:szCs w:val="21"/>
          <w:highlight w:val="none"/>
          <w:u w:val="none"/>
          <w:lang w:val="en-US" w:eastAsia="zh-CN"/>
        </w:rPr>
      </w:pPr>
      <w:r>
        <w:rPr>
          <w:rFonts w:hint="eastAsia" w:ascii="Times New Roman" w:hAnsi="宋体" w:eastAsia="宋体" w:cs="Times New Roman"/>
          <w:color w:val="auto"/>
          <w:szCs w:val="21"/>
          <w:highlight w:val="none"/>
          <w:u w:val="none"/>
          <w:lang w:val="en-US" w:eastAsia="zh-CN"/>
        </w:rPr>
        <w:t>g.供方如未按上述约定承担相关责任，供方同意需方有权自行决定从需方应付供方产品货款或其他款项中直接扣除上述款项，不足部分有权要求供方补偿。</w:t>
      </w:r>
    </w:p>
    <w:p w14:paraId="29BEA072">
      <w:pPr>
        <w:spacing w:line="360" w:lineRule="auto"/>
        <w:rPr>
          <w:rFonts w:eastAsia="黑体"/>
          <w:b/>
          <w:color w:val="auto"/>
          <w:szCs w:val="21"/>
          <w:highlight w:val="none"/>
          <w:u w:val="none"/>
        </w:rPr>
      </w:pPr>
      <w:r>
        <w:rPr>
          <w:rFonts w:hint="eastAsia" w:eastAsia="黑体"/>
          <w:b/>
          <w:color w:val="auto"/>
          <w:szCs w:val="21"/>
          <w:highlight w:val="none"/>
          <w:u w:val="none"/>
        </w:rPr>
        <w:t>七</w:t>
      </w:r>
      <w:r>
        <w:rPr>
          <w:rFonts w:eastAsia="黑体"/>
          <w:b/>
          <w:color w:val="auto"/>
          <w:szCs w:val="21"/>
          <w:highlight w:val="none"/>
          <w:u w:val="none"/>
        </w:rPr>
        <w:t>、争议解决</w:t>
      </w:r>
    </w:p>
    <w:p w14:paraId="19A0059B">
      <w:pPr>
        <w:spacing w:line="360" w:lineRule="auto"/>
        <w:ind w:firstLine="426"/>
        <w:rPr>
          <w:color w:val="auto"/>
          <w:szCs w:val="21"/>
          <w:highlight w:val="none"/>
          <w:u w:val="none"/>
        </w:rPr>
      </w:pPr>
      <w:r>
        <w:rPr>
          <w:rFonts w:hAnsi="宋体"/>
          <w:color w:val="auto"/>
          <w:szCs w:val="21"/>
          <w:highlight w:val="none"/>
          <w:u w:val="none"/>
        </w:rPr>
        <w:t>执行本合同如发生争议，由双方协商解决，协商不成，双方均可向</w:t>
      </w:r>
      <w:r>
        <w:rPr>
          <w:rFonts w:hAnsi="宋体"/>
          <w:b/>
          <w:color w:val="auto"/>
          <w:szCs w:val="21"/>
          <w:highlight w:val="none"/>
          <w:u w:val="none"/>
        </w:rPr>
        <w:t>需方所在地人民法院诉讼</w:t>
      </w:r>
      <w:r>
        <w:rPr>
          <w:rFonts w:hAnsi="宋体"/>
          <w:color w:val="auto"/>
          <w:szCs w:val="21"/>
          <w:highlight w:val="none"/>
          <w:u w:val="none"/>
        </w:rPr>
        <w:t>。</w:t>
      </w:r>
    </w:p>
    <w:p w14:paraId="0501347D">
      <w:pPr>
        <w:spacing w:line="360" w:lineRule="auto"/>
        <w:rPr>
          <w:rFonts w:eastAsia="黑体"/>
          <w:color w:val="auto"/>
          <w:szCs w:val="21"/>
          <w:highlight w:val="none"/>
          <w:u w:val="none"/>
        </w:rPr>
      </w:pPr>
      <w:r>
        <w:rPr>
          <w:rFonts w:hint="eastAsia" w:eastAsia="黑体"/>
          <w:b/>
          <w:color w:val="auto"/>
          <w:szCs w:val="21"/>
          <w:highlight w:val="none"/>
          <w:u w:val="none"/>
        </w:rPr>
        <w:t>八</w:t>
      </w:r>
      <w:r>
        <w:rPr>
          <w:rFonts w:eastAsia="黑体"/>
          <w:b/>
          <w:color w:val="auto"/>
          <w:szCs w:val="21"/>
          <w:highlight w:val="none"/>
          <w:u w:val="none"/>
        </w:rPr>
        <w:t>、合同生效及其它</w:t>
      </w:r>
      <w:r>
        <w:rPr>
          <w:rFonts w:eastAsia="黑体"/>
          <w:color w:val="auto"/>
          <w:szCs w:val="21"/>
          <w:highlight w:val="none"/>
          <w:u w:val="none"/>
        </w:rPr>
        <w:t xml:space="preserve">    </w:t>
      </w:r>
    </w:p>
    <w:p w14:paraId="01596D48">
      <w:pPr>
        <w:spacing w:line="360" w:lineRule="auto"/>
        <w:ind w:firstLine="420" w:firstLineChars="200"/>
        <w:rPr>
          <w:rFonts w:hAnsi="宋体"/>
          <w:color w:val="auto"/>
          <w:szCs w:val="21"/>
          <w:highlight w:val="none"/>
          <w:u w:val="none"/>
        </w:rPr>
      </w:pPr>
      <w:r>
        <w:rPr>
          <w:rFonts w:hint="eastAsia" w:hAnsi="宋体"/>
          <w:color w:val="auto"/>
          <w:szCs w:val="21"/>
          <w:highlight w:val="none"/>
          <w:u w:val="none"/>
        </w:rPr>
        <w:t>8.1双方签订的</w:t>
      </w:r>
      <w:r>
        <w:rPr>
          <w:rFonts w:hAnsi="宋体"/>
          <w:color w:val="auto"/>
          <w:szCs w:val="21"/>
          <w:highlight w:val="none"/>
          <w:u w:val="none"/>
        </w:rPr>
        <w:t>《</w:t>
      </w:r>
      <w:r>
        <w:rPr>
          <w:rFonts w:hint="eastAsia" w:hAnsi="宋体"/>
          <w:color w:val="auto"/>
          <w:szCs w:val="21"/>
          <w:highlight w:val="none"/>
          <w:u w:val="none"/>
        </w:rPr>
        <w:t>模具产品技术协议（锻造）</w:t>
      </w:r>
      <w:r>
        <w:rPr>
          <w:rFonts w:hAnsi="宋体"/>
          <w:color w:val="auto"/>
          <w:szCs w:val="21"/>
          <w:highlight w:val="none"/>
          <w:u w:val="none"/>
        </w:rPr>
        <w:t>》</w:t>
      </w:r>
      <w:r>
        <w:rPr>
          <w:rFonts w:hint="eastAsia" w:hAnsi="宋体"/>
          <w:color w:val="auto"/>
          <w:szCs w:val="21"/>
          <w:highlight w:val="none"/>
          <w:u w:val="none"/>
        </w:rPr>
        <w:t>、</w:t>
      </w:r>
      <w:r>
        <w:rPr>
          <w:rFonts w:hAnsi="宋体"/>
          <w:color w:val="auto"/>
          <w:szCs w:val="21"/>
          <w:highlight w:val="none"/>
          <w:u w:val="none"/>
        </w:rPr>
        <w:t>《</w:t>
      </w:r>
      <w:r>
        <w:rPr>
          <w:rFonts w:hint="eastAsia" w:hAnsi="宋体"/>
          <w:color w:val="auto"/>
          <w:szCs w:val="21"/>
          <w:highlight w:val="none"/>
          <w:u w:val="none"/>
        </w:rPr>
        <w:t>采购产品质量保证与服务协议（工装、夹具类2023）</w:t>
      </w:r>
      <w:r>
        <w:rPr>
          <w:rFonts w:hAnsi="宋体"/>
          <w:color w:val="auto"/>
          <w:szCs w:val="21"/>
          <w:highlight w:val="none"/>
          <w:u w:val="none"/>
        </w:rPr>
        <w:t>》均</w:t>
      </w:r>
      <w:r>
        <w:rPr>
          <w:rFonts w:hint="eastAsia" w:hAnsi="宋体"/>
          <w:color w:val="auto"/>
          <w:szCs w:val="21"/>
          <w:highlight w:val="none"/>
          <w:u w:val="none"/>
        </w:rPr>
        <w:t>作为本合同的附件</w:t>
      </w:r>
      <w:r>
        <w:rPr>
          <w:rFonts w:hAnsi="宋体"/>
          <w:color w:val="auto"/>
          <w:szCs w:val="21"/>
          <w:highlight w:val="none"/>
          <w:u w:val="none"/>
        </w:rPr>
        <w:t>为本合同不可分割部分</w:t>
      </w:r>
      <w:r>
        <w:rPr>
          <w:rFonts w:hint="eastAsia" w:hAnsi="宋体"/>
          <w:color w:val="auto"/>
          <w:szCs w:val="21"/>
          <w:highlight w:val="none"/>
          <w:u w:val="none"/>
        </w:rPr>
        <w:t>，具有同等的法律效力，遇到不一致时，按本合同规定执行。合同未尽事宜，须经双方共同协商，做出补充协议，补充协议与本合同具有同等效力。</w:t>
      </w:r>
    </w:p>
    <w:p w14:paraId="4CEA0947">
      <w:pPr>
        <w:spacing w:line="360" w:lineRule="auto"/>
        <w:ind w:firstLine="420" w:firstLineChars="200"/>
        <w:rPr>
          <w:color w:val="auto"/>
          <w:szCs w:val="21"/>
          <w:highlight w:val="none"/>
          <w:u w:val="none"/>
        </w:rPr>
      </w:pPr>
      <w:r>
        <w:rPr>
          <w:rFonts w:hint="eastAsia"/>
          <w:color w:val="auto"/>
          <w:szCs w:val="21"/>
          <w:highlight w:val="none"/>
          <w:u w:val="none"/>
        </w:rPr>
        <w:t>8.2</w:t>
      </w:r>
      <w:r>
        <w:rPr>
          <w:rFonts w:hAnsi="宋体"/>
          <w:color w:val="auto"/>
          <w:szCs w:val="21"/>
          <w:highlight w:val="none"/>
          <w:u w:val="none"/>
        </w:rPr>
        <w:t>合同经双方代表签署后生效</w:t>
      </w:r>
      <w:r>
        <w:rPr>
          <w:rFonts w:hint="eastAsia" w:hAnsi="宋体"/>
          <w:color w:val="auto"/>
          <w:szCs w:val="21"/>
          <w:highlight w:val="none"/>
          <w:u w:val="none"/>
        </w:rPr>
        <w:t>，合同生效后，供需双方签订的同类合同同时废止</w:t>
      </w:r>
      <w:r>
        <w:rPr>
          <w:rFonts w:hAnsi="宋体"/>
          <w:color w:val="auto"/>
          <w:szCs w:val="21"/>
          <w:highlight w:val="none"/>
          <w:u w:val="none"/>
        </w:rPr>
        <w:t>。</w:t>
      </w:r>
    </w:p>
    <w:p w14:paraId="29570CD2">
      <w:pPr>
        <w:spacing w:line="360" w:lineRule="auto"/>
        <w:ind w:firstLine="420" w:firstLineChars="200"/>
        <w:rPr>
          <w:rFonts w:hAnsi="宋体"/>
          <w:color w:val="auto"/>
          <w:szCs w:val="21"/>
          <w:highlight w:val="none"/>
          <w:u w:val="none"/>
        </w:rPr>
      </w:pPr>
      <w:r>
        <w:rPr>
          <w:rFonts w:hint="eastAsia"/>
          <w:color w:val="auto"/>
          <w:szCs w:val="21"/>
          <w:highlight w:val="none"/>
          <w:u w:val="none"/>
        </w:rPr>
        <w:t>8.3</w:t>
      </w:r>
      <w:r>
        <w:rPr>
          <w:rFonts w:hAnsi="宋体"/>
          <w:color w:val="auto"/>
          <w:szCs w:val="21"/>
          <w:highlight w:val="none"/>
          <w:u w:val="none"/>
        </w:rPr>
        <w:t>合同有效期限为：</w:t>
      </w:r>
      <w:r>
        <w:rPr>
          <w:rFonts w:hint="eastAsia" w:hAnsi="宋体"/>
          <w:color w:val="auto"/>
          <w:szCs w:val="21"/>
          <w:highlight w:val="none"/>
          <w:u w:val="none"/>
          <w:lang w:val="en-US" w:eastAsia="zh-CN"/>
        </w:rPr>
        <w:t>2025</w:t>
      </w:r>
      <w:r>
        <w:rPr>
          <w:rFonts w:hint="eastAsia" w:hAnsi="宋体"/>
          <w:color w:val="auto"/>
          <w:szCs w:val="21"/>
          <w:highlight w:val="none"/>
          <w:u w:val="none"/>
        </w:rPr>
        <w:t>年</w:t>
      </w:r>
      <w:r>
        <w:rPr>
          <w:rFonts w:hint="eastAsia" w:hAnsi="宋体"/>
          <w:color w:val="auto"/>
          <w:szCs w:val="21"/>
          <w:highlight w:val="none"/>
          <w:u w:val="none"/>
          <w:lang w:val="en-US" w:eastAsia="zh-CN"/>
        </w:rPr>
        <w:t>1</w:t>
      </w:r>
      <w:r>
        <w:rPr>
          <w:rFonts w:hint="eastAsia" w:hAnsi="宋体"/>
          <w:color w:val="auto"/>
          <w:szCs w:val="21"/>
          <w:highlight w:val="none"/>
          <w:u w:val="none"/>
        </w:rPr>
        <w:t>月</w:t>
      </w:r>
      <w:r>
        <w:rPr>
          <w:rFonts w:hint="eastAsia" w:hAnsi="宋体"/>
          <w:color w:val="auto"/>
          <w:szCs w:val="21"/>
          <w:highlight w:val="none"/>
          <w:u w:val="none"/>
          <w:lang w:val="en-US" w:eastAsia="zh-CN"/>
        </w:rPr>
        <w:t>1</w:t>
      </w:r>
      <w:r>
        <w:rPr>
          <w:rFonts w:hint="eastAsia" w:hAnsi="宋体"/>
          <w:color w:val="auto"/>
          <w:szCs w:val="21"/>
          <w:highlight w:val="none"/>
          <w:u w:val="none"/>
        </w:rPr>
        <w:t>日</w:t>
      </w:r>
      <w:r>
        <w:rPr>
          <w:rFonts w:hint="eastAsia" w:hAnsi="宋体"/>
          <w:color w:val="auto"/>
          <w:szCs w:val="21"/>
          <w:highlight w:val="none"/>
          <w:u w:val="none"/>
          <w:lang w:val="en-US" w:eastAsia="zh-CN"/>
        </w:rPr>
        <w:t>起</w:t>
      </w:r>
      <w:r>
        <w:rPr>
          <w:rFonts w:hint="eastAsia" w:hAnsi="宋体"/>
          <w:color w:val="auto"/>
          <w:szCs w:val="21"/>
          <w:highlight w:val="none"/>
          <w:u w:val="none"/>
        </w:rPr>
        <w:t>至</w:t>
      </w:r>
      <w:r>
        <w:rPr>
          <w:rFonts w:hint="eastAsia" w:hAnsi="宋体"/>
          <w:color w:val="auto"/>
          <w:szCs w:val="21"/>
          <w:highlight w:val="none"/>
          <w:u w:val="none"/>
          <w:lang w:val="en-US" w:eastAsia="zh-CN"/>
        </w:rPr>
        <w:t>2025</w:t>
      </w:r>
      <w:r>
        <w:rPr>
          <w:rFonts w:hint="eastAsia" w:hAnsi="宋体"/>
          <w:color w:val="auto"/>
          <w:szCs w:val="21"/>
          <w:highlight w:val="none"/>
          <w:u w:val="none"/>
        </w:rPr>
        <w:t>年</w:t>
      </w:r>
      <w:r>
        <w:rPr>
          <w:rFonts w:hint="eastAsia" w:hAnsi="宋体"/>
          <w:color w:val="auto"/>
          <w:szCs w:val="21"/>
          <w:highlight w:val="none"/>
          <w:u w:val="none"/>
          <w:lang w:val="en-US" w:eastAsia="zh-CN"/>
        </w:rPr>
        <w:t>12</w:t>
      </w:r>
      <w:r>
        <w:rPr>
          <w:rFonts w:hint="eastAsia" w:hAnsi="宋体"/>
          <w:color w:val="auto"/>
          <w:szCs w:val="21"/>
          <w:highlight w:val="none"/>
          <w:u w:val="none"/>
        </w:rPr>
        <w:t>月</w:t>
      </w:r>
      <w:r>
        <w:rPr>
          <w:rFonts w:hint="eastAsia" w:hAnsi="宋体"/>
          <w:color w:val="auto"/>
          <w:szCs w:val="21"/>
          <w:highlight w:val="none"/>
          <w:u w:val="none"/>
          <w:lang w:val="en-US" w:eastAsia="zh-CN"/>
        </w:rPr>
        <w:t>30</w:t>
      </w:r>
      <w:r>
        <w:rPr>
          <w:rFonts w:hint="eastAsia" w:hAnsi="宋体"/>
          <w:color w:val="auto"/>
          <w:szCs w:val="21"/>
          <w:highlight w:val="none"/>
          <w:u w:val="none"/>
        </w:rPr>
        <w:t>日</w:t>
      </w:r>
      <w:r>
        <w:rPr>
          <w:rFonts w:hint="eastAsia" w:hAnsi="宋体"/>
          <w:color w:val="auto"/>
          <w:szCs w:val="21"/>
          <w:highlight w:val="none"/>
          <w:u w:val="none"/>
          <w:lang w:val="en-US" w:eastAsia="zh-CN"/>
        </w:rPr>
        <w:t>止</w:t>
      </w:r>
      <w:r>
        <w:rPr>
          <w:rFonts w:hint="eastAsia" w:hAnsi="宋体"/>
          <w:color w:val="auto"/>
          <w:szCs w:val="21"/>
          <w:highlight w:val="none"/>
          <w:u w:val="none"/>
        </w:rPr>
        <w:t>。合同到期后，供需双方继续合作的，双方另行招标签订合同。双方另行签订合同之前，如需方持续</w:t>
      </w:r>
      <w:r>
        <w:rPr>
          <w:rFonts w:hint="eastAsia" w:hAnsi="宋体"/>
          <w:color w:val="auto"/>
          <w:szCs w:val="21"/>
          <w:highlight w:val="none"/>
          <w:u w:val="none"/>
          <w:lang w:val="en-US" w:eastAsia="zh-CN"/>
        </w:rPr>
        <w:t>派工</w:t>
      </w:r>
      <w:r>
        <w:rPr>
          <w:rFonts w:hint="eastAsia" w:hAnsi="宋体"/>
          <w:color w:val="auto"/>
          <w:szCs w:val="21"/>
          <w:highlight w:val="none"/>
          <w:u w:val="none"/>
        </w:rPr>
        <w:t>，供方持续供货的，则双方暂按本合同供货价格及双方权利义务继续延期执行，延期执行期间的供货价格仅为临时价格，不作为最终结算依据，待另行招标签订合同后，按照双方另行签订的合同价格执行，在最终结算时予以多退少补。延期执行期间不超过12个月。</w:t>
      </w:r>
    </w:p>
    <w:p w14:paraId="216E798B">
      <w:pPr>
        <w:spacing w:line="360" w:lineRule="auto"/>
        <w:ind w:firstLine="420" w:firstLineChars="200"/>
        <w:rPr>
          <w:color w:val="auto"/>
          <w:szCs w:val="21"/>
          <w:highlight w:val="none"/>
          <w:u w:val="none"/>
        </w:rPr>
      </w:pPr>
      <w:r>
        <w:rPr>
          <w:rFonts w:hint="eastAsia"/>
          <w:color w:val="auto"/>
          <w:szCs w:val="21"/>
          <w:highlight w:val="none"/>
          <w:u w:val="none"/>
        </w:rPr>
        <w:t>8.4</w:t>
      </w:r>
      <w:r>
        <w:rPr>
          <w:color w:val="auto"/>
          <w:szCs w:val="21"/>
          <w:highlight w:val="none"/>
          <w:u w:val="none"/>
        </w:rPr>
        <w:t>本合同书共肆份，需方叁份，供方壹份。</w:t>
      </w:r>
    </w:p>
    <w:p w14:paraId="0B9E2102">
      <w:pPr>
        <w:spacing w:line="360" w:lineRule="auto"/>
        <w:ind w:firstLine="420" w:firstLineChars="200"/>
        <w:rPr>
          <w:rFonts w:hint="eastAsia"/>
          <w:color w:val="auto"/>
          <w:szCs w:val="21"/>
          <w:highlight w:val="none"/>
          <w:u w:val="none"/>
        </w:rPr>
      </w:pPr>
      <w:r>
        <w:rPr>
          <w:rFonts w:hint="eastAsia"/>
          <w:color w:val="auto"/>
          <w:szCs w:val="21"/>
          <w:highlight w:val="none"/>
          <w:u w:val="none"/>
        </w:rPr>
        <w:t>8.</w:t>
      </w:r>
      <w:r>
        <w:rPr>
          <w:rFonts w:hint="eastAsia"/>
          <w:color w:val="auto"/>
          <w:szCs w:val="21"/>
          <w:highlight w:val="none"/>
          <w:u w:val="none"/>
          <w:lang w:val="en-US" w:eastAsia="zh-CN"/>
        </w:rPr>
        <w:t>5</w:t>
      </w:r>
      <w:r>
        <w:rPr>
          <w:rFonts w:hint="eastAsia"/>
          <w:color w:val="auto"/>
          <w:szCs w:val="21"/>
          <w:highlight w:val="none"/>
          <w:u w:val="none"/>
        </w:rPr>
        <w:t>特别提示：供需双方已对本合同的所有条款进行了充分协商。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67DFD61A">
      <w:pPr>
        <w:pStyle w:val="4"/>
        <w:ind w:firstLine="361" w:firstLineChars="200"/>
        <w:rPr>
          <w:rFonts w:hint="eastAsia" w:ascii="Times New Roman" w:hAnsi="Times New Roman" w:eastAsia="宋体" w:cs="Times New Roman"/>
          <w:b/>
          <w:bCs/>
          <w:color w:val="auto"/>
          <w:kern w:val="2"/>
          <w:sz w:val="18"/>
          <w:szCs w:val="18"/>
          <w:highlight w:val="none"/>
          <w:u w:val="none"/>
          <w:lang w:val="en-US" w:eastAsia="zh-CN" w:bidi="ar-SA"/>
        </w:rPr>
      </w:pPr>
      <w:r>
        <w:rPr>
          <w:rFonts w:hint="eastAsia" w:ascii="Times New Roman" w:hAnsi="Times New Roman" w:eastAsia="宋体" w:cs="Times New Roman"/>
          <w:b/>
          <w:bCs/>
          <w:color w:val="auto"/>
          <w:kern w:val="2"/>
          <w:sz w:val="18"/>
          <w:szCs w:val="18"/>
          <w:highlight w:val="none"/>
          <w:u w:val="none"/>
          <w:lang w:val="en-US" w:eastAsia="zh-CN" w:bidi="ar-SA"/>
        </w:rPr>
        <w:t>本合同的各签约方选择使用电子签约的，已由法定代表人本人或授权其代理人在契约锁电子签约平台进行了实名注册，并通过CA证书进行签约。电子签约的任一方均已知晓且同意通过代理人密码登录账户后的所有操作视为该方的行为，并自愿承担由此产生的一切法律后果。电子签约方的代理人包括在契约锁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D17E133">
      <w:pPr>
        <w:pStyle w:val="4"/>
        <w:ind w:firstLine="361" w:firstLineChars="200"/>
        <w:rPr>
          <w:rFonts w:hint="eastAsia" w:ascii="Times New Roman" w:hAnsi="Times New Roman" w:eastAsia="宋体" w:cs="Times New Roman"/>
          <w:b/>
          <w:bCs/>
          <w:color w:val="auto"/>
          <w:kern w:val="2"/>
          <w:sz w:val="18"/>
          <w:szCs w:val="18"/>
          <w:highlight w:val="none"/>
          <w:u w:val="none"/>
          <w:lang w:val="en-US" w:eastAsia="zh-CN" w:bidi="ar-SA"/>
        </w:rPr>
      </w:pPr>
      <w:r>
        <w:rPr>
          <w:rFonts w:hint="eastAsia" w:ascii="Times New Roman" w:hAnsi="Times New Roman" w:eastAsia="宋体" w:cs="Times New Roman"/>
          <w:b/>
          <w:bCs/>
          <w:color w:val="auto"/>
          <w:kern w:val="2"/>
          <w:sz w:val="18"/>
          <w:szCs w:val="18"/>
          <w:highlight w:val="none"/>
          <w:u w:val="none"/>
          <w:lang w:val="en-US" w:eastAsia="zh-CN" w:bidi="ar-SA"/>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5EAAC6BE">
      <w:pPr>
        <w:spacing w:line="360" w:lineRule="auto"/>
        <w:ind w:firstLine="420" w:firstLineChars="200"/>
        <w:rPr>
          <w:color w:val="auto"/>
          <w:szCs w:val="21"/>
          <w:highlight w:val="none"/>
          <w:u w:val="none"/>
        </w:rPr>
      </w:pPr>
    </w:p>
    <w:tbl>
      <w:tblPr>
        <w:tblStyle w:val="36"/>
        <w:tblW w:w="9720"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4860"/>
        <w:gridCol w:w="4860"/>
      </w:tblGrid>
      <w:tr w14:paraId="3589630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45" w:hRule="atLeast"/>
          <w:jc w:val="center"/>
        </w:trPr>
        <w:tc>
          <w:tcPr>
            <w:tcW w:w="4860" w:type="dxa"/>
            <w:tcBorders>
              <w:top w:val="single" w:color="auto" w:sz="4" w:space="0"/>
              <w:left w:val="single" w:color="auto" w:sz="4" w:space="0"/>
              <w:bottom w:val="single" w:color="auto" w:sz="6" w:space="0"/>
              <w:right w:val="single" w:color="auto" w:sz="6" w:space="0"/>
            </w:tcBorders>
            <w:noWrap w:val="0"/>
            <w:vAlign w:val="center"/>
          </w:tcPr>
          <w:p w14:paraId="030C6413">
            <w:pPr>
              <w:pStyle w:val="6"/>
              <w:spacing w:line="360" w:lineRule="auto"/>
              <w:jc w:val="center"/>
              <w:rPr>
                <w:rFonts w:eastAsia="Times New Roman"/>
                <w:color w:val="auto"/>
                <w:sz w:val="21"/>
                <w:szCs w:val="21"/>
                <w:highlight w:val="none"/>
                <w:u w:val="none"/>
              </w:rPr>
            </w:pPr>
            <w:r>
              <w:rPr>
                <w:rFonts w:hint="eastAsia"/>
                <w:color w:val="auto"/>
                <w:sz w:val="21"/>
                <w:szCs w:val="21"/>
                <w:highlight w:val="none"/>
                <w:u w:val="none"/>
              </w:rPr>
              <w:t>需</w:t>
            </w:r>
            <w:r>
              <w:rPr>
                <w:rFonts w:eastAsia="Times New Roman"/>
                <w:color w:val="auto"/>
                <w:sz w:val="21"/>
                <w:szCs w:val="21"/>
                <w:highlight w:val="none"/>
                <w:u w:val="none"/>
              </w:rPr>
              <w:t xml:space="preserve">  </w:t>
            </w:r>
            <w:r>
              <w:rPr>
                <w:color w:val="auto"/>
                <w:sz w:val="21"/>
                <w:szCs w:val="21"/>
                <w:highlight w:val="none"/>
                <w:u w:val="none"/>
              </w:rPr>
              <w:t>方</w:t>
            </w:r>
          </w:p>
        </w:tc>
        <w:tc>
          <w:tcPr>
            <w:tcW w:w="4860" w:type="dxa"/>
            <w:tcBorders>
              <w:top w:val="single" w:color="auto" w:sz="4" w:space="0"/>
              <w:left w:val="single" w:color="auto" w:sz="6" w:space="0"/>
              <w:bottom w:val="single" w:color="auto" w:sz="6" w:space="0"/>
              <w:right w:val="single" w:color="auto" w:sz="4" w:space="0"/>
            </w:tcBorders>
            <w:noWrap w:val="0"/>
            <w:vAlign w:val="center"/>
          </w:tcPr>
          <w:p w14:paraId="56D34775">
            <w:pPr>
              <w:pStyle w:val="6"/>
              <w:spacing w:line="360" w:lineRule="auto"/>
              <w:jc w:val="center"/>
              <w:rPr>
                <w:rFonts w:eastAsia="Times New Roman"/>
                <w:color w:val="auto"/>
                <w:sz w:val="21"/>
                <w:szCs w:val="21"/>
                <w:highlight w:val="none"/>
                <w:u w:val="none"/>
              </w:rPr>
            </w:pPr>
            <w:r>
              <w:rPr>
                <w:rFonts w:hint="eastAsia"/>
                <w:color w:val="auto"/>
                <w:sz w:val="21"/>
                <w:szCs w:val="21"/>
                <w:highlight w:val="none"/>
                <w:u w:val="none"/>
              </w:rPr>
              <w:t>供</w:t>
            </w:r>
            <w:r>
              <w:rPr>
                <w:rFonts w:eastAsia="Times New Roman"/>
                <w:color w:val="auto"/>
                <w:sz w:val="21"/>
                <w:szCs w:val="21"/>
                <w:highlight w:val="none"/>
                <w:u w:val="none"/>
              </w:rPr>
              <w:t xml:space="preserve">  </w:t>
            </w:r>
            <w:r>
              <w:rPr>
                <w:color w:val="auto"/>
                <w:sz w:val="21"/>
                <w:szCs w:val="21"/>
                <w:highlight w:val="none"/>
                <w:u w:val="none"/>
              </w:rPr>
              <w:t>方</w:t>
            </w:r>
          </w:p>
        </w:tc>
      </w:tr>
      <w:tr w14:paraId="09404C1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95" w:hRule="atLeast"/>
          <w:jc w:val="center"/>
        </w:trPr>
        <w:tc>
          <w:tcPr>
            <w:tcW w:w="4860" w:type="dxa"/>
            <w:tcBorders>
              <w:top w:val="single" w:color="auto" w:sz="6" w:space="0"/>
              <w:left w:val="single" w:color="auto" w:sz="4" w:space="0"/>
              <w:bottom w:val="single" w:color="auto" w:sz="6" w:space="0"/>
              <w:right w:val="single" w:color="auto" w:sz="6" w:space="0"/>
            </w:tcBorders>
            <w:noWrap w:val="0"/>
            <w:vAlign w:val="top"/>
          </w:tcPr>
          <w:p w14:paraId="29635C98">
            <w:pPr>
              <w:spacing w:line="360" w:lineRule="auto"/>
              <w:ind w:left="1680" w:hanging="1680" w:hangingChars="800"/>
              <w:rPr>
                <w:color w:val="auto"/>
                <w:szCs w:val="21"/>
                <w:highlight w:val="none"/>
                <w:u w:val="none"/>
              </w:rPr>
            </w:pPr>
            <w:r>
              <w:rPr>
                <w:rFonts w:hint="eastAsia"/>
                <w:color w:val="auto"/>
                <w:szCs w:val="21"/>
                <w:highlight w:val="none"/>
                <w:u w:val="none"/>
              </w:rPr>
              <w:t xml:space="preserve">需 </w:t>
            </w:r>
            <w:r>
              <w:rPr>
                <w:color w:val="auto"/>
                <w:szCs w:val="21"/>
                <w:highlight w:val="none"/>
                <w:u w:val="none"/>
              </w:rPr>
              <w:t xml:space="preserve">方（章）： </w:t>
            </w:r>
          </w:p>
          <w:p w14:paraId="39BDDE25">
            <w:pPr>
              <w:spacing w:line="360" w:lineRule="auto"/>
              <w:rPr>
                <w:rFonts w:hint="eastAsia" w:eastAsia="宋体"/>
                <w:color w:val="auto"/>
                <w:szCs w:val="21"/>
                <w:highlight w:val="none"/>
                <w:u w:val="none"/>
                <w:lang w:eastAsia="zh-CN"/>
              </w:rPr>
            </w:pPr>
            <w:r>
              <w:rPr>
                <w:rFonts w:hint="eastAsia"/>
                <w:color w:val="auto"/>
                <w:szCs w:val="21"/>
                <w:highlight w:val="none"/>
                <w:u w:val="none"/>
                <w:lang w:eastAsia="zh-CN"/>
              </w:rPr>
              <w:t>中国重汽集团济南智能装备公司</w:t>
            </w:r>
          </w:p>
        </w:tc>
        <w:tc>
          <w:tcPr>
            <w:tcW w:w="4860" w:type="dxa"/>
            <w:tcBorders>
              <w:top w:val="single" w:color="auto" w:sz="6" w:space="0"/>
              <w:left w:val="single" w:color="auto" w:sz="6" w:space="0"/>
              <w:bottom w:val="single" w:color="auto" w:sz="6" w:space="0"/>
              <w:right w:val="single" w:color="auto" w:sz="4" w:space="0"/>
            </w:tcBorders>
            <w:noWrap w:val="0"/>
            <w:vAlign w:val="top"/>
          </w:tcPr>
          <w:p w14:paraId="05093158">
            <w:pPr>
              <w:spacing w:line="360" w:lineRule="auto"/>
              <w:rPr>
                <w:color w:val="auto"/>
                <w:szCs w:val="21"/>
                <w:highlight w:val="none"/>
                <w:u w:val="none"/>
              </w:rPr>
            </w:pPr>
            <w:r>
              <w:rPr>
                <w:rFonts w:hint="eastAsia"/>
                <w:color w:val="auto"/>
                <w:szCs w:val="21"/>
                <w:highlight w:val="none"/>
                <w:u w:val="none"/>
              </w:rPr>
              <w:t>供</w:t>
            </w:r>
            <w:r>
              <w:rPr>
                <w:color w:val="auto"/>
                <w:szCs w:val="21"/>
                <w:highlight w:val="none"/>
                <w:u w:val="none"/>
              </w:rPr>
              <w:t xml:space="preserve"> 方（章）：</w:t>
            </w:r>
          </w:p>
          <w:p w14:paraId="493A4515">
            <w:pPr>
              <w:spacing w:line="360" w:lineRule="auto"/>
              <w:ind w:firstLine="210" w:firstLineChars="100"/>
              <w:rPr>
                <w:color w:val="auto"/>
                <w:szCs w:val="21"/>
                <w:highlight w:val="none"/>
                <w:u w:val="none"/>
              </w:rPr>
            </w:pPr>
            <w:r>
              <w:rPr>
                <w:color w:val="auto"/>
                <w:szCs w:val="21"/>
                <w:highlight w:val="none"/>
                <w:u w:val="none"/>
              </w:rPr>
              <w:t xml:space="preserve"> </w:t>
            </w:r>
          </w:p>
        </w:tc>
      </w:tr>
      <w:tr w14:paraId="544C262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02" w:hRule="atLeast"/>
          <w:jc w:val="center"/>
        </w:trPr>
        <w:tc>
          <w:tcPr>
            <w:tcW w:w="4860" w:type="dxa"/>
            <w:tcBorders>
              <w:top w:val="single" w:color="auto" w:sz="6" w:space="0"/>
              <w:left w:val="single" w:color="auto" w:sz="4" w:space="0"/>
              <w:bottom w:val="single" w:color="auto" w:sz="6" w:space="0"/>
              <w:right w:val="single" w:color="auto" w:sz="6" w:space="0"/>
            </w:tcBorders>
            <w:noWrap w:val="0"/>
            <w:vAlign w:val="top"/>
          </w:tcPr>
          <w:p w14:paraId="2EF9B6AE">
            <w:pPr>
              <w:spacing w:line="360" w:lineRule="auto"/>
              <w:rPr>
                <w:color w:val="auto"/>
                <w:szCs w:val="21"/>
                <w:highlight w:val="none"/>
                <w:u w:val="none"/>
              </w:rPr>
            </w:pPr>
            <w:r>
              <w:rPr>
                <w:rFonts w:hAnsi="宋体"/>
                <w:color w:val="auto"/>
                <w:szCs w:val="21"/>
                <w:highlight w:val="none"/>
                <w:u w:val="none"/>
              </w:rPr>
              <w:t>住</w:t>
            </w:r>
            <w:r>
              <w:rPr>
                <w:color w:val="auto"/>
                <w:szCs w:val="21"/>
                <w:highlight w:val="none"/>
                <w:u w:val="none"/>
              </w:rPr>
              <w:t xml:space="preserve">   </w:t>
            </w:r>
            <w:r>
              <w:rPr>
                <w:rFonts w:hAnsi="宋体"/>
                <w:color w:val="auto"/>
                <w:szCs w:val="21"/>
                <w:highlight w:val="none"/>
                <w:u w:val="none"/>
              </w:rPr>
              <w:t>所：济南市章丘区世纪大道</w:t>
            </w:r>
            <w:r>
              <w:rPr>
                <w:color w:val="auto"/>
                <w:szCs w:val="21"/>
                <w:highlight w:val="none"/>
                <w:u w:val="none"/>
              </w:rPr>
              <w:t>6677</w:t>
            </w:r>
            <w:r>
              <w:rPr>
                <w:rFonts w:hAnsi="宋体"/>
                <w:color w:val="auto"/>
                <w:szCs w:val="21"/>
                <w:highlight w:val="none"/>
                <w:u w:val="none"/>
              </w:rPr>
              <w:t>号</w:t>
            </w:r>
          </w:p>
        </w:tc>
        <w:tc>
          <w:tcPr>
            <w:tcW w:w="4860" w:type="dxa"/>
            <w:tcBorders>
              <w:top w:val="single" w:color="auto" w:sz="6" w:space="0"/>
              <w:left w:val="single" w:color="auto" w:sz="6" w:space="0"/>
              <w:bottom w:val="single" w:color="auto" w:sz="6" w:space="0"/>
              <w:right w:val="single" w:color="auto" w:sz="4" w:space="0"/>
            </w:tcBorders>
            <w:noWrap w:val="0"/>
            <w:vAlign w:val="top"/>
          </w:tcPr>
          <w:p w14:paraId="0CFA2CB6">
            <w:pPr>
              <w:spacing w:line="360" w:lineRule="auto"/>
              <w:rPr>
                <w:color w:val="auto"/>
                <w:szCs w:val="21"/>
                <w:highlight w:val="none"/>
                <w:u w:val="none"/>
              </w:rPr>
            </w:pPr>
            <w:r>
              <w:rPr>
                <w:rFonts w:hAnsi="宋体"/>
                <w:color w:val="auto"/>
                <w:szCs w:val="21"/>
                <w:highlight w:val="none"/>
                <w:u w:val="none"/>
              </w:rPr>
              <w:t>住</w:t>
            </w:r>
            <w:r>
              <w:rPr>
                <w:color w:val="auto"/>
                <w:szCs w:val="21"/>
                <w:highlight w:val="none"/>
                <w:u w:val="none"/>
              </w:rPr>
              <w:t xml:space="preserve">   </w:t>
            </w:r>
            <w:r>
              <w:rPr>
                <w:rFonts w:hAnsi="宋体"/>
                <w:color w:val="auto"/>
                <w:szCs w:val="21"/>
                <w:highlight w:val="none"/>
                <w:u w:val="none"/>
              </w:rPr>
              <w:t>所：</w:t>
            </w:r>
          </w:p>
        </w:tc>
      </w:tr>
      <w:tr w14:paraId="24A2E58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5" w:hRule="atLeast"/>
          <w:jc w:val="center"/>
        </w:trPr>
        <w:tc>
          <w:tcPr>
            <w:tcW w:w="4860" w:type="dxa"/>
            <w:tcBorders>
              <w:top w:val="single" w:color="auto" w:sz="6" w:space="0"/>
              <w:left w:val="single" w:color="auto" w:sz="4" w:space="0"/>
              <w:bottom w:val="single" w:color="auto" w:sz="6" w:space="0"/>
              <w:right w:val="single" w:color="auto" w:sz="6" w:space="0"/>
            </w:tcBorders>
            <w:noWrap w:val="0"/>
            <w:vAlign w:val="top"/>
          </w:tcPr>
          <w:p w14:paraId="41C2A1B3">
            <w:pPr>
              <w:spacing w:line="360" w:lineRule="auto"/>
              <w:rPr>
                <w:color w:val="auto"/>
                <w:szCs w:val="21"/>
                <w:highlight w:val="none"/>
                <w:u w:val="none"/>
              </w:rPr>
            </w:pPr>
            <w:r>
              <w:rPr>
                <w:rFonts w:hAnsi="宋体"/>
                <w:color w:val="auto"/>
                <w:szCs w:val="21"/>
                <w:highlight w:val="none"/>
                <w:u w:val="none"/>
              </w:rPr>
              <w:t>需方代表：</w:t>
            </w:r>
            <w:r>
              <w:rPr>
                <w:color w:val="auto"/>
                <w:szCs w:val="21"/>
                <w:highlight w:val="none"/>
                <w:u w:val="none"/>
              </w:rPr>
              <w:t xml:space="preserve">     </w:t>
            </w:r>
          </w:p>
        </w:tc>
        <w:tc>
          <w:tcPr>
            <w:tcW w:w="4860" w:type="dxa"/>
            <w:tcBorders>
              <w:top w:val="single" w:color="auto" w:sz="6" w:space="0"/>
              <w:left w:val="single" w:color="auto" w:sz="6" w:space="0"/>
              <w:bottom w:val="single" w:color="auto" w:sz="6" w:space="0"/>
              <w:right w:val="single" w:color="auto" w:sz="4" w:space="0"/>
            </w:tcBorders>
            <w:noWrap w:val="0"/>
            <w:vAlign w:val="top"/>
          </w:tcPr>
          <w:p w14:paraId="45ACF3E3">
            <w:pPr>
              <w:spacing w:line="360" w:lineRule="auto"/>
              <w:rPr>
                <w:color w:val="auto"/>
                <w:szCs w:val="21"/>
                <w:highlight w:val="none"/>
                <w:u w:val="none"/>
              </w:rPr>
            </w:pPr>
            <w:r>
              <w:rPr>
                <w:rFonts w:hAnsi="宋体"/>
                <w:color w:val="auto"/>
                <w:szCs w:val="21"/>
                <w:highlight w:val="none"/>
                <w:u w:val="none"/>
              </w:rPr>
              <w:t>供方代表：</w:t>
            </w:r>
            <w:r>
              <w:rPr>
                <w:color w:val="auto"/>
                <w:szCs w:val="21"/>
                <w:highlight w:val="none"/>
                <w:u w:val="none"/>
              </w:rPr>
              <w:t xml:space="preserve">     </w:t>
            </w:r>
          </w:p>
        </w:tc>
      </w:tr>
    </w:tbl>
    <w:p w14:paraId="68090DD1">
      <w:pPr>
        <w:keepNext w:val="0"/>
        <w:keepLines w:val="0"/>
        <w:pageBreakBefore w:val="0"/>
        <w:tabs>
          <w:tab w:val="left" w:pos="2865"/>
        </w:tabs>
        <w:kinsoku/>
        <w:wordWrap/>
        <w:overflowPunct/>
        <w:topLinePunct w:val="0"/>
        <w:bidi w:val="0"/>
        <w:snapToGrid/>
        <w:spacing w:line="440" w:lineRule="exact"/>
        <w:jc w:val="center"/>
        <w:rPr>
          <w:rFonts w:hint="eastAsia" w:asciiTheme="majorEastAsia" w:hAnsiTheme="majorEastAsia" w:eastAsiaTheme="majorEastAsia" w:cstheme="majorEastAsia"/>
          <w:b/>
          <w:sz w:val="36"/>
          <w:szCs w:val="36"/>
          <w:highlight w:val="none"/>
        </w:rPr>
      </w:pPr>
      <w:r>
        <w:rPr>
          <w:rFonts w:eastAsia="华文中宋"/>
          <w:b/>
          <w:color w:val="auto"/>
          <w:sz w:val="36"/>
          <w:szCs w:val="36"/>
          <w:highlight w:val="none"/>
          <w:u w:val="none"/>
        </w:rPr>
        <w:br w:type="page"/>
      </w:r>
      <w:r>
        <w:rPr>
          <w:rFonts w:hint="eastAsia" w:asciiTheme="majorEastAsia" w:hAnsiTheme="majorEastAsia" w:eastAsiaTheme="majorEastAsia" w:cstheme="majorEastAsia"/>
          <w:b/>
          <w:sz w:val="36"/>
          <w:szCs w:val="36"/>
          <w:highlight w:val="none"/>
        </w:rPr>
        <w:t>技  术  协  议</w:t>
      </w:r>
    </w:p>
    <w:p w14:paraId="42D08F8B">
      <w:pPr>
        <w:keepNext w:val="0"/>
        <w:keepLines w:val="0"/>
        <w:pageBreakBefore w:val="0"/>
        <w:tabs>
          <w:tab w:val="left" w:pos="2865"/>
        </w:tabs>
        <w:kinsoku/>
        <w:wordWrap/>
        <w:overflowPunct/>
        <w:topLinePunct w:val="0"/>
        <w:bidi w:val="0"/>
        <w:snapToGrid/>
        <w:spacing w:line="440" w:lineRule="exact"/>
        <w:jc w:val="center"/>
        <w:rPr>
          <w:rFonts w:hint="eastAsia" w:asciiTheme="majorEastAsia" w:hAnsiTheme="majorEastAsia" w:eastAsiaTheme="majorEastAsia" w:cstheme="majorEastAsia"/>
          <w:b/>
          <w:sz w:val="24"/>
          <w:szCs w:val="24"/>
          <w:highlight w:val="none"/>
        </w:rPr>
      </w:pPr>
      <w:r>
        <w:rPr>
          <w:rFonts w:hint="eastAsia" w:asciiTheme="majorEastAsia" w:hAnsiTheme="majorEastAsia" w:eastAsiaTheme="majorEastAsia" w:cstheme="majorEastAsia"/>
          <w:b/>
          <w:sz w:val="24"/>
          <w:szCs w:val="24"/>
          <w:highlight w:val="none"/>
        </w:rPr>
        <w:t xml:space="preserve">总  要  求   </w:t>
      </w:r>
    </w:p>
    <w:p w14:paraId="26D2BF7B">
      <w:pPr>
        <w:keepNext w:val="0"/>
        <w:keepLines w:val="0"/>
        <w:pageBreakBefore w:val="0"/>
        <w:tabs>
          <w:tab w:val="left" w:pos="2865"/>
        </w:tabs>
        <w:kinsoku/>
        <w:wordWrap/>
        <w:overflowPunct/>
        <w:topLinePunct w:val="0"/>
        <w:bidi w:val="0"/>
        <w:snapToGrid/>
        <w:spacing w:line="440" w:lineRule="exact"/>
        <w:textAlignment w:val="baseline"/>
        <w:rPr>
          <w:rFonts w:ascii="宋体" w:hAnsi="宋体"/>
          <w:sz w:val="20"/>
          <w:highlight w:val="none"/>
        </w:rPr>
      </w:pPr>
      <w:r>
        <w:rPr>
          <w:rFonts w:hint="eastAsia" w:ascii="宋体" w:hAnsi="宋体"/>
          <w:sz w:val="20"/>
          <w:highlight w:val="none"/>
        </w:rPr>
        <w:t xml:space="preserve">甲方：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ascii="宋体" w:hAnsi="宋体"/>
          <w:sz w:val="20"/>
          <w:highlight w:val="none"/>
        </w:rPr>
        <w:t>（以下简称甲方）</w:t>
      </w:r>
    </w:p>
    <w:p w14:paraId="6D800984">
      <w:pPr>
        <w:keepNext w:val="0"/>
        <w:keepLines w:val="0"/>
        <w:pageBreakBefore w:val="0"/>
        <w:kinsoku/>
        <w:wordWrap/>
        <w:overflowPunct/>
        <w:topLinePunct w:val="0"/>
        <w:bidi w:val="0"/>
        <w:snapToGrid/>
        <w:spacing w:line="440" w:lineRule="exact"/>
        <w:textAlignment w:val="baseline"/>
        <w:rPr>
          <w:rFonts w:ascii="宋体" w:hAnsi="宋体"/>
          <w:sz w:val="20"/>
          <w:highlight w:val="none"/>
        </w:rPr>
      </w:pPr>
      <w:r>
        <w:rPr>
          <w:rFonts w:ascii="宋体" w:hAnsi="宋体"/>
          <w:sz w:val="20"/>
          <w:highlight w:val="none"/>
        </w:rPr>
        <w:t>乙方</w:t>
      </w:r>
      <w:r>
        <w:rPr>
          <w:rFonts w:hint="eastAsia" w:ascii="宋体" w:hAnsi="宋体"/>
          <w:sz w:val="20"/>
          <w:highlight w:val="none"/>
          <w:lang w:eastAsia="zh-CN"/>
        </w:rPr>
        <w:t>：</w:t>
      </w:r>
      <w:r>
        <w:rPr>
          <w:rFonts w:hint="eastAsia" w:ascii="宋体" w:hAnsi="宋体"/>
          <w:sz w:val="20"/>
          <w:highlight w:val="none"/>
          <w:lang w:val="en-US" w:eastAsia="zh-CN"/>
        </w:rPr>
        <w:t xml:space="preserve">         </w:t>
      </w:r>
      <w:r>
        <w:rPr>
          <w:rFonts w:hint="eastAsia" w:ascii="宋体" w:hAnsi="宋体"/>
          <w:highlight w:val="none"/>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ascii="宋体" w:hAnsi="宋体"/>
          <w:sz w:val="20"/>
          <w:highlight w:val="none"/>
        </w:rPr>
        <w:t>（以下简称乙方）</w:t>
      </w:r>
    </w:p>
    <w:p w14:paraId="5A54A222">
      <w:pPr>
        <w:keepNext w:val="0"/>
        <w:keepLines w:val="0"/>
        <w:pageBreakBefore w:val="0"/>
        <w:tabs>
          <w:tab w:val="left" w:pos="2865"/>
        </w:tabs>
        <w:kinsoku/>
        <w:wordWrap/>
        <w:overflowPunct/>
        <w:topLinePunct w:val="0"/>
        <w:bidi w:val="0"/>
        <w:snapToGrid/>
        <w:spacing w:line="440" w:lineRule="exact"/>
        <w:ind w:firstLine="400" w:firstLineChars="200"/>
        <w:textAlignment w:val="baseline"/>
        <w:rPr>
          <w:rFonts w:ascii="宋体" w:hAnsi="宋体"/>
          <w:sz w:val="20"/>
          <w:highlight w:val="none"/>
        </w:rPr>
      </w:pPr>
      <w:r>
        <w:rPr>
          <w:rFonts w:ascii="宋体" w:hAnsi="宋体"/>
          <w:sz w:val="20"/>
          <w:highlight w:val="none"/>
        </w:rPr>
        <w:t>乙方作为合格</w:t>
      </w:r>
      <w:r>
        <w:rPr>
          <w:rFonts w:hint="eastAsia" w:ascii="宋体" w:hAnsi="宋体"/>
          <w:sz w:val="20"/>
          <w:highlight w:val="none"/>
          <w:lang w:eastAsia="zh-CN"/>
        </w:rPr>
        <w:t>乙方</w:t>
      </w:r>
      <w:r>
        <w:rPr>
          <w:rFonts w:ascii="宋体" w:hAnsi="宋体"/>
          <w:sz w:val="20"/>
          <w:highlight w:val="none"/>
        </w:rPr>
        <w:t>，其工艺保证能力、生产能力、质量保证能力须经甲方技术、生产、质量、采购等部门考察评审，并予以认可。</w:t>
      </w:r>
    </w:p>
    <w:p w14:paraId="35374423">
      <w:pPr>
        <w:keepNext w:val="0"/>
        <w:keepLines w:val="0"/>
        <w:pageBreakBefore w:val="0"/>
        <w:tabs>
          <w:tab w:val="left" w:pos="2865"/>
        </w:tabs>
        <w:kinsoku/>
        <w:wordWrap/>
        <w:overflowPunct/>
        <w:topLinePunct w:val="0"/>
        <w:bidi w:val="0"/>
        <w:snapToGrid/>
        <w:spacing w:line="440" w:lineRule="exact"/>
        <w:ind w:firstLine="400" w:firstLineChars="200"/>
        <w:textAlignment w:val="baseline"/>
        <w:rPr>
          <w:rFonts w:hint="eastAsia" w:ascii="宋体" w:hAnsi="宋体"/>
          <w:sz w:val="20"/>
          <w:highlight w:val="none"/>
        </w:rPr>
      </w:pPr>
      <w:r>
        <w:rPr>
          <w:rFonts w:ascii="宋体" w:hAnsi="宋体"/>
          <w:sz w:val="20"/>
          <w:highlight w:val="none"/>
        </w:rPr>
        <w:t>为了保证模具外委制作的质量，就乙方向甲方供货的技术要求、产品技术认证、产品质量等事宜经双方充分协商达成以下协议，作为乙方今后供货时，双方共同执行的依据。</w:t>
      </w:r>
    </w:p>
    <w:p w14:paraId="7A617CE2">
      <w:pPr>
        <w:keepNext w:val="0"/>
        <w:keepLines w:val="0"/>
        <w:pageBreakBefore w:val="0"/>
        <w:tabs>
          <w:tab w:val="left" w:pos="2865"/>
        </w:tabs>
        <w:kinsoku/>
        <w:wordWrap/>
        <w:overflowPunct/>
        <w:topLinePunct w:val="0"/>
        <w:bidi w:val="0"/>
        <w:snapToGrid/>
        <w:spacing w:line="440" w:lineRule="exact"/>
        <w:jc w:val="center"/>
        <w:rPr>
          <w:rFonts w:hint="eastAsia" w:ascii="宋体" w:hAnsi="宋体"/>
          <w:b/>
          <w:color w:val="auto"/>
          <w:sz w:val="20"/>
          <w:highlight w:val="none"/>
          <w:lang w:eastAsia="zh-CN"/>
        </w:rPr>
      </w:pPr>
      <w:r>
        <w:rPr>
          <w:rFonts w:hint="eastAsia" w:ascii="宋体" w:hAnsi="宋体"/>
          <w:b/>
          <w:color w:val="auto"/>
          <w:sz w:val="20"/>
          <w:highlight w:val="none"/>
        </w:rPr>
        <w:t xml:space="preserve">第一条  </w:t>
      </w:r>
      <w:r>
        <w:rPr>
          <w:rFonts w:hint="eastAsia" w:ascii="宋体" w:hAnsi="宋体"/>
          <w:b/>
          <w:color w:val="auto"/>
          <w:sz w:val="20"/>
          <w:highlight w:val="none"/>
          <w:lang w:val="en-US" w:eastAsia="zh-CN"/>
        </w:rPr>
        <w:t>基本要求</w:t>
      </w:r>
    </w:p>
    <w:p w14:paraId="3CF8310A">
      <w:pPr>
        <w:keepNext w:val="0"/>
        <w:keepLines w:val="0"/>
        <w:pageBreakBefore w:val="0"/>
        <w:tabs>
          <w:tab w:val="left" w:pos="2865"/>
        </w:tabs>
        <w:kinsoku/>
        <w:wordWrap/>
        <w:overflowPunct/>
        <w:topLinePunct w:val="0"/>
        <w:bidi w:val="0"/>
        <w:snapToGrid/>
        <w:spacing w:line="440" w:lineRule="exact"/>
        <w:ind w:firstLine="400" w:firstLineChars="200"/>
        <w:textAlignment w:val="baseline"/>
        <w:rPr>
          <w:rFonts w:hint="eastAsia" w:ascii="宋体" w:hAnsi="宋体"/>
          <w:sz w:val="20"/>
          <w:highlight w:val="none"/>
        </w:rPr>
      </w:pPr>
      <w:r>
        <w:rPr>
          <w:rFonts w:hint="eastAsia" w:ascii="宋体" w:hAnsi="宋体"/>
          <w:sz w:val="20"/>
          <w:highlight w:val="none"/>
        </w:rPr>
        <w:t>1、</w:t>
      </w:r>
      <w:r>
        <w:rPr>
          <w:rFonts w:hint="eastAsia" w:ascii="宋体" w:hAnsi="宋体"/>
          <w:sz w:val="20"/>
          <w:highlight w:val="none"/>
          <w:lang w:val="en-US" w:eastAsia="zh-CN"/>
        </w:rPr>
        <w:t>乙方</w:t>
      </w:r>
      <w:r>
        <w:rPr>
          <w:rFonts w:hint="eastAsia" w:ascii="宋体" w:hAnsi="宋体"/>
          <w:sz w:val="20"/>
          <w:highlight w:val="none"/>
        </w:rPr>
        <w:t>所供的货物，必须符合中国最新版的法律、法规和相关标准、规范的要求，符合项目所在地政府有关特殊要求。</w:t>
      </w:r>
    </w:p>
    <w:p w14:paraId="3A82CE7A">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00" w:firstLineChars="200"/>
        <w:textAlignment w:val="baseline"/>
        <w:rPr>
          <w:rFonts w:hint="eastAsia" w:ascii="宋体" w:hAnsi="宋体"/>
          <w:sz w:val="20"/>
          <w:highlight w:val="none"/>
          <w:lang w:eastAsia="zh-CN"/>
        </w:rPr>
      </w:pPr>
      <w:r>
        <w:rPr>
          <w:rFonts w:hint="eastAsia" w:ascii="宋体" w:hAnsi="宋体"/>
          <w:sz w:val="20"/>
          <w:highlight w:val="none"/>
          <w:lang w:val="en-US" w:eastAsia="zh-CN"/>
        </w:rPr>
        <w:t>2、乙方</w:t>
      </w:r>
      <w:r>
        <w:rPr>
          <w:rFonts w:hint="eastAsia" w:ascii="宋体" w:hAnsi="宋体"/>
          <w:sz w:val="20"/>
          <w:highlight w:val="none"/>
        </w:rPr>
        <w:t>应保证所供货物的完整性</w:t>
      </w:r>
      <w:r>
        <w:rPr>
          <w:rFonts w:hint="eastAsia" w:ascii="宋体" w:hAnsi="宋体"/>
          <w:sz w:val="20"/>
          <w:highlight w:val="none"/>
          <w:lang w:eastAsia="zh-CN"/>
        </w:rPr>
        <w:t>、</w:t>
      </w:r>
      <w:r>
        <w:rPr>
          <w:rFonts w:hint="eastAsia" w:ascii="宋体" w:hAnsi="宋体"/>
          <w:sz w:val="20"/>
          <w:highlight w:val="none"/>
        </w:rPr>
        <w:t>成套性</w:t>
      </w:r>
      <w:r>
        <w:rPr>
          <w:rFonts w:hint="eastAsia" w:ascii="宋体" w:hAnsi="宋体"/>
          <w:sz w:val="20"/>
          <w:highlight w:val="none"/>
          <w:lang w:eastAsia="zh-CN"/>
        </w:rPr>
        <w:t>、</w:t>
      </w:r>
      <w:r>
        <w:rPr>
          <w:rFonts w:hint="eastAsia" w:ascii="宋体" w:hAnsi="宋体"/>
          <w:sz w:val="20"/>
          <w:highlight w:val="none"/>
          <w:lang w:val="en-US" w:eastAsia="zh-CN"/>
        </w:rPr>
        <w:t>全新性</w:t>
      </w:r>
      <w:r>
        <w:rPr>
          <w:rFonts w:hint="eastAsia" w:ascii="宋体" w:hAnsi="宋体"/>
          <w:sz w:val="20"/>
          <w:highlight w:val="none"/>
        </w:rPr>
        <w:t>，能保证货物的正常运行、使用</w:t>
      </w:r>
      <w:r>
        <w:rPr>
          <w:rFonts w:hint="eastAsia" w:ascii="宋体" w:hAnsi="宋体"/>
          <w:sz w:val="20"/>
          <w:highlight w:val="none"/>
          <w:lang w:eastAsia="zh-CN"/>
        </w:rPr>
        <w:t>。</w:t>
      </w:r>
    </w:p>
    <w:p w14:paraId="1F22F770">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00" w:firstLineChars="200"/>
        <w:textAlignment w:val="baseline"/>
        <w:rPr>
          <w:rFonts w:hint="eastAsia" w:ascii="宋体" w:hAnsi="宋体"/>
          <w:sz w:val="20"/>
          <w:highlight w:val="none"/>
        </w:rPr>
      </w:pPr>
      <w:r>
        <w:rPr>
          <w:rFonts w:hint="eastAsia" w:ascii="宋体" w:hAnsi="宋体"/>
          <w:sz w:val="20"/>
          <w:highlight w:val="none"/>
          <w:lang w:val="en-US" w:eastAsia="zh-CN"/>
        </w:rPr>
        <w:t>3、</w:t>
      </w:r>
      <w:r>
        <w:rPr>
          <w:rFonts w:hint="eastAsia" w:ascii="宋体" w:hAnsi="宋体"/>
          <w:sz w:val="20"/>
          <w:highlight w:val="none"/>
          <w:lang w:eastAsia="zh-CN"/>
        </w:rPr>
        <w:t>甲方</w:t>
      </w:r>
      <w:r>
        <w:rPr>
          <w:rFonts w:hint="eastAsia" w:ascii="宋体" w:hAnsi="宋体"/>
          <w:sz w:val="20"/>
          <w:highlight w:val="none"/>
        </w:rPr>
        <w:t>提供给</w:t>
      </w:r>
      <w:r>
        <w:rPr>
          <w:rFonts w:hint="eastAsia" w:ascii="宋体" w:hAnsi="宋体"/>
          <w:sz w:val="20"/>
          <w:highlight w:val="none"/>
          <w:lang w:eastAsia="zh-CN"/>
        </w:rPr>
        <w:t>乙方</w:t>
      </w:r>
      <w:r>
        <w:rPr>
          <w:rFonts w:hint="eastAsia" w:ascii="宋体" w:hAnsi="宋体"/>
          <w:sz w:val="20"/>
          <w:highlight w:val="none"/>
        </w:rPr>
        <w:t>PDF版图纸及</w:t>
      </w:r>
      <w:r>
        <w:rPr>
          <w:rFonts w:hint="eastAsia" w:ascii="宋体" w:hAnsi="宋体"/>
          <w:sz w:val="20"/>
          <w:highlight w:val="none"/>
          <w:lang w:val="en-US" w:eastAsia="zh-CN"/>
        </w:rPr>
        <w:t>模体/锻件</w:t>
      </w:r>
      <w:r>
        <w:rPr>
          <w:rFonts w:hint="eastAsia" w:ascii="宋体" w:hAnsi="宋体"/>
          <w:sz w:val="20"/>
          <w:highlight w:val="none"/>
        </w:rPr>
        <w:t>三维造型</w:t>
      </w:r>
      <w:r>
        <w:rPr>
          <w:rFonts w:hint="eastAsia" w:ascii="宋体" w:hAnsi="宋体"/>
          <w:sz w:val="20"/>
          <w:highlight w:val="none"/>
          <w:lang w:val="en-US" w:eastAsia="zh-CN"/>
        </w:rPr>
        <w:t>等</w:t>
      </w:r>
      <w:r>
        <w:rPr>
          <w:rFonts w:hint="eastAsia" w:ascii="宋体" w:hAnsi="宋体"/>
          <w:sz w:val="20"/>
          <w:highlight w:val="none"/>
        </w:rPr>
        <w:t>，</w:t>
      </w:r>
      <w:r>
        <w:rPr>
          <w:rFonts w:hint="eastAsia" w:ascii="宋体" w:hAnsi="宋体"/>
          <w:sz w:val="20"/>
          <w:highlight w:val="none"/>
          <w:lang w:eastAsia="zh-CN"/>
        </w:rPr>
        <w:t>甲方</w:t>
      </w:r>
      <w:r>
        <w:rPr>
          <w:rFonts w:hint="eastAsia" w:ascii="宋体" w:hAnsi="宋体"/>
          <w:sz w:val="20"/>
          <w:highlight w:val="none"/>
        </w:rPr>
        <w:t>拥有对图纸的知识产权，</w:t>
      </w:r>
      <w:r>
        <w:rPr>
          <w:rFonts w:hint="eastAsia" w:ascii="宋体" w:hAnsi="宋体"/>
          <w:sz w:val="20"/>
          <w:highlight w:val="none"/>
          <w:lang w:eastAsia="zh-CN"/>
        </w:rPr>
        <w:t>乙方</w:t>
      </w:r>
      <w:r>
        <w:rPr>
          <w:rFonts w:hint="eastAsia" w:ascii="宋体" w:hAnsi="宋体"/>
          <w:sz w:val="20"/>
          <w:highlight w:val="none"/>
        </w:rPr>
        <w:t>应对</w:t>
      </w:r>
      <w:r>
        <w:rPr>
          <w:rFonts w:hint="eastAsia" w:ascii="宋体" w:hAnsi="宋体"/>
          <w:sz w:val="20"/>
          <w:highlight w:val="none"/>
          <w:lang w:eastAsia="zh-CN"/>
        </w:rPr>
        <w:t>甲方</w:t>
      </w:r>
      <w:r>
        <w:rPr>
          <w:rFonts w:hint="eastAsia" w:ascii="宋体" w:hAnsi="宋体"/>
          <w:sz w:val="20"/>
          <w:highlight w:val="none"/>
        </w:rPr>
        <w:t>采购的货物所涉及的技术、产能等信息负有保密义务。</w:t>
      </w:r>
    </w:p>
    <w:p w14:paraId="6C0385F2">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00" w:firstLineChars="200"/>
        <w:textAlignment w:val="baseline"/>
        <w:rPr>
          <w:rFonts w:hint="eastAsia" w:ascii="宋体" w:hAnsi="宋体"/>
          <w:sz w:val="20"/>
          <w:highlight w:val="none"/>
        </w:rPr>
      </w:pPr>
      <w:r>
        <w:rPr>
          <w:rFonts w:hint="eastAsia" w:ascii="宋体" w:hAnsi="宋体"/>
          <w:sz w:val="20"/>
          <w:highlight w:val="none"/>
          <w:lang w:val="en-US" w:eastAsia="zh-CN"/>
        </w:rPr>
        <w:t>4、</w:t>
      </w:r>
      <w:r>
        <w:rPr>
          <w:rFonts w:hint="eastAsia" w:ascii="宋体" w:hAnsi="宋体"/>
          <w:sz w:val="20"/>
          <w:highlight w:val="none"/>
          <w:lang w:eastAsia="zh-CN"/>
        </w:rPr>
        <w:t>乙方</w:t>
      </w:r>
      <w:r>
        <w:rPr>
          <w:rFonts w:hint="eastAsia" w:ascii="宋体" w:hAnsi="宋体"/>
          <w:sz w:val="20"/>
          <w:highlight w:val="none"/>
        </w:rPr>
        <w:t>在委托外协加工时，必须征得</w:t>
      </w:r>
      <w:r>
        <w:rPr>
          <w:rFonts w:hint="eastAsia" w:ascii="宋体" w:hAnsi="宋体"/>
          <w:sz w:val="20"/>
          <w:highlight w:val="none"/>
          <w:lang w:eastAsia="zh-CN"/>
        </w:rPr>
        <w:t>甲方</w:t>
      </w:r>
      <w:r>
        <w:rPr>
          <w:rFonts w:hint="eastAsia" w:ascii="宋体" w:hAnsi="宋体"/>
          <w:sz w:val="20"/>
          <w:highlight w:val="none"/>
        </w:rPr>
        <w:t>的书面认可，并对外协方提出技术保密要求，不得将图纸外传，加工完成后，应将外协图纸收回。</w:t>
      </w:r>
    </w:p>
    <w:p w14:paraId="4AEE1792">
      <w:pPr>
        <w:keepNext w:val="0"/>
        <w:keepLines w:val="0"/>
        <w:pageBreakBefore w:val="0"/>
        <w:widowControl w:val="0"/>
        <w:tabs>
          <w:tab w:val="left" w:pos="2865"/>
        </w:tabs>
        <w:kinsoku/>
        <w:wordWrap/>
        <w:overflowPunct/>
        <w:topLinePunct w:val="0"/>
        <w:autoSpaceDE/>
        <w:autoSpaceDN/>
        <w:bidi w:val="0"/>
        <w:adjustRightInd/>
        <w:snapToGrid/>
        <w:spacing w:line="440" w:lineRule="exact"/>
        <w:ind w:firstLine="400" w:firstLineChars="200"/>
        <w:textAlignment w:val="baseline"/>
        <w:rPr>
          <w:rFonts w:hint="eastAsia" w:ascii="宋体" w:hAnsi="宋体"/>
          <w:sz w:val="20"/>
          <w:highlight w:val="none"/>
        </w:rPr>
      </w:pPr>
      <w:r>
        <w:rPr>
          <w:rFonts w:hint="eastAsia" w:ascii="宋体" w:hAnsi="宋体"/>
          <w:sz w:val="20"/>
          <w:highlight w:val="none"/>
          <w:lang w:val="en-US" w:eastAsia="zh-CN"/>
        </w:rPr>
        <w:t>5、</w:t>
      </w:r>
      <w:r>
        <w:rPr>
          <w:rFonts w:hint="eastAsia" w:ascii="宋体" w:hAnsi="宋体"/>
          <w:sz w:val="20"/>
          <w:highlight w:val="none"/>
          <w:lang w:eastAsia="zh-CN"/>
        </w:rPr>
        <w:t>乙方</w:t>
      </w:r>
      <w:r>
        <w:rPr>
          <w:rFonts w:hint="eastAsia" w:ascii="宋体" w:hAnsi="宋体"/>
          <w:sz w:val="20"/>
          <w:highlight w:val="none"/>
        </w:rPr>
        <w:t>不得自行改变</w:t>
      </w:r>
      <w:r>
        <w:rPr>
          <w:rFonts w:hint="eastAsia" w:ascii="宋体" w:hAnsi="宋体"/>
          <w:sz w:val="20"/>
          <w:highlight w:val="none"/>
          <w:lang w:eastAsia="zh-CN"/>
        </w:rPr>
        <w:t>甲方</w:t>
      </w:r>
      <w:r>
        <w:rPr>
          <w:rFonts w:hint="eastAsia" w:ascii="宋体" w:hAnsi="宋体"/>
          <w:sz w:val="20"/>
          <w:highlight w:val="none"/>
        </w:rPr>
        <w:t>提供的技术资料和技术质量要求，如确实需要更改，须事先征得</w:t>
      </w:r>
      <w:r>
        <w:rPr>
          <w:rFonts w:hint="eastAsia" w:ascii="宋体" w:hAnsi="宋体"/>
          <w:sz w:val="20"/>
          <w:highlight w:val="none"/>
          <w:lang w:eastAsia="zh-CN"/>
        </w:rPr>
        <w:t>甲方</w:t>
      </w:r>
      <w:r>
        <w:rPr>
          <w:rFonts w:hint="eastAsia" w:ascii="宋体" w:hAnsi="宋体"/>
          <w:sz w:val="20"/>
          <w:highlight w:val="none"/>
        </w:rPr>
        <w:t>的书面同意。</w:t>
      </w:r>
    </w:p>
    <w:p w14:paraId="619B4ECD">
      <w:pPr>
        <w:keepNext w:val="0"/>
        <w:keepLines w:val="0"/>
        <w:pageBreakBefore w:val="0"/>
        <w:tabs>
          <w:tab w:val="left" w:pos="2865"/>
        </w:tabs>
        <w:kinsoku/>
        <w:wordWrap/>
        <w:overflowPunct/>
        <w:topLinePunct w:val="0"/>
        <w:bidi w:val="0"/>
        <w:snapToGrid/>
        <w:spacing w:line="440" w:lineRule="exact"/>
        <w:ind w:firstLine="400" w:firstLineChars="200"/>
        <w:textAlignment w:val="baseline"/>
        <w:rPr>
          <w:rFonts w:hint="eastAsia" w:ascii="宋体" w:hAnsi="宋体"/>
          <w:sz w:val="20"/>
          <w:highlight w:val="none"/>
          <w:lang w:eastAsia="zh-CN"/>
        </w:rPr>
      </w:pPr>
      <w:r>
        <w:rPr>
          <w:rFonts w:hint="eastAsia" w:ascii="宋体" w:hAnsi="宋体"/>
          <w:sz w:val="20"/>
          <w:highlight w:val="none"/>
          <w:lang w:val="en-US" w:eastAsia="zh-CN"/>
        </w:rPr>
        <w:t>6、</w:t>
      </w:r>
      <w:r>
        <w:rPr>
          <w:rFonts w:hint="eastAsia" w:ascii="宋体" w:hAnsi="宋体"/>
          <w:sz w:val="20"/>
          <w:highlight w:val="none"/>
        </w:rPr>
        <w:t>在</w:t>
      </w:r>
      <w:r>
        <w:rPr>
          <w:rFonts w:hint="eastAsia" w:ascii="宋体" w:hAnsi="宋体"/>
          <w:sz w:val="20"/>
          <w:highlight w:val="none"/>
          <w:lang w:eastAsia="zh-CN"/>
        </w:rPr>
        <w:t>乙方</w:t>
      </w:r>
      <w:r>
        <w:rPr>
          <w:rFonts w:hint="eastAsia" w:ascii="宋体" w:hAnsi="宋体"/>
          <w:sz w:val="20"/>
          <w:highlight w:val="none"/>
        </w:rPr>
        <w:t>冶炼钢坯和锻造钢坯过程中</w:t>
      </w:r>
      <w:r>
        <w:rPr>
          <w:rFonts w:hint="eastAsia" w:ascii="宋体" w:hAnsi="宋体"/>
          <w:sz w:val="20"/>
          <w:highlight w:val="none"/>
          <w:lang w:eastAsia="zh-CN"/>
        </w:rPr>
        <w:t>甲方</w:t>
      </w:r>
      <w:r>
        <w:rPr>
          <w:rFonts w:hint="eastAsia" w:ascii="宋体" w:hAnsi="宋体"/>
          <w:sz w:val="20"/>
          <w:highlight w:val="none"/>
          <w:lang w:val="en-US" w:eastAsia="zh-CN"/>
        </w:rPr>
        <w:t>如需要可</w:t>
      </w:r>
      <w:r>
        <w:rPr>
          <w:rFonts w:hint="eastAsia" w:ascii="宋体" w:hAnsi="宋体"/>
          <w:sz w:val="20"/>
          <w:highlight w:val="none"/>
        </w:rPr>
        <w:t>到</w:t>
      </w:r>
      <w:r>
        <w:rPr>
          <w:rFonts w:hint="eastAsia" w:ascii="宋体" w:hAnsi="宋体"/>
          <w:sz w:val="20"/>
          <w:highlight w:val="none"/>
          <w:lang w:eastAsia="zh-CN"/>
        </w:rPr>
        <w:t>乙方</w:t>
      </w:r>
      <w:r>
        <w:rPr>
          <w:rFonts w:hint="eastAsia" w:ascii="宋体" w:hAnsi="宋体"/>
          <w:sz w:val="20"/>
          <w:highlight w:val="none"/>
        </w:rPr>
        <w:t>现场进行监制</w:t>
      </w:r>
      <w:r>
        <w:rPr>
          <w:rFonts w:hint="eastAsia" w:ascii="宋体" w:hAnsi="宋体"/>
          <w:sz w:val="20"/>
          <w:highlight w:val="none"/>
          <w:lang w:eastAsia="zh-CN"/>
        </w:rPr>
        <w:t>。</w:t>
      </w:r>
    </w:p>
    <w:p w14:paraId="1F155FB8">
      <w:pPr>
        <w:keepNext w:val="0"/>
        <w:keepLines w:val="0"/>
        <w:pageBreakBefore w:val="0"/>
        <w:tabs>
          <w:tab w:val="left" w:pos="2865"/>
        </w:tabs>
        <w:kinsoku/>
        <w:wordWrap/>
        <w:overflowPunct/>
        <w:topLinePunct w:val="0"/>
        <w:bidi w:val="0"/>
        <w:snapToGrid/>
        <w:spacing w:line="440" w:lineRule="exact"/>
        <w:jc w:val="center"/>
        <w:rPr>
          <w:rFonts w:hint="eastAsia" w:ascii="宋体" w:hAnsi="宋体" w:eastAsia="宋体" w:cs="宋体"/>
          <w:b/>
          <w:color w:val="auto"/>
          <w:sz w:val="20"/>
          <w:szCs w:val="20"/>
          <w:highlight w:val="none"/>
        </w:rPr>
      </w:pPr>
      <w:r>
        <w:rPr>
          <w:rFonts w:hint="eastAsia" w:ascii="宋体" w:hAnsi="宋体" w:eastAsia="宋体" w:cs="宋体"/>
          <w:b/>
          <w:color w:val="auto"/>
          <w:sz w:val="20"/>
          <w:szCs w:val="20"/>
          <w:highlight w:val="none"/>
        </w:rPr>
        <w:t>第</w:t>
      </w:r>
      <w:r>
        <w:rPr>
          <w:rFonts w:hint="eastAsia" w:ascii="宋体" w:hAnsi="宋体" w:eastAsia="宋体" w:cs="宋体"/>
          <w:b/>
          <w:color w:val="auto"/>
          <w:sz w:val="20"/>
          <w:szCs w:val="20"/>
          <w:highlight w:val="none"/>
          <w:lang w:val="en-US" w:eastAsia="zh-CN"/>
        </w:rPr>
        <w:t>二</w:t>
      </w:r>
      <w:r>
        <w:rPr>
          <w:rFonts w:hint="eastAsia" w:ascii="宋体" w:hAnsi="宋体" w:eastAsia="宋体" w:cs="宋体"/>
          <w:b/>
          <w:color w:val="auto"/>
          <w:sz w:val="20"/>
          <w:szCs w:val="20"/>
          <w:highlight w:val="none"/>
        </w:rPr>
        <w:t>条  技术规范</w:t>
      </w:r>
    </w:p>
    <w:p w14:paraId="6380D426">
      <w:pPr>
        <w:keepNext w:val="0"/>
        <w:keepLines w:val="0"/>
        <w:pageBreakBefore w:val="0"/>
        <w:tabs>
          <w:tab w:val="left" w:pos="2865"/>
        </w:tabs>
        <w:kinsoku/>
        <w:wordWrap/>
        <w:overflowPunct/>
        <w:topLinePunct w:val="0"/>
        <w:bidi w:val="0"/>
        <w:snapToGrid/>
        <w:spacing w:line="440" w:lineRule="exact"/>
        <w:jc w:val="left"/>
        <w:rPr>
          <w:rFonts w:hint="default" w:ascii="宋体" w:hAnsi="宋体" w:eastAsia="宋体" w:cs="宋体"/>
          <w:b/>
          <w:color w:val="auto"/>
          <w:sz w:val="20"/>
          <w:szCs w:val="20"/>
          <w:highlight w:val="none"/>
          <w:lang w:val="en-US" w:eastAsia="zh-CN"/>
        </w:rPr>
      </w:pPr>
      <w:r>
        <w:rPr>
          <w:rFonts w:hint="eastAsia" w:ascii="宋体" w:hAnsi="宋体" w:eastAsia="宋体" w:cs="宋体"/>
          <w:b/>
          <w:color w:val="auto"/>
          <w:sz w:val="20"/>
          <w:szCs w:val="20"/>
          <w:highlight w:val="none"/>
          <w:lang w:val="en-US" w:eastAsia="zh-CN"/>
        </w:rPr>
        <w:t xml:space="preserve">    一、新制模块</w:t>
      </w:r>
      <w:r>
        <w:rPr>
          <w:rFonts w:hint="eastAsia" w:ascii="宋体" w:hAnsi="宋体" w:cs="宋体"/>
          <w:b/>
          <w:color w:val="auto"/>
          <w:sz w:val="20"/>
          <w:szCs w:val="20"/>
          <w:highlight w:val="none"/>
          <w:lang w:val="en-US" w:eastAsia="zh-CN"/>
        </w:rPr>
        <w:t>技术要求</w:t>
      </w:r>
    </w:p>
    <w:p w14:paraId="1DA2DEF5">
      <w:pPr>
        <w:pStyle w:val="125"/>
        <w:keepNext w:val="0"/>
        <w:keepLines w:val="0"/>
        <w:pageBreakBefore w:val="0"/>
        <w:tabs>
          <w:tab w:val="left" w:pos="900"/>
        </w:tabs>
        <w:kinsoku/>
        <w:wordWrap/>
        <w:overflowPunct/>
        <w:topLinePunct w:val="0"/>
        <w:bidi w:val="0"/>
        <w:snapToGrid/>
        <w:spacing w:line="440" w:lineRule="exact"/>
        <w:ind w:firstLine="4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1、</w:t>
      </w:r>
      <w:r>
        <w:rPr>
          <w:rFonts w:hint="eastAsia" w:ascii="宋体" w:hAnsi="宋体" w:cs="宋体"/>
          <w:color w:val="auto"/>
          <w:sz w:val="20"/>
          <w:szCs w:val="20"/>
          <w:highlight w:val="none"/>
          <w:lang w:val="en-US" w:eastAsia="zh-CN"/>
        </w:rPr>
        <w:t>乙方</w:t>
      </w:r>
      <w:r>
        <w:rPr>
          <w:rFonts w:hint="eastAsia" w:ascii="宋体" w:hAnsi="宋体" w:eastAsia="宋体" w:cs="宋体"/>
          <w:color w:val="auto"/>
          <w:sz w:val="20"/>
          <w:szCs w:val="20"/>
          <w:highlight w:val="none"/>
        </w:rPr>
        <w:t>提供的货物必须符合以下标准要求：</w:t>
      </w:r>
    </w:p>
    <w:p w14:paraId="584DFC65">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GB/T11880 模锻锤和大型机械压力机用模块技术条件</w:t>
      </w:r>
    </w:p>
    <w:p w14:paraId="3B8AE5D3">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GB3077 合金结构钢技术条件</w:t>
      </w:r>
    </w:p>
    <w:p w14:paraId="60C7AA73">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GB11352 一般工程用铸造碳钢件</w:t>
      </w:r>
    </w:p>
    <w:p w14:paraId="0203FDAC">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GB1184 形状和位置公差   未注公差的规定</w:t>
      </w:r>
    </w:p>
    <w:p w14:paraId="5867B59F">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GB/T1804 一般公差  线性尺寸的未注公差技术条件</w:t>
      </w:r>
    </w:p>
    <w:p w14:paraId="3C75170E">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GB/T222 钢的成品化学成分允许偏差</w:t>
      </w:r>
    </w:p>
    <w:p w14:paraId="31D010E0">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GB/T231.1 金属布氏硬度试验  第1部分  试验方法</w:t>
      </w:r>
    </w:p>
    <w:p w14:paraId="5651123B">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GB/T1299 合金工具钢</w:t>
      </w:r>
    </w:p>
    <w:p w14:paraId="2E24EDFE">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GB/T6402 钢锻材超声波检验方法</w:t>
      </w:r>
    </w:p>
    <w:p w14:paraId="006174E5">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GB/T10561 钢中非金属夹杂物含量的测定—标准评级图显微检验法</w:t>
      </w:r>
    </w:p>
    <w:p w14:paraId="687F456C">
      <w:pPr>
        <w:pStyle w:val="4"/>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GB/T</w:t>
      </w:r>
      <w:r>
        <w:rPr>
          <w:rFonts w:hint="eastAsia" w:ascii="宋体" w:hAnsi="宋体" w:eastAsia="宋体" w:cs="宋体"/>
          <w:color w:val="auto"/>
          <w:sz w:val="20"/>
          <w:szCs w:val="20"/>
          <w:highlight w:val="none"/>
          <w:lang w:val="en-US" w:eastAsia="zh-CN"/>
        </w:rPr>
        <w:t>16923 钢件的正火与退火</w:t>
      </w:r>
    </w:p>
    <w:p w14:paraId="352CB4FC">
      <w:pPr>
        <w:pStyle w:val="4"/>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t>GB/</w:t>
      </w:r>
      <w:r>
        <w:rPr>
          <w:rFonts w:hint="eastAsia" w:ascii="宋体" w:hAnsi="宋体" w:eastAsia="宋体" w:cs="宋体"/>
          <w:color w:val="auto"/>
          <w:sz w:val="20"/>
          <w:szCs w:val="20"/>
          <w:highlight w:val="none"/>
          <w:lang w:val="en-US" w:eastAsia="zh-CN"/>
        </w:rPr>
        <w:t>T16924 钢件的淬火与回火</w:t>
      </w:r>
    </w:p>
    <w:p w14:paraId="149D2454">
      <w:pPr>
        <w:pStyle w:val="4"/>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GB/T15824 热作模具钢热疲劳试验方法</w:t>
      </w:r>
    </w:p>
    <w:p w14:paraId="206F6C93">
      <w:pPr>
        <w:pStyle w:val="4"/>
        <w:keepNext w:val="0"/>
        <w:keepLines w:val="0"/>
        <w:pageBreakBefore w:val="0"/>
        <w:kinsoku/>
        <w:wordWrap/>
        <w:overflowPunct/>
        <w:topLinePunct w:val="0"/>
        <w:bidi w:val="0"/>
        <w:snapToGrid/>
        <w:spacing w:line="440" w:lineRule="exact"/>
        <w:ind w:firstLine="42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JB/T8431 锻模 热模锻用钢 技术条件</w:t>
      </w:r>
    </w:p>
    <w:p w14:paraId="35D26437">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以上标准中条款</w:t>
      </w:r>
      <w:r>
        <w:rPr>
          <w:rFonts w:hint="eastAsia" w:ascii="宋体" w:hAnsi="宋体" w:eastAsia="宋体" w:cs="宋体"/>
          <w:color w:val="auto"/>
          <w:sz w:val="20"/>
          <w:szCs w:val="20"/>
          <w:highlight w:val="none"/>
          <w:lang w:val="en-US" w:eastAsia="zh-CN"/>
        </w:rPr>
        <w:t>以及其引用的标准或条款</w:t>
      </w:r>
      <w:r>
        <w:rPr>
          <w:rFonts w:hint="eastAsia" w:ascii="宋体" w:hAnsi="宋体" w:eastAsia="宋体" w:cs="宋体"/>
          <w:color w:val="auto"/>
          <w:sz w:val="20"/>
          <w:szCs w:val="20"/>
          <w:highlight w:val="none"/>
        </w:rPr>
        <w:t>通过本</w:t>
      </w:r>
      <w:r>
        <w:rPr>
          <w:rFonts w:hint="eastAsia" w:ascii="宋体" w:hAnsi="宋体" w:eastAsia="宋体" w:cs="宋体"/>
          <w:color w:val="auto"/>
          <w:sz w:val="20"/>
          <w:szCs w:val="20"/>
          <w:highlight w:val="none"/>
          <w:lang w:val="en-US" w:eastAsia="zh-CN"/>
        </w:rPr>
        <w:t>协议</w:t>
      </w:r>
      <w:r>
        <w:rPr>
          <w:rFonts w:hint="eastAsia" w:ascii="宋体" w:hAnsi="宋体" w:eastAsia="宋体" w:cs="宋体"/>
          <w:color w:val="auto"/>
          <w:sz w:val="20"/>
          <w:szCs w:val="20"/>
          <w:highlight w:val="none"/>
        </w:rPr>
        <w:t>的引用而成为本</w:t>
      </w:r>
      <w:r>
        <w:rPr>
          <w:rFonts w:hint="eastAsia" w:ascii="宋体" w:hAnsi="宋体" w:eastAsia="宋体" w:cs="宋体"/>
          <w:color w:val="auto"/>
          <w:sz w:val="20"/>
          <w:szCs w:val="20"/>
          <w:highlight w:val="none"/>
          <w:lang w:val="en-US" w:eastAsia="zh-CN"/>
        </w:rPr>
        <w:t>协议</w:t>
      </w:r>
      <w:r>
        <w:rPr>
          <w:rFonts w:hint="eastAsia" w:ascii="宋体" w:hAnsi="宋体" w:eastAsia="宋体" w:cs="宋体"/>
          <w:color w:val="auto"/>
          <w:sz w:val="20"/>
          <w:szCs w:val="20"/>
          <w:highlight w:val="none"/>
        </w:rPr>
        <w:t>的条款。凡是注日期的引用文件，其随后所有的修改单（不包括勘误的内容）或修订版均不适用于本</w:t>
      </w:r>
      <w:r>
        <w:rPr>
          <w:rFonts w:hint="eastAsia" w:ascii="宋体" w:hAnsi="宋体" w:eastAsia="宋体" w:cs="宋体"/>
          <w:color w:val="auto"/>
          <w:sz w:val="20"/>
          <w:szCs w:val="20"/>
          <w:highlight w:val="none"/>
          <w:lang w:val="en-US" w:eastAsia="zh-CN"/>
        </w:rPr>
        <w:t>协议</w:t>
      </w:r>
      <w:r>
        <w:rPr>
          <w:rFonts w:hint="eastAsia" w:ascii="宋体" w:hAnsi="宋体" w:eastAsia="宋体" w:cs="宋体"/>
          <w:color w:val="auto"/>
          <w:sz w:val="20"/>
          <w:szCs w:val="20"/>
          <w:highlight w:val="none"/>
        </w:rPr>
        <w:t>，凡是不注日期的引用文件，其最新版本适用于本</w:t>
      </w:r>
      <w:r>
        <w:rPr>
          <w:rFonts w:hint="eastAsia" w:ascii="宋体" w:hAnsi="宋体" w:eastAsia="宋体" w:cs="宋体"/>
          <w:color w:val="auto"/>
          <w:sz w:val="20"/>
          <w:szCs w:val="20"/>
          <w:highlight w:val="none"/>
          <w:lang w:val="en-US" w:eastAsia="zh-CN"/>
        </w:rPr>
        <w:t>协议</w:t>
      </w:r>
      <w:r>
        <w:rPr>
          <w:rFonts w:hint="eastAsia" w:ascii="宋体" w:hAnsi="宋体" w:eastAsia="宋体" w:cs="宋体"/>
          <w:color w:val="auto"/>
          <w:sz w:val="20"/>
          <w:szCs w:val="20"/>
          <w:highlight w:val="none"/>
        </w:rPr>
        <w:t>。</w:t>
      </w:r>
    </w:p>
    <w:p w14:paraId="293DB1B2">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2、</w:t>
      </w:r>
      <w:r>
        <w:rPr>
          <w:rFonts w:hint="eastAsia" w:ascii="宋体" w:hAnsi="宋体" w:eastAsia="宋体" w:cs="宋体"/>
          <w:color w:val="auto"/>
          <w:sz w:val="20"/>
          <w:szCs w:val="20"/>
          <w:highlight w:val="none"/>
        </w:rPr>
        <w:t>模块材料应采用电弧炉或其他特种冶金设备冶炼，并采用炉外精炼钢</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lang w:val="en-US" w:eastAsia="zh-CN"/>
        </w:rPr>
        <w:t>模箱、底板用模块要求采用双真空脱氧工艺或电渣重熔工艺精炼。</w:t>
      </w:r>
    </w:p>
    <w:p w14:paraId="4E4F6BF7">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lang w:val="en-US"/>
        </w:rPr>
      </w:pPr>
      <w:r>
        <w:rPr>
          <w:rFonts w:hint="eastAsia" w:ascii="宋体" w:hAnsi="宋体" w:eastAsia="宋体" w:cs="宋体"/>
          <w:color w:val="auto"/>
          <w:sz w:val="20"/>
          <w:szCs w:val="20"/>
          <w:highlight w:val="none"/>
          <w:lang w:val="en-US" w:eastAsia="zh-CN"/>
        </w:rPr>
        <w:t>3、模箱</w:t>
      </w:r>
      <w:r>
        <w:rPr>
          <w:rFonts w:hint="eastAsia" w:ascii="宋体" w:hAnsi="宋体" w:eastAsia="宋体" w:cs="宋体"/>
          <w:color w:val="auto"/>
          <w:sz w:val="20"/>
          <w:szCs w:val="20"/>
          <w:highlight w:val="none"/>
        </w:rPr>
        <w:t>的</w:t>
      </w:r>
      <w:r>
        <w:rPr>
          <w:rFonts w:hint="eastAsia" w:ascii="宋体" w:hAnsi="宋体" w:eastAsia="宋体" w:cs="宋体"/>
          <w:color w:val="auto"/>
          <w:sz w:val="20"/>
          <w:szCs w:val="20"/>
          <w:highlight w:val="none"/>
          <w:lang w:val="en-US" w:eastAsia="zh-CN"/>
        </w:rPr>
        <w:t>流线</w:t>
      </w:r>
      <w:r>
        <w:rPr>
          <w:rFonts w:hint="eastAsia" w:ascii="宋体" w:hAnsi="宋体" w:eastAsia="宋体" w:cs="宋体"/>
          <w:color w:val="auto"/>
          <w:sz w:val="20"/>
          <w:szCs w:val="20"/>
          <w:highlight w:val="none"/>
        </w:rPr>
        <w:t>必须符合图纸规定的要求</w:t>
      </w:r>
      <w:r>
        <w:rPr>
          <w:rFonts w:hint="eastAsia" w:ascii="宋体" w:hAnsi="宋体" w:eastAsia="宋体" w:cs="宋体"/>
          <w:color w:val="auto"/>
          <w:sz w:val="20"/>
          <w:szCs w:val="20"/>
          <w:highlight w:val="none"/>
          <w:lang w:eastAsia="zh-CN"/>
        </w:rPr>
        <w:t>，</w:t>
      </w:r>
      <w:r>
        <w:rPr>
          <w:rFonts w:hint="eastAsia" w:ascii="宋体" w:hAnsi="宋体" w:eastAsia="宋体" w:cs="宋体"/>
          <w:color w:val="auto"/>
          <w:sz w:val="20"/>
          <w:szCs w:val="20"/>
          <w:highlight w:val="none"/>
          <w:lang w:val="en-US" w:eastAsia="zh-CN"/>
        </w:rPr>
        <w:t>锻模模块材料的的流线应垂直于打击方向，对于长轴类锻件，流线方向应当与锻件轴线平行（即平行锤锻模燕尾方向）。</w:t>
      </w:r>
    </w:p>
    <w:p w14:paraId="69B73200">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4、</w:t>
      </w:r>
      <w:r>
        <w:rPr>
          <w:rFonts w:hint="eastAsia" w:ascii="宋体" w:hAnsi="宋体" w:eastAsia="宋体" w:cs="宋体"/>
          <w:color w:val="auto"/>
          <w:sz w:val="20"/>
          <w:szCs w:val="20"/>
          <w:highlight w:val="none"/>
        </w:rPr>
        <w:t>用钢锭锻造模块，必须</w:t>
      </w:r>
      <w:r>
        <w:rPr>
          <w:rFonts w:hint="eastAsia" w:ascii="宋体" w:hAnsi="宋体" w:eastAsia="宋体" w:cs="宋体"/>
          <w:color w:val="auto"/>
          <w:sz w:val="20"/>
          <w:szCs w:val="20"/>
          <w:highlight w:val="none"/>
          <w:lang w:val="en-US" w:eastAsia="zh-CN"/>
        </w:rPr>
        <w:t>遵循“三镦三拔”工艺</w:t>
      </w:r>
      <w:r>
        <w:rPr>
          <w:rFonts w:hint="eastAsia" w:ascii="宋体" w:hAnsi="宋体" w:eastAsia="宋体" w:cs="宋体"/>
          <w:color w:val="auto"/>
          <w:sz w:val="20"/>
          <w:szCs w:val="20"/>
          <w:highlight w:val="none"/>
        </w:rPr>
        <w:t>，锻造比≥3，</w:t>
      </w:r>
      <w:r>
        <w:rPr>
          <w:rFonts w:hint="eastAsia" w:ascii="宋体" w:hAnsi="宋体" w:eastAsia="宋体" w:cs="宋体"/>
          <w:color w:val="auto"/>
          <w:sz w:val="20"/>
          <w:szCs w:val="20"/>
          <w:highlight w:val="none"/>
          <w:lang w:val="en-US" w:eastAsia="zh-CN"/>
        </w:rPr>
        <w:t>模箱锻造比≥3.5</w:t>
      </w:r>
      <w:r>
        <w:rPr>
          <w:rFonts w:hint="eastAsia" w:ascii="宋体" w:hAnsi="宋体" w:eastAsia="宋体" w:cs="宋体"/>
          <w:color w:val="auto"/>
          <w:sz w:val="20"/>
          <w:szCs w:val="20"/>
          <w:highlight w:val="none"/>
        </w:rPr>
        <w:t>。</w:t>
      </w:r>
    </w:p>
    <w:p w14:paraId="36A791EF">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5、</w:t>
      </w:r>
      <w:r>
        <w:rPr>
          <w:rFonts w:hint="eastAsia" w:ascii="宋体" w:hAnsi="宋体" w:eastAsia="宋体" w:cs="宋体"/>
          <w:color w:val="auto"/>
          <w:sz w:val="20"/>
          <w:szCs w:val="20"/>
          <w:highlight w:val="none"/>
        </w:rPr>
        <w:t>模块内部不允许有白点、裂纹、缩孔等缺陷。</w:t>
      </w:r>
    </w:p>
    <w:p w14:paraId="7AA824A0">
      <w:pPr>
        <w:pStyle w:val="4"/>
        <w:keepNext w:val="0"/>
        <w:keepLines w:val="0"/>
        <w:pageBreakBefore w:val="0"/>
        <w:kinsoku/>
        <w:wordWrap/>
        <w:overflowPunct/>
        <w:topLinePunct w:val="0"/>
        <w:bidi w:val="0"/>
        <w:snapToGrid/>
        <w:spacing w:line="440" w:lineRule="exact"/>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 xml:space="preserve">    6、热处理时，有效加热区的温度偏差应按照</w:t>
      </w:r>
      <w:r>
        <w:rPr>
          <w:rFonts w:hint="eastAsia" w:ascii="宋体" w:hAnsi="宋体" w:eastAsia="宋体" w:cs="宋体"/>
          <w:color w:val="auto"/>
          <w:sz w:val="20"/>
          <w:szCs w:val="20"/>
          <w:highlight w:val="none"/>
        </w:rPr>
        <w:t>GB/T</w:t>
      </w:r>
      <w:r>
        <w:rPr>
          <w:rFonts w:hint="eastAsia" w:ascii="宋体" w:hAnsi="宋体" w:eastAsia="宋体" w:cs="宋体"/>
          <w:color w:val="auto"/>
          <w:sz w:val="20"/>
          <w:szCs w:val="20"/>
          <w:highlight w:val="none"/>
          <w:lang w:val="en-US" w:eastAsia="zh-CN"/>
        </w:rPr>
        <w:t>16923 以及</w:t>
      </w:r>
      <w:r>
        <w:rPr>
          <w:rFonts w:hint="eastAsia" w:ascii="宋体" w:hAnsi="宋体" w:eastAsia="宋体" w:cs="宋体"/>
          <w:color w:val="auto"/>
          <w:sz w:val="20"/>
          <w:szCs w:val="20"/>
          <w:highlight w:val="none"/>
        </w:rPr>
        <w:t>GB/T</w:t>
      </w:r>
      <w:r>
        <w:rPr>
          <w:rFonts w:hint="eastAsia" w:ascii="宋体" w:hAnsi="宋体" w:eastAsia="宋体" w:cs="宋体"/>
          <w:color w:val="auto"/>
          <w:sz w:val="20"/>
          <w:szCs w:val="20"/>
          <w:highlight w:val="none"/>
          <w:lang w:val="en-US" w:eastAsia="zh-CN"/>
        </w:rPr>
        <w:t>16924的规定。淬火加热的温度偏差不应超出±10℃，并且保证不少于2次的回火，模箱精加工过程中增加一次低温去应力回火。</w:t>
      </w:r>
    </w:p>
    <w:p w14:paraId="4BE5B159">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7、</w:t>
      </w:r>
      <w:r>
        <w:rPr>
          <w:rFonts w:hint="eastAsia" w:ascii="宋体" w:hAnsi="宋体" w:eastAsia="宋体" w:cs="宋体"/>
          <w:color w:val="auto"/>
          <w:sz w:val="20"/>
          <w:szCs w:val="20"/>
          <w:highlight w:val="none"/>
        </w:rPr>
        <w:t>模块应进行超声波探伤检查，检测方法应符合GB/T6402的相关规定，超声波探伤检查判定符合GB/T11880的规定。</w:t>
      </w:r>
    </w:p>
    <w:p w14:paraId="34857A09">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lang w:val="en-US" w:eastAsia="zh-CN"/>
        </w:rPr>
        <w:t>8、</w:t>
      </w:r>
      <w:r>
        <w:rPr>
          <w:rFonts w:hint="eastAsia" w:ascii="宋体" w:hAnsi="宋体" w:eastAsia="宋体" w:cs="宋体"/>
          <w:color w:val="auto"/>
          <w:sz w:val="20"/>
          <w:szCs w:val="20"/>
          <w:highlight w:val="none"/>
        </w:rPr>
        <w:t>钢中的非金属夹杂物检测评级参照GB/T10561，应符合下述规定：</w:t>
      </w:r>
    </w:p>
    <w:p w14:paraId="466020A0">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t xml:space="preserve">     </w:t>
      </w:r>
      <w:r>
        <w:rPr>
          <w:rFonts w:hint="eastAsia" w:ascii="宋体" w:hAnsi="宋体" w:eastAsia="宋体" w:cs="宋体"/>
          <w:color w:val="auto"/>
          <w:sz w:val="20"/>
          <w:szCs w:val="20"/>
          <w:highlight w:val="none"/>
          <w:lang w:val="en-US" w:eastAsia="zh-CN"/>
        </w:rPr>
        <w:t>A、B、C、D类夹杂物</w:t>
      </w:r>
      <w:r>
        <w:rPr>
          <w:rFonts w:hint="eastAsia" w:ascii="宋体" w:hAnsi="宋体" w:eastAsia="宋体" w:cs="宋体"/>
          <w:color w:val="auto"/>
          <w:sz w:val="20"/>
          <w:szCs w:val="20"/>
          <w:highlight w:val="none"/>
        </w:rPr>
        <w:t>≤</w:t>
      </w:r>
      <w:r>
        <w:rPr>
          <w:rFonts w:hint="eastAsia" w:ascii="宋体" w:hAnsi="宋体" w:eastAsia="宋体" w:cs="宋体"/>
          <w:color w:val="auto"/>
          <w:sz w:val="20"/>
          <w:szCs w:val="20"/>
          <w:highlight w:val="none"/>
          <w:lang w:val="en-US" w:eastAsia="zh-CN"/>
        </w:rPr>
        <w:t>0.5</w:t>
      </w:r>
      <w:r>
        <w:rPr>
          <w:rFonts w:hint="eastAsia" w:ascii="宋体" w:hAnsi="宋体" w:eastAsia="宋体" w:cs="宋体"/>
          <w:color w:val="auto"/>
          <w:sz w:val="20"/>
          <w:szCs w:val="20"/>
          <w:highlight w:val="none"/>
        </w:rPr>
        <w:t>级。</w:t>
      </w:r>
    </w:p>
    <w:p w14:paraId="1C3900FC">
      <w:pPr>
        <w:keepNext w:val="0"/>
        <w:keepLines w:val="0"/>
        <w:pageBreakBefore w:val="0"/>
        <w:kinsoku/>
        <w:wordWrap/>
        <w:overflowPunct/>
        <w:topLinePunct w:val="0"/>
        <w:bidi w:val="0"/>
        <w:snapToGrid/>
        <w:spacing w:line="440" w:lineRule="exact"/>
        <w:ind w:firstLine="400" w:firstLineChars="200"/>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9、</w:t>
      </w:r>
      <w:r>
        <w:rPr>
          <w:rFonts w:hint="eastAsia" w:ascii="宋体" w:hAnsi="宋体" w:eastAsia="宋体" w:cs="宋体"/>
          <w:color w:val="auto"/>
          <w:sz w:val="20"/>
          <w:szCs w:val="20"/>
          <w:highlight w:val="none"/>
        </w:rPr>
        <w:t>模块试验方法及验收规则：必须符合GB/T11880的相关规定。</w:t>
      </w:r>
      <w:r>
        <w:rPr>
          <w:rFonts w:hint="eastAsia" w:ascii="宋体" w:hAnsi="宋体" w:eastAsia="宋体" w:cs="宋体"/>
          <w:color w:val="auto"/>
          <w:sz w:val="20"/>
          <w:szCs w:val="20"/>
          <w:highlight w:val="none"/>
          <w:lang w:val="en-US" w:eastAsia="zh-CN"/>
        </w:rPr>
        <w:t>如图纸有明确要求按照图纸要求执行。</w:t>
      </w:r>
    </w:p>
    <w:p w14:paraId="5ADB8FF2">
      <w:pPr>
        <w:pStyle w:val="5"/>
        <w:keepNext w:val="0"/>
        <w:keepLines w:val="0"/>
        <w:pageBreakBefore w:val="0"/>
        <w:numPr>
          <w:ilvl w:val="0"/>
          <w:numId w:val="0"/>
        </w:numPr>
        <w:kinsoku/>
        <w:wordWrap/>
        <w:overflowPunct/>
        <w:topLinePunct w:val="0"/>
        <w:bidi w:val="0"/>
        <w:snapToGrid/>
        <w:spacing w:line="440" w:lineRule="exact"/>
        <w:rPr>
          <w:rFonts w:hint="eastAsia" w:ascii="宋体" w:hAnsi="宋体" w:eastAsia="宋体" w:cs="宋体"/>
          <w:b/>
          <w:bCs/>
          <w:color w:val="auto"/>
          <w:sz w:val="20"/>
          <w:szCs w:val="20"/>
          <w:highlight w:val="none"/>
          <w:lang w:val="en-US" w:eastAsia="zh-CN"/>
        </w:rPr>
      </w:pPr>
      <w:r>
        <w:rPr>
          <w:rFonts w:hint="eastAsia" w:ascii="宋体" w:hAnsi="宋体" w:cs="宋体"/>
          <w:b/>
          <w:bCs/>
          <w:i w:val="0"/>
          <w:iCs w:val="0"/>
          <w:color w:val="auto"/>
          <w:kern w:val="0"/>
          <w:sz w:val="20"/>
          <w:szCs w:val="20"/>
          <w:highlight w:val="none"/>
          <w:u w:val="none"/>
          <w:lang w:val="en-US" w:eastAsia="zh-CN" w:bidi="ar"/>
        </w:rPr>
        <w:t>二、</w:t>
      </w:r>
      <w:r>
        <w:rPr>
          <w:rFonts w:hint="eastAsia" w:ascii="宋体" w:hAnsi="宋体" w:eastAsia="宋体" w:cs="宋体"/>
          <w:b/>
          <w:bCs/>
          <w:i w:val="0"/>
          <w:iCs w:val="0"/>
          <w:color w:val="auto"/>
          <w:kern w:val="0"/>
          <w:sz w:val="20"/>
          <w:szCs w:val="20"/>
          <w:highlight w:val="none"/>
          <w:u w:val="none"/>
          <w:lang w:val="en-US" w:eastAsia="zh-CN" w:bidi="ar"/>
        </w:rPr>
        <w:t>新制</w:t>
      </w:r>
      <w:r>
        <w:rPr>
          <w:rFonts w:hint="eastAsia" w:ascii="宋体" w:hAnsi="宋体" w:cs="宋体"/>
          <w:b/>
          <w:bCs/>
          <w:i w:val="0"/>
          <w:iCs w:val="0"/>
          <w:color w:val="auto"/>
          <w:kern w:val="0"/>
          <w:sz w:val="20"/>
          <w:szCs w:val="20"/>
          <w:highlight w:val="none"/>
          <w:u w:val="none"/>
          <w:lang w:val="en-US" w:eastAsia="zh-CN" w:bidi="ar"/>
        </w:rPr>
        <w:t>模具技术</w:t>
      </w:r>
      <w:r>
        <w:rPr>
          <w:rFonts w:hint="eastAsia" w:ascii="宋体" w:hAnsi="宋体" w:eastAsia="宋体" w:cs="宋体"/>
          <w:b/>
          <w:bCs/>
          <w:color w:val="auto"/>
          <w:sz w:val="20"/>
          <w:szCs w:val="20"/>
          <w:highlight w:val="none"/>
          <w:lang w:val="en-US" w:eastAsia="zh-CN"/>
        </w:rPr>
        <w:t>要求</w:t>
      </w:r>
    </w:p>
    <w:p w14:paraId="784C6648">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eastAsia"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1、锻模，主要包括镦粗模、预锻模、终锻模以及配套顶料杆，材质均为5CrNiMo。</w:t>
      </w:r>
    </w:p>
    <w:p w14:paraId="791B4276">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default"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1.1、镦粗模、预锻模、终锻模淬火后至少两次回火，硬度要求HRC44-48；</w:t>
      </w:r>
      <w:r>
        <w:rPr>
          <w:rFonts w:hint="eastAsia" w:ascii="宋体" w:hAnsi="宋体"/>
          <w:sz w:val="20"/>
          <w:szCs w:val="20"/>
          <w:highlight w:val="none"/>
          <w:lang w:val="en-US" w:eastAsia="zh-CN"/>
        </w:rPr>
        <w:t>模具型腔表面粗糙度Ra0.8，其它Ra3.2；</w:t>
      </w:r>
      <w:r>
        <w:rPr>
          <w:rFonts w:hint="eastAsia" w:ascii="宋体" w:hAnsi="宋体" w:eastAsia="宋体" w:cs="宋体"/>
          <w:color w:val="auto"/>
          <w:kern w:val="2"/>
          <w:sz w:val="20"/>
          <w:szCs w:val="20"/>
          <w:highlight w:val="none"/>
          <w:lang w:val="en-US" w:eastAsia="zh-CN" w:bidi="ar-SA"/>
        </w:rPr>
        <w:t>模具加工完成后对模具表面进行精抛</w:t>
      </w:r>
      <w:r>
        <w:rPr>
          <w:rFonts w:hint="eastAsia" w:ascii="宋体" w:hAnsi="宋体" w:cs="宋体"/>
          <w:color w:val="auto"/>
          <w:kern w:val="2"/>
          <w:sz w:val="20"/>
          <w:szCs w:val="20"/>
          <w:highlight w:val="none"/>
          <w:lang w:val="en-US" w:eastAsia="zh-CN" w:bidi="ar-SA"/>
        </w:rPr>
        <w:t>，</w:t>
      </w:r>
      <w:r>
        <w:rPr>
          <w:rFonts w:hint="eastAsia" w:ascii="宋体" w:hAnsi="宋体" w:eastAsia="宋体" w:cs="宋体"/>
          <w:color w:val="auto"/>
          <w:kern w:val="2"/>
          <w:sz w:val="20"/>
          <w:szCs w:val="20"/>
          <w:highlight w:val="none"/>
          <w:lang w:val="en-US" w:eastAsia="zh-CN" w:bidi="ar-SA"/>
        </w:rPr>
        <w:t>抛光公差及加工公差合计不得超过±0.3mm。</w:t>
      </w:r>
    </w:p>
    <w:p w14:paraId="66574976">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default"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1.2、顶料杆调质处理，硬度要求HRC43-47，</w:t>
      </w:r>
      <w:r>
        <w:rPr>
          <w:rFonts w:hint="eastAsia" w:ascii="宋体" w:hAnsi="宋体"/>
          <w:sz w:val="20"/>
          <w:szCs w:val="20"/>
          <w:highlight w:val="none"/>
          <w:lang w:val="en-US" w:eastAsia="zh-CN"/>
        </w:rPr>
        <w:t>表面粗糙度Ra1.6；</w:t>
      </w:r>
      <w:r>
        <w:rPr>
          <w:rFonts w:hint="eastAsia" w:ascii="宋体" w:hAnsi="宋体"/>
          <w:sz w:val="20"/>
          <w:highlight w:val="none"/>
          <w:lang w:val="en-US" w:eastAsia="zh-CN"/>
        </w:rPr>
        <w:t>顶料杆两端面无中心孔，与锻件接触面无倒角；长度公差±0.05mm，与锻模配合直径公差（+0.1，0）mm。</w:t>
      </w:r>
    </w:p>
    <w:p w14:paraId="0955B484">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2、切边模具，主要包括上下凸模（抱切上下模）、凹模、卸料板、顶杆横梁、压板、字头压块以及配套顶料杆等。压板、字头压块、卸料板材质为45#钢，其余均为5CrNiMo。</w:t>
      </w:r>
    </w:p>
    <w:p w14:paraId="61ABED00">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default"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2.1、上下凸模（抱切上下模），调质处理HRC38-43，型腔按照终锻热锻件加工，所有凸圆角缩小至R0.8mm，所有凹圆角在终锻热锻件圆角基础上圆角半径+5mm；大小爪凸模模底向上30mm深度与终锻热锻件一致、凸模与锻件台阶连接处扩大2mm。上下凸模（抱切上下模）外轮廓与凹模刃口配做，单边间隙1.5mm，由凸模（抱切模）做出。冲头杆部单边放大1.4mm。</w:t>
      </w:r>
      <w:r>
        <w:rPr>
          <w:rFonts w:hint="eastAsia" w:ascii="宋体" w:hAnsi="宋体"/>
          <w:color w:val="auto"/>
          <w:sz w:val="20"/>
          <w:szCs w:val="20"/>
          <w:highlight w:val="none"/>
          <w:lang w:val="en-US" w:eastAsia="zh-CN"/>
        </w:rPr>
        <w:t>模具型腔表面粗糙度Ra0.8，其它Ra3.2。冲头字头槽可直接加工也可镶焊，选用字头大小需要与目前甲方在用统一。</w:t>
      </w:r>
      <w:r>
        <w:rPr>
          <w:rFonts w:hint="eastAsia" w:ascii="宋体" w:hAnsi="宋体" w:eastAsia="宋体" w:cs="宋体"/>
          <w:color w:val="auto"/>
          <w:kern w:val="2"/>
          <w:sz w:val="20"/>
          <w:szCs w:val="20"/>
          <w:highlight w:val="none"/>
          <w:lang w:val="en-US" w:eastAsia="zh-CN" w:bidi="ar-SA"/>
        </w:rPr>
        <w:t>抛光公差及加工公差合计不得超过±0.3mm。</w:t>
      </w:r>
    </w:p>
    <w:p w14:paraId="3B38B363">
      <w:pPr>
        <w:pStyle w:val="5"/>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00" w:firstLineChars="200"/>
        <w:rPr>
          <w:rFonts w:hint="default"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2.2、切边凹模基体调质处理，硬度要求HRC43-47，刃口堆焊HRC48-52。刃口尺寸按照终锻热锻件分模线单边放大0.7mm，刃口堆焊尺寸不小于15×15mm，刃口加工精度±0.1mm。刃口</w:t>
      </w:r>
      <w:r>
        <w:rPr>
          <w:rFonts w:hint="eastAsia" w:ascii="宋体" w:hAnsi="宋体"/>
          <w:color w:val="auto"/>
          <w:sz w:val="20"/>
          <w:szCs w:val="20"/>
          <w:highlight w:val="none"/>
          <w:lang w:val="en-US" w:eastAsia="zh-CN"/>
        </w:rPr>
        <w:t>表面粗糙度Ra0.8，其余Ra3.2。</w:t>
      </w:r>
    </w:p>
    <w:p w14:paraId="238633E3">
      <w:pPr>
        <w:pStyle w:val="5"/>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00" w:firstLineChars="200"/>
        <w:rPr>
          <w:rFonts w:hint="eastAsia" w:ascii="宋体" w:hAnsi="宋体" w:cs="宋体"/>
          <w:color w:val="FF0000"/>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2.3、压板、字头压块、卸料板调质处理HRC32-38、</w:t>
      </w:r>
      <w:r>
        <w:rPr>
          <w:rFonts w:hint="eastAsia" w:ascii="宋体" w:hAnsi="宋体"/>
          <w:color w:val="auto"/>
          <w:sz w:val="20"/>
          <w:szCs w:val="20"/>
          <w:highlight w:val="none"/>
          <w:lang w:val="en-US" w:eastAsia="zh-CN"/>
        </w:rPr>
        <w:t>表面粗糙度Ra6.3。</w:t>
      </w:r>
      <w:r>
        <w:rPr>
          <w:rFonts w:hint="eastAsia" w:ascii="宋体" w:hAnsi="宋体" w:cs="宋体"/>
          <w:color w:val="auto"/>
          <w:kern w:val="2"/>
          <w:sz w:val="20"/>
          <w:szCs w:val="20"/>
          <w:highlight w:val="none"/>
          <w:lang w:val="en-US" w:eastAsia="zh-CN" w:bidi="ar-SA"/>
        </w:rPr>
        <w:t>卸料板工作轮廓部分按照终锻热锻件分模线尺寸单边放大3mm。</w:t>
      </w:r>
    </w:p>
    <w:p w14:paraId="1B296059">
      <w:pPr>
        <w:pStyle w:val="5"/>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00" w:firstLineChars="200"/>
        <w:rPr>
          <w:rFonts w:hint="default" w:ascii="宋体" w:hAnsi="宋体" w:cs="宋体"/>
          <w:color w:val="FF0000"/>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2.4、顶杆横梁调质处理HRC38-43，未注倒角C1，</w:t>
      </w:r>
      <w:r>
        <w:rPr>
          <w:rFonts w:hint="eastAsia" w:ascii="宋体" w:hAnsi="宋体"/>
          <w:sz w:val="20"/>
          <w:szCs w:val="20"/>
          <w:highlight w:val="none"/>
          <w:lang w:val="en-US" w:eastAsia="zh-CN"/>
        </w:rPr>
        <w:t>表面粗糙度Ra1.6</w:t>
      </w:r>
      <w:r>
        <w:rPr>
          <w:rFonts w:hint="eastAsia" w:ascii="宋体" w:hAnsi="宋体" w:cs="宋体"/>
          <w:color w:val="auto"/>
          <w:kern w:val="2"/>
          <w:sz w:val="20"/>
          <w:szCs w:val="20"/>
          <w:highlight w:val="none"/>
          <w:lang w:val="en-US" w:eastAsia="zh-CN" w:bidi="ar-SA"/>
        </w:rPr>
        <w:t>。</w:t>
      </w:r>
    </w:p>
    <w:p w14:paraId="552690CD">
      <w:pPr>
        <w:pStyle w:val="5"/>
        <w:keepNext w:val="0"/>
        <w:keepLines w:val="0"/>
        <w:pageBreakBefore w:val="0"/>
        <w:widowControl w:val="0"/>
        <w:numPr>
          <w:ilvl w:val="0"/>
          <w:numId w:val="0"/>
        </w:numPr>
        <w:kinsoku/>
        <w:wordWrap/>
        <w:overflowPunct/>
        <w:topLinePunct w:val="0"/>
        <w:autoSpaceDE w:val="0"/>
        <w:autoSpaceDN w:val="0"/>
        <w:bidi w:val="0"/>
        <w:adjustRightInd w:val="0"/>
        <w:snapToGrid/>
        <w:spacing w:line="440" w:lineRule="exact"/>
        <w:ind w:firstLine="400" w:firstLineChars="200"/>
        <w:rPr>
          <w:rFonts w:hint="eastAsia" w:ascii="宋体" w:hAnsi="宋体" w:cs="宋体"/>
          <w:color w:val="auto"/>
          <w:kern w:val="2"/>
          <w:sz w:val="20"/>
          <w:szCs w:val="20"/>
          <w:highlight w:val="none"/>
          <w:lang w:val="en-US" w:eastAsia="zh-CN" w:bidi="ar-SA"/>
        </w:rPr>
      </w:pPr>
      <w:r>
        <w:rPr>
          <w:rFonts w:hint="eastAsia" w:ascii="宋体" w:hAnsi="宋体" w:cs="宋体"/>
          <w:color w:val="auto"/>
          <w:kern w:val="2"/>
          <w:sz w:val="20"/>
          <w:szCs w:val="20"/>
          <w:highlight w:val="none"/>
          <w:lang w:val="en-US" w:eastAsia="zh-CN" w:bidi="ar-SA"/>
        </w:rPr>
        <w:t>2.5、字头压块与冲头配合使用，选用甲方在用结构。</w:t>
      </w:r>
    </w:p>
    <w:p w14:paraId="02C7BE48">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eastAsia" w:ascii="宋体" w:hAnsi="宋体"/>
          <w:sz w:val="20"/>
          <w:highlight w:val="none"/>
          <w:lang w:val="en-US" w:eastAsia="zh-CN"/>
        </w:rPr>
      </w:pPr>
      <w:r>
        <w:rPr>
          <w:rFonts w:hint="eastAsia" w:ascii="宋体" w:hAnsi="宋体" w:cs="宋体"/>
          <w:color w:val="auto"/>
          <w:kern w:val="2"/>
          <w:sz w:val="20"/>
          <w:szCs w:val="20"/>
          <w:highlight w:val="none"/>
          <w:lang w:val="en-US" w:eastAsia="zh-CN" w:bidi="ar-SA"/>
        </w:rPr>
        <w:t>2.6、顶料杆调质处理，硬度要求HRC43-47，</w:t>
      </w:r>
      <w:r>
        <w:rPr>
          <w:rFonts w:hint="eastAsia" w:ascii="宋体" w:hAnsi="宋体"/>
          <w:sz w:val="20"/>
          <w:szCs w:val="20"/>
          <w:highlight w:val="none"/>
          <w:lang w:val="en-US" w:eastAsia="zh-CN"/>
        </w:rPr>
        <w:t>表面粗糙度Ra1.6；</w:t>
      </w:r>
      <w:r>
        <w:rPr>
          <w:rFonts w:hint="eastAsia" w:ascii="宋体" w:hAnsi="宋体"/>
          <w:sz w:val="20"/>
          <w:highlight w:val="none"/>
          <w:lang w:val="en-US" w:eastAsia="zh-CN"/>
        </w:rPr>
        <w:t>顶料杆两端面无中心孔，与锻件接触面无倒角；长度公差±0.05mm，与锻模配合直径公差（+0.1，0）mm。</w:t>
      </w:r>
    </w:p>
    <w:p w14:paraId="0F2558DA">
      <w:pPr>
        <w:pStyle w:val="5"/>
        <w:keepNext w:val="0"/>
        <w:keepLines w:val="0"/>
        <w:pageBreakBefore w:val="0"/>
        <w:numPr>
          <w:ilvl w:val="0"/>
          <w:numId w:val="0"/>
        </w:numPr>
        <w:kinsoku/>
        <w:wordWrap/>
        <w:overflowPunct/>
        <w:topLinePunct w:val="0"/>
        <w:bidi w:val="0"/>
        <w:snapToGrid/>
        <w:spacing w:line="440" w:lineRule="exact"/>
        <w:ind w:firstLine="400" w:firstLineChars="200"/>
        <w:rPr>
          <w:rFonts w:hint="eastAsia" w:ascii="宋体" w:hAnsi="宋体"/>
          <w:sz w:val="20"/>
          <w:highlight w:val="none"/>
          <w:lang w:val="en-US" w:eastAsia="zh-CN"/>
        </w:rPr>
      </w:pPr>
      <w:r>
        <w:rPr>
          <w:rFonts w:hint="eastAsia" w:ascii="宋体" w:hAnsi="宋体"/>
          <w:sz w:val="20"/>
          <w:highlight w:val="none"/>
          <w:lang w:val="en-US" w:eastAsia="zh-CN"/>
        </w:rPr>
        <w:t>3、</w:t>
      </w:r>
      <w:r>
        <w:rPr>
          <w:rFonts w:hint="eastAsia" w:ascii="宋体" w:hAnsi="宋体" w:cs="宋体"/>
          <w:color w:val="auto"/>
          <w:kern w:val="2"/>
          <w:sz w:val="20"/>
          <w:szCs w:val="20"/>
          <w:highlight w:val="none"/>
          <w:lang w:val="en-US" w:eastAsia="zh-CN" w:bidi="ar-SA"/>
        </w:rPr>
        <w:t>锻模/切边模体外形（与装配相关）必须满足甲方目前通用模座/部件装配要求，</w:t>
      </w:r>
      <w:r>
        <w:rPr>
          <w:rFonts w:hint="eastAsia" w:ascii="宋体" w:hAnsi="宋体"/>
          <w:sz w:val="20"/>
          <w:szCs w:val="20"/>
          <w:highlight w:val="none"/>
          <w:lang w:val="en-US" w:eastAsia="zh-CN"/>
        </w:rPr>
        <w:t>模具安装和配合部位形位尺寸公差执行GB/T1804-f，关键</w:t>
      </w:r>
      <w:r>
        <w:rPr>
          <w:rFonts w:hint="eastAsia" w:ascii="宋体" w:hAnsi="宋体"/>
          <w:sz w:val="20"/>
          <w:highlight w:val="none"/>
          <w:lang w:val="en-US" w:eastAsia="zh-CN"/>
        </w:rPr>
        <w:t>配合尺寸公差见表2要求，其它外形尺寸公差执行GB/T1804-m，未注倒角1×45°。</w:t>
      </w:r>
    </w:p>
    <w:p w14:paraId="65DE8001">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sz w:val="20"/>
          <w:highlight w:val="none"/>
          <w:lang w:val="en-US" w:eastAsia="zh-CN"/>
        </w:rPr>
        <w:t>4、模具标识、产品标识、生产单位代码、生产批次标识等</w:t>
      </w:r>
      <w:r>
        <w:rPr>
          <w:rFonts w:hint="eastAsia" w:ascii="宋体" w:hAnsi="宋体" w:eastAsia="宋体" w:cs="宋体"/>
          <w:sz w:val="20"/>
          <w:szCs w:val="20"/>
          <w:highlight w:val="none"/>
        </w:rPr>
        <w:t>可追溯性标识</w:t>
      </w:r>
      <w:r>
        <w:rPr>
          <w:rFonts w:hint="eastAsia" w:ascii="宋体" w:hAnsi="宋体" w:cs="宋体"/>
          <w:sz w:val="20"/>
          <w:szCs w:val="20"/>
          <w:highlight w:val="none"/>
          <w:lang w:val="en-US" w:eastAsia="zh-CN"/>
        </w:rPr>
        <w:t>必须</w:t>
      </w:r>
      <w:r>
        <w:rPr>
          <w:rFonts w:hint="eastAsia" w:ascii="宋体" w:hAnsi="宋体" w:eastAsia="宋体" w:cs="宋体"/>
          <w:sz w:val="20"/>
          <w:szCs w:val="20"/>
          <w:highlight w:val="none"/>
        </w:rPr>
        <w:t>满足甲方的特定标识要求。</w:t>
      </w:r>
    </w:p>
    <w:p w14:paraId="69AF21B0">
      <w:pPr>
        <w:keepNext w:val="0"/>
        <w:keepLines w:val="0"/>
        <w:pageBreakBefore w:val="0"/>
        <w:tabs>
          <w:tab w:val="left" w:pos="900"/>
        </w:tabs>
        <w:kinsoku/>
        <w:wordWrap/>
        <w:overflowPunct/>
        <w:topLinePunct w:val="0"/>
        <w:bidi w:val="0"/>
        <w:snapToGrid/>
        <w:spacing w:line="440" w:lineRule="exact"/>
        <w:ind w:firstLine="400" w:firstLineChars="200"/>
        <w:rPr>
          <w:rFonts w:hint="eastAsia"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5、达到合同要求的模具最低寿命。</w:t>
      </w:r>
    </w:p>
    <w:p w14:paraId="172BD563">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default" w:ascii="宋体" w:hAnsi="宋体" w:eastAsia="宋体" w:cs="宋体"/>
          <w:sz w:val="20"/>
          <w:szCs w:val="20"/>
          <w:highlight w:val="none"/>
          <w:lang w:val="en-US" w:eastAsia="zh-CN"/>
        </w:rPr>
      </w:pPr>
      <w:r>
        <w:rPr>
          <w:rFonts w:hint="eastAsia" w:ascii="宋体" w:hAnsi="宋体" w:cs="宋体"/>
          <w:sz w:val="20"/>
          <w:szCs w:val="20"/>
          <w:highlight w:val="none"/>
          <w:lang w:val="en-US" w:eastAsia="zh-CN"/>
        </w:rPr>
        <w:t>6、保证模具成套可用，其它未尽事宜双方协商处理。</w:t>
      </w:r>
    </w:p>
    <w:p w14:paraId="3307162C">
      <w:pPr>
        <w:keepNext w:val="0"/>
        <w:keepLines w:val="0"/>
        <w:pageBreakBefore w:val="0"/>
        <w:tabs>
          <w:tab w:val="left" w:pos="2865"/>
        </w:tabs>
        <w:kinsoku/>
        <w:wordWrap/>
        <w:overflowPunct/>
        <w:topLinePunct w:val="0"/>
        <w:bidi w:val="0"/>
        <w:snapToGrid/>
        <w:spacing w:line="440" w:lineRule="exact"/>
        <w:jc w:val="center"/>
        <w:rPr>
          <w:rFonts w:hint="default" w:ascii="宋体" w:hAnsi="宋体" w:eastAsia="宋体" w:cs="宋体"/>
          <w:b/>
          <w:color w:val="auto"/>
          <w:sz w:val="20"/>
          <w:szCs w:val="20"/>
          <w:lang w:val="en-US" w:eastAsia="zh-CN"/>
        </w:rPr>
      </w:pPr>
      <w:r>
        <w:rPr>
          <w:rFonts w:hint="eastAsia" w:ascii="宋体" w:hAnsi="宋体" w:eastAsia="宋体" w:cs="宋体"/>
          <w:b/>
          <w:color w:val="auto"/>
          <w:sz w:val="20"/>
          <w:szCs w:val="20"/>
        </w:rPr>
        <w:t>第</w:t>
      </w:r>
      <w:r>
        <w:rPr>
          <w:rFonts w:hint="eastAsia" w:ascii="宋体" w:hAnsi="宋体" w:eastAsia="宋体" w:cs="宋体"/>
          <w:b/>
          <w:color w:val="auto"/>
          <w:sz w:val="20"/>
          <w:szCs w:val="20"/>
          <w:lang w:val="en-US" w:eastAsia="zh-CN"/>
        </w:rPr>
        <w:t>三</w:t>
      </w:r>
      <w:r>
        <w:rPr>
          <w:rFonts w:hint="eastAsia" w:ascii="宋体" w:hAnsi="宋体" w:eastAsia="宋体" w:cs="宋体"/>
          <w:b/>
          <w:color w:val="auto"/>
          <w:sz w:val="20"/>
          <w:szCs w:val="20"/>
        </w:rPr>
        <w:t xml:space="preserve">条  </w:t>
      </w:r>
      <w:r>
        <w:rPr>
          <w:rFonts w:hint="eastAsia" w:ascii="宋体" w:hAnsi="宋体" w:cs="宋体"/>
          <w:b/>
          <w:color w:val="auto"/>
          <w:sz w:val="20"/>
          <w:szCs w:val="20"/>
          <w:lang w:val="en-US" w:eastAsia="zh-CN"/>
        </w:rPr>
        <w:t>技术更改及技术文件</w:t>
      </w:r>
    </w:p>
    <w:p w14:paraId="11E6FCA6">
      <w:pPr>
        <w:keepNext w:val="0"/>
        <w:keepLines w:val="0"/>
        <w:pageBreakBefore w:val="0"/>
        <w:tabs>
          <w:tab w:val="left" w:pos="900"/>
        </w:tabs>
        <w:kinsoku/>
        <w:wordWrap/>
        <w:overflowPunct/>
        <w:topLinePunct w:val="0"/>
        <w:bidi w:val="0"/>
        <w:snapToGrid/>
        <w:spacing w:line="44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1、为确保产品质量乙方必须严格执行甲方提供的产品图纸、执行标准、工艺参数等相关的技术要求，并严格执行甲方评审认可的乙方提交的相关的技术文件（表1），加强生产过程中的质量控制。</w:t>
      </w:r>
    </w:p>
    <w:p w14:paraId="4E646947">
      <w:pPr>
        <w:keepNext w:val="0"/>
        <w:keepLines w:val="0"/>
        <w:pageBreakBefore w:val="0"/>
        <w:tabs>
          <w:tab w:val="left" w:pos="900"/>
        </w:tabs>
        <w:kinsoku/>
        <w:wordWrap/>
        <w:overflowPunct/>
        <w:topLinePunct w:val="0"/>
        <w:bidi w:val="0"/>
        <w:snapToGrid/>
        <w:spacing w:line="44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2、如在设计过程中遇到设计更改，甲方及时将技术更改通知乙方，乙方应按更改后的技术要求制造模具并负责将更改后的工装图（三维和二维）等技术文件及时提交给甲方。</w:t>
      </w:r>
    </w:p>
    <w:p w14:paraId="0D31EB13">
      <w:pPr>
        <w:tabs>
          <w:tab w:val="left" w:pos="360"/>
        </w:tabs>
        <w:spacing w:line="46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3、乙方不得自行改变双方共同确认的本协议附表中技术资料，如确实需要更改，应事先征得甲方同意。</w:t>
      </w:r>
    </w:p>
    <w:p w14:paraId="2AC0BADA">
      <w:pPr>
        <w:tabs>
          <w:tab w:val="left" w:pos="360"/>
        </w:tabs>
        <w:spacing w:line="46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4、乙方承诺：符合技术要求只是必要条件，满足使用要求和最终用户的要求是最终目的。</w:t>
      </w:r>
    </w:p>
    <w:p w14:paraId="015F6B97">
      <w:pPr>
        <w:keepNext w:val="0"/>
        <w:keepLines w:val="0"/>
        <w:pageBreakBefore w:val="0"/>
        <w:tabs>
          <w:tab w:val="left" w:pos="2865"/>
        </w:tabs>
        <w:kinsoku/>
        <w:wordWrap/>
        <w:overflowPunct/>
        <w:topLinePunct w:val="0"/>
        <w:bidi w:val="0"/>
        <w:snapToGrid/>
        <w:spacing w:line="440" w:lineRule="exact"/>
        <w:jc w:val="center"/>
        <w:rPr>
          <w:rFonts w:hint="default" w:ascii="宋体" w:hAnsi="宋体" w:eastAsia="宋体" w:cs="宋体"/>
          <w:b/>
          <w:color w:val="auto"/>
          <w:sz w:val="20"/>
          <w:szCs w:val="20"/>
          <w:lang w:val="en-US" w:eastAsia="zh-CN"/>
        </w:rPr>
      </w:pPr>
      <w:r>
        <w:rPr>
          <w:rFonts w:hint="eastAsia" w:ascii="宋体" w:hAnsi="宋体" w:eastAsia="宋体" w:cs="宋体"/>
          <w:b/>
          <w:color w:val="auto"/>
          <w:sz w:val="20"/>
          <w:szCs w:val="20"/>
        </w:rPr>
        <w:t>第</w:t>
      </w:r>
      <w:r>
        <w:rPr>
          <w:rFonts w:hint="eastAsia" w:ascii="宋体" w:hAnsi="宋体" w:cs="宋体"/>
          <w:b/>
          <w:color w:val="auto"/>
          <w:sz w:val="20"/>
          <w:szCs w:val="20"/>
          <w:lang w:val="en-US" w:eastAsia="zh-CN"/>
        </w:rPr>
        <w:t>四</w:t>
      </w:r>
      <w:r>
        <w:rPr>
          <w:rFonts w:hint="eastAsia" w:ascii="宋体" w:hAnsi="宋体" w:eastAsia="宋体" w:cs="宋体"/>
          <w:b/>
          <w:color w:val="auto"/>
          <w:sz w:val="20"/>
          <w:szCs w:val="20"/>
        </w:rPr>
        <w:t xml:space="preserve">条  </w:t>
      </w:r>
      <w:r>
        <w:rPr>
          <w:rFonts w:hint="eastAsia" w:ascii="宋体" w:hAnsi="宋体" w:cs="宋体"/>
          <w:b/>
          <w:color w:val="auto"/>
          <w:sz w:val="20"/>
          <w:szCs w:val="20"/>
          <w:lang w:val="en-US" w:eastAsia="zh-CN"/>
        </w:rPr>
        <w:t>制造过程变更</w:t>
      </w:r>
    </w:p>
    <w:p w14:paraId="71AFE92D">
      <w:pPr>
        <w:tabs>
          <w:tab w:val="left" w:pos="360"/>
        </w:tabs>
        <w:spacing w:line="46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1、</w:t>
      </w:r>
      <w:r>
        <w:rPr>
          <w:rFonts w:hint="eastAsia" w:ascii="宋体" w:hAnsi="宋体" w:cs="宋体"/>
          <w:color w:val="auto"/>
          <w:kern w:val="2"/>
          <w:sz w:val="20"/>
          <w:szCs w:val="20"/>
          <w:highlight w:val="none"/>
          <w:lang w:val="en-US" w:eastAsia="zh-CN" w:bidi="ar-SA"/>
        </w:rPr>
        <w:t>乙方</w:t>
      </w:r>
      <w:r>
        <w:rPr>
          <w:rFonts w:hint="eastAsia" w:ascii="宋体" w:hAnsi="宋体" w:eastAsia="宋体" w:cs="宋体"/>
          <w:color w:val="auto"/>
          <w:kern w:val="2"/>
          <w:sz w:val="20"/>
          <w:szCs w:val="20"/>
          <w:highlight w:val="none"/>
          <w:lang w:val="en-US" w:eastAsia="zh-CN" w:bidi="ar-SA"/>
        </w:rPr>
        <w:t>必须保证产品在生产制造过程中达到</w:t>
      </w:r>
      <w:r>
        <w:rPr>
          <w:rFonts w:hint="eastAsia" w:ascii="宋体" w:hAnsi="宋体" w:cs="宋体"/>
          <w:color w:val="auto"/>
          <w:kern w:val="2"/>
          <w:sz w:val="20"/>
          <w:szCs w:val="20"/>
          <w:highlight w:val="none"/>
          <w:lang w:val="en-US" w:eastAsia="zh-CN" w:bidi="ar-SA"/>
        </w:rPr>
        <w:t>甲方</w:t>
      </w:r>
      <w:r>
        <w:rPr>
          <w:rFonts w:hint="eastAsia" w:ascii="宋体" w:hAnsi="宋体" w:eastAsia="宋体" w:cs="宋体"/>
          <w:color w:val="auto"/>
          <w:kern w:val="2"/>
          <w:sz w:val="20"/>
          <w:szCs w:val="20"/>
          <w:highlight w:val="none"/>
          <w:lang w:val="en-US" w:eastAsia="zh-CN" w:bidi="ar-SA"/>
        </w:rPr>
        <w:t>规定的质量要求并检测合格。</w:t>
      </w:r>
    </w:p>
    <w:p w14:paraId="11E5E23D">
      <w:pPr>
        <w:tabs>
          <w:tab w:val="left" w:pos="360"/>
        </w:tabs>
        <w:spacing w:line="460" w:lineRule="exact"/>
        <w:ind w:firstLine="400" w:firstLineChars="200"/>
        <w:rPr>
          <w:rFonts w:hint="eastAsia"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2、</w:t>
      </w:r>
      <w:r>
        <w:rPr>
          <w:rFonts w:hint="eastAsia" w:ascii="宋体" w:hAnsi="宋体" w:cs="宋体"/>
          <w:color w:val="auto"/>
          <w:kern w:val="2"/>
          <w:sz w:val="20"/>
          <w:szCs w:val="20"/>
          <w:highlight w:val="none"/>
          <w:lang w:val="en-US" w:eastAsia="zh-CN" w:bidi="ar-SA"/>
        </w:rPr>
        <w:t>甲方</w:t>
      </w:r>
      <w:r>
        <w:rPr>
          <w:rFonts w:hint="eastAsia" w:ascii="宋体" w:hAnsi="宋体" w:eastAsia="宋体" w:cs="宋体"/>
          <w:color w:val="auto"/>
          <w:kern w:val="2"/>
          <w:sz w:val="20"/>
          <w:szCs w:val="20"/>
          <w:highlight w:val="none"/>
          <w:lang w:val="en-US" w:eastAsia="zh-CN" w:bidi="ar-SA"/>
        </w:rPr>
        <w:t>根据产品质量升级等方面的要求，可向</w:t>
      </w:r>
      <w:r>
        <w:rPr>
          <w:rFonts w:hint="eastAsia" w:ascii="宋体" w:hAnsi="宋体" w:cs="宋体"/>
          <w:color w:val="auto"/>
          <w:kern w:val="2"/>
          <w:sz w:val="20"/>
          <w:szCs w:val="20"/>
          <w:highlight w:val="none"/>
          <w:lang w:val="en-US" w:eastAsia="zh-CN" w:bidi="ar-SA"/>
        </w:rPr>
        <w:t>乙方</w:t>
      </w:r>
      <w:r>
        <w:rPr>
          <w:rFonts w:hint="eastAsia" w:ascii="宋体" w:hAnsi="宋体" w:eastAsia="宋体" w:cs="宋体"/>
          <w:color w:val="auto"/>
          <w:kern w:val="2"/>
          <w:sz w:val="20"/>
          <w:szCs w:val="20"/>
          <w:highlight w:val="none"/>
          <w:lang w:val="en-US" w:eastAsia="zh-CN" w:bidi="ar-SA"/>
        </w:rPr>
        <w:t>提出对产品进行重新鉴定或认证的要求，</w:t>
      </w:r>
      <w:r>
        <w:rPr>
          <w:rFonts w:hint="eastAsia" w:ascii="宋体" w:hAnsi="宋体" w:cs="宋体"/>
          <w:color w:val="auto"/>
          <w:kern w:val="2"/>
          <w:sz w:val="20"/>
          <w:szCs w:val="20"/>
          <w:highlight w:val="none"/>
          <w:lang w:val="en-US" w:eastAsia="zh-CN" w:bidi="ar-SA"/>
        </w:rPr>
        <w:t>乙方</w:t>
      </w:r>
      <w:r>
        <w:rPr>
          <w:rFonts w:hint="eastAsia" w:ascii="宋体" w:hAnsi="宋体" w:eastAsia="宋体" w:cs="宋体"/>
          <w:color w:val="auto"/>
          <w:kern w:val="2"/>
          <w:sz w:val="20"/>
          <w:szCs w:val="20"/>
          <w:highlight w:val="none"/>
          <w:lang w:val="en-US" w:eastAsia="zh-CN" w:bidi="ar-SA"/>
        </w:rPr>
        <w:t>应提供足够的产品样本，并配合</w:t>
      </w:r>
      <w:r>
        <w:rPr>
          <w:rFonts w:hint="eastAsia" w:ascii="宋体" w:hAnsi="宋体" w:cs="宋体"/>
          <w:color w:val="auto"/>
          <w:kern w:val="2"/>
          <w:sz w:val="20"/>
          <w:szCs w:val="20"/>
          <w:highlight w:val="none"/>
          <w:lang w:val="en-US" w:eastAsia="zh-CN" w:bidi="ar-SA"/>
        </w:rPr>
        <w:t>甲方</w:t>
      </w:r>
      <w:r>
        <w:rPr>
          <w:rFonts w:hint="eastAsia" w:ascii="宋体" w:hAnsi="宋体" w:eastAsia="宋体" w:cs="宋体"/>
          <w:color w:val="auto"/>
          <w:kern w:val="2"/>
          <w:sz w:val="20"/>
          <w:szCs w:val="20"/>
          <w:highlight w:val="none"/>
          <w:lang w:val="en-US" w:eastAsia="zh-CN" w:bidi="ar-SA"/>
        </w:rPr>
        <w:t>共同完成产品的鉴定或认证工作，其结果双方共享。</w:t>
      </w:r>
    </w:p>
    <w:p w14:paraId="632C96E4">
      <w:pPr>
        <w:tabs>
          <w:tab w:val="left" w:pos="360"/>
        </w:tabs>
        <w:spacing w:line="460" w:lineRule="exact"/>
        <w:ind w:firstLine="400" w:firstLineChars="200"/>
        <w:rPr>
          <w:rFonts w:hint="default" w:ascii="宋体" w:hAnsi="宋体" w:eastAsia="宋体" w:cs="宋体"/>
          <w:color w:val="auto"/>
          <w:kern w:val="2"/>
          <w:sz w:val="20"/>
          <w:szCs w:val="20"/>
          <w:highlight w:val="none"/>
          <w:lang w:val="en-US" w:eastAsia="zh-CN" w:bidi="ar-SA"/>
        </w:rPr>
      </w:pPr>
      <w:r>
        <w:rPr>
          <w:rFonts w:hint="eastAsia" w:ascii="宋体" w:hAnsi="宋体" w:eastAsia="宋体" w:cs="宋体"/>
          <w:color w:val="auto"/>
          <w:kern w:val="2"/>
          <w:sz w:val="20"/>
          <w:szCs w:val="20"/>
          <w:highlight w:val="none"/>
          <w:lang w:val="en-US" w:eastAsia="zh-CN" w:bidi="ar-SA"/>
        </w:rPr>
        <w:t>3、如果</w:t>
      </w:r>
      <w:r>
        <w:rPr>
          <w:rFonts w:hint="eastAsia" w:ascii="宋体" w:hAnsi="宋体" w:cs="宋体"/>
          <w:color w:val="auto"/>
          <w:kern w:val="2"/>
          <w:sz w:val="20"/>
          <w:szCs w:val="20"/>
          <w:highlight w:val="none"/>
          <w:lang w:val="en-US" w:eastAsia="zh-CN" w:bidi="ar-SA"/>
        </w:rPr>
        <w:t>乙方</w:t>
      </w:r>
      <w:r>
        <w:rPr>
          <w:rFonts w:hint="eastAsia" w:ascii="宋体" w:hAnsi="宋体" w:eastAsia="宋体" w:cs="宋体"/>
          <w:color w:val="auto"/>
          <w:kern w:val="2"/>
          <w:sz w:val="20"/>
          <w:szCs w:val="20"/>
          <w:highlight w:val="none"/>
          <w:lang w:val="en-US" w:eastAsia="zh-CN" w:bidi="ar-SA"/>
        </w:rPr>
        <w:t>的生产基地、生产工艺、材料或配套厂商发生了改变，则应及时书面报告</w:t>
      </w:r>
      <w:r>
        <w:rPr>
          <w:rFonts w:hint="eastAsia" w:ascii="宋体" w:hAnsi="宋体" w:cs="宋体"/>
          <w:color w:val="auto"/>
          <w:kern w:val="2"/>
          <w:sz w:val="20"/>
          <w:szCs w:val="20"/>
          <w:highlight w:val="none"/>
          <w:lang w:val="en-US" w:eastAsia="zh-CN" w:bidi="ar-SA"/>
        </w:rPr>
        <w:t>甲方</w:t>
      </w:r>
      <w:r>
        <w:rPr>
          <w:rFonts w:hint="eastAsia" w:ascii="宋体" w:hAnsi="宋体" w:eastAsia="宋体" w:cs="宋体"/>
          <w:color w:val="auto"/>
          <w:kern w:val="2"/>
          <w:sz w:val="20"/>
          <w:szCs w:val="20"/>
          <w:highlight w:val="none"/>
          <w:lang w:val="en-US" w:eastAsia="zh-CN" w:bidi="ar-SA"/>
        </w:rPr>
        <w:t>，重新提供相关资料（表1）并取得甲方评审认可。</w:t>
      </w:r>
    </w:p>
    <w:p w14:paraId="23DE6259">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hint="eastAsia" w:ascii="宋体" w:hAnsi="宋体" w:eastAsia="宋体" w:cs="宋体"/>
          <w:b/>
          <w:sz w:val="20"/>
          <w:szCs w:val="20"/>
          <w:highlight w:val="none"/>
        </w:rPr>
      </w:pPr>
      <w:r>
        <w:rPr>
          <w:rFonts w:hint="eastAsia" w:ascii="宋体" w:hAnsi="宋体" w:eastAsia="宋体" w:cs="宋体"/>
          <w:b/>
          <w:sz w:val="20"/>
          <w:szCs w:val="20"/>
          <w:highlight w:val="none"/>
        </w:rPr>
        <w:t>第</w:t>
      </w:r>
      <w:r>
        <w:rPr>
          <w:rFonts w:hint="eastAsia" w:ascii="宋体" w:hAnsi="宋体" w:cs="宋体"/>
          <w:b/>
          <w:sz w:val="20"/>
          <w:szCs w:val="20"/>
          <w:highlight w:val="none"/>
          <w:lang w:val="en-US" w:eastAsia="zh-CN"/>
        </w:rPr>
        <w:t>五</w:t>
      </w:r>
      <w:r>
        <w:rPr>
          <w:rFonts w:hint="eastAsia" w:ascii="宋体" w:hAnsi="宋体" w:eastAsia="宋体" w:cs="宋体"/>
          <w:b/>
          <w:sz w:val="20"/>
          <w:szCs w:val="20"/>
          <w:highlight w:val="none"/>
        </w:rPr>
        <w:t>条  产品包装</w:t>
      </w:r>
    </w:p>
    <w:p w14:paraId="1CC197F3">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rPr>
        <w:t>1、乙方产品包装须严格执行甲方的企业标准或国家标准和行业有关标准及甲方的其它包装要求。</w:t>
      </w:r>
    </w:p>
    <w:p w14:paraId="7B97A359">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rPr>
        <w:t>2、乙方的产品包装必须保证产品质量在运输、储存过程中不降低。</w:t>
      </w:r>
    </w:p>
    <w:p w14:paraId="26B2CF78">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cs="宋体"/>
          <w:sz w:val="20"/>
          <w:szCs w:val="20"/>
          <w:highlight w:val="none"/>
          <w:lang w:val="en-US" w:eastAsia="zh-CN"/>
        </w:rPr>
        <w:t>3</w:t>
      </w:r>
      <w:r>
        <w:rPr>
          <w:rFonts w:hint="eastAsia" w:ascii="宋体" w:hAnsi="宋体" w:eastAsia="宋体" w:cs="宋体"/>
          <w:sz w:val="20"/>
          <w:szCs w:val="20"/>
          <w:highlight w:val="none"/>
        </w:rPr>
        <w:t>、乙方对其供给甲方的产品必须进行可追溯性标识，同时须满足甲方的特定标识要求。</w:t>
      </w:r>
    </w:p>
    <w:p w14:paraId="3A8A72C7">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cs="宋体"/>
          <w:sz w:val="20"/>
          <w:szCs w:val="20"/>
          <w:highlight w:val="none"/>
          <w:lang w:val="en-US" w:eastAsia="zh-CN"/>
        </w:rPr>
        <w:t>4</w:t>
      </w:r>
      <w:r>
        <w:rPr>
          <w:rFonts w:hint="eastAsia" w:ascii="宋体" w:hAnsi="宋体" w:eastAsia="宋体" w:cs="宋体"/>
          <w:sz w:val="20"/>
          <w:szCs w:val="20"/>
          <w:highlight w:val="none"/>
        </w:rPr>
        <w:t>、产品标识部位以不影响产品质量为原则，除甲方明确要求的标识部位外，乙方可自行选择部位，并将标识部位传给甲方备案。</w:t>
      </w:r>
    </w:p>
    <w:p w14:paraId="06A4601E">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hint="eastAsia" w:ascii="宋体" w:hAnsi="宋体" w:cs="宋体"/>
          <w:b/>
          <w:sz w:val="20"/>
          <w:szCs w:val="20"/>
          <w:highlight w:val="none"/>
          <w:lang w:val="en-US" w:eastAsia="zh-CN"/>
        </w:rPr>
      </w:pPr>
      <w:r>
        <w:rPr>
          <w:rFonts w:hint="eastAsia" w:ascii="宋体" w:hAnsi="宋体" w:eastAsia="宋体" w:cs="宋体"/>
          <w:b/>
          <w:sz w:val="20"/>
          <w:szCs w:val="20"/>
          <w:highlight w:val="none"/>
        </w:rPr>
        <w:t>第</w:t>
      </w:r>
      <w:r>
        <w:rPr>
          <w:rFonts w:hint="eastAsia" w:ascii="宋体" w:hAnsi="宋体" w:cs="宋体"/>
          <w:b/>
          <w:sz w:val="20"/>
          <w:szCs w:val="20"/>
          <w:highlight w:val="none"/>
          <w:lang w:val="en-US" w:eastAsia="zh-CN"/>
        </w:rPr>
        <w:t>六</w:t>
      </w:r>
      <w:r>
        <w:rPr>
          <w:rFonts w:hint="eastAsia" w:ascii="宋体" w:hAnsi="宋体" w:eastAsia="宋体" w:cs="宋体"/>
          <w:b/>
          <w:sz w:val="20"/>
          <w:szCs w:val="20"/>
          <w:highlight w:val="none"/>
        </w:rPr>
        <w:t xml:space="preserve">条  </w:t>
      </w:r>
      <w:r>
        <w:rPr>
          <w:rFonts w:hint="eastAsia" w:ascii="宋体" w:hAnsi="宋体" w:cs="宋体"/>
          <w:b/>
          <w:sz w:val="20"/>
          <w:szCs w:val="20"/>
          <w:highlight w:val="none"/>
          <w:lang w:val="en-US" w:eastAsia="zh-CN"/>
        </w:rPr>
        <w:t>预验收及交货</w:t>
      </w:r>
    </w:p>
    <w:p w14:paraId="5D7FDBC7">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1、</w:t>
      </w:r>
      <w:r>
        <w:rPr>
          <w:rFonts w:hint="eastAsia" w:ascii="宋体" w:hAnsi="宋体" w:eastAsia="宋体" w:cs="宋体"/>
          <w:sz w:val="20"/>
          <w:szCs w:val="20"/>
          <w:highlight w:val="none"/>
        </w:rPr>
        <w:t>必要时</w:t>
      </w:r>
      <w:r>
        <w:rPr>
          <w:rFonts w:hint="eastAsia" w:ascii="宋体" w:hAnsi="宋体" w:cs="宋体"/>
          <w:sz w:val="20"/>
          <w:szCs w:val="20"/>
          <w:highlight w:val="none"/>
          <w:lang w:eastAsia="zh-CN"/>
        </w:rPr>
        <w:t>甲方</w:t>
      </w:r>
      <w:r>
        <w:rPr>
          <w:rFonts w:hint="eastAsia" w:ascii="宋体" w:hAnsi="宋体" w:eastAsia="宋体" w:cs="宋体"/>
          <w:sz w:val="20"/>
          <w:szCs w:val="20"/>
          <w:highlight w:val="none"/>
        </w:rPr>
        <w:t>派专业人员在发货前20天到乙方工厂进行预验收，检查确认</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数量及结构完整，并签署预验收备忘录。</w:t>
      </w:r>
    </w:p>
    <w:p w14:paraId="646915F8">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2、</w:t>
      </w:r>
      <w:r>
        <w:rPr>
          <w:rFonts w:hint="eastAsia" w:ascii="宋体" w:hAnsi="宋体" w:eastAsia="宋体" w:cs="宋体"/>
          <w:sz w:val="20"/>
          <w:szCs w:val="20"/>
          <w:highlight w:val="none"/>
        </w:rPr>
        <w:t>交货地点：济南成型厂。</w:t>
      </w:r>
    </w:p>
    <w:p w14:paraId="56BE1992">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3、</w:t>
      </w:r>
      <w:r>
        <w:rPr>
          <w:rFonts w:hint="eastAsia" w:ascii="宋体" w:hAnsi="宋体" w:eastAsia="宋体" w:cs="宋体"/>
          <w:sz w:val="20"/>
          <w:szCs w:val="20"/>
          <w:highlight w:val="none"/>
        </w:rPr>
        <w:t>进厂检验：新工装到厂后，质量部核对</w:t>
      </w:r>
      <w:r>
        <w:rPr>
          <w:rFonts w:hint="eastAsia" w:ascii="宋体" w:hAnsi="宋体" w:cs="宋体"/>
          <w:sz w:val="20"/>
          <w:szCs w:val="20"/>
          <w:highlight w:val="none"/>
          <w:lang w:val="en-US" w:eastAsia="zh-CN"/>
        </w:rPr>
        <w:t>乙</w:t>
      </w:r>
      <w:r>
        <w:rPr>
          <w:rFonts w:hint="eastAsia" w:ascii="宋体" w:hAnsi="宋体" w:eastAsia="宋体" w:cs="宋体"/>
          <w:sz w:val="20"/>
          <w:szCs w:val="20"/>
          <w:highlight w:val="none"/>
        </w:rPr>
        <w:t>方提供自检报告（</w:t>
      </w:r>
      <w:r>
        <w:rPr>
          <w:rFonts w:hint="eastAsia" w:ascii="宋体" w:hAnsi="宋体" w:eastAsia="宋体" w:cs="宋体"/>
          <w:sz w:val="20"/>
          <w:szCs w:val="20"/>
          <w:highlight w:val="none"/>
          <w:lang w:val="en-US" w:eastAsia="zh-CN"/>
        </w:rPr>
        <w:t>表1</w:t>
      </w:r>
      <w:r>
        <w:rPr>
          <w:rFonts w:hint="eastAsia" w:ascii="宋体" w:hAnsi="宋体" w:eastAsia="宋体" w:cs="宋体"/>
          <w:sz w:val="20"/>
          <w:szCs w:val="20"/>
          <w:highlight w:val="none"/>
        </w:rPr>
        <w:t>），</w:t>
      </w:r>
      <w:r>
        <w:rPr>
          <w:rFonts w:hint="eastAsia" w:ascii="宋体" w:hAnsi="宋体" w:eastAsia="宋体" w:cs="宋体"/>
          <w:sz w:val="20"/>
          <w:szCs w:val="20"/>
          <w:highlight w:val="none"/>
          <w:lang w:val="en-US" w:eastAsia="zh-CN"/>
        </w:rPr>
        <w:t>并进行硬度、三维扫描</w:t>
      </w:r>
      <w:r>
        <w:rPr>
          <w:rFonts w:hint="eastAsia" w:ascii="宋体" w:hAnsi="宋体" w:cs="宋体"/>
          <w:sz w:val="20"/>
          <w:szCs w:val="20"/>
          <w:highlight w:val="none"/>
          <w:lang w:val="en-US" w:eastAsia="zh-CN"/>
        </w:rPr>
        <w:t>对比</w:t>
      </w:r>
      <w:r>
        <w:rPr>
          <w:rFonts w:hint="eastAsia" w:ascii="宋体" w:hAnsi="宋体" w:eastAsia="宋体" w:cs="宋体"/>
          <w:sz w:val="20"/>
          <w:szCs w:val="20"/>
          <w:highlight w:val="none"/>
          <w:lang w:val="en-US" w:eastAsia="zh-CN"/>
        </w:rPr>
        <w:t>等检验。</w:t>
      </w:r>
    </w:p>
    <w:p w14:paraId="59506994">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lang w:eastAsia="zh-CN"/>
        </w:rPr>
      </w:pPr>
      <w:r>
        <w:rPr>
          <w:rFonts w:hint="eastAsia" w:ascii="宋体" w:hAnsi="宋体" w:eastAsia="宋体" w:cs="宋体"/>
          <w:sz w:val="20"/>
          <w:szCs w:val="20"/>
          <w:highlight w:val="none"/>
          <w:lang w:val="en-US" w:eastAsia="zh-CN"/>
        </w:rPr>
        <w:t>4、</w:t>
      </w:r>
      <w:r>
        <w:rPr>
          <w:rFonts w:hint="eastAsia" w:ascii="宋体" w:hAnsi="宋体" w:cs="宋体"/>
          <w:sz w:val="20"/>
          <w:szCs w:val="20"/>
          <w:highlight w:val="none"/>
          <w:lang w:eastAsia="zh-CN"/>
        </w:rPr>
        <w:t>乙方</w:t>
      </w:r>
      <w:r>
        <w:rPr>
          <w:rFonts w:hint="eastAsia" w:ascii="宋体" w:hAnsi="宋体" w:eastAsia="宋体" w:cs="宋体"/>
          <w:sz w:val="20"/>
          <w:szCs w:val="20"/>
          <w:highlight w:val="none"/>
        </w:rPr>
        <w:t>提供完整的</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清单及图纸</w:t>
      </w:r>
      <w:r>
        <w:rPr>
          <w:rFonts w:hint="eastAsia" w:ascii="宋体" w:hAnsi="宋体" w:eastAsia="宋体" w:cs="宋体"/>
          <w:sz w:val="20"/>
          <w:szCs w:val="20"/>
          <w:highlight w:val="none"/>
          <w:lang w:eastAsia="zh-CN"/>
        </w:rPr>
        <w:t>。</w:t>
      </w:r>
    </w:p>
    <w:p w14:paraId="20CB3462">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5、</w:t>
      </w:r>
      <w:r>
        <w:rPr>
          <w:rFonts w:hint="eastAsia" w:ascii="宋体" w:hAnsi="宋体" w:eastAsia="宋体" w:cs="宋体"/>
          <w:sz w:val="20"/>
          <w:szCs w:val="20"/>
          <w:highlight w:val="none"/>
        </w:rPr>
        <w:t>模具做防锈处理。</w:t>
      </w:r>
    </w:p>
    <w:p w14:paraId="07087524">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default" w:ascii="宋体" w:hAnsi="宋体" w:eastAsia="宋体" w:cs="宋体"/>
          <w:sz w:val="20"/>
          <w:szCs w:val="20"/>
          <w:highlight w:val="none"/>
          <w:lang w:val="en-US" w:eastAsia="zh-CN"/>
        </w:rPr>
      </w:pPr>
      <w:r>
        <w:rPr>
          <w:rFonts w:hint="eastAsia" w:ascii="宋体" w:hAnsi="宋体" w:eastAsia="宋体" w:cs="宋体"/>
          <w:b/>
          <w:sz w:val="20"/>
          <w:szCs w:val="20"/>
          <w:highlight w:val="none"/>
        </w:rPr>
        <w:t>第</w:t>
      </w:r>
      <w:r>
        <w:rPr>
          <w:rFonts w:hint="eastAsia" w:ascii="宋体" w:hAnsi="宋体" w:cs="宋体"/>
          <w:b/>
          <w:sz w:val="20"/>
          <w:szCs w:val="20"/>
          <w:highlight w:val="none"/>
          <w:lang w:val="en-US" w:eastAsia="zh-CN"/>
        </w:rPr>
        <w:t>七</w:t>
      </w:r>
      <w:r>
        <w:rPr>
          <w:rFonts w:hint="eastAsia" w:ascii="宋体" w:hAnsi="宋体" w:eastAsia="宋体" w:cs="宋体"/>
          <w:b/>
          <w:sz w:val="20"/>
          <w:szCs w:val="20"/>
          <w:highlight w:val="none"/>
        </w:rPr>
        <w:t xml:space="preserve">条  </w:t>
      </w:r>
      <w:r>
        <w:rPr>
          <w:rFonts w:hint="eastAsia" w:ascii="宋体" w:hAnsi="宋体" w:cs="宋体"/>
          <w:b/>
          <w:sz w:val="20"/>
          <w:szCs w:val="20"/>
          <w:highlight w:val="none"/>
          <w:lang w:val="en-US" w:eastAsia="zh-CN"/>
        </w:rPr>
        <w:t>调试、验证</w:t>
      </w:r>
    </w:p>
    <w:p w14:paraId="47F1DEEF">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1、</w:t>
      </w:r>
      <w:r>
        <w:rPr>
          <w:rFonts w:hint="eastAsia" w:ascii="宋体" w:hAnsi="宋体" w:eastAsia="宋体" w:cs="宋体"/>
          <w:sz w:val="20"/>
          <w:szCs w:val="20"/>
          <w:highlight w:val="none"/>
        </w:rPr>
        <w:t>模具安装后进行空载运行，模具活动部分动作正常、可靠。</w:t>
      </w:r>
    </w:p>
    <w:p w14:paraId="632F19EC">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lang w:val="en-US" w:eastAsia="zh-CN"/>
        </w:rPr>
        <w:t>2、</w:t>
      </w:r>
      <w:r>
        <w:rPr>
          <w:rFonts w:hint="eastAsia" w:ascii="宋体" w:hAnsi="宋体" w:eastAsia="宋体" w:cs="宋体"/>
          <w:sz w:val="20"/>
          <w:szCs w:val="20"/>
          <w:highlight w:val="none"/>
        </w:rPr>
        <w:t>新</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需连续生产一个班</w:t>
      </w:r>
      <w:r>
        <w:rPr>
          <w:rFonts w:hint="eastAsia" w:ascii="宋体" w:hAnsi="宋体" w:eastAsia="宋体" w:cs="宋体"/>
          <w:sz w:val="20"/>
          <w:szCs w:val="20"/>
          <w:highlight w:val="none"/>
          <w:lang w:val="en-US" w:eastAsia="zh-CN"/>
        </w:rPr>
        <w:t>或者</w:t>
      </w:r>
      <w:r>
        <w:rPr>
          <w:rFonts w:hint="eastAsia" w:ascii="宋体" w:hAnsi="宋体" w:cs="宋体"/>
          <w:sz w:val="20"/>
          <w:szCs w:val="20"/>
          <w:highlight w:val="none"/>
          <w:lang w:val="en-US" w:eastAsia="zh-CN"/>
        </w:rPr>
        <w:t>连续生产</w:t>
      </w:r>
      <w:r>
        <w:rPr>
          <w:rFonts w:hint="eastAsia" w:ascii="宋体" w:hAnsi="宋体" w:eastAsia="宋体" w:cs="宋体"/>
          <w:sz w:val="20"/>
          <w:szCs w:val="20"/>
          <w:highlight w:val="none"/>
          <w:lang w:val="en-US" w:eastAsia="zh-CN"/>
        </w:rPr>
        <w:t>不少于300件</w:t>
      </w:r>
      <w:r>
        <w:rPr>
          <w:rFonts w:hint="eastAsia" w:ascii="宋体" w:hAnsi="宋体" w:eastAsia="宋体" w:cs="宋体"/>
          <w:sz w:val="20"/>
          <w:szCs w:val="20"/>
          <w:highlight w:val="none"/>
        </w:rPr>
        <w:t>的合格</w:t>
      </w:r>
      <w:r>
        <w:rPr>
          <w:rFonts w:hint="eastAsia" w:ascii="宋体" w:hAnsi="宋体" w:eastAsia="宋体" w:cs="宋体"/>
          <w:sz w:val="20"/>
          <w:szCs w:val="20"/>
          <w:highlight w:val="none"/>
          <w:lang w:val="en-US" w:eastAsia="zh-CN"/>
        </w:rPr>
        <w:t>锻件</w:t>
      </w:r>
      <w:r>
        <w:rPr>
          <w:rFonts w:hint="eastAsia" w:ascii="宋体" w:hAnsi="宋体" w:eastAsia="宋体" w:cs="宋体"/>
          <w:sz w:val="20"/>
          <w:szCs w:val="20"/>
          <w:highlight w:val="none"/>
        </w:rPr>
        <w:t>，</w:t>
      </w:r>
      <w:r>
        <w:rPr>
          <w:rFonts w:hint="eastAsia" w:ascii="宋体" w:hAnsi="宋体" w:eastAsia="宋体" w:cs="宋体"/>
          <w:sz w:val="20"/>
          <w:szCs w:val="20"/>
          <w:highlight w:val="none"/>
          <w:lang w:val="en-US" w:eastAsia="zh-CN"/>
        </w:rPr>
        <w:t>锻件三维扫描</w:t>
      </w:r>
      <w:r>
        <w:rPr>
          <w:rFonts w:hint="eastAsia" w:ascii="宋体" w:hAnsi="宋体" w:eastAsia="宋体" w:cs="宋体"/>
          <w:sz w:val="20"/>
          <w:szCs w:val="20"/>
          <w:highlight w:val="none"/>
        </w:rPr>
        <w:t>检验</w:t>
      </w:r>
      <w:r>
        <w:rPr>
          <w:rFonts w:hint="eastAsia" w:ascii="宋体" w:hAnsi="宋体" w:cs="宋体"/>
          <w:sz w:val="20"/>
          <w:szCs w:val="20"/>
          <w:highlight w:val="none"/>
          <w:lang w:val="en-US" w:eastAsia="zh-CN"/>
        </w:rPr>
        <w:t>合</w:t>
      </w:r>
      <w:r>
        <w:rPr>
          <w:rFonts w:hint="eastAsia" w:ascii="宋体" w:hAnsi="宋体" w:eastAsia="宋体" w:cs="宋体"/>
          <w:sz w:val="20"/>
          <w:szCs w:val="20"/>
          <w:highlight w:val="none"/>
          <w:lang w:val="en-US" w:eastAsia="zh-CN"/>
        </w:rPr>
        <w:t>格且热处理后</w:t>
      </w:r>
      <w:r>
        <w:rPr>
          <w:rFonts w:hint="eastAsia" w:ascii="宋体" w:hAnsi="宋体" w:eastAsia="宋体" w:cs="宋体"/>
          <w:sz w:val="20"/>
          <w:szCs w:val="20"/>
          <w:highlight w:val="none"/>
        </w:rPr>
        <w:t>因</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设计或制作造成</w:t>
      </w:r>
      <w:r>
        <w:rPr>
          <w:rFonts w:hint="eastAsia" w:ascii="宋体" w:hAnsi="宋体" w:eastAsia="宋体" w:cs="宋体"/>
          <w:sz w:val="20"/>
          <w:szCs w:val="20"/>
          <w:highlight w:val="none"/>
          <w:lang w:val="en-US" w:eastAsia="zh-CN"/>
        </w:rPr>
        <w:t>的锻件废品率≤5%</w:t>
      </w:r>
      <w:r>
        <w:rPr>
          <w:rFonts w:hint="eastAsia" w:ascii="宋体" w:hAnsi="宋体" w:eastAsia="宋体" w:cs="宋体"/>
          <w:sz w:val="20"/>
          <w:szCs w:val="20"/>
          <w:highlight w:val="none"/>
        </w:rPr>
        <w:t>认为</w:t>
      </w:r>
      <w:r>
        <w:rPr>
          <w:rFonts w:hint="eastAsia" w:ascii="宋体" w:hAnsi="宋体" w:cs="宋体"/>
          <w:sz w:val="20"/>
          <w:szCs w:val="20"/>
          <w:highlight w:val="none"/>
          <w:lang w:val="en-US" w:eastAsia="zh-CN"/>
        </w:rPr>
        <w:t>验证成功、模具</w:t>
      </w:r>
      <w:r>
        <w:rPr>
          <w:rFonts w:hint="eastAsia" w:ascii="宋体" w:hAnsi="宋体" w:eastAsia="宋体" w:cs="宋体"/>
          <w:sz w:val="20"/>
          <w:szCs w:val="20"/>
          <w:highlight w:val="none"/>
        </w:rPr>
        <w:t>合格</w:t>
      </w:r>
      <w:r>
        <w:rPr>
          <w:rFonts w:hint="eastAsia" w:ascii="宋体" w:hAnsi="宋体" w:cs="宋体"/>
          <w:sz w:val="20"/>
          <w:szCs w:val="20"/>
          <w:highlight w:val="none"/>
          <w:lang w:eastAsia="zh-CN"/>
        </w:rPr>
        <w:t>（</w:t>
      </w:r>
      <w:r>
        <w:rPr>
          <w:rFonts w:hint="eastAsia" w:ascii="宋体" w:hAnsi="宋体" w:cs="宋体"/>
          <w:sz w:val="20"/>
          <w:szCs w:val="20"/>
          <w:highlight w:val="none"/>
          <w:lang w:val="en-US" w:eastAsia="zh-CN"/>
        </w:rPr>
        <w:t>总结报告</w:t>
      </w:r>
      <w:r>
        <w:rPr>
          <w:rFonts w:hint="eastAsia" w:ascii="宋体" w:hAnsi="宋体" w:cs="宋体"/>
          <w:sz w:val="20"/>
          <w:szCs w:val="20"/>
          <w:highlight w:val="none"/>
          <w:lang w:eastAsia="zh-CN"/>
        </w:rPr>
        <w:t>）</w:t>
      </w:r>
      <w:r>
        <w:rPr>
          <w:rFonts w:hint="eastAsia" w:ascii="宋体" w:hAnsi="宋体" w:eastAsia="宋体" w:cs="宋体"/>
          <w:sz w:val="20"/>
          <w:szCs w:val="20"/>
          <w:highlight w:val="none"/>
        </w:rPr>
        <w:t>。</w:t>
      </w:r>
    </w:p>
    <w:p w14:paraId="33BBA705">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cs="宋体"/>
          <w:sz w:val="20"/>
          <w:szCs w:val="20"/>
          <w:highlight w:val="none"/>
          <w:lang w:val="en-US" w:eastAsia="zh-CN"/>
        </w:rPr>
        <w:t>3、</w:t>
      </w:r>
      <w:r>
        <w:rPr>
          <w:rFonts w:hint="eastAsia" w:ascii="宋体" w:hAnsi="宋体" w:eastAsia="宋体" w:cs="宋体"/>
          <w:b/>
          <w:bCs/>
          <w:sz w:val="20"/>
          <w:szCs w:val="20"/>
          <w:highlight w:val="none"/>
          <w:lang w:val="en-US" w:eastAsia="zh-CN"/>
        </w:rPr>
        <w:t>因</w:t>
      </w:r>
      <w:r>
        <w:rPr>
          <w:rFonts w:hint="eastAsia" w:ascii="宋体" w:hAnsi="宋体" w:cs="宋体"/>
          <w:b/>
          <w:bCs/>
          <w:sz w:val="20"/>
          <w:szCs w:val="20"/>
          <w:highlight w:val="none"/>
          <w:lang w:val="en-US" w:eastAsia="zh-CN"/>
        </w:rPr>
        <w:t>模具</w:t>
      </w:r>
      <w:r>
        <w:rPr>
          <w:rFonts w:hint="eastAsia" w:ascii="宋体" w:hAnsi="宋体" w:eastAsia="宋体" w:cs="宋体"/>
          <w:b/>
          <w:bCs/>
          <w:sz w:val="20"/>
          <w:szCs w:val="20"/>
          <w:highlight w:val="none"/>
          <w:lang w:val="en-US" w:eastAsia="zh-CN"/>
        </w:rPr>
        <w:t>设计或</w:t>
      </w:r>
      <w:r>
        <w:rPr>
          <w:rFonts w:hint="eastAsia" w:ascii="宋体" w:hAnsi="宋体" w:eastAsia="宋体" w:cs="宋体"/>
          <w:b/>
          <w:bCs/>
          <w:sz w:val="20"/>
          <w:szCs w:val="20"/>
          <w:highlight w:val="none"/>
        </w:rPr>
        <w:t>制作原因未验证成功的，由乙方免费修改模具，直至验证成功。</w:t>
      </w:r>
    </w:p>
    <w:p w14:paraId="62AFE160">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eastAsia="宋体" w:cs="宋体"/>
          <w:sz w:val="20"/>
          <w:szCs w:val="20"/>
          <w:highlight w:val="none"/>
        </w:rPr>
      </w:pPr>
      <w:r>
        <w:rPr>
          <w:rFonts w:hint="eastAsia" w:ascii="宋体" w:hAnsi="宋体" w:cs="宋体"/>
          <w:sz w:val="20"/>
          <w:szCs w:val="20"/>
          <w:highlight w:val="none"/>
          <w:lang w:val="en-US" w:eastAsia="zh-CN"/>
        </w:rPr>
        <w:t>4</w:t>
      </w:r>
      <w:r>
        <w:rPr>
          <w:rFonts w:hint="eastAsia" w:ascii="宋体" w:hAnsi="宋体" w:eastAsia="宋体" w:cs="宋体"/>
          <w:sz w:val="20"/>
          <w:szCs w:val="20"/>
          <w:highlight w:val="none"/>
          <w:lang w:val="en-US" w:eastAsia="zh-CN"/>
        </w:rPr>
        <w:t>、</w:t>
      </w:r>
      <w:r>
        <w:rPr>
          <w:rFonts w:hint="eastAsia" w:ascii="宋体" w:hAnsi="宋体" w:eastAsia="宋体" w:cs="宋体"/>
          <w:sz w:val="20"/>
          <w:szCs w:val="20"/>
          <w:highlight w:val="none"/>
        </w:rPr>
        <w:t>调试验证时</w:t>
      </w:r>
      <w:r>
        <w:rPr>
          <w:rFonts w:hint="eastAsia" w:ascii="宋体" w:hAnsi="宋体" w:cs="宋体"/>
          <w:sz w:val="20"/>
          <w:szCs w:val="20"/>
          <w:highlight w:val="none"/>
          <w:lang w:eastAsia="zh-CN"/>
        </w:rPr>
        <w:t>甲方</w:t>
      </w:r>
      <w:r>
        <w:rPr>
          <w:rFonts w:hint="eastAsia" w:ascii="宋体" w:hAnsi="宋体" w:eastAsia="宋体" w:cs="宋体"/>
          <w:sz w:val="20"/>
          <w:szCs w:val="20"/>
          <w:highlight w:val="none"/>
        </w:rPr>
        <w:t>提前通知</w:t>
      </w:r>
      <w:r>
        <w:rPr>
          <w:rFonts w:hint="eastAsia" w:ascii="宋体" w:hAnsi="宋体" w:cs="宋体"/>
          <w:sz w:val="20"/>
          <w:szCs w:val="20"/>
          <w:highlight w:val="none"/>
          <w:lang w:eastAsia="zh-CN"/>
        </w:rPr>
        <w:t>乙方</w:t>
      </w:r>
      <w:r>
        <w:rPr>
          <w:rFonts w:hint="eastAsia" w:ascii="宋体" w:hAnsi="宋体" w:eastAsia="宋体" w:cs="宋体"/>
          <w:sz w:val="20"/>
          <w:szCs w:val="20"/>
          <w:highlight w:val="none"/>
        </w:rPr>
        <w:t>，</w:t>
      </w:r>
      <w:r>
        <w:rPr>
          <w:rFonts w:hint="eastAsia" w:ascii="宋体" w:hAnsi="宋体" w:cs="宋体"/>
          <w:sz w:val="20"/>
          <w:szCs w:val="20"/>
          <w:highlight w:val="none"/>
          <w:lang w:eastAsia="zh-CN"/>
        </w:rPr>
        <w:t>乙方</w:t>
      </w:r>
      <w:r>
        <w:rPr>
          <w:rFonts w:hint="eastAsia" w:ascii="宋体" w:hAnsi="宋体" w:eastAsia="宋体" w:cs="宋体"/>
          <w:sz w:val="20"/>
          <w:szCs w:val="20"/>
          <w:highlight w:val="none"/>
        </w:rPr>
        <w:t>需安排技术人员到现场参与</w:t>
      </w:r>
      <w:r>
        <w:rPr>
          <w:rFonts w:hint="eastAsia" w:ascii="宋体" w:hAnsi="宋体" w:cs="宋体"/>
          <w:sz w:val="20"/>
          <w:szCs w:val="20"/>
          <w:highlight w:val="none"/>
          <w:lang w:val="en-US" w:eastAsia="zh-CN"/>
        </w:rPr>
        <w:t>模具</w:t>
      </w:r>
      <w:r>
        <w:rPr>
          <w:rFonts w:hint="eastAsia" w:ascii="宋体" w:hAnsi="宋体" w:eastAsia="宋体" w:cs="宋体"/>
          <w:sz w:val="20"/>
          <w:szCs w:val="20"/>
          <w:highlight w:val="none"/>
        </w:rPr>
        <w:t>的验证调试。</w:t>
      </w:r>
    </w:p>
    <w:p w14:paraId="021B5F98">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default" w:ascii="宋体" w:hAnsi="宋体" w:cs="宋体"/>
          <w:sz w:val="20"/>
          <w:szCs w:val="20"/>
          <w:highlight w:val="none"/>
          <w:lang w:val="en-US" w:eastAsia="zh-CN"/>
        </w:rPr>
      </w:pPr>
      <w:r>
        <w:rPr>
          <w:rFonts w:hint="eastAsia" w:ascii="宋体" w:hAnsi="宋体" w:cs="宋体"/>
          <w:sz w:val="20"/>
          <w:szCs w:val="20"/>
          <w:highlight w:val="none"/>
          <w:lang w:val="en-US" w:eastAsia="zh-CN"/>
        </w:rPr>
        <w:t>5、模具验证过程中的生产制造费用（包括原辅材料）由甲方承担。对于明确评审确认为乙方设计责任、模具制作质量问题或其它判定为乙方责任的问题，按照质量保证协议相关条款进行索赔。</w:t>
      </w:r>
    </w:p>
    <w:p w14:paraId="7968A381">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eastAsia="宋体" w:cs="宋体"/>
          <w:sz w:val="20"/>
          <w:szCs w:val="20"/>
          <w:highlight w:val="none"/>
        </w:rPr>
      </w:pPr>
    </w:p>
    <w:p w14:paraId="478BB452">
      <w:pPr>
        <w:keepNext w:val="0"/>
        <w:keepLines w:val="0"/>
        <w:pageBreakBefore w:val="0"/>
        <w:kinsoku/>
        <w:wordWrap/>
        <w:overflowPunct/>
        <w:topLinePunct w:val="0"/>
        <w:bidi w:val="0"/>
        <w:snapToGrid/>
        <w:spacing w:line="440" w:lineRule="exact"/>
        <w:ind w:left="402" w:hanging="400" w:hangingChars="200"/>
        <w:jc w:val="center"/>
        <w:rPr>
          <w:rFonts w:hint="default" w:ascii="宋体" w:hAnsi="宋体" w:eastAsia="宋体"/>
          <w:b/>
          <w:color w:val="auto"/>
          <w:sz w:val="20"/>
          <w:highlight w:val="none"/>
          <w:lang w:val="en-US" w:eastAsia="zh-CN"/>
        </w:rPr>
      </w:pPr>
      <w:r>
        <w:rPr>
          <w:rFonts w:hint="eastAsia" w:ascii="宋体" w:hAnsi="宋体"/>
          <w:b/>
          <w:color w:val="auto"/>
          <w:sz w:val="20"/>
          <w:highlight w:val="none"/>
          <w:lang w:val="en-US" w:eastAsia="zh-CN"/>
        </w:rPr>
        <w:t>表1：</w:t>
      </w:r>
      <w:r>
        <w:rPr>
          <w:rFonts w:ascii="宋体" w:hAnsi="宋体"/>
          <w:b/>
          <w:color w:val="auto"/>
          <w:sz w:val="20"/>
          <w:highlight w:val="none"/>
        </w:rPr>
        <w:t>甲方要求乙方提交的</w:t>
      </w:r>
      <w:r>
        <w:rPr>
          <w:rFonts w:hint="eastAsia" w:ascii="宋体" w:hAnsi="宋体"/>
          <w:b/>
          <w:color w:val="auto"/>
          <w:sz w:val="20"/>
          <w:highlight w:val="none"/>
          <w:lang w:val="en-US" w:eastAsia="zh-CN"/>
        </w:rPr>
        <w:t>资料清单</w:t>
      </w:r>
    </w:p>
    <w:tbl>
      <w:tblPr>
        <w:tblStyle w:val="36"/>
        <w:tblW w:w="825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886"/>
        <w:gridCol w:w="863"/>
        <w:gridCol w:w="3502"/>
      </w:tblGrid>
      <w:tr w14:paraId="06AE4D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886" w:type="dxa"/>
            <w:noWrap w:val="0"/>
            <w:vAlign w:val="center"/>
          </w:tcPr>
          <w:p w14:paraId="3A559D16">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资料明细</w:t>
            </w:r>
          </w:p>
        </w:tc>
        <w:tc>
          <w:tcPr>
            <w:tcW w:w="863" w:type="dxa"/>
            <w:noWrap w:val="0"/>
            <w:vAlign w:val="center"/>
          </w:tcPr>
          <w:p w14:paraId="714CD0F9">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要求</w:t>
            </w:r>
          </w:p>
        </w:tc>
        <w:tc>
          <w:tcPr>
            <w:tcW w:w="3502" w:type="dxa"/>
            <w:noWrap w:val="0"/>
            <w:vAlign w:val="center"/>
          </w:tcPr>
          <w:p w14:paraId="09F216F3">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备注</w:t>
            </w:r>
          </w:p>
        </w:tc>
      </w:tr>
      <w:tr w14:paraId="440DA6E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32E6395E">
            <w:pPr>
              <w:keepNext w:val="0"/>
              <w:keepLines w:val="0"/>
              <w:pageBreakBefore w:val="0"/>
              <w:kinsoku/>
              <w:wordWrap/>
              <w:overflowPunct/>
              <w:topLinePunct w:val="0"/>
              <w:bidi w:val="0"/>
              <w:snapToGrid/>
              <w:spacing w:line="440" w:lineRule="exact"/>
              <w:jc w:val="left"/>
              <w:rPr>
                <w:rFonts w:ascii="宋体" w:hAnsi="宋体"/>
                <w:color w:val="auto"/>
                <w:sz w:val="20"/>
                <w:highlight w:val="none"/>
              </w:rPr>
            </w:pPr>
            <w:r>
              <w:rPr>
                <w:rFonts w:hint="eastAsia" w:ascii="宋体" w:hAnsi="宋体"/>
                <w:color w:val="auto"/>
                <w:sz w:val="20"/>
                <w:highlight w:val="none"/>
                <w:lang w:val="en-US" w:eastAsia="zh-CN"/>
              </w:rPr>
              <w:t>1</w:t>
            </w:r>
            <w:r>
              <w:rPr>
                <w:rFonts w:ascii="宋体" w:hAnsi="宋体"/>
                <w:color w:val="auto"/>
                <w:sz w:val="20"/>
                <w:highlight w:val="none"/>
              </w:rPr>
              <w:t>.过程流程图</w:t>
            </w:r>
            <w:r>
              <w:rPr>
                <w:rFonts w:hint="eastAsia" w:ascii="宋体" w:hAnsi="宋体"/>
                <w:color w:val="auto"/>
                <w:sz w:val="20"/>
                <w:highlight w:val="none"/>
              </w:rPr>
              <w:t>（或工艺卡等相关文件）</w:t>
            </w:r>
          </w:p>
        </w:tc>
        <w:tc>
          <w:tcPr>
            <w:tcW w:w="863" w:type="dxa"/>
            <w:noWrap w:val="0"/>
            <w:vAlign w:val="top"/>
          </w:tcPr>
          <w:p w14:paraId="06BDF886">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w:t>
            </w:r>
          </w:p>
        </w:tc>
        <w:tc>
          <w:tcPr>
            <w:tcW w:w="3502" w:type="dxa"/>
            <w:noWrap w:val="0"/>
            <w:vAlign w:val="top"/>
          </w:tcPr>
          <w:p w14:paraId="62C76677">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复印件</w:t>
            </w:r>
          </w:p>
        </w:tc>
      </w:tr>
      <w:tr w14:paraId="5FC98F0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04E837F5">
            <w:pPr>
              <w:keepNext w:val="0"/>
              <w:keepLines w:val="0"/>
              <w:pageBreakBefore w:val="0"/>
              <w:kinsoku/>
              <w:wordWrap/>
              <w:overflowPunct/>
              <w:topLinePunct w:val="0"/>
              <w:bidi w:val="0"/>
              <w:snapToGrid/>
              <w:spacing w:line="440" w:lineRule="exact"/>
              <w:jc w:val="left"/>
              <w:rPr>
                <w:rFonts w:ascii="宋体" w:hAnsi="宋体"/>
                <w:color w:val="auto"/>
                <w:sz w:val="20"/>
                <w:highlight w:val="none"/>
              </w:rPr>
            </w:pPr>
            <w:r>
              <w:rPr>
                <w:rFonts w:hint="eastAsia" w:ascii="宋体" w:hAnsi="宋体"/>
                <w:color w:val="auto"/>
                <w:sz w:val="20"/>
                <w:highlight w:val="none"/>
                <w:lang w:val="en-US" w:eastAsia="zh-CN"/>
              </w:rPr>
              <w:t>2</w:t>
            </w:r>
            <w:r>
              <w:rPr>
                <w:rFonts w:ascii="宋体" w:hAnsi="宋体"/>
                <w:color w:val="auto"/>
                <w:sz w:val="20"/>
                <w:highlight w:val="none"/>
              </w:rPr>
              <w:t>.控制计划</w:t>
            </w:r>
            <w:r>
              <w:rPr>
                <w:rFonts w:hint="eastAsia" w:ascii="宋体" w:hAnsi="宋体"/>
                <w:color w:val="auto"/>
                <w:sz w:val="20"/>
                <w:highlight w:val="none"/>
              </w:rPr>
              <w:t>（或作业指导文件等相关文件）</w:t>
            </w:r>
          </w:p>
        </w:tc>
        <w:tc>
          <w:tcPr>
            <w:tcW w:w="863" w:type="dxa"/>
            <w:noWrap w:val="0"/>
            <w:vAlign w:val="top"/>
          </w:tcPr>
          <w:p w14:paraId="7FD83020">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w:t>
            </w:r>
          </w:p>
        </w:tc>
        <w:tc>
          <w:tcPr>
            <w:tcW w:w="3502" w:type="dxa"/>
            <w:noWrap w:val="0"/>
            <w:vAlign w:val="top"/>
          </w:tcPr>
          <w:p w14:paraId="438B4683">
            <w:pPr>
              <w:keepNext w:val="0"/>
              <w:keepLines w:val="0"/>
              <w:pageBreakBefore w:val="0"/>
              <w:kinsoku/>
              <w:wordWrap/>
              <w:overflowPunct/>
              <w:topLinePunct w:val="0"/>
              <w:bidi w:val="0"/>
              <w:snapToGrid/>
              <w:spacing w:line="440" w:lineRule="exact"/>
              <w:jc w:val="center"/>
              <w:rPr>
                <w:rFonts w:ascii="宋体" w:hAnsi="宋体"/>
                <w:color w:val="auto"/>
                <w:sz w:val="20"/>
                <w:highlight w:val="none"/>
              </w:rPr>
            </w:pPr>
            <w:r>
              <w:rPr>
                <w:rFonts w:ascii="宋体" w:hAnsi="宋体"/>
                <w:color w:val="auto"/>
                <w:sz w:val="20"/>
                <w:highlight w:val="none"/>
              </w:rPr>
              <w:t>复印件</w:t>
            </w:r>
          </w:p>
        </w:tc>
      </w:tr>
      <w:tr w14:paraId="0ABA82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4E13B067">
            <w:pPr>
              <w:keepNext w:val="0"/>
              <w:keepLines w:val="0"/>
              <w:pageBreakBefore w:val="0"/>
              <w:kinsoku/>
              <w:wordWrap/>
              <w:overflowPunct/>
              <w:topLinePunct w:val="0"/>
              <w:bidi w:val="0"/>
              <w:snapToGrid/>
              <w:spacing w:line="440" w:lineRule="exact"/>
              <w:jc w:val="left"/>
              <w:rPr>
                <w:rFonts w:ascii="宋体" w:hAnsi="宋体" w:eastAsia="宋体"/>
                <w:color w:val="auto"/>
                <w:kern w:val="2"/>
                <w:sz w:val="20"/>
                <w:highlight w:val="none"/>
                <w:lang w:val="en-US" w:eastAsia="zh-CN" w:bidi="ar-SA"/>
              </w:rPr>
            </w:pPr>
            <w:r>
              <w:rPr>
                <w:rFonts w:hint="eastAsia" w:ascii="宋体" w:hAnsi="宋体"/>
                <w:color w:val="auto"/>
                <w:sz w:val="20"/>
                <w:highlight w:val="none"/>
                <w:lang w:val="en-US" w:eastAsia="zh-CN"/>
              </w:rPr>
              <w:t>3</w:t>
            </w:r>
            <w:r>
              <w:rPr>
                <w:rFonts w:ascii="宋体" w:hAnsi="宋体"/>
                <w:color w:val="auto"/>
                <w:sz w:val="20"/>
                <w:highlight w:val="none"/>
              </w:rPr>
              <w:t>.工程变更文件，如果有</w:t>
            </w:r>
          </w:p>
        </w:tc>
        <w:tc>
          <w:tcPr>
            <w:tcW w:w="863" w:type="dxa"/>
            <w:noWrap w:val="0"/>
            <w:vAlign w:val="top"/>
          </w:tcPr>
          <w:p w14:paraId="0ECA3039">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762B1241">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653A1C6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64D61425">
            <w:pPr>
              <w:keepNext w:val="0"/>
              <w:keepLines w:val="0"/>
              <w:pageBreakBefore w:val="0"/>
              <w:kinsoku/>
              <w:wordWrap/>
              <w:overflowPunct/>
              <w:topLinePunct w:val="0"/>
              <w:bidi w:val="0"/>
              <w:snapToGrid/>
              <w:spacing w:line="440" w:lineRule="exact"/>
              <w:jc w:val="left"/>
              <w:rPr>
                <w:rFonts w:hint="default" w:ascii="宋体" w:hAnsi="宋体" w:eastAsia="宋体"/>
                <w:color w:val="auto"/>
                <w:kern w:val="2"/>
                <w:sz w:val="20"/>
                <w:highlight w:val="none"/>
                <w:lang w:val="en-US" w:eastAsia="zh-CN" w:bidi="ar-SA"/>
              </w:rPr>
            </w:pPr>
            <w:r>
              <w:rPr>
                <w:rFonts w:hint="eastAsia" w:ascii="宋体" w:hAnsi="宋体"/>
                <w:color w:val="auto"/>
                <w:sz w:val="20"/>
                <w:highlight w:val="none"/>
                <w:lang w:val="en-US" w:eastAsia="zh-CN"/>
              </w:rPr>
              <w:t>4</w:t>
            </w:r>
            <w:r>
              <w:rPr>
                <w:rFonts w:ascii="宋体" w:hAnsi="宋体"/>
                <w:color w:val="auto"/>
                <w:sz w:val="20"/>
                <w:highlight w:val="none"/>
              </w:rPr>
              <w:t>.全尺寸测量结果</w:t>
            </w:r>
            <w:r>
              <w:rPr>
                <w:rFonts w:hint="eastAsia" w:ascii="宋体" w:hAnsi="宋体"/>
                <w:color w:val="auto"/>
                <w:sz w:val="20"/>
                <w:highlight w:val="none"/>
                <w:lang w:val="en-US" w:eastAsia="zh-CN"/>
              </w:rPr>
              <w:t>/三维扫描对比结果</w:t>
            </w:r>
          </w:p>
        </w:tc>
        <w:tc>
          <w:tcPr>
            <w:tcW w:w="863" w:type="dxa"/>
            <w:noWrap w:val="0"/>
            <w:vAlign w:val="top"/>
          </w:tcPr>
          <w:p w14:paraId="03B4702A">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3FE5DB1B">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3546475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3886" w:type="dxa"/>
            <w:noWrap w:val="0"/>
            <w:vAlign w:val="top"/>
          </w:tcPr>
          <w:p w14:paraId="7C8AB87F">
            <w:pPr>
              <w:keepNext w:val="0"/>
              <w:keepLines w:val="0"/>
              <w:pageBreakBefore w:val="0"/>
              <w:kinsoku/>
              <w:wordWrap/>
              <w:overflowPunct/>
              <w:topLinePunct w:val="0"/>
              <w:bidi w:val="0"/>
              <w:snapToGrid/>
              <w:spacing w:line="440" w:lineRule="exact"/>
              <w:jc w:val="left"/>
              <w:rPr>
                <w:rFonts w:ascii="宋体" w:hAnsi="宋体" w:eastAsia="宋体"/>
                <w:color w:val="auto"/>
                <w:kern w:val="2"/>
                <w:sz w:val="20"/>
                <w:highlight w:val="none"/>
                <w:lang w:val="en-US" w:eastAsia="zh-CN" w:bidi="ar-SA"/>
              </w:rPr>
            </w:pPr>
            <w:r>
              <w:rPr>
                <w:rFonts w:hint="eastAsia" w:ascii="宋体" w:hAnsi="宋体" w:cs="Times New Roman"/>
                <w:color w:val="auto"/>
                <w:sz w:val="20"/>
                <w:highlight w:val="none"/>
                <w:lang w:val="en-US" w:eastAsia="zh-CN"/>
              </w:rPr>
              <w:t>5</w:t>
            </w:r>
            <w:r>
              <w:rPr>
                <w:rFonts w:hint="eastAsia" w:ascii="宋体" w:hAnsi="宋体" w:eastAsia="宋体" w:cs="Times New Roman"/>
                <w:color w:val="auto"/>
                <w:sz w:val="20"/>
                <w:highlight w:val="none"/>
                <w:lang w:val="en-US" w:eastAsia="zh-CN"/>
              </w:rPr>
              <w:t>.模块</w:t>
            </w:r>
            <w:r>
              <w:rPr>
                <w:rFonts w:hint="eastAsia" w:ascii="宋体" w:hAnsi="宋体" w:eastAsia="宋体" w:cs="Times New Roman"/>
                <w:color w:val="auto"/>
                <w:sz w:val="20"/>
                <w:highlight w:val="none"/>
              </w:rPr>
              <w:t>超声波探伤结果报告</w:t>
            </w:r>
          </w:p>
        </w:tc>
        <w:tc>
          <w:tcPr>
            <w:tcW w:w="863" w:type="dxa"/>
            <w:noWrap w:val="0"/>
            <w:vAlign w:val="top"/>
          </w:tcPr>
          <w:p w14:paraId="6ED8D316">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25A14150">
            <w:pPr>
              <w:keepNext w:val="0"/>
              <w:keepLines w:val="0"/>
              <w:pageBreakBefore w:val="0"/>
              <w:kinsoku/>
              <w:wordWrap/>
              <w:overflowPunct/>
              <w:topLinePunct w:val="0"/>
              <w:bidi w:val="0"/>
              <w:snapToGrid/>
              <w:spacing w:line="440" w:lineRule="exact"/>
              <w:jc w:val="center"/>
              <w:rPr>
                <w:rFonts w:hint="eastAsia"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7B90EAB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3886" w:type="dxa"/>
            <w:noWrap w:val="0"/>
            <w:vAlign w:val="top"/>
          </w:tcPr>
          <w:p w14:paraId="059C128D">
            <w:pPr>
              <w:keepNext w:val="0"/>
              <w:keepLines w:val="0"/>
              <w:pageBreakBefore w:val="0"/>
              <w:kinsoku/>
              <w:wordWrap/>
              <w:overflowPunct/>
              <w:topLinePunct w:val="0"/>
              <w:bidi w:val="0"/>
              <w:snapToGrid/>
              <w:spacing w:line="440" w:lineRule="exact"/>
              <w:jc w:val="left"/>
              <w:rPr>
                <w:rFonts w:hint="eastAsia" w:ascii="宋体" w:hAnsi="宋体" w:eastAsia="宋体" w:cs="Times New Roman"/>
                <w:color w:val="auto"/>
                <w:kern w:val="2"/>
                <w:sz w:val="20"/>
                <w:highlight w:val="none"/>
                <w:lang w:val="en-US" w:eastAsia="zh-CN" w:bidi="ar-SA"/>
              </w:rPr>
            </w:pPr>
            <w:r>
              <w:rPr>
                <w:rFonts w:hint="eastAsia" w:ascii="宋体" w:hAnsi="宋体"/>
                <w:color w:val="auto"/>
                <w:sz w:val="20"/>
                <w:highlight w:val="none"/>
                <w:lang w:val="en-US" w:eastAsia="zh-CN"/>
              </w:rPr>
              <w:t>6</w:t>
            </w:r>
            <w:r>
              <w:rPr>
                <w:rFonts w:ascii="宋体" w:hAnsi="宋体"/>
                <w:color w:val="auto"/>
                <w:sz w:val="20"/>
                <w:highlight w:val="none"/>
              </w:rPr>
              <w:t>.材料、性能试验结果</w:t>
            </w:r>
          </w:p>
        </w:tc>
        <w:tc>
          <w:tcPr>
            <w:tcW w:w="863" w:type="dxa"/>
            <w:noWrap w:val="0"/>
            <w:vAlign w:val="top"/>
          </w:tcPr>
          <w:p w14:paraId="615D1A15">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16DE2F6E">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2F0AD95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4B05297C">
            <w:pPr>
              <w:keepNext w:val="0"/>
              <w:keepLines w:val="0"/>
              <w:pageBreakBefore w:val="0"/>
              <w:kinsoku/>
              <w:wordWrap/>
              <w:overflowPunct/>
              <w:topLinePunct w:val="0"/>
              <w:bidi w:val="0"/>
              <w:snapToGrid/>
              <w:spacing w:line="440" w:lineRule="exact"/>
              <w:jc w:val="left"/>
              <w:rPr>
                <w:rFonts w:hint="eastAsia" w:ascii="宋体" w:hAnsi="宋体" w:eastAsia="宋体" w:cs="Times New Roman"/>
                <w:color w:val="auto"/>
                <w:kern w:val="2"/>
                <w:sz w:val="20"/>
                <w:highlight w:val="none"/>
                <w:lang w:val="en-US" w:eastAsia="zh-CN" w:bidi="ar-SA"/>
              </w:rPr>
            </w:pPr>
            <w:r>
              <w:rPr>
                <w:rFonts w:hint="eastAsia" w:ascii="宋体" w:hAnsi="宋体" w:cs="Times New Roman"/>
                <w:color w:val="auto"/>
                <w:sz w:val="20"/>
                <w:highlight w:val="none"/>
                <w:lang w:val="en-US" w:eastAsia="zh-CN"/>
              </w:rPr>
              <w:t>7</w:t>
            </w:r>
            <w:r>
              <w:rPr>
                <w:rFonts w:hint="eastAsia" w:ascii="宋体" w:hAnsi="宋体" w:eastAsia="宋体" w:cs="Times New Roman"/>
                <w:color w:val="auto"/>
                <w:sz w:val="20"/>
                <w:highlight w:val="none"/>
                <w:lang w:val="en-US" w:eastAsia="zh-CN"/>
              </w:rPr>
              <w:t>.</w:t>
            </w:r>
            <w:r>
              <w:rPr>
                <w:rFonts w:hint="eastAsia" w:ascii="宋体" w:hAnsi="宋体" w:eastAsia="宋体" w:cs="Times New Roman"/>
                <w:color w:val="auto"/>
                <w:sz w:val="20"/>
                <w:highlight w:val="none"/>
              </w:rPr>
              <w:t>模块材料合格证明</w:t>
            </w:r>
            <w:r>
              <w:rPr>
                <w:rFonts w:hint="eastAsia" w:ascii="宋体" w:hAnsi="宋体" w:eastAsia="宋体" w:cs="Times New Roman"/>
                <w:color w:val="auto"/>
                <w:sz w:val="20"/>
                <w:highlight w:val="none"/>
                <w:lang w:eastAsia="zh-CN"/>
              </w:rPr>
              <w:t>（</w:t>
            </w:r>
            <w:r>
              <w:rPr>
                <w:rFonts w:hint="eastAsia" w:ascii="宋体" w:hAnsi="宋体" w:eastAsia="宋体" w:cs="Times New Roman"/>
                <w:color w:val="auto"/>
                <w:sz w:val="20"/>
                <w:highlight w:val="none"/>
                <w:lang w:val="en-US" w:eastAsia="zh-CN"/>
              </w:rPr>
              <w:t>新制</w:t>
            </w:r>
            <w:r>
              <w:rPr>
                <w:rFonts w:hint="eastAsia" w:ascii="宋体" w:hAnsi="宋体" w:eastAsia="宋体" w:cs="Times New Roman"/>
                <w:color w:val="auto"/>
                <w:sz w:val="20"/>
                <w:highlight w:val="none"/>
                <w:lang w:eastAsia="zh-CN"/>
              </w:rPr>
              <w:t>）</w:t>
            </w:r>
          </w:p>
        </w:tc>
        <w:tc>
          <w:tcPr>
            <w:tcW w:w="863" w:type="dxa"/>
            <w:noWrap w:val="0"/>
            <w:vAlign w:val="center"/>
          </w:tcPr>
          <w:p w14:paraId="1EC27E36">
            <w:pPr>
              <w:keepNext w:val="0"/>
              <w:keepLines w:val="0"/>
              <w:pageBreakBefore w:val="0"/>
              <w:kinsoku/>
              <w:wordWrap/>
              <w:overflowPunct/>
              <w:topLinePunct w:val="0"/>
              <w:bidi w:val="0"/>
              <w:snapToGrid/>
              <w:spacing w:line="440" w:lineRule="exact"/>
              <w:jc w:val="center"/>
              <w:rPr>
                <w:rFonts w:ascii="宋体" w:hAnsi="宋体" w:eastAsia="宋体" w:cs="Times New Roman"/>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0AF3617E">
            <w:pPr>
              <w:keepNext w:val="0"/>
              <w:keepLines w:val="0"/>
              <w:pageBreakBefore w:val="0"/>
              <w:kinsoku/>
              <w:wordWrap/>
              <w:overflowPunct/>
              <w:topLinePunct w:val="0"/>
              <w:bidi w:val="0"/>
              <w:snapToGrid/>
              <w:spacing w:line="440" w:lineRule="exact"/>
              <w:jc w:val="center"/>
              <w:rPr>
                <w:rFonts w:ascii="宋体" w:hAnsi="宋体" w:eastAsia="宋体" w:cs="Times New Roman"/>
                <w:color w:val="auto"/>
                <w:kern w:val="2"/>
                <w:sz w:val="20"/>
                <w:highlight w:val="none"/>
                <w:lang w:val="en-US" w:eastAsia="zh-CN" w:bidi="ar-SA"/>
              </w:rPr>
            </w:pPr>
            <w:r>
              <w:rPr>
                <w:rFonts w:ascii="宋体" w:hAnsi="宋体"/>
                <w:color w:val="auto"/>
                <w:sz w:val="20"/>
                <w:highlight w:val="none"/>
              </w:rPr>
              <w:t>复印件</w:t>
            </w:r>
          </w:p>
        </w:tc>
      </w:tr>
      <w:tr w14:paraId="4B430AA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311ED4A8">
            <w:pPr>
              <w:keepNext w:val="0"/>
              <w:keepLines w:val="0"/>
              <w:pageBreakBefore w:val="0"/>
              <w:kinsoku/>
              <w:wordWrap/>
              <w:overflowPunct/>
              <w:topLinePunct w:val="0"/>
              <w:bidi w:val="0"/>
              <w:snapToGrid/>
              <w:spacing w:line="440" w:lineRule="exact"/>
              <w:jc w:val="left"/>
              <w:rPr>
                <w:rFonts w:hint="default" w:ascii="宋体" w:hAnsi="宋体" w:eastAsia="宋体" w:cs="Times New Roman"/>
                <w:color w:val="auto"/>
                <w:kern w:val="2"/>
                <w:sz w:val="20"/>
                <w:highlight w:val="none"/>
                <w:lang w:val="en-US" w:eastAsia="zh-CN" w:bidi="ar-SA"/>
              </w:rPr>
            </w:pPr>
            <w:r>
              <w:rPr>
                <w:rFonts w:hint="eastAsia" w:ascii="宋体" w:hAnsi="宋体" w:cs="Times New Roman"/>
                <w:color w:val="auto"/>
                <w:kern w:val="2"/>
                <w:sz w:val="20"/>
                <w:highlight w:val="none"/>
                <w:lang w:val="en-US" w:eastAsia="zh-CN" w:bidi="ar-SA"/>
              </w:rPr>
              <w:t>8.模具三维造型以及易损件二维图纸</w:t>
            </w:r>
          </w:p>
        </w:tc>
        <w:tc>
          <w:tcPr>
            <w:tcW w:w="863" w:type="dxa"/>
            <w:noWrap w:val="0"/>
            <w:vAlign w:val="center"/>
          </w:tcPr>
          <w:p w14:paraId="212B4AED">
            <w:pPr>
              <w:keepNext w:val="0"/>
              <w:keepLines w:val="0"/>
              <w:pageBreakBefore w:val="0"/>
              <w:kinsoku/>
              <w:wordWrap/>
              <w:overflowPunct/>
              <w:topLinePunct w:val="0"/>
              <w:bidi w:val="0"/>
              <w:snapToGrid/>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23CD44D4">
            <w:pPr>
              <w:keepNext w:val="0"/>
              <w:keepLines w:val="0"/>
              <w:pageBreakBefore w:val="0"/>
              <w:kinsoku/>
              <w:wordWrap/>
              <w:overflowPunct/>
              <w:topLinePunct w:val="0"/>
              <w:bidi w:val="0"/>
              <w:snapToGrid/>
              <w:spacing w:line="440" w:lineRule="exact"/>
              <w:jc w:val="center"/>
              <w:rPr>
                <w:rFonts w:hint="default" w:ascii="宋体" w:hAnsi="宋体" w:eastAsia="宋体"/>
                <w:color w:val="auto"/>
                <w:kern w:val="2"/>
                <w:sz w:val="20"/>
                <w:highlight w:val="none"/>
                <w:lang w:val="en-US" w:eastAsia="zh-CN" w:bidi="ar-SA"/>
              </w:rPr>
            </w:pPr>
            <w:r>
              <w:rPr>
                <w:rFonts w:hint="eastAsia" w:ascii="宋体" w:hAnsi="宋体"/>
                <w:color w:val="auto"/>
                <w:kern w:val="2"/>
                <w:sz w:val="20"/>
                <w:highlight w:val="none"/>
                <w:lang w:val="en-US" w:eastAsia="zh-CN" w:bidi="ar-SA"/>
              </w:rPr>
              <w:t>电子版</w:t>
            </w:r>
          </w:p>
        </w:tc>
      </w:tr>
    </w:tbl>
    <w:p w14:paraId="76E0329A">
      <w:pPr>
        <w:keepNext w:val="0"/>
        <w:keepLines w:val="0"/>
        <w:pageBreakBefore w:val="0"/>
        <w:kinsoku/>
        <w:wordWrap/>
        <w:overflowPunct/>
        <w:topLinePunct w:val="0"/>
        <w:bidi w:val="0"/>
        <w:snapToGrid/>
        <w:spacing w:line="440" w:lineRule="exact"/>
        <w:rPr>
          <w:rFonts w:hint="eastAsia" w:ascii="宋体" w:hAnsi="宋体"/>
          <w:sz w:val="20"/>
          <w:highlight w:val="none"/>
        </w:rPr>
      </w:pPr>
      <w:r>
        <w:rPr>
          <w:rFonts w:ascii="宋体" w:hAnsi="宋体"/>
          <w:sz w:val="20"/>
          <w:highlight w:val="none"/>
        </w:rPr>
        <w:t>上表中“ √”表示乙方</w:t>
      </w:r>
      <w:r>
        <w:rPr>
          <w:rFonts w:hint="eastAsia" w:ascii="宋体" w:hAnsi="宋体"/>
          <w:sz w:val="20"/>
          <w:highlight w:val="none"/>
          <w:lang w:val="en-US" w:eastAsia="zh-CN"/>
        </w:rPr>
        <w:t>必须</w:t>
      </w:r>
      <w:r>
        <w:rPr>
          <w:rFonts w:ascii="宋体" w:hAnsi="宋体"/>
          <w:sz w:val="20"/>
          <w:highlight w:val="none"/>
        </w:rPr>
        <w:t>提交的资料</w:t>
      </w:r>
      <w:r>
        <w:rPr>
          <w:rFonts w:hint="eastAsia" w:ascii="宋体" w:hAnsi="宋体"/>
          <w:sz w:val="20"/>
          <w:highlight w:val="none"/>
          <w:lang w:eastAsia="zh-CN"/>
        </w:rPr>
        <w:t>，</w:t>
      </w:r>
      <w:r>
        <w:rPr>
          <w:rFonts w:ascii="宋体" w:hAnsi="宋体"/>
          <w:sz w:val="20"/>
          <w:highlight w:val="none"/>
        </w:rPr>
        <w:t>备注中填写数量、原件、复印件等说明</w:t>
      </w:r>
      <w:r>
        <w:rPr>
          <w:rFonts w:hint="eastAsia" w:ascii="宋体" w:hAnsi="宋体"/>
          <w:sz w:val="20"/>
          <w:highlight w:val="none"/>
        </w:rPr>
        <w:t>。</w:t>
      </w:r>
    </w:p>
    <w:p w14:paraId="197043B0">
      <w:pPr>
        <w:keepNext w:val="0"/>
        <w:keepLines w:val="0"/>
        <w:pageBreakBefore w:val="0"/>
        <w:kinsoku/>
        <w:wordWrap/>
        <w:overflowPunct/>
        <w:topLinePunct w:val="0"/>
        <w:bidi w:val="0"/>
        <w:snapToGrid/>
        <w:spacing w:line="440" w:lineRule="exact"/>
        <w:rPr>
          <w:rFonts w:hint="eastAsia" w:ascii="宋体" w:hAnsi="宋体"/>
          <w:sz w:val="20"/>
          <w:highlight w:val="none"/>
        </w:rPr>
      </w:pPr>
    </w:p>
    <w:p w14:paraId="7593E848">
      <w:pPr>
        <w:spacing w:line="440" w:lineRule="exact"/>
        <w:jc w:val="center"/>
        <w:rPr>
          <w:rFonts w:hint="default" w:ascii="宋体" w:hAnsi="宋体" w:eastAsia="宋体"/>
          <w:b/>
          <w:sz w:val="20"/>
          <w:highlight w:val="none"/>
          <w:lang w:val="en-US" w:eastAsia="zh-CN"/>
        </w:rPr>
      </w:pPr>
      <w:r>
        <w:rPr>
          <w:rFonts w:hint="eastAsia" w:ascii="宋体" w:hAnsi="宋体"/>
          <w:b/>
          <w:sz w:val="20"/>
          <w:highlight w:val="none"/>
          <w:lang w:val="en-US" w:eastAsia="zh-CN"/>
        </w:rPr>
        <w:t>表2：关键配合尺寸公差要求</w:t>
      </w:r>
    </w:p>
    <w:tbl>
      <w:tblPr>
        <w:tblStyle w:val="36"/>
        <w:tblW w:w="8733" w:type="dxa"/>
        <w:tblInd w:w="100" w:type="dxa"/>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Layout w:type="fixed"/>
        <w:tblCellMar>
          <w:top w:w="0" w:type="dxa"/>
          <w:left w:w="108" w:type="dxa"/>
          <w:bottom w:w="0" w:type="dxa"/>
          <w:right w:w="108" w:type="dxa"/>
        </w:tblCellMar>
      </w:tblPr>
      <w:tblGrid>
        <w:gridCol w:w="675"/>
        <w:gridCol w:w="1243"/>
        <w:gridCol w:w="6815"/>
      </w:tblGrid>
      <w:tr w14:paraId="66944FC3">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shd w:val="clear" w:color="auto" w:fill="auto"/>
          <w:tblCellMar>
            <w:top w:w="0" w:type="dxa"/>
            <w:left w:w="108" w:type="dxa"/>
            <w:bottom w:w="0" w:type="dxa"/>
            <w:right w:w="108" w:type="dxa"/>
          </w:tblCellMar>
        </w:tblPrEx>
        <w:trPr>
          <w:trHeight w:val="285" w:hRule="atLeast"/>
        </w:trPr>
        <w:tc>
          <w:tcPr>
            <w:tcW w:w="675" w:type="dxa"/>
            <w:tcBorders>
              <w:tl2br w:val="nil"/>
              <w:tr2bl w:val="nil"/>
            </w:tcBorders>
            <w:shd w:val="clear" w:color="auto" w:fill="auto"/>
            <w:noWrap/>
            <w:vAlign w:val="center"/>
          </w:tcPr>
          <w:p w14:paraId="4F3F68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243" w:type="dxa"/>
            <w:tcBorders>
              <w:tl2br w:val="nil"/>
              <w:tr2bl w:val="nil"/>
            </w:tcBorders>
            <w:shd w:val="clear" w:color="auto" w:fill="auto"/>
            <w:noWrap/>
            <w:vAlign w:val="center"/>
          </w:tcPr>
          <w:p w14:paraId="3592E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模具类型</w:t>
            </w:r>
          </w:p>
        </w:tc>
        <w:tc>
          <w:tcPr>
            <w:tcW w:w="6815" w:type="dxa"/>
            <w:tcBorders>
              <w:tl2br w:val="nil"/>
              <w:tr2bl w:val="nil"/>
            </w:tcBorders>
            <w:shd w:val="clear" w:color="auto" w:fill="auto"/>
            <w:noWrap/>
            <w:vAlign w:val="center"/>
          </w:tcPr>
          <w:p w14:paraId="2F1F11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关键尺寸公差要求</w:t>
            </w:r>
          </w:p>
        </w:tc>
      </w:tr>
      <w:tr w14:paraId="4CD7565E">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021A2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243" w:type="dxa"/>
            <w:vMerge w:val="restart"/>
            <w:tcBorders>
              <w:tl2br w:val="nil"/>
              <w:tr2bl w:val="nil"/>
            </w:tcBorders>
            <w:shd w:val="clear" w:color="auto" w:fill="auto"/>
            <w:noWrap/>
            <w:vAlign w:val="center"/>
          </w:tcPr>
          <w:p w14:paraId="667FA38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锻模</w:t>
            </w:r>
          </w:p>
          <w:p w14:paraId="7DC4227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（MP8000）</w:t>
            </w:r>
          </w:p>
        </w:tc>
        <w:tc>
          <w:tcPr>
            <w:tcW w:w="6815" w:type="dxa"/>
            <w:tcBorders>
              <w:tl2br w:val="nil"/>
              <w:tr2bl w:val="nil"/>
            </w:tcBorders>
            <w:shd w:val="clear" w:color="auto" w:fill="auto"/>
            <w:noWrap/>
            <w:vAlign w:val="center"/>
          </w:tcPr>
          <w:p w14:paraId="51E45B14">
            <w:pPr>
              <w:keepNext w:val="0"/>
              <w:keepLines w:val="0"/>
              <w:widowControl/>
              <w:suppressLineNumbers w:val="0"/>
              <w:jc w:val="left"/>
              <w:textAlignment w:val="center"/>
              <w:rPr>
                <w:rFonts w:hint="eastAsia"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键槽80H7mm，底部圆角R2；φ770±0.1mm，φ710（+2，0）mm</w:t>
            </w:r>
          </w:p>
        </w:tc>
      </w:tr>
      <w:tr w14:paraId="324046D2">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16B92F00">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w:t>
            </w:r>
          </w:p>
        </w:tc>
        <w:tc>
          <w:tcPr>
            <w:tcW w:w="1243" w:type="dxa"/>
            <w:vMerge w:val="continue"/>
            <w:tcBorders>
              <w:tl2br w:val="nil"/>
              <w:tr2bl w:val="nil"/>
            </w:tcBorders>
            <w:shd w:val="clear" w:color="auto" w:fill="auto"/>
            <w:noWrap/>
            <w:vAlign w:val="center"/>
          </w:tcPr>
          <w:p w14:paraId="248D9D9F">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21A02C9A">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合模间隙预锻8mm、终锻6mm</w:t>
            </w:r>
            <w:r>
              <w:rPr>
                <w:rFonts w:hint="eastAsia" w:ascii="宋体" w:hAnsi="宋体" w:cs="宋体"/>
                <w:i w:val="0"/>
                <w:iCs w:val="0"/>
                <w:color w:val="000000"/>
                <w:kern w:val="0"/>
                <w:sz w:val="20"/>
                <w:szCs w:val="20"/>
                <w:u w:val="none"/>
                <w:lang w:val="en-US" w:eastAsia="zh-CN" w:bidi="ar"/>
              </w:rPr>
              <w:t>，终锻</w:t>
            </w:r>
            <w:r>
              <w:rPr>
                <w:rFonts w:hint="eastAsia" w:ascii="宋体" w:hAnsi="宋体" w:eastAsia="宋体" w:cs="宋体"/>
                <w:i w:val="0"/>
                <w:iCs w:val="0"/>
                <w:color w:val="000000"/>
                <w:kern w:val="0"/>
                <w:sz w:val="20"/>
                <w:szCs w:val="20"/>
                <w:u w:val="none"/>
                <w:lang w:val="en-US" w:eastAsia="zh-CN" w:bidi="ar"/>
              </w:rPr>
              <w:t>合模6</w:t>
            </w:r>
            <w:r>
              <w:rPr>
                <w:rFonts w:hint="eastAsia" w:ascii="宋体" w:hAnsi="宋体" w:cs="宋体"/>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5mm（包括6mm桥部）</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合模错移±0.2mm</w:t>
            </w:r>
          </w:p>
        </w:tc>
      </w:tr>
      <w:tr w14:paraId="1E637374">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5A4681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43" w:type="dxa"/>
            <w:vMerge w:val="continue"/>
            <w:tcBorders>
              <w:tl2br w:val="nil"/>
              <w:tr2bl w:val="nil"/>
            </w:tcBorders>
            <w:shd w:val="clear" w:color="auto" w:fill="auto"/>
            <w:noWrap/>
            <w:vAlign w:val="center"/>
          </w:tcPr>
          <w:p w14:paraId="029A01C6">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5280D826">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桥口平面与模体底面</w:t>
            </w:r>
            <w:r>
              <w:rPr>
                <w:rFonts w:hint="eastAsia" w:ascii="宋体" w:hAnsi="宋体" w:eastAsia="宋体" w:cs="宋体"/>
                <w:i w:val="0"/>
                <w:iCs w:val="0"/>
                <w:color w:val="000000"/>
                <w:kern w:val="0"/>
                <w:sz w:val="20"/>
                <w:szCs w:val="20"/>
                <w:u w:val="none"/>
                <w:lang w:val="en-US" w:eastAsia="zh-CN" w:bidi="ar"/>
              </w:rPr>
              <w:t>尺寸公差±0.2mm</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sz w:val="20"/>
                <w:szCs w:val="20"/>
                <w:u w:val="none"/>
                <w:lang w:val="en-US" w:eastAsia="zh-CN"/>
              </w:rPr>
              <w:t>平行度0.2mm</w:t>
            </w:r>
          </w:p>
        </w:tc>
      </w:tr>
      <w:tr w14:paraId="5A65A4CC">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5BA209EC">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4</w:t>
            </w:r>
          </w:p>
        </w:tc>
        <w:tc>
          <w:tcPr>
            <w:tcW w:w="1243" w:type="dxa"/>
            <w:vMerge w:val="restart"/>
            <w:tcBorders>
              <w:tl2br w:val="nil"/>
              <w:tr2bl w:val="nil"/>
            </w:tcBorders>
            <w:shd w:val="clear" w:color="auto" w:fill="auto"/>
            <w:noWrap/>
            <w:vAlign w:val="center"/>
          </w:tcPr>
          <w:p w14:paraId="051E4F4F">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锻模</w:t>
            </w:r>
          </w:p>
          <w:p w14:paraId="45D585F2">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（MP</w:t>
            </w:r>
            <w:r>
              <w:rPr>
                <w:rFonts w:hint="eastAsia" w:ascii="宋体" w:hAnsi="宋体" w:cs="宋体"/>
                <w:i w:val="0"/>
                <w:iCs w:val="0"/>
                <w:color w:val="000000"/>
                <w:kern w:val="0"/>
                <w:sz w:val="20"/>
                <w:szCs w:val="20"/>
                <w:u w:val="none"/>
                <w:lang w:val="en-US" w:eastAsia="zh-CN" w:bidi="ar"/>
              </w:rPr>
              <w:t>63</w:t>
            </w:r>
            <w:r>
              <w:rPr>
                <w:rFonts w:hint="eastAsia" w:ascii="宋体" w:hAnsi="宋体" w:eastAsia="宋体" w:cs="宋体"/>
                <w:i w:val="0"/>
                <w:iCs w:val="0"/>
                <w:color w:val="000000"/>
                <w:kern w:val="0"/>
                <w:sz w:val="20"/>
                <w:szCs w:val="20"/>
                <w:u w:val="none"/>
                <w:lang w:val="en-US" w:eastAsia="zh-CN" w:bidi="ar"/>
              </w:rPr>
              <w:t>00）</w:t>
            </w:r>
          </w:p>
        </w:tc>
        <w:tc>
          <w:tcPr>
            <w:tcW w:w="6815" w:type="dxa"/>
            <w:tcBorders>
              <w:tl2br w:val="nil"/>
              <w:tr2bl w:val="nil"/>
            </w:tcBorders>
            <w:shd w:val="clear" w:color="auto" w:fill="auto"/>
            <w:noWrap/>
            <w:vAlign w:val="center"/>
          </w:tcPr>
          <w:p w14:paraId="7D64CE26">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合模间隙预锻8mm、终锻6mm</w:t>
            </w:r>
            <w:r>
              <w:rPr>
                <w:rFonts w:hint="eastAsia" w:ascii="宋体" w:hAnsi="宋体" w:cs="宋体"/>
                <w:i w:val="0"/>
                <w:iCs w:val="0"/>
                <w:color w:val="000000"/>
                <w:kern w:val="0"/>
                <w:sz w:val="20"/>
                <w:szCs w:val="20"/>
                <w:u w:val="none"/>
                <w:lang w:val="en-US" w:eastAsia="zh-CN" w:bidi="ar"/>
              </w:rPr>
              <w:t>，终锻</w:t>
            </w:r>
            <w:r>
              <w:rPr>
                <w:rFonts w:hint="eastAsia" w:ascii="宋体" w:hAnsi="宋体" w:eastAsia="宋体" w:cs="宋体"/>
                <w:i w:val="0"/>
                <w:iCs w:val="0"/>
                <w:color w:val="000000"/>
                <w:kern w:val="0"/>
                <w:sz w:val="20"/>
                <w:szCs w:val="20"/>
                <w:u w:val="none"/>
                <w:lang w:val="en-US" w:eastAsia="zh-CN" w:bidi="ar"/>
              </w:rPr>
              <w:t>合模6</w:t>
            </w:r>
            <w:r>
              <w:rPr>
                <w:rFonts w:hint="eastAsia" w:ascii="宋体" w:hAnsi="宋体" w:cs="宋体"/>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5mm（包括6mm桥部）</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合模错移±0.2mm，模体底面距桥口面尺寸公差±0.2mm</w:t>
            </w:r>
          </w:p>
        </w:tc>
      </w:tr>
      <w:tr w14:paraId="4867B807">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71F43977">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5</w:t>
            </w:r>
          </w:p>
        </w:tc>
        <w:tc>
          <w:tcPr>
            <w:tcW w:w="1243" w:type="dxa"/>
            <w:vMerge w:val="continue"/>
            <w:tcBorders>
              <w:tl2br w:val="nil"/>
              <w:tr2bl w:val="nil"/>
            </w:tcBorders>
            <w:shd w:val="clear" w:color="auto" w:fill="auto"/>
            <w:noWrap/>
            <w:vAlign w:val="center"/>
          </w:tcPr>
          <w:p w14:paraId="03D8D625">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17864506">
            <w:pPr>
              <w:keepNext w:val="0"/>
              <w:keepLines w:val="0"/>
              <w:widowControl/>
              <w:suppressLineNumbers w:val="0"/>
              <w:jc w:val="left"/>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型腔中心与模块中心偏差±0.05mm，压紧面15°±10′，模体平面相对装配基准面平行度0.05mm</w:t>
            </w:r>
          </w:p>
        </w:tc>
      </w:tr>
      <w:tr w14:paraId="4E918BE5">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5705D9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243" w:type="dxa"/>
            <w:vMerge w:val="restart"/>
            <w:tcBorders>
              <w:tl2br w:val="nil"/>
              <w:tr2bl w:val="nil"/>
            </w:tcBorders>
            <w:shd w:val="clear" w:color="auto" w:fill="auto"/>
            <w:noWrap/>
            <w:vAlign w:val="center"/>
          </w:tcPr>
          <w:p w14:paraId="53A63A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切边模（MP8000）</w:t>
            </w:r>
          </w:p>
        </w:tc>
        <w:tc>
          <w:tcPr>
            <w:tcW w:w="6815" w:type="dxa"/>
            <w:tcBorders>
              <w:tl2br w:val="nil"/>
              <w:tr2bl w:val="nil"/>
            </w:tcBorders>
            <w:shd w:val="clear" w:color="auto" w:fill="auto"/>
            <w:vAlign w:val="center"/>
          </w:tcPr>
          <w:p w14:paraId="711C2C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凹模装配用键槽宽度36H7mm</w:t>
            </w:r>
          </w:p>
        </w:tc>
      </w:tr>
      <w:tr w14:paraId="7B99B3ED">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7B8D1D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243" w:type="dxa"/>
            <w:vMerge w:val="continue"/>
            <w:tcBorders>
              <w:tl2br w:val="nil"/>
              <w:tr2bl w:val="nil"/>
            </w:tcBorders>
            <w:shd w:val="clear" w:color="auto" w:fill="auto"/>
            <w:noWrap/>
            <w:vAlign w:val="center"/>
          </w:tcPr>
          <w:p w14:paraId="65998B77">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6441C4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凹模刃口平面度0.05mm，底面平面度0.05mm，刃口平面与底面平行度0.05mm</w:t>
            </w:r>
          </w:p>
        </w:tc>
      </w:tr>
      <w:tr w14:paraId="4AEBFE5F">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0DB1C1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243" w:type="dxa"/>
            <w:vMerge w:val="continue"/>
            <w:tcBorders>
              <w:tl2br w:val="nil"/>
              <w:tr2bl w:val="nil"/>
            </w:tcBorders>
            <w:shd w:val="clear" w:color="auto" w:fill="auto"/>
            <w:noWrap/>
            <w:vAlign w:val="center"/>
          </w:tcPr>
          <w:p w14:paraId="14F36EFD">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44B62D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上下凸模（冲头）底面装配用3个键槽宽度28H7mm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2方向键槽中心线垂直度0.05mm</w:t>
            </w:r>
          </w:p>
        </w:tc>
      </w:tr>
      <w:tr w14:paraId="6F38C987">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10AD92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243" w:type="dxa"/>
            <w:vMerge w:val="restart"/>
            <w:tcBorders>
              <w:tl2br w:val="nil"/>
              <w:tr2bl w:val="nil"/>
            </w:tcBorders>
            <w:shd w:val="clear" w:color="auto" w:fill="auto"/>
            <w:noWrap/>
            <w:vAlign w:val="center"/>
          </w:tcPr>
          <w:p w14:paraId="3628E5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切边模（MP</w:t>
            </w:r>
            <w:r>
              <w:rPr>
                <w:rFonts w:hint="eastAsia" w:ascii="宋体" w:hAnsi="宋体" w:cs="宋体"/>
                <w:i w:val="0"/>
                <w:iCs w:val="0"/>
                <w:color w:val="000000"/>
                <w:kern w:val="0"/>
                <w:sz w:val="20"/>
                <w:szCs w:val="20"/>
                <w:u w:val="none"/>
                <w:lang w:val="en-US" w:eastAsia="zh-CN" w:bidi="ar"/>
              </w:rPr>
              <w:t>63</w:t>
            </w:r>
            <w:r>
              <w:rPr>
                <w:rFonts w:hint="eastAsia" w:ascii="宋体" w:hAnsi="宋体" w:eastAsia="宋体" w:cs="宋体"/>
                <w:i w:val="0"/>
                <w:iCs w:val="0"/>
                <w:color w:val="000000"/>
                <w:kern w:val="0"/>
                <w:sz w:val="20"/>
                <w:szCs w:val="20"/>
                <w:u w:val="none"/>
                <w:lang w:val="en-US" w:eastAsia="zh-CN" w:bidi="ar"/>
              </w:rPr>
              <w:t>00）</w:t>
            </w:r>
          </w:p>
        </w:tc>
        <w:tc>
          <w:tcPr>
            <w:tcW w:w="6815" w:type="dxa"/>
            <w:tcBorders>
              <w:tl2br w:val="nil"/>
              <w:tr2bl w:val="nil"/>
            </w:tcBorders>
            <w:shd w:val="clear" w:color="auto" w:fill="auto"/>
            <w:noWrap/>
            <w:vAlign w:val="center"/>
          </w:tcPr>
          <w:p w14:paraId="11A6A96D">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抱切上模、凹模装配键槽20N9mm</w:t>
            </w:r>
          </w:p>
        </w:tc>
      </w:tr>
      <w:tr w14:paraId="7F47F26E">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2FD0BA9C">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10</w:t>
            </w:r>
          </w:p>
        </w:tc>
        <w:tc>
          <w:tcPr>
            <w:tcW w:w="1243" w:type="dxa"/>
            <w:vMerge w:val="continue"/>
            <w:tcBorders>
              <w:tl2br w:val="nil"/>
              <w:tr2bl w:val="nil"/>
            </w:tcBorders>
            <w:shd w:val="clear" w:color="auto" w:fill="auto"/>
            <w:noWrap/>
            <w:vAlign w:val="center"/>
          </w:tcPr>
          <w:p w14:paraId="466709E9">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05924DCB">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抱切下模φ550±0.1mm，261±0.1mm，紧固螺纹孔φ360±0.1mm</w:t>
            </w:r>
          </w:p>
        </w:tc>
      </w:tr>
      <w:tr w14:paraId="54CBEE9F">
        <w:tblPrEx>
          <w:tblBorders>
            <w:top w:val="single" w:color="000000" w:sz="12" w:space="0"/>
            <w:left w:val="single" w:color="000000" w:sz="1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270" w:hRule="atLeast"/>
        </w:trPr>
        <w:tc>
          <w:tcPr>
            <w:tcW w:w="675" w:type="dxa"/>
            <w:tcBorders>
              <w:tl2br w:val="nil"/>
              <w:tr2bl w:val="nil"/>
            </w:tcBorders>
            <w:shd w:val="clear" w:color="auto" w:fill="auto"/>
            <w:noWrap/>
            <w:vAlign w:val="center"/>
          </w:tcPr>
          <w:p w14:paraId="6764EC87">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11</w:t>
            </w:r>
          </w:p>
        </w:tc>
        <w:tc>
          <w:tcPr>
            <w:tcW w:w="1243" w:type="dxa"/>
            <w:vMerge w:val="continue"/>
            <w:tcBorders>
              <w:tl2br w:val="nil"/>
              <w:tr2bl w:val="nil"/>
            </w:tcBorders>
            <w:shd w:val="clear" w:color="auto" w:fill="auto"/>
            <w:noWrap/>
            <w:vAlign w:val="center"/>
          </w:tcPr>
          <w:p w14:paraId="2C023BE6">
            <w:pPr>
              <w:jc w:val="center"/>
              <w:rPr>
                <w:rFonts w:hint="eastAsia" w:ascii="宋体" w:hAnsi="宋体" w:eastAsia="宋体" w:cs="宋体"/>
                <w:i w:val="0"/>
                <w:iCs w:val="0"/>
                <w:color w:val="000000"/>
                <w:sz w:val="20"/>
                <w:szCs w:val="20"/>
                <w:u w:val="none"/>
              </w:rPr>
            </w:pPr>
          </w:p>
        </w:tc>
        <w:tc>
          <w:tcPr>
            <w:tcW w:w="6815" w:type="dxa"/>
            <w:tcBorders>
              <w:tl2br w:val="nil"/>
              <w:tr2bl w:val="nil"/>
            </w:tcBorders>
            <w:shd w:val="clear" w:color="auto" w:fill="auto"/>
            <w:noWrap/>
            <w:vAlign w:val="center"/>
          </w:tcPr>
          <w:p w14:paraId="54B206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凹模刃口平面度0.05mm，底面平面度0.05mm，刃口平面与底面平行度0.05mm</w:t>
            </w:r>
          </w:p>
        </w:tc>
      </w:tr>
    </w:tbl>
    <w:p w14:paraId="7F9DD4C2">
      <w:pPr>
        <w:jc w:val="center"/>
        <w:rPr>
          <w:rFonts w:hint="eastAsia" w:ascii="黑体" w:eastAsia="黑体"/>
          <w:b/>
          <w:color w:val="auto"/>
          <w:sz w:val="52"/>
          <w:szCs w:val="52"/>
          <w:highlight w:val="none"/>
          <w:u w:val="none"/>
        </w:rPr>
      </w:pPr>
      <w:r>
        <w:rPr>
          <w:rFonts w:hint="eastAsia" w:ascii="黑体" w:eastAsia="黑体"/>
          <w:b/>
          <w:color w:val="auto"/>
          <w:sz w:val="52"/>
          <w:szCs w:val="52"/>
          <w:highlight w:val="none"/>
          <w:u w:val="none"/>
        </w:rPr>
        <w:br w:type="page"/>
      </w:r>
    </w:p>
    <w:p w14:paraId="4ECF312E">
      <w:pPr>
        <w:jc w:val="center"/>
        <w:rPr>
          <w:rFonts w:hint="eastAsia" w:ascii="黑体" w:eastAsia="黑体"/>
          <w:b/>
          <w:color w:val="auto"/>
          <w:sz w:val="52"/>
          <w:szCs w:val="52"/>
          <w:highlight w:val="none"/>
          <w:u w:val="none"/>
        </w:rPr>
      </w:pPr>
    </w:p>
    <w:p w14:paraId="210BA08A">
      <w:pPr>
        <w:jc w:val="center"/>
        <w:rPr>
          <w:rFonts w:ascii="黑体" w:eastAsia="黑体"/>
          <w:b/>
          <w:color w:val="auto"/>
          <w:sz w:val="52"/>
          <w:szCs w:val="52"/>
          <w:highlight w:val="none"/>
          <w:u w:val="none"/>
        </w:rPr>
      </w:pPr>
      <w:r>
        <w:rPr>
          <w:rFonts w:hint="eastAsia" w:ascii="黑体" w:eastAsia="黑体"/>
          <w:b/>
          <w:color w:val="auto"/>
          <w:sz w:val="52"/>
          <w:szCs w:val="52"/>
          <w:highlight w:val="none"/>
          <w:u w:val="none"/>
        </w:rPr>
        <w:t>采购产品质量保证与服务协议</w:t>
      </w:r>
    </w:p>
    <w:p w14:paraId="24A350A0">
      <w:pPr>
        <w:ind w:firstLine="420" w:firstLineChars="200"/>
        <w:rPr>
          <w:b/>
          <w:color w:val="auto"/>
          <w:highlight w:val="none"/>
          <w:u w:val="none"/>
        </w:rPr>
      </w:pPr>
    </w:p>
    <w:p w14:paraId="0D921368">
      <w:pPr>
        <w:ind w:firstLine="420" w:firstLineChars="200"/>
        <w:rPr>
          <w:b/>
          <w:color w:val="auto"/>
          <w:highlight w:val="none"/>
          <w:u w:val="none"/>
        </w:rPr>
      </w:pPr>
    </w:p>
    <w:p w14:paraId="20050E5C">
      <w:pPr>
        <w:ind w:firstLine="420" w:firstLineChars="200"/>
        <w:rPr>
          <w:b/>
          <w:color w:val="auto"/>
          <w:highlight w:val="none"/>
          <w:u w:val="none"/>
        </w:rPr>
      </w:pPr>
    </w:p>
    <w:p w14:paraId="75F607BB">
      <w:pPr>
        <w:ind w:firstLine="420" w:firstLineChars="200"/>
        <w:rPr>
          <w:b/>
          <w:color w:val="auto"/>
          <w:highlight w:val="none"/>
          <w:u w:val="none"/>
        </w:rPr>
      </w:pPr>
    </w:p>
    <w:p w14:paraId="595B293D">
      <w:pPr>
        <w:ind w:firstLine="420" w:firstLineChars="200"/>
        <w:rPr>
          <w:b/>
          <w:color w:val="auto"/>
          <w:highlight w:val="none"/>
          <w:u w:val="none"/>
        </w:rPr>
      </w:pPr>
    </w:p>
    <w:p w14:paraId="7BB46E7D">
      <w:pPr>
        <w:ind w:firstLine="420" w:firstLineChars="200"/>
        <w:rPr>
          <w:b/>
          <w:color w:val="auto"/>
          <w:highlight w:val="none"/>
          <w:u w:val="none"/>
        </w:rPr>
      </w:pPr>
      <w:r>
        <w:rPr>
          <w:rFonts w:hint="eastAsia"/>
          <w:b/>
          <w:color w:val="auto"/>
          <w:highlight w:val="none"/>
          <w:u w:val="none"/>
        </w:rPr>
        <w:drawing>
          <wp:anchor distT="0" distB="0" distL="114300" distR="114300" simplePos="0" relativeHeight="251659264" behindDoc="0" locked="0" layoutInCell="1" allowOverlap="1">
            <wp:simplePos x="0" y="0"/>
            <wp:positionH relativeFrom="column">
              <wp:posOffset>1889760</wp:posOffset>
            </wp:positionH>
            <wp:positionV relativeFrom="paragraph">
              <wp:posOffset>52705</wp:posOffset>
            </wp:positionV>
            <wp:extent cx="2337435" cy="2308860"/>
            <wp:effectExtent l="0" t="0" r="12065" b="2540"/>
            <wp:wrapNone/>
            <wp:docPr id="14" name="图片 2" descr="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descr="重汽"/>
                    <pic:cNvPicPr>
                      <a:picLocks noChangeAspect="1"/>
                    </pic:cNvPicPr>
                  </pic:nvPicPr>
                  <pic:blipFill>
                    <a:blip r:embed="rId40"/>
                    <a:stretch>
                      <a:fillRect/>
                    </a:stretch>
                  </pic:blipFill>
                  <pic:spPr>
                    <a:xfrm>
                      <a:off x="0" y="0"/>
                      <a:ext cx="2337435" cy="2308860"/>
                    </a:xfrm>
                    <a:prstGeom prst="rect">
                      <a:avLst/>
                    </a:prstGeom>
                    <a:noFill/>
                    <a:ln>
                      <a:noFill/>
                    </a:ln>
                  </pic:spPr>
                </pic:pic>
              </a:graphicData>
            </a:graphic>
          </wp:anchor>
        </w:drawing>
      </w:r>
    </w:p>
    <w:p w14:paraId="14742A1A">
      <w:pPr>
        <w:ind w:firstLine="420" w:firstLineChars="200"/>
        <w:rPr>
          <w:b/>
          <w:color w:val="auto"/>
          <w:highlight w:val="none"/>
          <w:u w:val="none"/>
        </w:rPr>
      </w:pPr>
    </w:p>
    <w:p w14:paraId="756716C3">
      <w:pPr>
        <w:ind w:firstLine="420" w:firstLineChars="200"/>
        <w:rPr>
          <w:b/>
          <w:color w:val="auto"/>
          <w:highlight w:val="none"/>
          <w:u w:val="none"/>
        </w:rPr>
      </w:pPr>
    </w:p>
    <w:p w14:paraId="677763B0">
      <w:pPr>
        <w:ind w:firstLine="420" w:firstLineChars="200"/>
        <w:rPr>
          <w:b/>
          <w:color w:val="auto"/>
          <w:highlight w:val="none"/>
          <w:u w:val="none"/>
        </w:rPr>
      </w:pPr>
    </w:p>
    <w:p w14:paraId="729AFAD5">
      <w:pPr>
        <w:ind w:firstLine="420" w:firstLineChars="200"/>
        <w:rPr>
          <w:b/>
          <w:color w:val="auto"/>
          <w:highlight w:val="none"/>
          <w:u w:val="none"/>
        </w:rPr>
      </w:pPr>
    </w:p>
    <w:p w14:paraId="2F69533E">
      <w:pPr>
        <w:ind w:firstLine="420" w:firstLineChars="200"/>
        <w:rPr>
          <w:b/>
          <w:color w:val="auto"/>
          <w:highlight w:val="none"/>
          <w:u w:val="none"/>
        </w:rPr>
      </w:pPr>
    </w:p>
    <w:p w14:paraId="1925D200">
      <w:pPr>
        <w:ind w:firstLine="420" w:firstLineChars="200"/>
        <w:rPr>
          <w:b/>
          <w:color w:val="auto"/>
          <w:highlight w:val="none"/>
          <w:u w:val="none"/>
        </w:rPr>
      </w:pPr>
    </w:p>
    <w:p w14:paraId="1E963412">
      <w:pPr>
        <w:ind w:firstLine="420" w:firstLineChars="200"/>
        <w:rPr>
          <w:b/>
          <w:color w:val="auto"/>
          <w:highlight w:val="none"/>
          <w:u w:val="none"/>
        </w:rPr>
      </w:pPr>
    </w:p>
    <w:p w14:paraId="02ABB8FD">
      <w:pPr>
        <w:ind w:firstLine="420" w:firstLineChars="200"/>
        <w:rPr>
          <w:b/>
          <w:color w:val="auto"/>
          <w:highlight w:val="none"/>
          <w:u w:val="none"/>
        </w:rPr>
      </w:pPr>
    </w:p>
    <w:p w14:paraId="46197839">
      <w:pPr>
        <w:ind w:firstLine="420" w:firstLineChars="200"/>
        <w:rPr>
          <w:b/>
          <w:color w:val="auto"/>
          <w:highlight w:val="none"/>
          <w:u w:val="none"/>
        </w:rPr>
      </w:pPr>
    </w:p>
    <w:p w14:paraId="0DBBD836">
      <w:pPr>
        <w:ind w:firstLine="420" w:firstLineChars="200"/>
        <w:rPr>
          <w:b/>
          <w:color w:val="auto"/>
          <w:highlight w:val="none"/>
          <w:u w:val="none"/>
        </w:rPr>
      </w:pPr>
    </w:p>
    <w:p w14:paraId="5DD3474A">
      <w:pPr>
        <w:ind w:firstLine="420" w:firstLineChars="200"/>
        <w:rPr>
          <w:b/>
          <w:color w:val="auto"/>
          <w:highlight w:val="none"/>
          <w:u w:val="none"/>
        </w:rPr>
      </w:pPr>
    </w:p>
    <w:p w14:paraId="4DD21060">
      <w:pPr>
        <w:ind w:firstLine="420" w:firstLineChars="200"/>
        <w:rPr>
          <w:b/>
          <w:color w:val="auto"/>
          <w:highlight w:val="none"/>
          <w:u w:val="none"/>
        </w:rPr>
      </w:pPr>
    </w:p>
    <w:p w14:paraId="5DCCE765">
      <w:pPr>
        <w:ind w:firstLine="420" w:firstLineChars="200"/>
        <w:rPr>
          <w:b/>
          <w:color w:val="auto"/>
          <w:highlight w:val="none"/>
          <w:u w:val="none"/>
        </w:rPr>
      </w:pPr>
    </w:p>
    <w:p w14:paraId="6F411EFC">
      <w:pPr>
        <w:ind w:firstLine="420" w:firstLineChars="200"/>
        <w:rPr>
          <w:b/>
          <w:color w:val="auto"/>
          <w:highlight w:val="none"/>
          <w:u w:val="none"/>
        </w:rPr>
      </w:pPr>
    </w:p>
    <w:p w14:paraId="0F95CC79">
      <w:pPr>
        <w:jc w:val="center"/>
        <w:rPr>
          <w:rFonts w:hint="eastAsia" w:ascii="微软雅黑" w:hAnsi="微软雅黑" w:eastAsia="微软雅黑" w:cs="Times New Roman"/>
          <w:color w:val="auto"/>
          <w:sz w:val="32"/>
          <w:szCs w:val="32"/>
          <w:highlight w:val="none"/>
          <w:u w:val="none"/>
        </w:rPr>
      </w:pPr>
    </w:p>
    <w:p w14:paraId="6126007E">
      <w:pPr>
        <w:jc w:val="center"/>
        <w:rPr>
          <w:rFonts w:hint="eastAsia" w:ascii="微软雅黑" w:hAnsi="微软雅黑" w:eastAsia="微软雅黑" w:cs="Times New Roman"/>
          <w:color w:val="auto"/>
          <w:sz w:val="32"/>
          <w:szCs w:val="32"/>
          <w:highlight w:val="none"/>
          <w:u w:val="none"/>
        </w:rPr>
      </w:pPr>
    </w:p>
    <w:p w14:paraId="4F850347">
      <w:pPr>
        <w:jc w:val="center"/>
        <w:rPr>
          <w:rFonts w:hint="eastAsia" w:ascii="微软雅黑" w:hAnsi="微软雅黑" w:eastAsia="微软雅黑" w:cs="Times New Roman"/>
          <w:color w:val="auto"/>
          <w:sz w:val="32"/>
          <w:szCs w:val="32"/>
          <w:highlight w:val="none"/>
          <w:u w:val="none"/>
          <w:lang w:eastAsia="zh-CN"/>
        </w:rPr>
      </w:pPr>
      <w:r>
        <w:rPr>
          <w:rFonts w:hint="eastAsia" w:ascii="微软雅黑" w:hAnsi="微软雅黑" w:eastAsia="微软雅黑" w:cs="Times New Roman"/>
          <w:color w:val="auto"/>
          <w:sz w:val="32"/>
          <w:szCs w:val="32"/>
          <w:highlight w:val="none"/>
          <w:u w:val="none"/>
          <w:lang w:eastAsia="zh-CN"/>
        </w:rPr>
        <w:t>中国重汽集团济南智能装备公司</w:t>
      </w:r>
    </w:p>
    <w:p w14:paraId="51ED9125">
      <w:pPr>
        <w:ind w:firstLine="640" w:firstLineChars="200"/>
        <w:rPr>
          <w:rFonts w:ascii="微软雅黑" w:hAnsi="微软雅黑" w:eastAsia="微软雅黑"/>
          <w:b/>
          <w:color w:val="auto"/>
          <w:sz w:val="32"/>
          <w:szCs w:val="32"/>
          <w:highlight w:val="none"/>
          <w:u w:val="none"/>
        </w:rPr>
      </w:pPr>
    </w:p>
    <w:p w14:paraId="4608493B">
      <w:pPr>
        <w:rPr>
          <w:rFonts w:ascii="微软雅黑" w:hAnsi="微软雅黑" w:eastAsia="微软雅黑"/>
          <w:b/>
          <w:color w:val="auto"/>
          <w:sz w:val="32"/>
          <w:szCs w:val="32"/>
          <w:highlight w:val="none"/>
          <w:u w:val="none"/>
        </w:rPr>
      </w:pPr>
      <w:r>
        <w:rPr>
          <w:rFonts w:ascii="微软雅黑" w:hAnsi="微软雅黑" w:eastAsia="微软雅黑"/>
          <w:b/>
          <w:color w:val="auto"/>
          <w:sz w:val="32"/>
          <w:szCs w:val="32"/>
          <w:highlight w:val="none"/>
          <w:u w:val="none"/>
        </w:rPr>
        <w:br w:type="page"/>
      </w:r>
    </w:p>
    <w:p w14:paraId="398CCE8A">
      <w:pPr>
        <w:jc w:val="center"/>
        <w:rPr>
          <w:rFonts w:ascii="微软雅黑" w:hAnsi="微软雅黑" w:eastAsia="微软雅黑"/>
          <w:color w:val="auto"/>
          <w:sz w:val="32"/>
          <w:szCs w:val="32"/>
          <w:highlight w:val="none"/>
          <w:u w:val="none"/>
        </w:rPr>
      </w:pPr>
      <w:r>
        <w:rPr>
          <w:rFonts w:hint="eastAsia" w:ascii="微软雅黑" w:hAnsi="微软雅黑" w:eastAsia="微软雅黑"/>
          <w:color w:val="auto"/>
          <w:sz w:val="32"/>
          <w:szCs w:val="32"/>
          <w:highlight w:val="none"/>
          <w:u w:val="none"/>
        </w:rPr>
        <w:t>采购产品质量保证与服务协议</w:t>
      </w:r>
    </w:p>
    <w:p w14:paraId="3379ED69">
      <w:pPr>
        <w:ind w:firstLine="560" w:firstLineChars="200"/>
        <w:jc w:val="left"/>
        <w:rPr>
          <w:rFonts w:hint="eastAsia" w:ascii="仿宋" w:hAnsi="仿宋" w:eastAsia="仿宋" w:cs="Times New Roman"/>
          <w:color w:val="auto"/>
          <w:sz w:val="28"/>
          <w:szCs w:val="28"/>
          <w:highlight w:val="none"/>
          <w:u w:val="none"/>
          <w:lang w:eastAsia="zh-CN"/>
        </w:rPr>
      </w:pPr>
      <w:r>
        <w:rPr>
          <w:rFonts w:hint="eastAsia" w:ascii="仿宋" w:hAnsi="仿宋" w:eastAsia="仿宋" w:cs="Times New Roman"/>
          <w:color w:val="auto"/>
          <w:sz w:val="28"/>
          <w:szCs w:val="28"/>
          <w:highlight w:val="none"/>
          <w:u w:val="none"/>
        </w:rPr>
        <w:t>甲方：</w:t>
      </w:r>
      <w:r>
        <w:rPr>
          <w:rFonts w:hint="eastAsia" w:ascii="仿宋" w:hAnsi="仿宋" w:eastAsia="仿宋" w:cs="Times New Roman"/>
          <w:color w:val="auto"/>
          <w:sz w:val="28"/>
          <w:szCs w:val="28"/>
          <w:highlight w:val="none"/>
          <w:u w:val="none"/>
          <w:lang w:eastAsia="zh-CN"/>
        </w:rPr>
        <w:t>中国重汽集团济南智能装备公司</w:t>
      </w:r>
    </w:p>
    <w:p w14:paraId="6F8A562D">
      <w:pPr>
        <w:ind w:firstLine="560" w:firstLineChars="200"/>
        <w:jc w:val="left"/>
        <w:rPr>
          <w:rFonts w:ascii="仿宋" w:hAnsi="仿宋" w:eastAsia="仿宋" w:cs="Times New Roman"/>
          <w:color w:val="auto"/>
          <w:sz w:val="28"/>
          <w:szCs w:val="28"/>
          <w:highlight w:val="none"/>
          <w:u w:val="none"/>
        </w:rPr>
      </w:pPr>
      <w:r>
        <w:rPr>
          <w:rFonts w:hint="eastAsia" w:ascii="仿宋" w:hAnsi="仿宋" w:eastAsia="仿宋" w:cs="Times New Roman"/>
          <w:color w:val="auto"/>
          <w:sz w:val="28"/>
          <w:szCs w:val="28"/>
          <w:highlight w:val="none"/>
          <w:u w:val="none"/>
        </w:rPr>
        <w:t>乙方：【供应商】</w:t>
      </w:r>
    </w:p>
    <w:p w14:paraId="2C16182E">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为保持产品质量的稳定与持续提升，明确产品质量的责任与义务，甲、乙双方经友好协商，签订《采购产品质量保证与服务协议》（以下简称“本协议”）以资共同遵守。</w:t>
      </w:r>
    </w:p>
    <w:p w14:paraId="7C5ED799">
      <w:pPr>
        <w:ind w:firstLine="482" w:firstLineChars="200"/>
        <w:jc w:val="left"/>
        <w:rPr>
          <w:rFonts w:ascii="仿宋" w:hAnsi="仿宋" w:eastAsia="仿宋" w:cs="Times New Roman"/>
          <w:b/>
          <w:color w:val="auto"/>
          <w:sz w:val="24"/>
          <w:szCs w:val="24"/>
          <w:highlight w:val="none"/>
          <w:u w:val="none"/>
        </w:rPr>
      </w:pPr>
      <w:r>
        <w:rPr>
          <w:rFonts w:hint="eastAsia" w:ascii="仿宋" w:hAnsi="仿宋" w:eastAsia="仿宋" w:cs="Times New Roman"/>
          <w:b/>
          <w:color w:val="auto"/>
          <w:sz w:val="24"/>
          <w:szCs w:val="24"/>
          <w:highlight w:val="none"/>
          <w:u w:val="none"/>
        </w:rPr>
        <w:t>1．协议适用范围</w:t>
      </w:r>
    </w:p>
    <w:p w14:paraId="6BEB0B95">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本协议所指产品，是指甲方从乙方采购用于甲方生产的工装、夹具及其备件。</w:t>
      </w:r>
    </w:p>
    <w:p w14:paraId="694A0453">
      <w:pPr>
        <w:ind w:firstLine="482" w:firstLineChars="200"/>
        <w:jc w:val="left"/>
        <w:rPr>
          <w:rFonts w:ascii="仿宋" w:hAnsi="仿宋" w:eastAsia="仿宋" w:cs="Times New Roman"/>
          <w:b/>
          <w:color w:val="auto"/>
          <w:sz w:val="24"/>
          <w:szCs w:val="24"/>
          <w:highlight w:val="none"/>
          <w:u w:val="none"/>
        </w:rPr>
      </w:pPr>
      <w:r>
        <w:rPr>
          <w:rFonts w:hint="eastAsia" w:ascii="仿宋" w:hAnsi="仿宋" w:eastAsia="仿宋" w:cs="Times New Roman"/>
          <w:b/>
          <w:color w:val="auto"/>
          <w:sz w:val="24"/>
          <w:szCs w:val="24"/>
          <w:highlight w:val="none"/>
          <w:u w:val="none"/>
        </w:rPr>
        <w:t>2．管理职责</w:t>
      </w:r>
    </w:p>
    <w:p w14:paraId="175B4570">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2.1 甲方职责</w:t>
      </w:r>
    </w:p>
    <w:p w14:paraId="5A540FC0">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2.1.1甲方应向乙方明确提出技术和质量要求。当甲方变更技术和/或质量要求时，应及时通知乙方。</w:t>
      </w:r>
    </w:p>
    <w:p w14:paraId="21462343">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2.1.</w:t>
      </w:r>
      <w:r>
        <w:rPr>
          <w:rFonts w:ascii="仿宋" w:hAnsi="仿宋" w:eastAsia="仿宋"/>
          <w:color w:val="auto"/>
          <w:sz w:val="24"/>
          <w:szCs w:val="24"/>
          <w:highlight w:val="none"/>
          <w:u w:val="none"/>
        </w:rPr>
        <w:t>2</w:t>
      </w:r>
      <w:r>
        <w:rPr>
          <w:rFonts w:hint="eastAsia" w:ascii="仿宋" w:hAnsi="仿宋" w:eastAsia="仿宋"/>
          <w:color w:val="auto"/>
          <w:sz w:val="24"/>
          <w:szCs w:val="24"/>
          <w:highlight w:val="none"/>
          <w:u w:val="none"/>
        </w:rPr>
        <w:t>甲方应及时向乙方反馈其所提供产品存在的质量问题（包括因包装不良导致），并负责向乙方提供不合格品资料及质量信息。</w:t>
      </w:r>
    </w:p>
    <w:p w14:paraId="67C25C9A">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2.1.</w:t>
      </w:r>
      <w:r>
        <w:rPr>
          <w:rFonts w:ascii="仿宋" w:hAnsi="仿宋" w:eastAsia="仿宋"/>
          <w:color w:val="auto"/>
          <w:sz w:val="24"/>
          <w:szCs w:val="24"/>
          <w:highlight w:val="none"/>
          <w:u w:val="none"/>
        </w:rPr>
        <w:t>3</w:t>
      </w:r>
      <w:r>
        <w:rPr>
          <w:rFonts w:hint="eastAsia" w:ascii="仿宋" w:hAnsi="仿宋" w:eastAsia="仿宋"/>
          <w:color w:val="auto"/>
          <w:sz w:val="24"/>
          <w:szCs w:val="24"/>
          <w:highlight w:val="none"/>
          <w:u w:val="none"/>
        </w:rPr>
        <w:t>甲方负责验证乙方相关质量改进的有效性，客户有要求或必要时直接到乙方现场进行产品验证。</w:t>
      </w:r>
    </w:p>
    <w:p w14:paraId="5F04CCF2">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2.1.</w:t>
      </w:r>
      <w:r>
        <w:rPr>
          <w:rFonts w:ascii="仿宋" w:hAnsi="仿宋" w:eastAsia="仿宋"/>
          <w:color w:val="auto"/>
          <w:sz w:val="24"/>
          <w:szCs w:val="24"/>
          <w:highlight w:val="none"/>
          <w:u w:val="none"/>
        </w:rPr>
        <w:t>4</w:t>
      </w:r>
      <w:r>
        <w:rPr>
          <w:rFonts w:hint="eastAsia" w:ascii="仿宋" w:hAnsi="仿宋" w:eastAsia="仿宋"/>
          <w:color w:val="auto"/>
          <w:sz w:val="24"/>
          <w:szCs w:val="24"/>
          <w:highlight w:val="none"/>
          <w:u w:val="none"/>
        </w:rPr>
        <w:t>甲方按计划或根据需要不定期的对乙方质量保证能力等方面进行审核。</w:t>
      </w:r>
    </w:p>
    <w:p w14:paraId="042996AF">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2.1.</w:t>
      </w:r>
      <w:r>
        <w:rPr>
          <w:rFonts w:ascii="仿宋" w:hAnsi="仿宋" w:eastAsia="仿宋"/>
          <w:color w:val="auto"/>
          <w:sz w:val="24"/>
          <w:szCs w:val="24"/>
          <w:highlight w:val="none"/>
          <w:u w:val="none"/>
        </w:rPr>
        <w:t>5</w:t>
      </w:r>
      <w:r>
        <w:rPr>
          <w:rFonts w:hint="eastAsia" w:ascii="仿宋" w:hAnsi="仿宋" w:eastAsia="仿宋"/>
          <w:color w:val="auto"/>
          <w:sz w:val="24"/>
          <w:szCs w:val="24"/>
          <w:highlight w:val="none"/>
          <w:u w:val="none"/>
        </w:rPr>
        <w:t>甲方应提出从乙方采购产品的检验技术标准，若采用乙方检验标准时乙方应在甲方备案，并经甲方认可，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0754E964">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2.1.6停用：乙方工装在检验及用户的使用过程中，出现下列情况时，应立即暂停供货。</w:t>
      </w:r>
    </w:p>
    <w:p w14:paraId="60B05498">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a.乙方工装进厂检验连续出现三次以上不合格情况；</w:t>
      </w:r>
    </w:p>
    <w:p w14:paraId="6E2245B7">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b.乙方工装在使用过程中造成甲方批量性质量问题时。</w:t>
      </w:r>
    </w:p>
    <w:p w14:paraId="13780793">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c.乙方工装使用中连续三次出现达不到定额时</w:t>
      </w:r>
    </w:p>
    <w:p w14:paraId="27DFDB20">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2.1.7启用：乙方工装一旦被停用，原则上应同时完成以下事项后，方可启用。</w:t>
      </w:r>
    </w:p>
    <w:p w14:paraId="453E68CC">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a.工装全部更改为合格工装。</w:t>
      </w:r>
    </w:p>
    <w:p w14:paraId="0AEB9776">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b.经过甲方组织的二方审核，确定质量保证能力能够满足要求。</w:t>
      </w:r>
    </w:p>
    <w:p w14:paraId="16EA358D">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c.对工装质量做出书面承诺并承担甲方的损失。</w:t>
      </w:r>
    </w:p>
    <w:p w14:paraId="36B25854">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2.2乙方职责</w:t>
      </w:r>
    </w:p>
    <w:p w14:paraId="68B691DB">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2.2.1乙方应按照IATF16949或ISO9001标准以及甲方要求建立、健全和持续改进质量管理体系，取得认证证书，以确保向甲方长期稳定地提供合格产品；并及时将证书有效版本提交至甲方采购部门备案。</w:t>
      </w:r>
    </w:p>
    <w:p w14:paraId="6F4ED176">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2.2.</w:t>
      </w:r>
      <w:r>
        <w:rPr>
          <w:rFonts w:ascii="仿宋" w:hAnsi="仿宋" w:eastAsia="仿宋" w:cs="Times New Roman"/>
          <w:color w:val="auto"/>
          <w:sz w:val="24"/>
          <w:szCs w:val="24"/>
          <w:highlight w:val="none"/>
          <w:u w:val="none"/>
        </w:rPr>
        <w:t>2</w:t>
      </w:r>
      <w:r>
        <w:rPr>
          <w:rFonts w:hint="eastAsia" w:ascii="仿宋" w:hAnsi="仿宋" w:eastAsia="仿宋" w:cs="Times New Roman"/>
          <w:color w:val="auto"/>
          <w:sz w:val="24"/>
          <w:szCs w:val="24"/>
          <w:highlight w:val="none"/>
          <w:u w:val="none"/>
        </w:rPr>
        <w:t>对于国家准入或出口目的国要求的法规件，乙方产品应满足法规要求。对于强制性认证的产品或双方确认由乙方负责取得出口认证的产品，乙方负责取得认证证书并报甲方备案，乙方应保证供货期间认证证书持续有效，并应在认证证书到期前2个月告知甲方；乙方认证证书（被）暂停或撤销或注销的，乙方证书应在暂停或撤销或注销1个工作日内告知甲方。</w:t>
      </w:r>
    </w:p>
    <w:p w14:paraId="65AFA713">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2.2.</w:t>
      </w:r>
      <w:r>
        <w:rPr>
          <w:rFonts w:ascii="仿宋" w:hAnsi="仿宋" w:eastAsia="仿宋"/>
          <w:color w:val="auto"/>
          <w:sz w:val="24"/>
          <w:szCs w:val="24"/>
          <w:highlight w:val="none"/>
          <w:u w:val="none"/>
        </w:rPr>
        <w:t>3</w:t>
      </w:r>
      <w:r>
        <w:rPr>
          <w:rFonts w:hint="eastAsia" w:ascii="仿宋" w:hAnsi="仿宋" w:eastAsia="仿宋"/>
          <w:color w:val="auto"/>
          <w:sz w:val="24"/>
          <w:szCs w:val="24"/>
          <w:highlight w:val="none"/>
          <w:u w:val="none"/>
        </w:rPr>
        <w:t>乙方应对其产品的特殊过程按GB/T19001-2016/ISO9001:2015等质量标准要求进行过程确认，将确认、控制和过程能力的相关资料定期提交甲方采购部门。</w:t>
      </w:r>
    </w:p>
    <w:p w14:paraId="69BDF9D4">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2.2.</w:t>
      </w:r>
      <w:r>
        <w:rPr>
          <w:rFonts w:ascii="仿宋" w:hAnsi="仿宋" w:eastAsia="仿宋"/>
          <w:color w:val="auto"/>
          <w:sz w:val="24"/>
          <w:szCs w:val="24"/>
          <w:highlight w:val="none"/>
          <w:u w:val="none"/>
        </w:rPr>
        <w:t>4</w:t>
      </w:r>
      <w:r>
        <w:rPr>
          <w:rFonts w:hint="eastAsia" w:ascii="仿宋" w:hAnsi="仿宋" w:eastAsia="仿宋"/>
          <w:color w:val="auto"/>
          <w:sz w:val="24"/>
          <w:szCs w:val="24"/>
          <w:highlight w:val="none"/>
          <w:u w:val="none"/>
        </w:rPr>
        <w:t>当客户或甲方到乙方现场进行产品验证时，乙方应积极配合，但验证的结论不作为乙方交付时，甲方的验收依据。</w:t>
      </w:r>
    </w:p>
    <w:p w14:paraId="3FFC5EAF">
      <w:pPr>
        <w:tabs>
          <w:tab w:val="left" w:pos="0"/>
        </w:tabs>
        <w:ind w:firstLine="480" w:firstLineChars="200"/>
        <w:rPr>
          <w:rFonts w:ascii="仿宋" w:hAnsi="仿宋" w:eastAsia="仿宋"/>
          <w:color w:val="auto"/>
          <w:sz w:val="24"/>
          <w:szCs w:val="24"/>
          <w:highlight w:val="none"/>
          <w:u w:val="none"/>
        </w:rPr>
      </w:pPr>
      <w:r>
        <w:rPr>
          <w:rFonts w:hint="eastAsia" w:ascii="仿宋" w:hAnsi="仿宋" w:eastAsia="仿宋" w:cs="Times New Roman"/>
          <w:color w:val="auto"/>
          <w:sz w:val="24"/>
          <w:szCs w:val="24"/>
          <w:highlight w:val="none"/>
          <w:u w:val="none"/>
        </w:rPr>
        <w:t>2.2.5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甲方经审核评审通过后，乙方应及时将变更的认证文件、体系证书等及时提供甲方备案。</w:t>
      </w:r>
    </w:p>
    <w:p w14:paraId="3DC923AF">
      <w:pPr>
        <w:pStyle w:val="136"/>
        <w:ind w:firstLine="482" w:firstLineChars="200"/>
        <w:rPr>
          <w:rFonts w:ascii="仿宋" w:hAnsi="仿宋" w:eastAsia="仿宋" w:cs="Times New Roman"/>
          <w:b/>
          <w:color w:val="auto"/>
          <w:sz w:val="24"/>
          <w:szCs w:val="24"/>
          <w:highlight w:val="none"/>
          <w:u w:val="none"/>
        </w:rPr>
      </w:pPr>
      <w:r>
        <w:rPr>
          <w:rFonts w:hint="eastAsia" w:ascii="仿宋" w:hAnsi="仿宋" w:eastAsia="仿宋" w:cs="Times New Roman"/>
          <w:b/>
          <w:color w:val="auto"/>
          <w:sz w:val="24"/>
          <w:szCs w:val="24"/>
          <w:highlight w:val="none"/>
          <w:u w:val="none"/>
        </w:rPr>
        <w:t>3．质量条款</w:t>
      </w:r>
    </w:p>
    <w:p w14:paraId="37C5E227">
      <w:pPr>
        <w:tabs>
          <w:tab w:val="left" w:pos="0"/>
        </w:tabs>
        <w:ind w:firstLine="482" w:firstLineChars="200"/>
        <w:rPr>
          <w:rFonts w:ascii="仿宋" w:hAnsi="仿宋" w:eastAsia="仿宋"/>
          <w:b/>
          <w:color w:val="auto"/>
          <w:sz w:val="24"/>
          <w:szCs w:val="24"/>
          <w:highlight w:val="none"/>
          <w:u w:val="none"/>
        </w:rPr>
      </w:pPr>
      <w:r>
        <w:rPr>
          <w:rFonts w:hint="eastAsia" w:ascii="仿宋" w:hAnsi="仿宋" w:eastAsia="仿宋"/>
          <w:b/>
          <w:color w:val="auto"/>
          <w:sz w:val="24"/>
          <w:szCs w:val="24"/>
          <w:highlight w:val="none"/>
          <w:u w:val="none"/>
        </w:rPr>
        <w:t>3.1实物质量标准</w:t>
      </w:r>
    </w:p>
    <w:p w14:paraId="274BA820">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3.1.1乙方负责向甲方提供符合标准要求和甲方产品符合性要求的产品。制造过程中需要更改图样、工艺及技术要求时，需经甲方书面批准，非经甲方书面批准，不得擅自更改。</w:t>
      </w:r>
    </w:p>
    <w:p w14:paraId="150C33CE">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产品符合性的判定依据包括但不限于以下内容：</w:t>
      </w:r>
    </w:p>
    <w:p w14:paraId="6D91B845">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a.产品图样；</w:t>
      </w:r>
    </w:p>
    <w:p w14:paraId="1A58536F">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b.产品技术文件；</w:t>
      </w:r>
    </w:p>
    <w:p w14:paraId="3AE85DF4">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c.产品技术协议；</w:t>
      </w:r>
    </w:p>
    <w:p w14:paraId="293C4E23">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d.产品相关的现行标准；</w:t>
      </w:r>
    </w:p>
    <w:p w14:paraId="15AE7E1C">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e.产品的会签图纸或双方确认的技术要求；</w:t>
      </w:r>
    </w:p>
    <w:p w14:paraId="3E2C6574">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f</w:t>
      </w:r>
      <w:r>
        <w:rPr>
          <w:rFonts w:ascii="仿宋" w:hAnsi="仿宋" w:eastAsia="仿宋" w:cs="Times New Roman"/>
          <w:color w:val="auto"/>
          <w:sz w:val="24"/>
          <w:szCs w:val="24"/>
          <w:highlight w:val="none"/>
          <w:u w:val="none"/>
        </w:rPr>
        <w:t>.</w:t>
      </w:r>
      <w:r>
        <w:rPr>
          <w:rFonts w:hint="eastAsia" w:ascii="仿宋" w:hAnsi="仿宋" w:eastAsia="仿宋" w:cs="Times New Roman"/>
          <w:color w:val="auto"/>
          <w:sz w:val="24"/>
          <w:szCs w:val="24"/>
          <w:highlight w:val="none"/>
          <w:u w:val="none"/>
        </w:rPr>
        <w:t>产品包装要求；</w:t>
      </w:r>
    </w:p>
    <w:p w14:paraId="7DCEF0E2">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g.产品质量目标要求。</w:t>
      </w:r>
    </w:p>
    <w:p w14:paraId="0021485B">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3.1.2乙方提供给甲方的产品，应附有：</w:t>
      </w:r>
    </w:p>
    <w:p w14:paraId="631FB6CF">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a</w:t>
      </w:r>
      <w:r>
        <w:rPr>
          <w:rFonts w:ascii="仿宋" w:hAnsi="仿宋" w:eastAsia="仿宋" w:cs="Times New Roman"/>
          <w:color w:val="auto"/>
          <w:sz w:val="24"/>
          <w:szCs w:val="24"/>
          <w:highlight w:val="none"/>
          <w:u w:val="none"/>
        </w:rPr>
        <w:t>.</w:t>
      </w:r>
      <w:r>
        <w:rPr>
          <w:rFonts w:hint="eastAsia" w:ascii="仿宋" w:hAnsi="仿宋" w:eastAsia="仿宋" w:cs="Times New Roman"/>
          <w:color w:val="auto"/>
          <w:sz w:val="24"/>
          <w:szCs w:val="24"/>
          <w:highlight w:val="none"/>
          <w:u w:val="none"/>
        </w:rPr>
        <w:t>符合甲方要求的自检报告及产品合格证明，乙方应对报告的数据真实性负责。必要时按甲方要求提供双方认可的第三方检测报告；</w:t>
      </w:r>
    </w:p>
    <w:p w14:paraId="6B383674">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b.符合甲方要求的产品铭牌、编号及标识；</w:t>
      </w:r>
    </w:p>
    <w:p w14:paraId="2BBF73E5">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c.甲方要求的产品说明书；</w:t>
      </w:r>
    </w:p>
    <w:p w14:paraId="48CD8C9C">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d.具有可追溯性的批次信息；</w:t>
      </w:r>
    </w:p>
    <w:p w14:paraId="4C16F236">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e.甲方有要求时，应按甲方相关标准携带条码。</w:t>
      </w:r>
    </w:p>
    <w:p w14:paraId="19C0B4F1">
      <w:pPr>
        <w:ind w:firstLine="482" w:firstLineChars="200"/>
        <w:jc w:val="left"/>
        <w:rPr>
          <w:rFonts w:ascii="仿宋" w:hAnsi="仿宋" w:eastAsia="仿宋" w:cs="Times New Roman"/>
          <w:b/>
          <w:color w:val="auto"/>
          <w:sz w:val="24"/>
          <w:szCs w:val="24"/>
          <w:highlight w:val="none"/>
          <w:u w:val="none"/>
        </w:rPr>
      </w:pPr>
      <w:r>
        <w:rPr>
          <w:rFonts w:hint="eastAsia" w:ascii="仿宋" w:hAnsi="仿宋" w:eastAsia="仿宋" w:cs="Times New Roman"/>
          <w:b/>
          <w:color w:val="auto"/>
          <w:sz w:val="24"/>
          <w:szCs w:val="24"/>
          <w:highlight w:val="none"/>
          <w:u w:val="none"/>
        </w:rPr>
        <w:t>3.2检验要求</w:t>
      </w:r>
    </w:p>
    <w:p w14:paraId="50C1CBA8">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olor w:val="auto"/>
          <w:sz w:val="24"/>
          <w:szCs w:val="24"/>
          <w:highlight w:val="none"/>
          <w:u w:val="none"/>
        </w:rPr>
        <w:t>3.2.1</w:t>
      </w:r>
      <w:r>
        <w:rPr>
          <w:rFonts w:hint="eastAsia" w:ascii="仿宋" w:hAnsi="仿宋" w:eastAsia="仿宋" w:cs="Times New Roman"/>
          <w:color w:val="auto"/>
          <w:sz w:val="24"/>
          <w:szCs w:val="24"/>
          <w:highlight w:val="none"/>
          <w:u w:val="none"/>
        </w:rPr>
        <w:t>乙方应按照国家法律法规及甲方技术和质量要求进行产品检验，建立和保留进货检验、过程检验和出厂检验记录，并按甲方要求提交或备查。对于法规件，应按照法规保存要求保留相关检验记录。</w:t>
      </w:r>
    </w:p>
    <w:p w14:paraId="623A3716">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3.2.2乙方应配备必要的试验检验设备，建立覆盖产品原材料检验、功能检测、可靠性检测等方面的试验检验能力。</w:t>
      </w:r>
      <w:r>
        <w:rPr>
          <w:rFonts w:hint="eastAsia" w:ascii="仿宋" w:hAnsi="仿宋" w:eastAsia="仿宋"/>
          <w:color w:val="auto"/>
          <w:kern w:val="0"/>
          <w:sz w:val="24"/>
          <w:highlight w:val="none"/>
          <w:u w:val="none"/>
        </w:rPr>
        <w:t>根据产品的质量特性要求，乙方应制订产品的检验基准书和检验控制计划，报甲方备案。</w:t>
      </w:r>
    </w:p>
    <w:p w14:paraId="222DBE2E">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3.2.3对于异形件、内外饰等型面件，乙方应制作专用检具。同时甲方有权要求乙方提供专用检具供甲方使用，乙方应积极配合完成。</w:t>
      </w:r>
    </w:p>
    <w:p w14:paraId="3DDF6AE4">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3.2.4乙方应根据产品质量特性要求，制订产品检验控制计划并认真组织实施。同时应按甲方产品质量控制计划规定的时限，提供相应的产品检验报告。</w:t>
      </w:r>
    </w:p>
    <w:p w14:paraId="5F9F64EB">
      <w:pPr>
        <w:ind w:firstLine="480" w:firstLineChars="200"/>
        <w:jc w:val="left"/>
        <w:rPr>
          <w:rFonts w:ascii="仿宋" w:hAnsi="仿宋" w:eastAsia="仿宋"/>
          <w:color w:val="auto"/>
          <w:kern w:val="0"/>
          <w:sz w:val="24"/>
          <w:highlight w:val="none"/>
          <w:u w:val="none"/>
        </w:rPr>
      </w:pPr>
      <w:r>
        <w:rPr>
          <w:rFonts w:hint="eastAsia" w:ascii="仿宋" w:hAnsi="仿宋" w:eastAsia="仿宋"/>
          <w:color w:val="auto"/>
          <w:kern w:val="0"/>
          <w:sz w:val="24"/>
          <w:highlight w:val="none"/>
          <w:u w:val="none"/>
        </w:rPr>
        <w:t>3</w:t>
      </w:r>
      <w:r>
        <w:rPr>
          <w:rFonts w:ascii="仿宋" w:hAnsi="仿宋" w:eastAsia="仿宋"/>
          <w:color w:val="auto"/>
          <w:kern w:val="0"/>
          <w:sz w:val="24"/>
          <w:highlight w:val="none"/>
          <w:u w:val="none"/>
        </w:rPr>
        <w:t xml:space="preserve">.2.5 </w:t>
      </w:r>
      <w:r>
        <w:rPr>
          <w:rFonts w:hint="eastAsia" w:ascii="仿宋" w:hAnsi="仿宋" w:eastAsia="仿宋"/>
          <w:color w:val="auto"/>
          <w:kern w:val="0"/>
          <w:sz w:val="24"/>
          <w:highlight w:val="none"/>
          <w:u w:val="none"/>
        </w:rPr>
        <w:t>进货检验过程中的破坏性检验，由乙方承担破坏性检验的样件费用。破坏性检验合格残留样件，不再返回乙方，</w:t>
      </w:r>
      <w:r>
        <w:rPr>
          <w:rFonts w:hint="eastAsia" w:ascii="仿宋" w:hAnsi="仿宋" w:eastAsia="仿宋"/>
          <w:color w:val="auto"/>
          <w:sz w:val="24"/>
          <w:szCs w:val="24"/>
          <w:highlight w:val="none"/>
          <w:u w:val="none"/>
        </w:rPr>
        <w:t>由甲方自行按废旧物资处置。</w:t>
      </w:r>
      <w:r>
        <w:rPr>
          <w:rFonts w:hint="eastAsia" w:ascii="仿宋" w:hAnsi="仿宋" w:eastAsia="仿宋"/>
          <w:color w:val="auto"/>
          <w:kern w:val="0"/>
          <w:sz w:val="24"/>
          <w:highlight w:val="none"/>
          <w:u w:val="none"/>
        </w:rPr>
        <w:t>破坏性检验不合格残留样件，</w:t>
      </w:r>
      <w:r>
        <w:rPr>
          <w:rFonts w:hint="eastAsia" w:ascii="仿宋" w:hAnsi="仿宋" w:eastAsia="仿宋" w:cs="Times New Roman"/>
          <w:color w:val="auto"/>
          <w:sz w:val="24"/>
          <w:szCs w:val="24"/>
          <w:highlight w:val="none"/>
          <w:u w:val="none"/>
        </w:rPr>
        <w:t>甲方通知（包括但不限于电话、邮件、SRM平台等方式）乙方后15个工作日内，若乙方未进行处置，则视为乙方自动放弃，</w:t>
      </w:r>
      <w:r>
        <w:rPr>
          <w:rFonts w:hint="eastAsia" w:ascii="仿宋" w:hAnsi="仿宋" w:eastAsia="仿宋"/>
          <w:color w:val="auto"/>
          <w:sz w:val="24"/>
          <w:szCs w:val="24"/>
          <w:highlight w:val="none"/>
          <w:u w:val="none"/>
        </w:rPr>
        <w:t>由甲方自行按废旧物资处置。</w:t>
      </w:r>
    </w:p>
    <w:p w14:paraId="62E85EB4">
      <w:pPr>
        <w:ind w:firstLine="480" w:firstLineChars="200"/>
        <w:jc w:val="left"/>
        <w:rPr>
          <w:rFonts w:ascii="仿宋" w:hAnsi="仿宋" w:eastAsia="仿宋"/>
          <w:color w:val="auto"/>
          <w:kern w:val="0"/>
          <w:sz w:val="24"/>
          <w:highlight w:val="none"/>
          <w:u w:val="none"/>
        </w:rPr>
      </w:pPr>
      <w:r>
        <w:rPr>
          <w:rFonts w:hint="eastAsia" w:ascii="仿宋" w:hAnsi="仿宋" w:eastAsia="仿宋"/>
          <w:color w:val="auto"/>
          <w:kern w:val="0"/>
          <w:sz w:val="24"/>
          <w:highlight w:val="none"/>
          <w:u w:val="none"/>
        </w:rPr>
        <w:t>3.2.6乙方在提供工装的同时，必须附带图纸（包含2</w:t>
      </w:r>
      <w:r>
        <w:rPr>
          <w:rFonts w:ascii="仿宋" w:hAnsi="仿宋" w:eastAsia="仿宋"/>
          <w:color w:val="auto"/>
          <w:kern w:val="0"/>
          <w:sz w:val="24"/>
          <w:highlight w:val="none"/>
          <w:u w:val="none"/>
        </w:rPr>
        <w:t>D</w:t>
      </w:r>
      <w:r>
        <w:rPr>
          <w:rFonts w:hint="eastAsia" w:ascii="仿宋" w:hAnsi="仿宋" w:eastAsia="仿宋"/>
          <w:color w:val="auto"/>
          <w:kern w:val="0"/>
          <w:sz w:val="24"/>
          <w:highlight w:val="none"/>
          <w:u w:val="none"/>
        </w:rPr>
        <w:t>及3</w:t>
      </w:r>
      <w:r>
        <w:rPr>
          <w:rFonts w:ascii="仿宋" w:hAnsi="仿宋" w:eastAsia="仿宋"/>
          <w:color w:val="auto"/>
          <w:kern w:val="0"/>
          <w:sz w:val="24"/>
          <w:highlight w:val="none"/>
          <w:u w:val="none"/>
        </w:rPr>
        <w:t>D</w:t>
      </w:r>
      <w:r>
        <w:rPr>
          <w:rFonts w:hint="eastAsia" w:ascii="仿宋" w:hAnsi="仿宋" w:eastAsia="仿宋"/>
          <w:color w:val="auto"/>
          <w:kern w:val="0"/>
          <w:sz w:val="24"/>
          <w:highlight w:val="none"/>
          <w:u w:val="none"/>
        </w:rPr>
        <w:t>图纸）、工装检验合格证、尺寸检验记录、模具情况鉴定表、硬度检验记录、工装跟踪簿、派工单等相关资料，其中曲轴类工装必须提供三维尺寸检测报告，以便甲方进行复验、验收。如乙方不提供相关资料，甲方将按检验不合格处置。</w:t>
      </w:r>
    </w:p>
    <w:p w14:paraId="76D6C2A8">
      <w:pPr>
        <w:ind w:firstLine="480" w:firstLineChars="200"/>
        <w:jc w:val="left"/>
        <w:rPr>
          <w:rFonts w:ascii="仿宋" w:hAnsi="仿宋" w:eastAsia="仿宋"/>
          <w:color w:val="auto"/>
          <w:kern w:val="0"/>
          <w:sz w:val="24"/>
          <w:highlight w:val="none"/>
          <w:u w:val="none"/>
        </w:rPr>
      </w:pPr>
      <w:r>
        <w:rPr>
          <w:rFonts w:hint="eastAsia" w:ascii="仿宋" w:hAnsi="仿宋" w:eastAsia="仿宋"/>
          <w:color w:val="auto"/>
          <w:kern w:val="0"/>
          <w:sz w:val="24"/>
          <w:highlight w:val="none"/>
          <w:u w:val="none"/>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552F4670">
      <w:pPr>
        <w:ind w:firstLine="480" w:firstLineChars="200"/>
        <w:jc w:val="left"/>
        <w:rPr>
          <w:rFonts w:ascii="仿宋" w:hAnsi="仿宋" w:eastAsia="仿宋"/>
          <w:color w:val="auto"/>
          <w:kern w:val="0"/>
          <w:sz w:val="24"/>
          <w:highlight w:val="none"/>
          <w:u w:val="none"/>
        </w:rPr>
      </w:pPr>
      <w:r>
        <w:rPr>
          <w:rFonts w:hint="eastAsia" w:ascii="仿宋" w:hAnsi="仿宋" w:eastAsia="仿宋"/>
          <w:color w:val="auto"/>
          <w:kern w:val="0"/>
          <w:sz w:val="24"/>
          <w:highlight w:val="none"/>
          <w:u w:val="none"/>
        </w:rPr>
        <w:t>3.2.8铸造工装，甲方主要检查工装的外观质量、配件是否齐全，对关健尺寸、主要配件性能以及关键模具的材质进行确认。锻造模具工装，甲方主要对硬度、外观质量和新制模具闭合高度及模具外观能够检测部位进行确认,新制模具焊修后甲方将按新制模具的要求来进行检验，乙方应在焊修模具的工装检验合格证上注明未焊修前基体的硬度。</w:t>
      </w:r>
    </w:p>
    <w:p w14:paraId="16A5CEB6">
      <w:pPr>
        <w:ind w:firstLine="480" w:firstLineChars="200"/>
        <w:jc w:val="left"/>
        <w:rPr>
          <w:rFonts w:ascii="仿宋" w:hAnsi="仿宋" w:eastAsia="仿宋"/>
          <w:strike/>
          <w:color w:val="auto"/>
          <w:kern w:val="0"/>
          <w:sz w:val="24"/>
          <w:highlight w:val="none"/>
          <w:u w:val="none"/>
        </w:rPr>
      </w:pPr>
      <w:r>
        <w:rPr>
          <w:rFonts w:hint="eastAsia" w:ascii="仿宋" w:hAnsi="仿宋" w:eastAsia="仿宋"/>
          <w:color w:val="auto"/>
          <w:kern w:val="0"/>
          <w:sz w:val="24"/>
          <w:highlight w:val="none"/>
          <w:u w:val="none"/>
        </w:rPr>
        <w:t>3.2.9乙方提供首批（首件、样件）工装时，需同时提供该工装的材质报告单、质保单及检验记录等质量证明文件。</w:t>
      </w:r>
    </w:p>
    <w:p w14:paraId="484CE203">
      <w:pPr>
        <w:ind w:firstLine="482" w:firstLineChars="200"/>
        <w:jc w:val="left"/>
        <w:rPr>
          <w:rFonts w:ascii="仿宋" w:hAnsi="仿宋" w:eastAsia="仿宋" w:cs="Times New Roman"/>
          <w:b/>
          <w:color w:val="auto"/>
          <w:sz w:val="24"/>
          <w:szCs w:val="24"/>
          <w:highlight w:val="none"/>
          <w:u w:val="none"/>
        </w:rPr>
      </w:pPr>
      <w:r>
        <w:rPr>
          <w:rFonts w:hint="eastAsia" w:ascii="仿宋" w:hAnsi="仿宋" w:eastAsia="仿宋" w:cs="Times New Roman"/>
          <w:b/>
          <w:color w:val="auto"/>
          <w:sz w:val="24"/>
          <w:szCs w:val="24"/>
          <w:highlight w:val="none"/>
          <w:u w:val="none"/>
        </w:rPr>
        <w:t>3.3二方审核</w:t>
      </w:r>
    </w:p>
    <w:p w14:paraId="0D663DF7">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当甲方在进货检验、生产制造、售后服务和质量抽检等过程发现乙方产品存在异常质量问题时或产品启用时，可自行或委托第三方机构到乙方（含乙方分供方）生产现场开展针对产品、过程或体系等的二方审核。第三方机构的</w:t>
      </w:r>
      <w:r>
        <w:rPr>
          <w:rFonts w:ascii="仿宋" w:hAnsi="仿宋" w:eastAsia="仿宋" w:cs="Times New Roman"/>
          <w:color w:val="auto"/>
          <w:sz w:val="24"/>
          <w:szCs w:val="24"/>
          <w:highlight w:val="none"/>
          <w:u w:val="none"/>
        </w:rPr>
        <w:t>审核费用</w:t>
      </w:r>
      <w:r>
        <w:rPr>
          <w:rFonts w:hint="eastAsia" w:ascii="仿宋" w:hAnsi="仿宋" w:eastAsia="仿宋" w:cs="Times New Roman"/>
          <w:color w:val="auto"/>
          <w:sz w:val="24"/>
          <w:szCs w:val="24"/>
          <w:highlight w:val="none"/>
          <w:u w:val="none"/>
        </w:rPr>
        <w:t>及</w:t>
      </w:r>
      <w:r>
        <w:rPr>
          <w:rFonts w:ascii="仿宋" w:hAnsi="仿宋" w:eastAsia="仿宋" w:cs="Times New Roman"/>
          <w:color w:val="auto"/>
          <w:sz w:val="24"/>
          <w:szCs w:val="24"/>
          <w:highlight w:val="none"/>
          <w:u w:val="none"/>
        </w:rPr>
        <w:t>审核员的交通食宿费用由</w:t>
      </w:r>
      <w:r>
        <w:rPr>
          <w:rFonts w:hint="eastAsia" w:ascii="仿宋" w:hAnsi="仿宋" w:eastAsia="仿宋" w:cs="Times New Roman"/>
          <w:color w:val="auto"/>
          <w:sz w:val="24"/>
          <w:szCs w:val="24"/>
          <w:highlight w:val="none"/>
          <w:u w:val="none"/>
        </w:rPr>
        <w:t>乙方</w:t>
      </w:r>
      <w:r>
        <w:rPr>
          <w:rFonts w:ascii="仿宋" w:hAnsi="仿宋" w:eastAsia="仿宋" w:cs="Times New Roman"/>
          <w:color w:val="auto"/>
          <w:sz w:val="24"/>
          <w:szCs w:val="24"/>
          <w:highlight w:val="none"/>
          <w:u w:val="none"/>
        </w:rPr>
        <w:t>承担</w:t>
      </w:r>
      <w:r>
        <w:rPr>
          <w:rFonts w:hint="eastAsia" w:ascii="仿宋" w:hAnsi="仿宋" w:eastAsia="仿宋" w:cs="Times New Roman"/>
          <w:color w:val="auto"/>
          <w:sz w:val="24"/>
          <w:szCs w:val="24"/>
          <w:highlight w:val="none"/>
          <w:u w:val="none"/>
        </w:rPr>
        <w:t>。</w:t>
      </w:r>
    </w:p>
    <w:p w14:paraId="5B7F5EBD">
      <w:pPr>
        <w:ind w:firstLine="482" w:firstLineChars="200"/>
        <w:jc w:val="left"/>
        <w:rPr>
          <w:rFonts w:ascii="仿宋" w:hAnsi="仿宋" w:eastAsia="仿宋" w:cs="Times New Roman"/>
          <w:b/>
          <w:color w:val="auto"/>
          <w:sz w:val="24"/>
          <w:szCs w:val="24"/>
          <w:highlight w:val="none"/>
          <w:u w:val="none"/>
        </w:rPr>
      </w:pPr>
      <w:r>
        <w:rPr>
          <w:rFonts w:hint="eastAsia" w:ascii="仿宋" w:hAnsi="仿宋" w:eastAsia="仿宋" w:cs="Times New Roman"/>
          <w:b/>
          <w:color w:val="auto"/>
          <w:sz w:val="24"/>
          <w:szCs w:val="24"/>
          <w:highlight w:val="none"/>
          <w:u w:val="none"/>
        </w:rPr>
        <w:t>3.4产品免检</w:t>
      </w:r>
    </w:p>
    <w:p w14:paraId="029B1DBF">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质量保证体系健全且具备向甲方持续提供合格产品的卓越供方，可向甲方提出产品免检申请，甲方审核批准后将其纳入免检供方名录。</w:t>
      </w:r>
    </w:p>
    <w:p w14:paraId="081E6F9D">
      <w:pPr>
        <w:pStyle w:val="136"/>
        <w:ind w:firstLine="482" w:firstLineChars="200"/>
        <w:rPr>
          <w:rFonts w:ascii="仿宋" w:hAnsi="仿宋" w:eastAsia="仿宋" w:cs="Times New Roman"/>
          <w:b/>
          <w:color w:val="auto"/>
          <w:sz w:val="24"/>
          <w:szCs w:val="24"/>
          <w:highlight w:val="none"/>
          <w:u w:val="none"/>
        </w:rPr>
      </w:pPr>
      <w:r>
        <w:rPr>
          <w:rFonts w:hint="eastAsia" w:ascii="仿宋" w:hAnsi="仿宋" w:eastAsia="仿宋" w:cs="Times New Roman"/>
          <w:b/>
          <w:color w:val="auto"/>
          <w:sz w:val="24"/>
          <w:szCs w:val="24"/>
          <w:highlight w:val="none"/>
          <w:u w:val="none"/>
        </w:rPr>
        <w:t>4．服务条款</w:t>
      </w:r>
    </w:p>
    <w:p w14:paraId="2C84ADC1">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4.1乙方应按照甲方要求提供生产制造过程的技术支持和现场服务。乙方产品在甲方进货检验、生产过程中发生质量问题，乙方在接到通知后，24小时（省内12小时）内到现场进行处理，没有按时到现场的，视为同意甲方鉴定结论。甲方有权对乙方进行强制索赔，未按时到现场的甲方将对乙方考核1000-10000元，年周期内重复发生的加倍考核。</w:t>
      </w:r>
    </w:p>
    <w:p w14:paraId="5CBA9B11">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4.2乙方如对甲方的复验结果有异议，应在得到检验结果后8小时内书面提出，若选择第三方复验，要选择甲方所在地质检机构，其资质应达到或高于甲方资质，检测费用由乙方承担。</w:t>
      </w:r>
    </w:p>
    <w:p w14:paraId="090439CC">
      <w:pPr>
        <w:snapToGrid w:val="0"/>
        <w:ind w:firstLine="482" w:firstLineChars="200"/>
        <w:rPr>
          <w:rFonts w:ascii="仿宋" w:hAnsi="仿宋" w:eastAsia="仿宋"/>
          <w:b/>
          <w:color w:val="auto"/>
          <w:sz w:val="24"/>
          <w:szCs w:val="24"/>
          <w:highlight w:val="none"/>
          <w:u w:val="none"/>
        </w:rPr>
      </w:pPr>
      <w:r>
        <w:rPr>
          <w:rFonts w:hint="eastAsia" w:ascii="仿宋" w:hAnsi="仿宋" w:eastAsia="仿宋"/>
          <w:b/>
          <w:color w:val="auto"/>
          <w:sz w:val="24"/>
          <w:szCs w:val="24"/>
          <w:highlight w:val="none"/>
          <w:u w:val="none"/>
        </w:rPr>
        <w:t>5．不合格品的处理方式</w:t>
      </w:r>
    </w:p>
    <w:p w14:paraId="28FF5606">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5.1因乙方不合格品造成的质量问题，甲方按照本协议第6条的规定进行处理。乙方不得将退库处理的不合格品以次充好再次销售给甲方，如有违反，乙方应按照第6条的相关规定向甲方支付违约金。</w:t>
      </w:r>
    </w:p>
    <w:p w14:paraId="2EE80E33">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5.2乙方不得擅自向任何第三方销售不合格品，则甲方有权解除本协议，同时乙方除向甲方支付</w:t>
      </w:r>
      <w:r>
        <w:rPr>
          <w:rFonts w:hint="eastAsia" w:ascii="仿宋" w:hAnsi="仿宋" w:eastAsia="仿宋" w:cs="Times New Roman"/>
          <w:color w:val="auto"/>
          <w:sz w:val="24"/>
          <w:szCs w:val="24"/>
          <w:highlight w:val="none"/>
          <w:u w:val="none"/>
          <w:lang w:val="en-US" w:eastAsia="zh-CN"/>
        </w:rPr>
        <w:t>最高5</w:t>
      </w:r>
      <w:r>
        <w:rPr>
          <w:rFonts w:hint="eastAsia" w:ascii="仿宋" w:hAnsi="仿宋" w:eastAsia="仿宋" w:cs="Times New Roman"/>
          <w:color w:val="auto"/>
          <w:sz w:val="24"/>
          <w:szCs w:val="24"/>
          <w:highlight w:val="none"/>
          <w:u w:val="none"/>
        </w:rPr>
        <w:t>00</w:t>
      </w:r>
      <w:r>
        <w:rPr>
          <w:rFonts w:hint="eastAsia" w:ascii="仿宋" w:hAnsi="仿宋" w:eastAsia="仿宋" w:cs="Times New Roman"/>
          <w:color w:val="auto"/>
          <w:sz w:val="24"/>
          <w:szCs w:val="24"/>
          <w:highlight w:val="none"/>
          <w:u w:val="none"/>
          <w:lang w:val="en-US" w:eastAsia="zh-CN"/>
        </w:rPr>
        <w:t>万元</w:t>
      </w:r>
      <w:r>
        <w:rPr>
          <w:rFonts w:hint="eastAsia" w:ascii="仿宋" w:hAnsi="仿宋" w:eastAsia="仿宋" w:cs="Times New Roman"/>
          <w:color w:val="auto"/>
          <w:sz w:val="24"/>
          <w:szCs w:val="24"/>
          <w:highlight w:val="none"/>
          <w:u w:val="none"/>
        </w:rPr>
        <w:t>的违约金外，还应赔偿甲方因此遭受的经济损失，甲方保留追究其法律责任以及进行管理考核的权利。</w:t>
      </w:r>
    </w:p>
    <w:p w14:paraId="4CED6A97">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5.3甲方有权对乙方不合格品进行封存、隔离、报废、销毁或作永久性标识。</w:t>
      </w:r>
    </w:p>
    <w:p w14:paraId="18ED37C2">
      <w:pPr>
        <w:tabs>
          <w:tab w:val="left" w:pos="0"/>
        </w:tabs>
        <w:ind w:firstLine="482" w:firstLineChars="200"/>
        <w:rPr>
          <w:rFonts w:ascii="仿宋" w:hAnsi="仿宋" w:eastAsia="仿宋"/>
          <w:b/>
          <w:bCs/>
          <w:color w:val="auto"/>
          <w:sz w:val="24"/>
          <w:szCs w:val="24"/>
          <w:highlight w:val="none"/>
          <w:u w:val="none"/>
        </w:rPr>
      </w:pPr>
      <w:r>
        <w:rPr>
          <w:rFonts w:hint="eastAsia" w:ascii="仿宋" w:hAnsi="仿宋" w:eastAsia="仿宋"/>
          <w:b/>
          <w:bCs/>
          <w:color w:val="auto"/>
          <w:sz w:val="24"/>
          <w:szCs w:val="24"/>
          <w:highlight w:val="none"/>
          <w:u w:val="none"/>
        </w:rPr>
        <w:t>6</w:t>
      </w:r>
      <w:r>
        <w:rPr>
          <w:rFonts w:hint="eastAsia" w:ascii="仿宋" w:hAnsi="仿宋" w:eastAsia="仿宋" w:cs="Times New Roman"/>
          <w:b/>
          <w:color w:val="auto"/>
          <w:sz w:val="24"/>
          <w:szCs w:val="24"/>
          <w:highlight w:val="none"/>
          <w:u w:val="none"/>
        </w:rPr>
        <w:t>．</w:t>
      </w:r>
      <w:r>
        <w:rPr>
          <w:rFonts w:hint="eastAsia" w:ascii="仿宋" w:hAnsi="仿宋" w:eastAsia="仿宋"/>
          <w:b/>
          <w:bCs/>
          <w:color w:val="auto"/>
          <w:sz w:val="24"/>
          <w:szCs w:val="24"/>
          <w:highlight w:val="none"/>
          <w:u w:val="none"/>
        </w:rPr>
        <w:t>质量问题处理及索赔管理</w:t>
      </w:r>
    </w:p>
    <w:p w14:paraId="05EC095B">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6.1质量问题处理</w:t>
      </w:r>
    </w:p>
    <w:p w14:paraId="07A88350">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乙方提供的产品在甲方进厂检验、使用过程中发生质量问题以及乙方在与甲方的业务往来各个环节存在不良行为的，乙方承担由此对甲方造成的经济损失，甲方有权在体系内通报。具体处置细则如下：</w:t>
      </w:r>
    </w:p>
    <w:p w14:paraId="2D882087">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6.1.1进货检验过程中工装不合格的处置：</w:t>
      </w:r>
    </w:p>
    <w:p w14:paraId="589DF7B7">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6.1.1.1返工工装：对于轻微质量缺陷，经甲方技术质量部组织评审确认返工能够现场修复解决，且规定了返工指导标准、再检验标准的产品，定义为返工工装。</w:t>
      </w:r>
    </w:p>
    <w:p w14:paraId="6239EB09">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4B7F2892">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1）该批返工工装单件进货结算价值≥50000元时，按5%确定；</w:t>
      </w:r>
    </w:p>
    <w:p w14:paraId="3C517143">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2）该批返工工装单件进货结算价值＜50000元，≥10000元时，按6%确定；</w:t>
      </w:r>
    </w:p>
    <w:p w14:paraId="0CF4CC31">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3）该批返工工装单件进货结算价值＜10000元时，按10%确定。</w:t>
      </w:r>
    </w:p>
    <w:p w14:paraId="4F750553">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6.1.1.2退货：工装存在不可接受的质量不合格项，经甲方技术质量部组织评审确认，不能现场返工的工装，定义为退货工装。因退货所造成甲方的一切损失（包括潜在的损失）由乙方承担，按该批次产品总价值的10%-30%对乙方进行考核，年周期内重复发生的加倍考核。其中：</w:t>
      </w:r>
    </w:p>
    <w:p w14:paraId="20CE0813">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1）该批退货工装单件进货结算价值≥50000元时，按10%确定；</w:t>
      </w:r>
    </w:p>
    <w:p w14:paraId="2F6DED59">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2）该批退货工装单件进货结算价值＜50000元，≥10000元时，按20%确定；</w:t>
      </w:r>
    </w:p>
    <w:p w14:paraId="4B5BBA08">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3）该批退货工装单件进货结算价值＜10000元时，按30%确定。</w:t>
      </w:r>
    </w:p>
    <w:p w14:paraId="0F2A07FF">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乙方退货后未按要求对工装进行处理即重新入库，造成同样问题二次不合格的，视情况追加5000-50000元的考核。</w:t>
      </w:r>
    </w:p>
    <w:p w14:paraId="54F2E29F">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6.1.2现场使用中工装不合格的处置:</w:t>
      </w:r>
    </w:p>
    <w:p w14:paraId="49FEA6A1">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6.1.2.1因乙方工装上场首件验证不合格,由甲方技术质量部组织技术、制造、使用部门鉴定为乙方责任后，原则上按6.1.1.2条款处理，甲方使用单位所发生的动能费用、工人工时、材料费全部由乙方承担。</w:t>
      </w:r>
    </w:p>
    <w:p w14:paraId="50F94E8E">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 xml:space="preserve">    6.1.2.2因工装自身质量原因造成实际使用寿命达不到承诺寿命时，由乙方承担甲方生产过程中出现的不良品损失以及其他相关损失。甲方质量部门组织评审、处理问题工装，其中：</w:t>
      </w:r>
    </w:p>
    <w:p w14:paraId="525A9B42">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1）维修后可继续正常使用的，派工原厂家对工装进行无偿返厂维修，并根据工装使用情况与工装价值对乙方进行考核，年周期内重复发生的加倍考核。返修工装使用寿命不足技术定额的30%时，寿命重新计算；返修工装使用寿命大于技术定额的30%时，寿命累计。</w:t>
      </w:r>
    </w:p>
    <w:p w14:paraId="14394317">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2）经评审工装无继续使用价值的，按（承诺寿命-实际使用寿命）/承诺寿命×合同价进行索赔，并根据工装使用情况与工装价值对乙方进行考核，年周期内重复发生的加倍考核。</w:t>
      </w:r>
    </w:p>
    <w:p w14:paraId="328F8AA4">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3）若连续两次发生寿命达不到技术定额，按质量协议处理后，甲方有权将该供方份额下调；连续三次发生，甲方有权直接取消供方该标的组的供货份额。</w:t>
      </w:r>
    </w:p>
    <w:p w14:paraId="29152AC1">
      <w:pPr>
        <w:snapToGrid w:val="0"/>
        <w:ind w:firstLine="480" w:firstLineChars="200"/>
        <w:rPr>
          <w:rFonts w:ascii="仿宋" w:hAnsi="仿宋" w:eastAsia="仿宋"/>
          <w:color w:val="auto"/>
          <w:sz w:val="24"/>
          <w:szCs w:val="24"/>
          <w:highlight w:val="none"/>
          <w:u w:val="none"/>
        </w:rPr>
      </w:pPr>
    </w:p>
    <w:p w14:paraId="627BB8CB">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考核方案如下：</w:t>
      </w:r>
    </w:p>
    <w:p w14:paraId="65161074">
      <w:pPr>
        <w:snapToGrid w:val="0"/>
        <w:ind w:firstLine="480" w:firstLineChars="200"/>
        <w:rPr>
          <w:rFonts w:ascii="仿宋" w:hAnsi="仿宋" w:eastAsia="仿宋"/>
          <w:color w:val="auto"/>
          <w:sz w:val="24"/>
          <w:szCs w:val="24"/>
          <w:highlight w:val="none"/>
          <w:u w:val="none"/>
        </w:rPr>
      </w:pPr>
    </w:p>
    <w:tbl>
      <w:tblPr>
        <w:tblStyle w:val="36"/>
        <w:tblW w:w="115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6"/>
        <w:gridCol w:w="2627"/>
        <w:gridCol w:w="3069"/>
        <w:gridCol w:w="1523"/>
        <w:gridCol w:w="1280"/>
        <w:gridCol w:w="1541"/>
      </w:tblGrid>
      <w:tr w14:paraId="37042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476" w:type="dxa"/>
            <w:noWrap w:val="0"/>
            <w:vAlign w:val="center"/>
          </w:tcPr>
          <w:p w14:paraId="4E2AFAD2">
            <w:pPr>
              <w:snapToGrid w:val="0"/>
              <w:jc w:val="center"/>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使用寿命</w:t>
            </w:r>
          </w:p>
        </w:tc>
        <w:tc>
          <w:tcPr>
            <w:tcW w:w="2627" w:type="dxa"/>
            <w:noWrap w:val="0"/>
            <w:vAlign w:val="center"/>
          </w:tcPr>
          <w:p w14:paraId="512B04B1">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实际使用寿命＜技术定额的30%</w:t>
            </w:r>
          </w:p>
        </w:tc>
        <w:tc>
          <w:tcPr>
            <w:tcW w:w="3069" w:type="dxa"/>
            <w:noWrap w:val="0"/>
            <w:vAlign w:val="center"/>
          </w:tcPr>
          <w:p w14:paraId="2FC3C5D8">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技术定额的30%≤实际使用寿命＜技术定额的50%</w:t>
            </w:r>
          </w:p>
        </w:tc>
        <w:tc>
          <w:tcPr>
            <w:tcW w:w="1523" w:type="dxa"/>
            <w:noWrap w:val="0"/>
            <w:vAlign w:val="center"/>
          </w:tcPr>
          <w:p w14:paraId="278C8C60">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技术定额的50%≤实际使用寿命≤技术定额的80%</w:t>
            </w:r>
          </w:p>
        </w:tc>
        <w:tc>
          <w:tcPr>
            <w:tcW w:w="1280" w:type="dxa"/>
            <w:noWrap w:val="0"/>
            <w:vAlign w:val="center"/>
          </w:tcPr>
          <w:p w14:paraId="23A955D9">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实际使用寿命≥技术定额的80%</w:t>
            </w:r>
          </w:p>
        </w:tc>
        <w:tc>
          <w:tcPr>
            <w:tcW w:w="1541" w:type="dxa"/>
            <w:noWrap w:val="0"/>
            <w:vAlign w:val="center"/>
          </w:tcPr>
          <w:p w14:paraId="1A5DCD7B">
            <w:pPr>
              <w:snapToGrid w:val="0"/>
              <w:rPr>
                <w:rFonts w:ascii="仿宋_GB2312" w:eastAsia="仿宋_GB2312"/>
                <w:color w:val="auto"/>
                <w:sz w:val="24"/>
                <w:highlight w:val="none"/>
                <w:u w:val="none"/>
              </w:rPr>
            </w:pPr>
            <w:r>
              <w:rPr>
                <w:rFonts w:hint="eastAsia" w:ascii="仿宋_GB2312" w:eastAsia="仿宋_GB2312"/>
                <w:color w:val="auto"/>
                <w:sz w:val="24"/>
                <w:highlight w:val="none"/>
                <w:u w:val="none"/>
              </w:rPr>
              <w:t>技术定额≤实际使用寿命＜承诺寿命</w:t>
            </w:r>
          </w:p>
        </w:tc>
      </w:tr>
      <w:tr w14:paraId="0850B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jc w:val="center"/>
        </w:trPr>
        <w:tc>
          <w:tcPr>
            <w:tcW w:w="1476" w:type="dxa"/>
            <w:noWrap w:val="0"/>
            <w:vAlign w:val="center"/>
          </w:tcPr>
          <w:p w14:paraId="621E933F">
            <w:pPr>
              <w:snapToGrid w:val="0"/>
              <w:jc w:val="center"/>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考核方案</w:t>
            </w:r>
          </w:p>
        </w:tc>
        <w:tc>
          <w:tcPr>
            <w:tcW w:w="2627" w:type="dxa"/>
            <w:noWrap w:val="0"/>
            <w:vAlign w:val="center"/>
          </w:tcPr>
          <w:p w14:paraId="408FB00F">
            <w:pPr>
              <w:numPr>
                <w:ilvl w:val="0"/>
                <w:numId w:val="14"/>
              </w:num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维修后可以继续使用的工装，乙方无偿返修，返修后重新计算寿命；</w:t>
            </w:r>
          </w:p>
          <w:p w14:paraId="0AF2F85A">
            <w:pPr>
              <w:numPr>
                <w:ilvl w:val="0"/>
                <w:numId w:val="14"/>
              </w:num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无法继续使用的工装，乙方免费更换新制模具，重新计算寿命；</w:t>
            </w:r>
          </w:p>
          <w:p w14:paraId="4DBABED6">
            <w:pPr>
              <w:numPr>
                <w:ilvl w:val="0"/>
                <w:numId w:val="14"/>
              </w:num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视对甲方生产的影响，按6.2.7条考核。</w:t>
            </w:r>
          </w:p>
        </w:tc>
        <w:tc>
          <w:tcPr>
            <w:tcW w:w="3069" w:type="dxa"/>
            <w:noWrap w:val="0"/>
            <w:vAlign w:val="center"/>
          </w:tcPr>
          <w:p w14:paraId="518125AF">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1）工装进货结算价值≥50000元时，按该工装合同价（整付价格）的10%考核；</w:t>
            </w:r>
          </w:p>
          <w:p w14:paraId="074D06C5">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2）工装进货结算价值＜50000元，≥10000元时，按该工装合同价（整付价格）的20%确定；</w:t>
            </w:r>
          </w:p>
          <w:p w14:paraId="7E766105">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3）工装进货结算价值＜10000元时，按该工装合同价（整付价格）的30%确定。</w:t>
            </w:r>
          </w:p>
        </w:tc>
        <w:tc>
          <w:tcPr>
            <w:tcW w:w="1523" w:type="dxa"/>
            <w:noWrap w:val="0"/>
            <w:vAlign w:val="center"/>
          </w:tcPr>
          <w:p w14:paraId="1AADB8CF">
            <w:pPr>
              <w:snapToGrid w:val="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按该工装合同价（整付价格）的5%考核</w:t>
            </w:r>
          </w:p>
        </w:tc>
        <w:tc>
          <w:tcPr>
            <w:tcW w:w="1280" w:type="dxa"/>
            <w:noWrap w:val="0"/>
            <w:vAlign w:val="center"/>
          </w:tcPr>
          <w:p w14:paraId="5A4F6069">
            <w:pPr>
              <w:snapToGrid w:val="0"/>
              <w:rPr>
                <w:rFonts w:ascii="仿宋" w:hAnsi="仿宋" w:eastAsia="仿宋"/>
                <w:color w:val="auto"/>
                <w:sz w:val="24"/>
                <w:szCs w:val="24"/>
                <w:highlight w:val="none"/>
                <w:u w:val="none"/>
              </w:rPr>
            </w:pPr>
            <w:r>
              <w:rPr>
                <w:rFonts w:hint="eastAsia" w:ascii="仿宋_GB2312" w:eastAsia="仿宋_GB2312"/>
                <w:color w:val="auto"/>
                <w:sz w:val="24"/>
                <w:highlight w:val="none"/>
                <w:u w:val="none"/>
              </w:rPr>
              <w:t>按</w:t>
            </w:r>
            <w:r>
              <w:rPr>
                <w:rFonts w:ascii="仿宋_GB2312" w:eastAsia="仿宋_GB2312"/>
                <w:color w:val="auto"/>
                <w:sz w:val="24"/>
                <w:highlight w:val="none"/>
                <w:u w:val="none"/>
              </w:rPr>
              <w:t>该工装合同价</w:t>
            </w:r>
            <w:r>
              <w:rPr>
                <w:rFonts w:hint="eastAsia" w:ascii="仿宋" w:hAnsi="仿宋" w:eastAsia="仿宋"/>
                <w:color w:val="auto"/>
                <w:sz w:val="24"/>
                <w:szCs w:val="24"/>
                <w:highlight w:val="none"/>
                <w:u w:val="none"/>
              </w:rPr>
              <w:t>（整付价格）</w:t>
            </w:r>
            <w:r>
              <w:rPr>
                <w:rFonts w:ascii="仿宋_GB2312" w:eastAsia="仿宋_GB2312"/>
                <w:color w:val="auto"/>
                <w:sz w:val="24"/>
                <w:highlight w:val="none"/>
                <w:u w:val="none"/>
              </w:rPr>
              <w:t>的</w:t>
            </w:r>
            <w:r>
              <w:rPr>
                <w:rFonts w:hint="eastAsia" w:ascii="仿宋_GB2312" w:eastAsia="仿宋_GB2312"/>
                <w:color w:val="auto"/>
                <w:sz w:val="24"/>
                <w:highlight w:val="none"/>
                <w:u w:val="none"/>
              </w:rPr>
              <w:t>2</w:t>
            </w:r>
            <w:r>
              <w:rPr>
                <w:rFonts w:ascii="仿宋_GB2312" w:eastAsia="仿宋_GB2312"/>
                <w:color w:val="auto"/>
                <w:sz w:val="24"/>
                <w:highlight w:val="none"/>
                <w:u w:val="none"/>
              </w:rPr>
              <w:t>%</w:t>
            </w:r>
            <w:r>
              <w:rPr>
                <w:rFonts w:hint="eastAsia" w:ascii="仿宋_GB2312" w:eastAsia="仿宋_GB2312"/>
                <w:color w:val="auto"/>
                <w:sz w:val="24"/>
                <w:highlight w:val="none"/>
                <w:u w:val="none"/>
              </w:rPr>
              <w:t>考核</w:t>
            </w:r>
          </w:p>
        </w:tc>
        <w:tc>
          <w:tcPr>
            <w:tcW w:w="1541" w:type="dxa"/>
            <w:noWrap w:val="0"/>
            <w:vAlign w:val="center"/>
          </w:tcPr>
          <w:p w14:paraId="09ED1075">
            <w:pPr>
              <w:snapToGrid w:val="0"/>
              <w:rPr>
                <w:rFonts w:ascii="仿宋_GB2312" w:eastAsia="仿宋_GB2312"/>
                <w:color w:val="auto"/>
                <w:sz w:val="24"/>
                <w:highlight w:val="none"/>
                <w:u w:val="none"/>
              </w:rPr>
            </w:pPr>
            <w:r>
              <w:rPr>
                <w:rFonts w:hint="eastAsia" w:ascii="仿宋_GB2312" w:eastAsia="仿宋_GB2312"/>
                <w:color w:val="auto"/>
                <w:sz w:val="24"/>
                <w:highlight w:val="none"/>
                <w:u w:val="none"/>
              </w:rPr>
              <w:t>按6.1.2.2第二条：（承诺寿命﹣实际使用寿命）/承诺寿命×合同价进行索赔</w:t>
            </w:r>
          </w:p>
        </w:tc>
      </w:tr>
    </w:tbl>
    <w:p w14:paraId="16954412">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6.1.2.3模具实际使用寿命为甲方工装跟踪簿上填报的实际生产数量为准。</w:t>
      </w:r>
    </w:p>
    <w:p w14:paraId="64336B86">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6.1.3对生产制造不合格工装的乙方，甲方可视不合格程度及造成甲方在经济、声誉等方面的损失情况，做出以下处理：</w:t>
      </w:r>
    </w:p>
    <w:p w14:paraId="587A7CE0">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6.1.3.1对连续三次以上在进货检验出现退货或生产使用中出现使用寿命低于技术定额30%的供方，将取消其合格供方资格。</w:t>
      </w:r>
    </w:p>
    <w:p w14:paraId="7504CD4F">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6.1.3.2对乙方发生退货或不合格现象，甲方将对乙方供货业绩进行扣分统计，并作年度合格供方评审依据。</w:t>
      </w:r>
    </w:p>
    <w:p w14:paraId="69207ED2">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6.1.4新产品验证过程出现的不合格，属成型厂设计责任的，由技术质量部、使用单位签字确认，成型厂技术质量部对工装制造单位免于考核；属工装本身质量问题，成型厂按第6.1.2条款进行处理。</w:t>
      </w:r>
    </w:p>
    <w:p w14:paraId="7B4164F4">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6.1.5供方行为</w:t>
      </w:r>
    </w:p>
    <w:p w14:paraId="5C961846">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185AB474">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6.1.5.3甲方已通知乙方更改工艺或技术图纸，但乙方未按要求进行更改，甲方一经发现，扣除乙方该批货物价值的10%作为违约金；对造成严重后果的，可予以加倍扣除违约金或取消其供货资格。</w:t>
      </w:r>
    </w:p>
    <w:p w14:paraId="4EF5079E">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75E67C83">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5D8544D0">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6.1.6态度/沟通</w:t>
      </w:r>
    </w:p>
    <w:p w14:paraId="3982C4B2">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6.1.6.1乙方对发生的质量问题及审核发现问题未按时反馈、未制定整改措施或制定了整改措施但未实施的，首次发生的支付违约金1000-5000元，一年内重复发生加倍支付违约金。</w:t>
      </w:r>
    </w:p>
    <w:p w14:paraId="07A69F71">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6.1.6.2乙方无正当理由未按要求及时提供相关有效证书、报告、信息的，首次发生的支付违约金2000元，一年内重复发生加倍支付违约金。</w:t>
      </w:r>
    </w:p>
    <w:p w14:paraId="50CE6D93">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4F0864AD">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6.1.7其它问题</w:t>
      </w:r>
    </w:p>
    <w:p w14:paraId="48E130DF">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6.1.7.1因乙方产品质量问题，造成甲方或客户人员伤害和财产损失的，乙方除按本协议承担赔偿外，还应按相关法律、法规的规定承担有关责任，并承担因此给客户或相关人员造成的人员或财产的相关损失。</w:t>
      </w:r>
    </w:p>
    <w:p w14:paraId="14A0DCF0">
      <w:pPr>
        <w:snapToGrid w:val="0"/>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6.1.7.2其它未尽事宜，双方协商解决，协商一致后签订补充协议。</w:t>
      </w:r>
    </w:p>
    <w:p w14:paraId="138111EB">
      <w:pPr>
        <w:pStyle w:val="136"/>
        <w:ind w:firstLine="482" w:firstLineChars="200"/>
        <w:rPr>
          <w:rFonts w:ascii="仿宋" w:hAnsi="仿宋" w:eastAsia="仿宋" w:cs="Times New Roman"/>
          <w:b/>
          <w:color w:val="auto"/>
          <w:sz w:val="24"/>
          <w:szCs w:val="24"/>
          <w:highlight w:val="none"/>
          <w:u w:val="none"/>
        </w:rPr>
      </w:pPr>
      <w:r>
        <w:rPr>
          <w:rFonts w:hint="eastAsia" w:ascii="仿宋" w:hAnsi="仿宋" w:eastAsia="仿宋" w:cs="Times New Roman"/>
          <w:b/>
          <w:color w:val="auto"/>
          <w:sz w:val="24"/>
          <w:szCs w:val="24"/>
          <w:highlight w:val="none"/>
          <w:u w:val="none"/>
        </w:rPr>
        <w:t>6.2索赔程序</w:t>
      </w:r>
    </w:p>
    <w:p w14:paraId="48B4B8CD">
      <w:pPr>
        <w:pStyle w:val="136"/>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6.2.1甲方依据乙方原因所造成的影响及后果，按照本协议的约定，确定违约金及/或索赔金额并通过甲方信息化系统、邮件等形式通知乙方后，甲方有权从应付货款中直接扣除,应付货款不足时在质量保证金中扣除。乙方应及时对索赔信息进行确认，乙方如有异议，可在接到通知5</w:t>
      </w:r>
      <w:r>
        <w:rPr>
          <w:rFonts w:hint="eastAsia" w:ascii="仿宋" w:hAnsi="仿宋"/>
          <w:color w:val="auto"/>
          <w:sz w:val="24"/>
          <w:highlight w:val="none"/>
          <w:u w:val="none"/>
        </w:rPr>
        <w:t>个</w:t>
      </w:r>
      <w:r>
        <w:rPr>
          <w:rFonts w:hint="eastAsia" w:ascii="仿宋" w:hAnsi="仿宋" w:eastAsia="仿宋" w:cs="Times New Roman"/>
          <w:color w:val="auto"/>
          <w:sz w:val="24"/>
          <w:szCs w:val="24"/>
          <w:highlight w:val="none"/>
          <w:u w:val="none"/>
        </w:rPr>
        <w:t>自然日内向甲方提出书面申诉，甲方有责任对乙方的申诉进行确认及回复，对于非乙方责任造成的索赔，甲方将无息退还乙方的索赔费用，超过5</w:t>
      </w:r>
      <w:r>
        <w:rPr>
          <w:rFonts w:hint="eastAsia" w:ascii="仿宋" w:hAnsi="仿宋"/>
          <w:color w:val="auto"/>
          <w:sz w:val="24"/>
          <w:highlight w:val="none"/>
          <w:u w:val="none"/>
        </w:rPr>
        <w:t>个</w:t>
      </w:r>
      <w:r>
        <w:rPr>
          <w:rFonts w:hint="eastAsia" w:ascii="仿宋" w:hAnsi="仿宋" w:eastAsia="仿宋" w:cs="Times New Roman"/>
          <w:color w:val="auto"/>
          <w:sz w:val="24"/>
          <w:szCs w:val="24"/>
          <w:highlight w:val="none"/>
          <w:u w:val="none"/>
        </w:rPr>
        <w:t>自然日乙方未确认或未提出申诉的，视为同意索赔及违约金</w:t>
      </w:r>
      <w:bookmarkStart w:id="37" w:name="_Hlk124335919"/>
      <w:r>
        <w:rPr>
          <w:rFonts w:hint="eastAsia" w:ascii="仿宋" w:hAnsi="仿宋" w:eastAsia="仿宋" w:cs="Times New Roman"/>
          <w:color w:val="auto"/>
          <w:sz w:val="24"/>
          <w:szCs w:val="24"/>
          <w:highlight w:val="none"/>
          <w:u w:val="none"/>
        </w:rPr>
        <w:t>。</w:t>
      </w:r>
    </w:p>
    <w:bookmarkEnd w:id="37"/>
    <w:p w14:paraId="2D5A7E01">
      <w:pPr>
        <w:pStyle w:val="136"/>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6.2.2对乙方的考核，由乙方以电汇或现金的方式结算。乙方降价、索赔费用由甲方从其货款中扣除，甲方财务部门在结算乙方货款时，首先扣除因产品质量问题产生降价、索赔金额。</w:t>
      </w:r>
    </w:p>
    <w:p w14:paraId="3E270F2F">
      <w:pPr>
        <w:pStyle w:val="136"/>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6.2.3乙方发现甲方人员对质量责任判定弄虚作假的，有权向甲方投诉，经甲方查证属实的，将无息退还误判乙方的索赔费用。</w:t>
      </w:r>
    </w:p>
    <w:p w14:paraId="13AD5DA2">
      <w:pPr>
        <w:ind w:firstLine="480" w:firstLineChars="200"/>
        <w:jc w:val="left"/>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6.2.4质量保证金</w:t>
      </w:r>
    </w:p>
    <w:p w14:paraId="567A9465">
      <w:pPr>
        <w:pStyle w:val="136"/>
        <w:numPr>
          <w:ilvl w:val="0"/>
          <w:numId w:val="15"/>
        </w:numPr>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7F9513CF">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（2）对于采购产品合格供方，年度合同质保金计算方式为：年度质保金额度=</w:t>
      </w:r>
      <w:r>
        <w:rPr>
          <w:rFonts w:hint="eastAsia" w:ascii="仿宋" w:hAnsi="仿宋" w:eastAsia="仿宋" w:cs="Times New Roman"/>
          <w:color w:val="auto"/>
          <w:sz w:val="24"/>
          <w:szCs w:val="24"/>
          <w:highlight w:val="none"/>
          <w:u w:val="none"/>
        </w:rPr>
        <w:t>乙方上一年度入账发票（含税）采购额×5%×风险系数，最低1万元，最高200万元</w:t>
      </w:r>
      <w:r>
        <w:rPr>
          <w:rFonts w:hint="eastAsia" w:ascii="仿宋" w:hAnsi="仿宋" w:eastAsia="仿宋" w:cs="Times New Roman"/>
          <w:color w:val="auto"/>
          <w:kern w:val="2"/>
          <w:sz w:val="24"/>
          <w:szCs w:val="24"/>
          <w:highlight w:val="none"/>
          <w:u w:val="none"/>
        </w:rPr>
        <w:t>（</w:t>
      </w:r>
      <w:r>
        <w:rPr>
          <w:rFonts w:hint="eastAsia" w:ascii="仿宋" w:hAnsi="仿宋" w:eastAsia="仿宋" w:cs="Times New Roman"/>
          <w:color w:val="auto"/>
          <w:sz w:val="24"/>
          <w:szCs w:val="24"/>
          <w:highlight w:val="none"/>
          <w:u w:val="none"/>
        </w:rPr>
        <w:t>年度合同金额低于1万元的，按合同金额的5%收取，</w:t>
      </w:r>
      <w:r>
        <w:rPr>
          <w:rFonts w:hint="eastAsia" w:ascii="仿宋" w:hAnsi="仿宋" w:eastAsia="仿宋" w:cs="Times New Roman"/>
          <w:color w:val="auto"/>
          <w:kern w:val="2"/>
          <w:sz w:val="24"/>
          <w:szCs w:val="24"/>
          <w:highlight w:val="none"/>
          <w:u w:val="none"/>
        </w:rPr>
        <w:t>一次性合同质保金按合同金额的5%收取）。年度质量索赔费用与年度供货额的比率，为质量索赔比率（A）；根据不同的质量索赔比率设定不同的风险系数：A≤2%，风险系数=1； 2%&lt; A≤5%，风险系数=1.2；5%&lt; A≤10%，风险系数=1.5； A&gt;10%，风险系数=2。</w:t>
      </w:r>
      <w:r>
        <w:rPr>
          <w:rFonts w:hint="eastAsia" w:ascii="仿宋" w:hAnsi="仿宋" w:eastAsia="仿宋" w:cs="Times New Roman"/>
          <w:color w:val="auto"/>
          <w:sz w:val="24"/>
          <w:szCs w:val="24"/>
          <w:highlight w:val="none"/>
          <w:u w:val="none"/>
        </w:rPr>
        <w:t>双方确认乙方应缴纳质量保证金【    】万元。</w:t>
      </w:r>
    </w:p>
    <w:p w14:paraId="7A0854E1">
      <w:pPr>
        <w:pStyle w:val="136"/>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对于新准入的供方，按照当年度已挂账发票（含税）逐票预留5%（最高200万元），均自甲方应付账款中扣除。</w:t>
      </w:r>
    </w:p>
    <w:p w14:paraId="3A7073B0">
      <w:pPr>
        <w:pStyle w:val="136"/>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当乙方的质量保证金和货款不足以承担乙方需支付的违约金或赔偿款时，乙方应在收到甲方索赔通知之日起3个工作日内向甲方支付违约金或赔偿款。</w:t>
      </w:r>
    </w:p>
    <w:p w14:paraId="7D0A7DC1">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（3）甲方按照约定扣除保证金后，有权自动在应付乙方账款中扣除相应金额补足质保金，如应付账款无法补足的，乙方以现款补足。</w:t>
      </w:r>
    </w:p>
    <w:p w14:paraId="4895313F">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4）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6058426B">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5）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65CC710F">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（6）如乙方向甲方所属集团公司内多家制造单位供货，质量保证金额度分别计算、收取。如乙方出现停供风险，可在集团范围内统筹使用质量保证金，消除售后索赔赔付风险，乙方对此无异议。</w:t>
      </w:r>
    </w:p>
    <w:p w14:paraId="0749BBEF">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5A2C3125">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6.2.6乙方要根据甲方反馈的不合格信息及时提出整改措施，组织进行整改。由于整改不到位，造成质量问题的重复发生，乙方要加倍赔偿甲方的损失。</w:t>
      </w:r>
    </w:p>
    <w:p w14:paraId="4012243B">
      <w:pPr>
        <w:snapToGrid w:val="0"/>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6.2.7乙方应确保供货不耽误甲方正常生产（不可抗拒因素除外），如果因乙方产品质量原因或供货期滞后，导致甲方局部或全线生产中断，甲方在30分钟内通知乙方，乙方应承担给甲方造成的相关损失，包括但不限于能源费、人工成本、废品等损失，经财务部门确认后，由甲方技术质量部门向乙方索赔；因乙方原因影响甲方产品交付的，视情节轻重对乙方进行考核、降低份额直至拉入黑名单。</w:t>
      </w:r>
    </w:p>
    <w:p w14:paraId="57EDD5F1">
      <w:pPr>
        <w:snapToGrid w:val="0"/>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索赔费用计算公式如下：</w:t>
      </w:r>
    </w:p>
    <w:p w14:paraId="2328436B">
      <w:pPr>
        <w:snapToGrid w:val="0"/>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燃动力费=炉膛材料甩料件数×下料单重×单吨能耗；</w:t>
      </w:r>
    </w:p>
    <w:p w14:paraId="3F008EE6">
      <w:pPr>
        <w:snapToGrid w:val="0"/>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人工成本=影响时间×小时单人人工成本×产线人数</w:t>
      </w:r>
    </w:p>
    <w:p w14:paraId="3CFAAC91">
      <w:pPr>
        <w:snapToGrid w:val="0"/>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废品损失=废品件数×单件成本（按实际发生核算）</w:t>
      </w:r>
    </w:p>
    <w:p w14:paraId="79DF571A">
      <w:pPr>
        <w:snapToGrid w:val="0"/>
        <w:ind w:firstLine="480" w:firstLineChars="200"/>
        <w:rPr>
          <w:rFonts w:ascii="仿宋" w:hAnsi="仿宋" w:eastAsia="仿宋" w:cs="Times New Roman"/>
          <w:color w:val="auto"/>
          <w:sz w:val="24"/>
          <w:szCs w:val="24"/>
          <w:highlight w:val="none"/>
          <w:u w:val="none"/>
        </w:rPr>
      </w:pPr>
      <w:r>
        <w:rPr>
          <w:rFonts w:hint="eastAsia" w:ascii="仿宋" w:hAnsi="仿宋" w:eastAsia="仿宋" w:cs="Times New Roman"/>
          <w:color w:val="auto"/>
          <w:sz w:val="24"/>
          <w:szCs w:val="24"/>
          <w:highlight w:val="none"/>
          <w:u w:val="none"/>
        </w:rPr>
        <w:t>其他：因模具问题导致的其他损失（包括但不限于模具质量问题导致的设备故障、辅料浪费等）</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09"/>
        <w:gridCol w:w="4500"/>
      </w:tblGrid>
      <w:tr w14:paraId="6E9A4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top"/>
          </w:tcPr>
          <w:p w14:paraId="7E7B0B62">
            <w:pPr>
              <w:pStyle w:val="31"/>
              <w:jc w:val="center"/>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项目</w:t>
            </w:r>
          </w:p>
        </w:tc>
        <w:tc>
          <w:tcPr>
            <w:tcW w:w="4500" w:type="dxa"/>
            <w:noWrap w:val="0"/>
            <w:vAlign w:val="top"/>
          </w:tcPr>
          <w:p w14:paraId="088052E4">
            <w:pPr>
              <w:pStyle w:val="31"/>
              <w:jc w:val="center"/>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单价</w:t>
            </w:r>
          </w:p>
        </w:tc>
      </w:tr>
      <w:tr w14:paraId="6FEE7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center"/>
          </w:tcPr>
          <w:p w14:paraId="693DB873">
            <w:pPr>
              <w:pStyle w:val="31"/>
              <w:jc w:val="center"/>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燃动力费</w:t>
            </w:r>
          </w:p>
        </w:tc>
        <w:tc>
          <w:tcPr>
            <w:tcW w:w="4500" w:type="dxa"/>
            <w:noWrap w:val="0"/>
            <w:vAlign w:val="top"/>
          </w:tcPr>
          <w:p w14:paraId="09AE7B32">
            <w:pPr>
              <w:pStyle w:val="31"/>
              <w:jc w:val="center"/>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540元/吨（料段）</w:t>
            </w:r>
          </w:p>
        </w:tc>
      </w:tr>
      <w:tr w14:paraId="63C46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center"/>
          </w:tcPr>
          <w:p w14:paraId="725C85F9">
            <w:pPr>
              <w:pStyle w:val="31"/>
              <w:jc w:val="center"/>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人工成本</w:t>
            </w:r>
          </w:p>
        </w:tc>
        <w:tc>
          <w:tcPr>
            <w:tcW w:w="4500" w:type="dxa"/>
            <w:noWrap w:val="0"/>
            <w:vAlign w:val="top"/>
          </w:tcPr>
          <w:p w14:paraId="7A79C2AE">
            <w:pPr>
              <w:pStyle w:val="31"/>
              <w:jc w:val="center"/>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51元/小时（每人）</w:t>
            </w:r>
          </w:p>
        </w:tc>
      </w:tr>
      <w:tr w14:paraId="2FBDD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top"/>
          </w:tcPr>
          <w:p w14:paraId="16CE26EA">
            <w:pPr>
              <w:pStyle w:val="31"/>
              <w:jc w:val="center"/>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废品损失</w:t>
            </w:r>
          </w:p>
        </w:tc>
        <w:tc>
          <w:tcPr>
            <w:tcW w:w="4500" w:type="dxa"/>
            <w:noWrap w:val="0"/>
            <w:vAlign w:val="top"/>
          </w:tcPr>
          <w:p w14:paraId="05446BEA">
            <w:pPr>
              <w:pStyle w:val="31"/>
              <w:jc w:val="center"/>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按单件废品损失计</w:t>
            </w:r>
          </w:p>
        </w:tc>
      </w:tr>
      <w:tr w14:paraId="057FE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6509" w:type="dxa"/>
            <w:gridSpan w:val="2"/>
            <w:noWrap w:val="0"/>
            <w:vAlign w:val="top"/>
          </w:tcPr>
          <w:p w14:paraId="4DAE9562">
            <w:pPr>
              <w:pStyle w:val="31"/>
              <w:rPr>
                <w:rFonts w:ascii="仿宋" w:hAnsi="仿宋" w:eastAsia="仿宋" w:cs="Times New Roman"/>
                <w:color w:val="auto"/>
                <w:kern w:val="2"/>
                <w:highlight w:val="none"/>
                <w:u w:val="none"/>
              </w:rPr>
            </w:pPr>
            <w:r>
              <w:rPr>
                <w:rFonts w:hint="eastAsia" w:ascii="仿宋" w:hAnsi="仿宋" w:eastAsia="仿宋" w:cs="Times New Roman"/>
                <w:color w:val="auto"/>
                <w:kern w:val="2"/>
                <w:highlight w:val="none"/>
                <w:u w:val="none"/>
              </w:rPr>
              <w:t>备注：以上单价为当前核算价，合同有效期内甲方有权根据实际费用情况进行调整。</w:t>
            </w:r>
          </w:p>
        </w:tc>
      </w:tr>
    </w:tbl>
    <w:p w14:paraId="710B96AD">
      <w:pPr>
        <w:pStyle w:val="136"/>
        <w:rPr>
          <w:rFonts w:ascii="仿宋" w:hAnsi="仿宋" w:eastAsia="仿宋" w:cs="Times New Roman"/>
          <w:color w:val="auto"/>
          <w:kern w:val="2"/>
          <w:sz w:val="24"/>
          <w:szCs w:val="24"/>
          <w:highlight w:val="none"/>
          <w:u w:val="none"/>
        </w:rPr>
      </w:pPr>
    </w:p>
    <w:p w14:paraId="4C93A8B5">
      <w:pPr>
        <w:pStyle w:val="136"/>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6.2.8对于已付款的不合格的外制外协工装，每月由甲方技术质量部门开据《质量索赔通知单》，并通知乙方确认。</w:t>
      </w:r>
    </w:p>
    <w:p w14:paraId="416318F8">
      <w:pPr>
        <w:pStyle w:val="136"/>
        <w:ind w:firstLine="482" w:firstLineChars="200"/>
        <w:rPr>
          <w:rFonts w:ascii="仿宋" w:hAnsi="仿宋" w:eastAsia="仿宋"/>
          <w:b/>
          <w:color w:val="auto"/>
          <w:sz w:val="24"/>
          <w:szCs w:val="24"/>
          <w:highlight w:val="none"/>
          <w:u w:val="none"/>
        </w:rPr>
      </w:pPr>
      <w:r>
        <w:rPr>
          <w:rFonts w:hint="eastAsia" w:ascii="仿宋" w:hAnsi="仿宋" w:eastAsia="仿宋"/>
          <w:b/>
          <w:color w:val="auto"/>
          <w:sz w:val="24"/>
          <w:szCs w:val="24"/>
          <w:highlight w:val="none"/>
          <w:u w:val="none"/>
        </w:rPr>
        <w:t>7</w:t>
      </w:r>
      <w:r>
        <w:rPr>
          <w:rFonts w:hint="eastAsia" w:ascii="仿宋" w:hAnsi="仿宋" w:eastAsia="仿宋" w:cs="Times New Roman"/>
          <w:b/>
          <w:color w:val="auto"/>
          <w:sz w:val="24"/>
          <w:szCs w:val="24"/>
          <w:highlight w:val="none"/>
          <w:u w:val="none"/>
        </w:rPr>
        <w:t>．</w:t>
      </w:r>
      <w:r>
        <w:rPr>
          <w:rFonts w:hint="eastAsia" w:ascii="仿宋" w:hAnsi="仿宋" w:eastAsia="仿宋"/>
          <w:b/>
          <w:color w:val="auto"/>
          <w:sz w:val="24"/>
          <w:szCs w:val="24"/>
          <w:highlight w:val="none"/>
          <w:u w:val="none"/>
        </w:rPr>
        <w:t>法律适用与争议解决</w:t>
      </w:r>
    </w:p>
    <w:p w14:paraId="136ABDA6">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7C4C6D3A">
      <w:pPr>
        <w:pStyle w:val="136"/>
        <w:ind w:firstLine="482" w:firstLineChars="200"/>
        <w:rPr>
          <w:rFonts w:ascii="仿宋" w:hAnsi="仿宋" w:eastAsia="仿宋"/>
          <w:color w:val="auto"/>
          <w:sz w:val="24"/>
          <w:szCs w:val="24"/>
          <w:highlight w:val="none"/>
          <w:u w:val="none"/>
        </w:rPr>
      </w:pPr>
      <w:r>
        <w:rPr>
          <w:rFonts w:hint="eastAsia" w:ascii="仿宋" w:hAnsi="仿宋" w:eastAsia="仿宋" w:cs="Times New Roman"/>
          <w:b/>
          <w:color w:val="auto"/>
          <w:sz w:val="24"/>
          <w:szCs w:val="24"/>
          <w:highlight w:val="none"/>
          <w:u w:val="none"/>
        </w:rPr>
        <w:t>8．</w:t>
      </w:r>
      <w:r>
        <w:rPr>
          <w:rFonts w:hint="eastAsia" w:ascii="仿宋" w:hAnsi="仿宋" w:eastAsia="仿宋"/>
          <w:b/>
          <w:color w:val="auto"/>
          <w:sz w:val="24"/>
          <w:szCs w:val="24"/>
          <w:highlight w:val="none"/>
          <w:u w:val="none"/>
        </w:rPr>
        <w:t>其他规定</w:t>
      </w:r>
    </w:p>
    <w:p w14:paraId="1AB760B0">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8.1本协议终止（中止）时，乙方需将甲方提供的技术资料（含复印件）、工装模具等如数交还甲方，并对甲方相关的所有技术资料进行保密。</w:t>
      </w:r>
    </w:p>
    <w:p w14:paraId="2CD3A56A">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8.2乙方不得与甲方的客户直接发生与甲方采购产品有关的任何商务往来。</w:t>
      </w:r>
    </w:p>
    <w:p w14:paraId="5F8B567E">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8.3乙方违反本协议各项条款，甲方有权中止与乙方签订的采购合同，由此造成的一切损失由乙方承担。</w:t>
      </w:r>
    </w:p>
    <w:p w14:paraId="2F2FA054">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8.4本协议书自双方代表签字并盖章后生效，有效期限为2024年1 月1日至2024年12月31日。协议到期后如双方均无异议，则本协议延续一年，最多可延续两次。</w:t>
      </w:r>
    </w:p>
    <w:p w14:paraId="03F7DA1F">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8.5 任何一方如欲修改本协议，需在协议到期前一个月书面通知另一方，本协议将到期终止，双方可另行签署新的《采购产品质量保证与服务协议》。</w:t>
      </w:r>
    </w:p>
    <w:p w14:paraId="646B3618">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8.6本协议生效后，甲方与乙方之前签订的质量保证协议即行废止。</w:t>
      </w:r>
    </w:p>
    <w:p w14:paraId="6421155F">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8.7本协议一式两份，甲乙双方各执一份，具有同等法律效力。</w:t>
      </w:r>
    </w:p>
    <w:p w14:paraId="1B67C428">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8.8本协议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D055D19">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ED0F1F3">
      <w:pPr>
        <w:pStyle w:val="136"/>
        <w:rPr>
          <w:rFonts w:ascii="仿宋" w:hAnsi="仿宋" w:eastAsia="仿宋"/>
          <w:color w:val="auto"/>
          <w:sz w:val="24"/>
          <w:szCs w:val="24"/>
          <w:highlight w:val="none"/>
          <w:u w:val="none"/>
        </w:rPr>
      </w:pPr>
    </w:p>
    <w:p w14:paraId="469A8773">
      <w:pPr>
        <w:pStyle w:val="136"/>
        <w:ind w:firstLine="480" w:firstLineChars="200"/>
        <w:rPr>
          <w:rFonts w:ascii="仿宋" w:hAnsi="仿宋" w:eastAsia="仿宋"/>
          <w:color w:val="auto"/>
          <w:sz w:val="24"/>
          <w:szCs w:val="24"/>
          <w:highlight w:val="none"/>
          <w:u w:val="none"/>
        </w:rPr>
      </w:pPr>
    </w:p>
    <w:p w14:paraId="20E843F6">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甲方:(盖章)                            乙方：(盖章)</w:t>
      </w:r>
    </w:p>
    <w:p w14:paraId="4A75BFDD">
      <w:pPr>
        <w:pStyle w:val="136"/>
        <w:ind w:firstLine="480" w:firstLineChars="200"/>
        <w:rPr>
          <w:rFonts w:ascii="仿宋" w:hAnsi="仿宋" w:eastAsia="仿宋"/>
          <w:color w:val="auto"/>
          <w:sz w:val="24"/>
          <w:szCs w:val="24"/>
          <w:highlight w:val="none"/>
          <w:u w:val="none"/>
        </w:rPr>
      </w:pPr>
      <w:r>
        <w:rPr>
          <w:rFonts w:hint="eastAsia" w:ascii="仿宋" w:hAnsi="仿宋" w:eastAsia="仿宋"/>
          <w:color w:val="auto"/>
          <w:sz w:val="24"/>
          <w:szCs w:val="24"/>
          <w:highlight w:val="none"/>
          <w:u w:val="none"/>
        </w:rPr>
        <w:t>授权代表人签字：                       授权代表人签字：</w:t>
      </w:r>
    </w:p>
    <w:p w14:paraId="7385408A">
      <w:pPr>
        <w:pStyle w:val="136"/>
        <w:ind w:firstLine="480" w:firstLineChars="200"/>
        <w:rPr>
          <w:rFonts w:hint="eastAsia" w:ascii="仿宋" w:hAnsi="仿宋" w:eastAsia="仿宋"/>
          <w:color w:val="auto"/>
          <w:sz w:val="24"/>
          <w:szCs w:val="24"/>
          <w:highlight w:val="none"/>
          <w:u w:val="none"/>
        </w:rPr>
      </w:pPr>
      <w:r>
        <w:rPr>
          <w:rFonts w:hint="eastAsia" w:ascii="仿宋" w:hAnsi="仿宋" w:eastAsia="仿宋"/>
          <w:color w:val="auto"/>
          <w:sz w:val="24"/>
          <w:szCs w:val="24"/>
          <w:highlight w:val="none"/>
          <w:u w:val="none"/>
        </w:rPr>
        <w:t>时间:    年  月  日                    时间:    年  月  日</w:t>
      </w:r>
    </w:p>
    <w:p w14:paraId="325AB954">
      <w:pPr>
        <w:rPr>
          <w:rFonts w:hint="eastAsia" w:ascii="仿宋" w:hAnsi="仿宋" w:eastAsia="仿宋"/>
          <w:color w:val="auto"/>
          <w:sz w:val="24"/>
          <w:szCs w:val="24"/>
          <w:highlight w:val="none"/>
          <w:u w:val="none"/>
        </w:rPr>
      </w:pPr>
      <w:r>
        <w:rPr>
          <w:rFonts w:hint="eastAsia" w:ascii="仿宋" w:hAnsi="仿宋" w:eastAsia="仿宋"/>
          <w:color w:val="auto"/>
          <w:sz w:val="24"/>
          <w:szCs w:val="24"/>
          <w:highlight w:val="none"/>
          <w:u w:val="none"/>
        </w:rPr>
        <w:br w:type="page"/>
      </w:r>
    </w:p>
    <w:p w14:paraId="43F853F2">
      <w:pPr>
        <w:pStyle w:val="136"/>
        <w:ind w:firstLine="480" w:firstLineChars="200"/>
        <w:rPr>
          <w:rFonts w:hint="eastAsia" w:ascii="仿宋" w:hAnsi="仿宋" w:eastAsia="仿宋"/>
          <w:color w:val="auto"/>
          <w:sz w:val="24"/>
          <w:szCs w:val="24"/>
          <w:highlight w:val="none"/>
          <w:u w:val="none"/>
        </w:rPr>
      </w:pPr>
    </w:p>
    <w:bookmarkEnd w:id="36"/>
    <w:p w14:paraId="35C27692">
      <w:pPr>
        <w:keepNext/>
        <w:keepLines/>
        <w:jc w:val="center"/>
        <w:outlineLvl w:val="0"/>
        <w:rPr>
          <w:rFonts w:ascii="Calibri" w:hAnsi="Calibri" w:eastAsia="宋体" w:cs="Times New Roman"/>
          <w:b/>
          <w:bCs/>
          <w:kern w:val="44"/>
          <w:sz w:val="36"/>
          <w:szCs w:val="44"/>
        </w:rPr>
      </w:pPr>
      <w:bookmarkStart w:id="38" w:name="_Toc2969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8"/>
    </w:p>
    <w:p w14:paraId="004B8CE5">
      <w:pPr>
        <w:keepNext/>
        <w:keepLines/>
        <w:rPr>
          <w:rFonts w:ascii="Times New Roman" w:hAnsi="Times New Roman" w:eastAsia="宋体" w:cs="Times New Roman"/>
          <w:b/>
          <w:bCs/>
          <w:color w:val="000000"/>
          <w:sz w:val="24"/>
          <w:szCs w:val="24"/>
        </w:rPr>
      </w:pPr>
    </w:p>
    <w:p w14:paraId="6D68D61A">
      <w:pPr>
        <w:pStyle w:val="17"/>
        <w:rPr>
          <w:rFonts w:ascii="Times New Roman" w:hAnsi="Times New Roman" w:eastAsia="宋体" w:cs="Times New Roman"/>
          <w:b/>
          <w:bCs/>
          <w:color w:val="000000"/>
          <w:sz w:val="24"/>
          <w:szCs w:val="24"/>
        </w:rPr>
      </w:pPr>
    </w:p>
    <w:p w14:paraId="69EA8407">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64D7EE0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4AD2D164">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14B7BD2D">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32C56AB5">
      <w:pPr>
        <w:pStyle w:val="17"/>
        <w:rPr>
          <w:rFonts w:ascii="Times New Roman" w:hAnsi="Times New Roman" w:eastAsia="宋体" w:cs="Times New Roman"/>
          <w:b/>
          <w:bCs/>
          <w:color w:val="000000"/>
          <w:sz w:val="24"/>
          <w:szCs w:val="24"/>
        </w:rPr>
        <w:sectPr>
          <w:footerReference r:id="rId15" w:type="first"/>
          <w:headerReference r:id="rId13" w:type="default"/>
          <w:footerReference r:id="rId14" w:type="default"/>
          <w:pgSz w:w="11906" w:h="16838"/>
          <w:pgMar w:top="1588" w:right="1418" w:bottom="1134" w:left="1418" w:header="851" w:footer="992" w:gutter="0"/>
          <w:cols w:space="720" w:num="1"/>
          <w:titlePg/>
          <w:docGrid w:type="lines" w:linePitch="312" w:charSpace="0"/>
        </w:sectPr>
      </w:pPr>
    </w:p>
    <w:p w14:paraId="6A7DA44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39" w:name="_Toc353881012"/>
      <w:bookmarkStart w:id="40" w:name="_Toc212369550"/>
      <w:bookmarkStart w:id="41" w:name="_Toc639004"/>
      <w:bookmarkStart w:id="42"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39"/>
      <w:bookmarkEnd w:id="40"/>
      <w:bookmarkEnd w:id="41"/>
      <w:bookmarkEnd w:id="42"/>
    </w:p>
    <w:p w14:paraId="71144F4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red"/>
        </w:rPr>
        <w:t>致：中国重汽集团济南动力有限公司</w:t>
      </w:r>
      <w:r>
        <w:rPr>
          <w:rFonts w:hint="eastAsia" w:ascii="宋体" w:hAnsi="宋体" w:eastAsia="宋体" w:cs="Times New Roman"/>
          <w:color w:val="000000"/>
          <w:sz w:val="24"/>
          <w:szCs w:val="24"/>
        </w:rPr>
        <w:t>：</w:t>
      </w:r>
    </w:p>
    <w:p w14:paraId="3332FB1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color w:val="000000"/>
          <w:sz w:val="24"/>
          <w:szCs w:val="24"/>
          <w:u w:val="single"/>
          <w:lang w:eastAsia="zh-CN"/>
        </w:rPr>
        <w:t>济南成型厂5吨整体式转向节模具新制项目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提交纸质投标文件：资质证明文件、商务文件和技术文件正本五份；电子版投标文件一份。</w:t>
      </w:r>
    </w:p>
    <w:p w14:paraId="45D76B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436DA8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769AC8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2C0CA84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C9FD77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B1B161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92AC95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97A10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ACF44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C7DA1A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AAEB0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7AB5E0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E72DC6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77E3AF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联行号：                     </w:t>
      </w:r>
    </w:p>
    <w:p w14:paraId="10A86CD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86387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D4DA5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6CB479F">
      <w:pPr>
        <w:rPr>
          <w:rFonts w:ascii="黑体" w:hAnsi="Calibri" w:eastAsia="黑体" w:cs="Times New Roman"/>
          <w:color w:val="000000"/>
          <w:sz w:val="24"/>
          <w:szCs w:val="24"/>
        </w:rPr>
      </w:pPr>
    </w:p>
    <w:p w14:paraId="6F8797FE">
      <w:pPr>
        <w:rPr>
          <w:rFonts w:ascii="黑体" w:hAnsi="Calibri" w:eastAsia="黑体" w:cs="Times New Roman"/>
          <w:color w:val="000000"/>
          <w:sz w:val="24"/>
          <w:szCs w:val="24"/>
        </w:rPr>
      </w:pPr>
    </w:p>
    <w:p w14:paraId="3FDEE794">
      <w:pPr>
        <w:pStyle w:val="17"/>
        <w:rPr>
          <w:rFonts w:ascii="黑体" w:hAnsi="Calibri" w:eastAsia="黑体" w:cs="Times New Roman"/>
          <w:color w:val="000000"/>
          <w:sz w:val="24"/>
          <w:szCs w:val="24"/>
        </w:rPr>
      </w:pPr>
    </w:p>
    <w:p w14:paraId="6566FFCA">
      <w:pPr>
        <w:pStyle w:val="17"/>
        <w:rPr>
          <w:rFonts w:ascii="黑体" w:hAnsi="Calibri" w:eastAsia="黑体" w:cs="Times New Roman"/>
          <w:color w:val="000000"/>
          <w:sz w:val="24"/>
          <w:szCs w:val="24"/>
        </w:rPr>
      </w:pPr>
    </w:p>
    <w:p w14:paraId="3B6FDF38">
      <w:pPr>
        <w:pStyle w:val="17"/>
        <w:rPr>
          <w:rFonts w:ascii="黑体" w:hAnsi="Calibri" w:eastAsia="黑体" w:cs="Times New Roman"/>
          <w:color w:val="000000"/>
          <w:sz w:val="24"/>
          <w:szCs w:val="24"/>
        </w:rPr>
      </w:pPr>
    </w:p>
    <w:p w14:paraId="4DD34454">
      <w:pPr>
        <w:pStyle w:val="17"/>
        <w:rPr>
          <w:rFonts w:ascii="黑体" w:hAnsi="Calibri" w:eastAsia="黑体" w:cs="Times New Roman"/>
          <w:color w:val="000000"/>
          <w:sz w:val="24"/>
          <w:szCs w:val="24"/>
        </w:rPr>
      </w:pPr>
    </w:p>
    <w:p w14:paraId="3CF13451">
      <w:pPr>
        <w:rPr>
          <w:rFonts w:ascii="黑体" w:hAnsi="Calibri" w:eastAsia="黑体" w:cs="Times New Roman"/>
          <w:color w:val="000000"/>
          <w:sz w:val="24"/>
          <w:szCs w:val="24"/>
        </w:rPr>
      </w:pPr>
    </w:p>
    <w:p w14:paraId="0C70CD3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5E7C6208">
      <w:pPr>
        <w:adjustRightInd w:val="0"/>
        <w:snapToGrid w:val="0"/>
        <w:spacing w:before="93" w:beforeLines="30" w:line="240" w:lineRule="exact"/>
        <w:jc w:val="center"/>
        <w:rPr>
          <w:rFonts w:ascii="宋体" w:hAnsi="Calibri" w:eastAsia="宋体" w:cs="Times New Roman"/>
          <w:sz w:val="24"/>
          <w:szCs w:val="20"/>
        </w:rPr>
      </w:pPr>
    </w:p>
    <w:p w14:paraId="64C9C49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Times New Roman"/>
          <w:b/>
          <w:bCs/>
          <w:color w:val="000000"/>
          <w:sz w:val="24"/>
          <w:szCs w:val="24"/>
          <w:u w:val="single"/>
          <w:lang w:eastAsia="zh-CN"/>
        </w:rPr>
        <w:t>济南成型厂5吨整体式转向节模具新制项目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B86CB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87B1EA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3D1C5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5C746608">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26535C5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70A12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86D039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930909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3728335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1C478B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FC5F5E2">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876EC57">
      <w:pPr>
        <w:rPr>
          <w:rFonts w:ascii="Calibri" w:hAnsi="Calibri" w:eastAsia="黑体" w:cs="Times New Roman"/>
          <w:b/>
          <w:bCs/>
          <w:color w:val="000000"/>
          <w:sz w:val="28"/>
          <w:szCs w:val="20"/>
        </w:rPr>
      </w:pPr>
    </w:p>
    <w:p w14:paraId="6BB03077">
      <w:pPr>
        <w:pStyle w:val="17"/>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33174FF7">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2063754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29"/>
              <w:spacing w:before="114"/>
              <w:ind w:left="720"/>
            </w:pPr>
            <w: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0E514A6">
            <w:pPr>
              <w:pStyle w:val="12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F619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D5B8E48">
            <w:pPr>
              <w:pStyle w:val="129"/>
              <w:spacing w:before="114"/>
              <w:ind w:left="720"/>
            </w:pPr>
            <w: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B4F21D6">
            <w:pPr>
              <w:pStyle w:val="129"/>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29"/>
              <w:spacing w:before="111"/>
              <w:ind w:left="720"/>
            </w:pPr>
            <w: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35A9CD2">
            <w:pPr>
              <w:pStyle w:val="129"/>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29"/>
              <w:spacing w:before="111"/>
              <w:ind w:left="509"/>
            </w:pPr>
            <w:r>
              <w:t xml:space="preserve">企业法人代表  </w:t>
            </w:r>
          </w:p>
        </w:tc>
        <w:tc>
          <w:tcPr>
            <w:tcW w:w="4680" w:type="dxa"/>
            <w:gridSpan w:val="4"/>
          </w:tcPr>
          <w:p w14:paraId="19E9CD95">
            <w:pPr>
              <w:pStyle w:val="6"/>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39809702">
            <w:pPr>
              <w:pStyle w:val="129"/>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29"/>
              <w:spacing w:before="114"/>
              <w:ind w:left="720"/>
            </w:pPr>
            <w:r>
              <w:t xml:space="preserve">品牌区分 </w:t>
            </w:r>
          </w:p>
        </w:tc>
        <w:tc>
          <w:tcPr>
            <w:tcW w:w="7500" w:type="dxa"/>
            <w:gridSpan w:val="6"/>
          </w:tcPr>
          <w:p w14:paraId="6CB73591">
            <w:pPr>
              <w:pStyle w:val="129"/>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3ADB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7A6B562">
            <w:pPr>
              <w:pStyle w:val="129"/>
              <w:spacing w:before="178"/>
              <w:ind w:left="720"/>
            </w:pPr>
            <w:r>
              <w:t xml:space="preserve">品牌名称 </w:t>
            </w:r>
          </w:p>
        </w:tc>
        <w:tc>
          <w:tcPr>
            <w:tcW w:w="3583" w:type="dxa"/>
            <w:gridSpan w:val="3"/>
            <w:vAlign w:val="center"/>
          </w:tcPr>
          <w:p w14:paraId="61893AC7">
            <w:pPr>
              <w:widowControl/>
              <w:rPr>
                <w:rFonts w:ascii="宋体" w:hAnsi="宋体" w:eastAsia="仿宋_GB2312"/>
                <w:kern w:val="0"/>
                <w:szCs w:val="21"/>
                <w:lang w:bidi="ar"/>
              </w:rPr>
            </w:pPr>
          </w:p>
        </w:tc>
        <w:tc>
          <w:tcPr>
            <w:tcW w:w="1097" w:type="dxa"/>
          </w:tcPr>
          <w:p w14:paraId="68A0DDC0">
            <w:pPr>
              <w:pStyle w:val="129"/>
              <w:spacing w:before="15"/>
              <w:ind w:left="279"/>
            </w:pPr>
            <w:r>
              <w:rPr>
                <w:spacing w:val="-2"/>
              </w:rPr>
              <w:t>质量</w:t>
            </w:r>
            <w:r>
              <w:t xml:space="preserve"> </w:t>
            </w:r>
          </w:p>
          <w:p w14:paraId="7E67F972">
            <w:pPr>
              <w:pStyle w:val="129"/>
              <w:spacing w:before="30" w:line="277" w:lineRule="exact"/>
              <w:ind w:left="279"/>
            </w:pPr>
            <w:r>
              <w:rPr>
                <w:rFonts w:hint="eastAsia"/>
              </w:rPr>
              <w:t>体系</w:t>
            </w:r>
          </w:p>
        </w:tc>
        <w:tc>
          <w:tcPr>
            <w:tcW w:w="2820" w:type="dxa"/>
            <w:gridSpan w:val="2"/>
          </w:tcPr>
          <w:p w14:paraId="75D97D6D">
            <w:pPr>
              <w:pStyle w:val="129"/>
              <w:spacing w:before="158"/>
              <w:jc w:val="center"/>
              <w:rPr>
                <w:sz w:val="24"/>
              </w:rPr>
            </w:pPr>
            <w:r>
              <w:rPr>
                <w:rFonts w:hint="eastAsia"/>
                <w:kern w:val="0"/>
                <w:szCs w:val="21"/>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29"/>
              <w:spacing w:before="149"/>
              <w:ind w:left="3345" w:right="3223"/>
              <w:jc w:val="center"/>
            </w:pPr>
            <w:r>
              <w:rPr>
                <w:rFonts w:hint="eastAsia"/>
                <w:szCs w:val="21"/>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2907951">
            <w:pPr>
              <w:widowControl/>
              <w:textAlignment w:val="center"/>
              <w:rPr>
                <w:rFonts w:ascii="宋体" w:hAnsi="宋体" w:eastAsia="宋体" w:cs="宋体"/>
                <w:szCs w:val="21"/>
              </w:rPr>
            </w:pPr>
          </w:p>
        </w:tc>
        <w:tc>
          <w:tcPr>
            <w:tcW w:w="1530" w:type="dxa"/>
            <w:vAlign w:val="center"/>
          </w:tcPr>
          <w:p w14:paraId="0B8AF0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C436EF6">
            <w:pPr>
              <w:widowControl/>
              <w:jc w:val="center"/>
              <w:textAlignment w:val="center"/>
              <w:rPr>
                <w:rFonts w:ascii="宋体" w:hAnsi="宋体" w:eastAsia="宋体" w:cs="宋体"/>
                <w:szCs w:val="21"/>
              </w:rPr>
            </w:pPr>
          </w:p>
        </w:tc>
        <w:tc>
          <w:tcPr>
            <w:tcW w:w="1097" w:type="dxa"/>
            <w:vAlign w:val="center"/>
          </w:tcPr>
          <w:p w14:paraId="7204B273">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93ED2F3">
            <w:pPr>
              <w:widowControl/>
              <w:jc w:val="center"/>
              <w:textAlignment w:val="center"/>
              <w:rPr>
                <w:rFonts w:ascii="宋体" w:hAnsi="宋体" w:eastAsia="宋体" w:cs="宋体"/>
                <w:szCs w:val="21"/>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283A7E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A3FA782">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0A096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8CBDB8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FB2AD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702A0BE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C4C131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D84F95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1DA6F0B">
            <w:pPr>
              <w:widowControl/>
              <w:jc w:val="left"/>
              <w:rPr>
                <w:rFonts w:ascii="宋体" w:hAnsi="宋体" w:eastAsia="宋体" w:cs="宋体"/>
                <w:kern w:val="0"/>
                <w:szCs w:val="21"/>
                <w:lang w:bidi="ar"/>
              </w:rPr>
            </w:pPr>
          </w:p>
        </w:tc>
      </w:tr>
    </w:tbl>
    <w:p w14:paraId="2CDF4E86">
      <w:pPr>
        <w:pStyle w:val="17"/>
        <w:rPr>
          <w:rFonts w:ascii="Times New Roman" w:hAnsi="Times New Roman" w:eastAsia="宋体" w:cs="Times New Roman"/>
          <w:b/>
          <w:bCs/>
          <w:color w:val="000000"/>
          <w:sz w:val="24"/>
          <w:szCs w:val="24"/>
        </w:rPr>
      </w:pPr>
    </w:p>
    <w:p w14:paraId="0DD430E4">
      <w:pPr>
        <w:pStyle w:val="17"/>
        <w:rPr>
          <w:rFonts w:ascii="Times New Roman" w:hAnsi="Times New Roman" w:eastAsia="宋体" w:cs="Times New Roman"/>
          <w:b/>
          <w:bCs/>
          <w:color w:val="000000"/>
          <w:sz w:val="24"/>
          <w:szCs w:val="24"/>
        </w:rPr>
      </w:pPr>
    </w:p>
    <w:p w14:paraId="206455E0">
      <w:pPr>
        <w:pStyle w:val="17"/>
        <w:rPr>
          <w:rFonts w:ascii="Times New Roman" w:hAnsi="Times New Roman" w:eastAsia="宋体" w:cs="Times New Roman"/>
          <w:b/>
          <w:bCs/>
          <w:color w:val="000000"/>
          <w:sz w:val="24"/>
          <w:szCs w:val="24"/>
        </w:rPr>
      </w:pPr>
    </w:p>
    <w:p w14:paraId="443F2AF2">
      <w:pPr>
        <w:pStyle w:val="17"/>
        <w:rPr>
          <w:rFonts w:ascii="Times New Roman" w:hAnsi="Times New Roman" w:eastAsia="宋体" w:cs="Times New Roman"/>
          <w:b/>
          <w:bCs/>
          <w:color w:val="000000"/>
          <w:sz w:val="24"/>
          <w:szCs w:val="24"/>
        </w:rPr>
      </w:pPr>
    </w:p>
    <w:p w14:paraId="465F6513">
      <w:pPr>
        <w:pStyle w:val="17"/>
        <w:rPr>
          <w:rFonts w:ascii="Times New Roman" w:hAnsi="Times New Roman" w:eastAsia="宋体" w:cs="Times New Roman"/>
          <w:b/>
          <w:bCs/>
          <w:color w:val="000000"/>
          <w:sz w:val="24"/>
          <w:szCs w:val="24"/>
        </w:rPr>
      </w:pPr>
    </w:p>
    <w:p w14:paraId="54B5579A">
      <w:pPr>
        <w:pStyle w:val="17"/>
        <w:rPr>
          <w:rFonts w:ascii="Times New Roman" w:hAnsi="Times New Roman" w:eastAsia="宋体" w:cs="Times New Roman"/>
          <w:b/>
          <w:bCs/>
          <w:color w:val="000000"/>
          <w:sz w:val="24"/>
          <w:szCs w:val="24"/>
        </w:rPr>
      </w:pPr>
    </w:p>
    <w:p w14:paraId="4BEE96A5">
      <w:pPr>
        <w:pStyle w:val="17"/>
        <w:rPr>
          <w:rFonts w:ascii="Times New Roman" w:hAnsi="Times New Roman" w:eastAsia="宋体" w:cs="Times New Roman"/>
          <w:b/>
          <w:bCs/>
          <w:color w:val="000000"/>
          <w:sz w:val="24"/>
          <w:szCs w:val="24"/>
        </w:rPr>
      </w:pPr>
    </w:p>
    <w:p w14:paraId="1B1620C5">
      <w:pPr>
        <w:pStyle w:val="17"/>
        <w:rPr>
          <w:rFonts w:ascii="Times New Roman" w:hAnsi="Times New Roman" w:eastAsia="宋体" w:cs="Times New Roman"/>
          <w:b/>
          <w:bCs/>
          <w:color w:val="000000"/>
          <w:sz w:val="24"/>
          <w:szCs w:val="24"/>
        </w:rPr>
      </w:pPr>
    </w:p>
    <w:p w14:paraId="3AF3DD77">
      <w:pPr>
        <w:pStyle w:val="17"/>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3883E50A">
      <w:pPr>
        <w:pStyle w:val="17"/>
        <w:rPr>
          <w:rFonts w:ascii="Times New Roman" w:hAnsi="Times New Roman" w:eastAsia="宋体" w:cs="Times New Roman"/>
          <w:b/>
          <w:bCs/>
          <w:color w:val="000000"/>
          <w:sz w:val="24"/>
          <w:szCs w:val="24"/>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048B63AC">
            <w:pPr>
              <w:spacing w:line="440" w:lineRule="exact"/>
              <w:jc w:val="center"/>
              <w:rPr>
                <w:rFonts w:ascii="宋体" w:hAnsi="宋体"/>
                <w:color w:val="000000"/>
                <w:sz w:val="24"/>
                <w:szCs w:val="24"/>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27C3827E">
            <w:pPr>
              <w:spacing w:line="440" w:lineRule="exact"/>
              <w:jc w:val="center"/>
              <w:rPr>
                <w:rFonts w:ascii="宋体" w:hAnsi="宋体"/>
                <w:color w:val="000000"/>
                <w:sz w:val="24"/>
                <w:szCs w:val="24"/>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164720DD">
            <w:pPr>
              <w:spacing w:line="440" w:lineRule="exact"/>
              <w:jc w:val="center"/>
              <w:rPr>
                <w:rFonts w:ascii="宋体" w:hAnsi="宋体"/>
                <w:color w:val="000000"/>
                <w:sz w:val="24"/>
                <w:szCs w:val="24"/>
              </w:rPr>
            </w:pPr>
            <w:r>
              <w:rPr>
                <w:rFonts w:hint="eastAsia" w:ascii="宋体" w:hAnsi="宋体" w:eastAsia="宋体"/>
                <w:color w:val="000000"/>
                <w:sz w:val="24"/>
                <w:szCs w:val="24"/>
                <w:lang w:eastAsia="zh-CN"/>
              </w:rPr>
              <w:t>2022</w:t>
            </w:r>
            <w:r>
              <w:rPr>
                <w:rFonts w:hint="eastAsia" w:ascii="宋体" w:hAnsi="宋体" w:eastAsia="宋体"/>
                <w:color w:val="000000"/>
                <w:sz w:val="24"/>
                <w:szCs w:val="24"/>
              </w:rPr>
              <w:t>年</w:t>
            </w:r>
          </w:p>
        </w:tc>
        <w:tc>
          <w:tcPr>
            <w:tcW w:w="1288" w:type="dxa"/>
            <w:vAlign w:val="center"/>
          </w:tcPr>
          <w:p w14:paraId="41C48CBC">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2C57E8F5">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F8980BD">
            <w:pPr>
              <w:spacing w:line="440" w:lineRule="exact"/>
              <w:jc w:val="center"/>
              <w:rPr>
                <w:rFonts w:ascii="宋体" w:hAnsi="宋体"/>
                <w:color w:val="000000"/>
                <w:sz w:val="24"/>
                <w:szCs w:val="24"/>
              </w:rPr>
            </w:pPr>
          </w:p>
        </w:tc>
        <w:tc>
          <w:tcPr>
            <w:tcW w:w="1288" w:type="dxa"/>
          </w:tcPr>
          <w:p w14:paraId="291C90DA">
            <w:pPr>
              <w:spacing w:line="440" w:lineRule="exact"/>
              <w:jc w:val="center"/>
              <w:rPr>
                <w:rFonts w:ascii="宋体" w:hAnsi="宋体"/>
                <w:color w:val="000000"/>
                <w:sz w:val="24"/>
                <w:szCs w:val="24"/>
              </w:rPr>
            </w:pPr>
          </w:p>
        </w:tc>
        <w:tc>
          <w:tcPr>
            <w:tcW w:w="1288" w:type="dxa"/>
          </w:tcPr>
          <w:p w14:paraId="47EDCBE5">
            <w:pPr>
              <w:spacing w:line="440" w:lineRule="exact"/>
              <w:jc w:val="center"/>
              <w:rPr>
                <w:rFonts w:ascii="宋体" w:hAnsi="宋体"/>
                <w:color w:val="000000"/>
                <w:sz w:val="24"/>
                <w:szCs w:val="24"/>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7C4E3409">
            <w:pPr>
              <w:spacing w:line="440" w:lineRule="exact"/>
              <w:jc w:val="center"/>
              <w:rPr>
                <w:rFonts w:ascii="宋体" w:hAnsi="宋体"/>
                <w:color w:val="000000"/>
                <w:sz w:val="24"/>
                <w:szCs w:val="24"/>
              </w:rPr>
            </w:pPr>
          </w:p>
        </w:tc>
        <w:tc>
          <w:tcPr>
            <w:tcW w:w="1288" w:type="dxa"/>
          </w:tcPr>
          <w:p w14:paraId="5F2F372D">
            <w:pPr>
              <w:spacing w:line="440" w:lineRule="exact"/>
              <w:jc w:val="center"/>
              <w:rPr>
                <w:rFonts w:ascii="宋体" w:hAnsi="宋体"/>
                <w:color w:val="000000"/>
                <w:sz w:val="24"/>
                <w:szCs w:val="24"/>
              </w:rPr>
            </w:pPr>
          </w:p>
        </w:tc>
        <w:tc>
          <w:tcPr>
            <w:tcW w:w="1288" w:type="dxa"/>
          </w:tcPr>
          <w:p w14:paraId="3164A792">
            <w:pPr>
              <w:spacing w:line="440" w:lineRule="exact"/>
              <w:jc w:val="center"/>
              <w:rPr>
                <w:rFonts w:ascii="宋体" w:hAnsi="宋体"/>
                <w:color w:val="000000"/>
                <w:sz w:val="24"/>
                <w:szCs w:val="24"/>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71C6D2C3">
            <w:pPr>
              <w:spacing w:line="440" w:lineRule="exact"/>
              <w:jc w:val="center"/>
              <w:rPr>
                <w:rFonts w:ascii="宋体" w:hAnsi="宋体"/>
                <w:color w:val="000000"/>
                <w:sz w:val="24"/>
                <w:szCs w:val="24"/>
              </w:rPr>
            </w:pPr>
          </w:p>
        </w:tc>
        <w:tc>
          <w:tcPr>
            <w:tcW w:w="1288" w:type="dxa"/>
          </w:tcPr>
          <w:p w14:paraId="73907D1F">
            <w:pPr>
              <w:spacing w:line="440" w:lineRule="exact"/>
              <w:jc w:val="center"/>
              <w:rPr>
                <w:rFonts w:ascii="宋体" w:hAnsi="宋体"/>
                <w:color w:val="000000"/>
                <w:sz w:val="24"/>
                <w:szCs w:val="24"/>
              </w:rPr>
            </w:pPr>
          </w:p>
        </w:tc>
        <w:tc>
          <w:tcPr>
            <w:tcW w:w="1288" w:type="dxa"/>
          </w:tcPr>
          <w:p w14:paraId="091CF8E3">
            <w:pPr>
              <w:spacing w:line="440" w:lineRule="exact"/>
              <w:jc w:val="center"/>
              <w:rPr>
                <w:rFonts w:ascii="宋体" w:hAnsi="宋体"/>
                <w:color w:val="000000"/>
                <w:sz w:val="24"/>
                <w:szCs w:val="24"/>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F8CAB6A">
            <w:pPr>
              <w:spacing w:line="440" w:lineRule="exact"/>
              <w:jc w:val="center"/>
              <w:rPr>
                <w:rFonts w:ascii="宋体" w:hAnsi="宋体"/>
                <w:color w:val="000000"/>
                <w:sz w:val="24"/>
                <w:szCs w:val="24"/>
              </w:rPr>
            </w:pPr>
          </w:p>
        </w:tc>
        <w:tc>
          <w:tcPr>
            <w:tcW w:w="1288" w:type="dxa"/>
          </w:tcPr>
          <w:p w14:paraId="029904DC">
            <w:pPr>
              <w:spacing w:line="440" w:lineRule="exact"/>
              <w:jc w:val="center"/>
              <w:rPr>
                <w:rFonts w:ascii="宋体" w:hAnsi="宋体"/>
                <w:color w:val="000000"/>
                <w:sz w:val="24"/>
                <w:szCs w:val="24"/>
              </w:rPr>
            </w:pPr>
          </w:p>
        </w:tc>
        <w:tc>
          <w:tcPr>
            <w:tcW w:w="1288" w:type="dxa"/>
          </w:tcPr>
          <w:p w14:paraId="435C2F6F">
            <w:pPr>
              <w:spacing w:line="440" w:lineRule="exact"/>
              <w:jc w:val="center"/>
              <w:rPr>
                <w:rFonts w:ascii="宋体" w:hAnsi="宋体"/>
                <w:color w:val="000000"/>
                <w:sz w:val="24"/>
                <w:szCs w:val="24"/>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0DD10C49">
            <w:pPr>
              <w:spacing w:line="440" w:lineRule="exact"/>
              <w:jc w:val="center"/>
              <w:rPr>
                <w:rFonts w:ascii="宋体" w:hAnsi="宋体"/>
                <w:color w:val="000000"/>
                <w:sz w:val="24"/>
                <w:szCs w:val="24"/>
              </w:rPr>
            </w:pPr>
          </w:p>
        </w:tc>
        <w:tc>
          <w:tcPr>
            <w:tcW w:w="1288" w:type="dxa"/>
          </w:tcPr>
          <w:p w14:paraId="27D1005F">
            <w:pPr>
              <w:spacing w:line="440" w:lineRule="exact"/>
              <w:jc w:val="center"/>
              <w:rPr>
                <w:rFonts w:ascii="宋体" w:hAnsi="宋体"/>
                <w:color w:val="000000"/>
                <w:sz w:val="24"/>
                <w:szCs w:val="24"/>
              </w:rPr>
            </w:pPr>
          </w:p>
        </w:tc>
        <w:tc>
          <w:tcPr>
            <w:tcW w:w="1288" w:type="dxa"/>
          </w:tcPr>
          <w:p w14:paraId="18080AAA">
            <w:pPr>
              <w:spacing w:line="440" w:lineRule="exact"/>
              <w:jc w:val="center"/>
              <w:rPr>
                <w:rFonts w:ascii="宋体" w:hAnsi="宋体"/>
                <w:color w:val="000000"/>
                <w:sz w:val="24"/>
                <w:szCs w:val="24"/>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41791BBA">
            <w:pPr>
              <w:spacing w:line="440" w:lineRule="exact"/>
              <w:jc w:val="center"/>
              <w:rPr>
                <w:rFonts w:ascii="宋体" w:hAnsi="宋体"/>
                <w:color w:val="000000"/>
                <w:sz w:val="24"/>
                <w:szCs w:val="24"/>
              </w:rPr>
            </w:pPr>
          </w:p>
        </w:tc>
        <w:tc>
          <w:tcPr>
            <w:tcW w:w="1288" w:type="dxa"/>
          </w:tcPr>
          <w:p w14:paraId="5E29869C">
            <w:pPr>
              <w:spacing w:line="440" w:lineRule="exact"/>
              <w:jc w:val="center"/>
              <w:rPr>
                <w:rFonts w:ascii="宋体" w:hAnsi="宋体"/>
                <w:color w:val="000000"/>
                <w:sz w:val="24"/>
                <w:szCs w:val="24"/>
              </w:rPr>
            </w:pPr>
          </w:p>
        </w:tc>
        <w:tc>
          <w:tcPr>
            <w:tcW w:w="1288" w:type="dxa"/>
          </w:tcPr>
          <w:p w14:paraId="7A1DF8EB">
            <w:pPr>
              <w:spacing w:line="440" w:lineRule="exact"/>
              <w:jc w:val="center"/>
              <w:rPr>
                <w:rFonts w:ascii="宋体" w:hAnsi="宋体"/>
                <w:color w:val="000000"/>
                <w:sz w:val="24"/>
                <w:szCs w:val="24"/>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30AD9A83">
            <w:pPr>
              <w:spacing w:line="440" w:lineRule="exact"/>
              <w:jc w:val="center"/>
              <w:rPr>
                <w:rFonts w:ascii="宋体" w:hAnsi="宋体"/>
                <w:color w:val="000000"/>
                <w:sz w:val="24"/>
                <w:szCs w:val="24"/>
              </w:rPr>
            </w:pPr>
          </w:p>
        </w:tc>
        <w:tc>
          <w:tcPr>
            <w:tcW w:w="1288" w:type="dxa"/>
          </w:tcPr>
          <w:p w14:paraId="0F0D5E39">
            <w:pPr>
              <w:spacing w:line="440" w:lineRule="exact"/>
              <w:jc w:val="center"/>
              <w:rPr>
                <w:rFonts w:ascii="宋体" w:hAnsi="宋体"/>
                <w:color w:val="000000"/>
                <w:sz w:val="24"/>
                <w:szCs w:val="24"/>
              </w:rPr>
            </w:pPr>
          </w:p>
        </w:tc>
        <w:tc>
          <w:tcPr>
            <w:tcW w:w="1288" w:type="dxa"/>
          </w:tcPr>
          <w:p w14:paraId="0EE460E4">
            <w:pPr>
              <w:spacing w:line="440" w:lineRule="exact"/>
              <w:jc w:val="center"/>
              <w:rPr>
                <w:rFonts w:ascii="宋体" w:hAnsi="宋体"/>
                <w:color w:val="000000"/>
                <w:sz w:val="24"/>
                <w:szCs w:val="24"/>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44871F99">
            <w:pPr>
              <w:spacing w:line="440" w:lineRule="exact"/>
              <w:jc w:val="center"/>
              <w:rPr>
                <w:rFonts w:ascii="宋体" w:hAnsi="宋体"/>
                <w:color w:val="000000"/>
                <w:sz w:val="24"/>
                <w:szCs w:val="24"/>
              </w:rPr>
            </w:pPr>
          </w:p>
        </w:tc>
        <w:tc>
          <w:tcPr>
            <w:tcW w:w="1288" w:type="dxa"/>
          </w:tcPr>
          <w:p w14:paraId="0ED3FDD6">
            <w:pPr>
              <w:spacing w:line="440" w:lineRule="exact"/>
              <w:jc w:val="center"/>
              <w:rPr>
                <w:rFonts w:ascii="宋体" w:hAnsi="宋体"/>
                <w:color w:val="000000"/>
                <w:sz w:val="24"/>
                <w:szCs w:val="24"/>
              </w:rPr>
            </w:pPr>
          </w:p>
        </w:tc>
        <w:tc>
          <w:tcPr>
            <w:tcW w:w="1288" w:type="dxa"/>
          </w:tcPr>
          <w:p w14:paraId="75BDB8A1">
            <w:pPr>
              <w:spacing w:line="440" w:lineRule="exact"/>
              <w:jc w:val="center"/>
              <w:rPr>
                <w:rFonts w:ascii="宋体" w:hAnsi="宋体"/>
                <w:color w:val="000000"/>
                <w:sz w:val="24"/>
                <w:szCs w:val="24"/>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597CEC0">
            <w:pPr>
              <w:spacing w:line="440" w:lineRule="exact"/>
              <w:jc w:val="center"/>
              <w:rPr>
                <w:rFonts w:ascii="宋体" w:hAnsi="宋体"/>
                <w:color w:val="000000"/>
                <w:sz w:val="24"/>
                <w:szCs w:val="24"/>
              </w:rPr>
            </w:pPr>
          </w:p>
        </w:tc>
        <w:tc>
          <w:tcPr>
            <w:tcW w:w="1288" w:type="dxa"/>
          </w:tcPr>
          <w:p w14:paraId="3BE36C99">
            <w:pPr>
              <w:spacing w:line="440" w:lineRule="exact"/>
              <w:jc w:val="center"/>
              <w:rPr>
                <w:rFonts w:ascii="宋体" w:hAnsi="宋体"/>
                <w:color w:val="000000"/>
                <w:sz w:val="24"/>
                <w:szCs w:val="24"/>
              </w:rPr>
            </w:pPr>
          </w:p>
        </w:tc>
        <w:tc>
          <w:tcPr>
            <w:tcW w:w="1288" w:type="dxa"/>
          </w:tcPr>
          <w:p w14:paraId="1ECA030C">
            <w:pPr>
              <w:spacing w:line="440" w:lineRule="exact"/>
              <w:jc w:val="center"/>
              <w:rPr>
                <w:rFonts w:ascii="宋体" w:hAnsi="宋体"/>
                <w:color w:val="000000"/>
                <w:sz w:val="24"/>
                <w:szCs w:val="24"/>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14521BB3">
            <w:pPr>
              <w:spacing w:line="440" w:lineRule="exact"/>
              <w:jc w:val="center"/>
              <w:rPr>
                <w:rFonts w:ascii="宋体" w:hAnsi="宋体"/>
                <w:color w:val="000000"/>
                <w:sz w:val="24"/>
                <w:szCs w:val="24"/>
              </w:rPr>
            </w:pPr>
          </w:p>
        </w:tc>
        <w:tc>
          <w:tcPr>
            <w:tcW w:w="1288" w:type="dxa"/>
          </w:tcPr>
          <w:p w14:paraId="2CFD5907">
            <w:pPr>
              <w:spacing w:line="440" w:lineRule="exact"/>
              <w:jc w:val="center"/>
              <w:rPr>
                <w:rFonts w:ascii="宋体" w:hAnsi="宋体"/>
                <w:color w:val="000000"/>
                <w:sz w:val="24"/>
                <w:szCs w:val="24"/>
              </w:rPr>
            </w:pPr>
          </w:p>
        </w:tc>
        <w:tc>
          <w:tcPr>
            <w:tcW w:w="1288" w:type="dxa"/>
          </w:tcPr>
          <w:p w14:paraId="0E4D2176">
            <w:pPr>
              <w:spacing w:line="440" w:lineRule="exact"/>
              <w:jc w:val="center"/>
              <w:rPr>
                <w:rFonts w:ascii="宋体" w:hAnsi="宋体"/>
                <w:color w:val="000000"/>
                <w:sz w:val="24"/>
                <w:szCs w:val="24"/>
              </w:rPr>
            </w:pPr>
          </w:p>
        </w:tc>
      </w:tr>
    </w:tbl>
    <w:p w14:paraId="424268A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8B58E5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8232209">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8D44597">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hint="eastAsia" w:ascii="宋体" w:hAnsi="Calibri" w:eastAsia="宋体" w:cs="Times New Roman"/>
          <w:sz w:val="24"/>
          <w:szCs w:val="20"/>
          <w:lang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u w:val="single"/>
          <w:lang w:eastAsia="zh-CN"/>
        </w:rPr>
        <w:t>济南成型厂5吨整体式转向节模具新制项目</w:t>
      </w:r>
    </w:p>
    <w:p w14:paraId="76BA2708">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red"/>
        </w:rPr>
        <w:t>中国重汽集团济南动力有限公司：</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0B3D03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D47A37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0573C7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75D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7B66F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2903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8161D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725CB0A">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14:paraId="572BC8C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45C1C40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u w:val="single"/>
          <w:lang w:eastAsia="zh-CN"/>
        </w:rPr>
        <w:t>济南成型厂5吨整体式转向节模具新制项目</w:t>
      </w:r>
      <w:r>
        <w:rPr>
          <w:rFonts w:ascii="宋体" w:hAnsi="宋体" w:eastAsia="宋体" w:cs="Times New Roman"/>
          <w:color w:val="000000"/>
          <w:sz w:val="24"/>
          <w:szCs w:val="24"/>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1003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58AC6B8">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27F649D3">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E7AFA5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3EE2E1E1">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3AAE7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0F3768C">
            <w:pPr>
              <w:jc w:val="center"/>
              <w:rPr>
                <w:rFonts w:ascii="Times New Roman" w:hAnsi="Times New Roman" w:eastAsia="宋体" w:cs="Times New Roman"/>
                <w:b/>
                <w:sz w:val="24"/>
                <w:szCs w:val="20"/>
              </w:rPr>
            </w:pPr>
          </w:p>
        </w:tc>
        <w:tc>
          <w:tcPr>
            <w:tcW w:w="3449" w:type="dxa"/>
          </w:tcPr>
          <w:p w14:paraId="37179F11">
            <w:pPr>
              <w:jc w:val="center"/>
              <w:rPr>
                <w:rFonts w:ascii="Times New Roman" w:hAnsi="Times New Roman" w:eastAsia="宋体" w:cs="Times New Roman"/>
                <w:b/>
                <w:sz w:val="24"/>
                <w:szCs w:val="20"/>
              </w:rPr>
            </w:pPr>
          </w:p>
        </w:tc>
        <w:tc>
          <w:tcPr>
            <w:tcW w:w="2414" w:type="dxa"/>
          </w:tcPr>
          <w:p w14:paraId="203E3096">
            <w:pPr>
              <w:jc w:val="center"/>
              <w:rPr>
                <w:rFonts w:ascii="Times New Roman" w:hAnsi="Times New Roman" w:eastAsia="宋体" w:cs="Times New Roman"/>
                <w:b/>
                <w:sz w:val="24"/>
                <w:szCs w:val="20"/>
              </w:rPr>
            </w:pPr>
          </w:p>
        </w:tc>
        <w:tc>
          <w:tcPr>
            <w:tcW w:w="1608" w:type="dxa"/>
          </w:tcPr>
          <w:p w14:paraId="0CDAA311">
            <w:pPr>
              <w:jc w:val="center"/>
              <w:rPr>
                <w:rFonts w:ascii="Times New Roman" w:hAnsi="Times New Roman" w:eastAsia="宋体" w:cs="Times New Roman"/>
                <w:b/>
                <w:sz w:val="24"/>
                <w:szCs w:val="20"/>
              </w:rPr>
            </w:pPr>
          </w:p>
        </w:tc>
      </w:tr>
      <w:tr w14:paraId="70E0F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2D6CD28">
            <w:pPr>
              <w:jc w:val="center"/>
              <w:rPr>
                <w:rFonts w:ascii="Times New Roman" w:hAnsi="Times New Roman" w:eastAsia="宋体" w:cs="Times New Roman"/>
                <w:b/>
                <w:sz w:val="24"/>
                <w:szCs w:val="20"/>
              </w:rPr>
            </w:pPr>
          </w:p>
        </w:tc>
        <w:tc>
          <w:tcPr>
            <w:tcW w:w="3449" w:type="dxa"/>
          </w:tcPr>
          <w:p w14:paraId="15895F3C">
            <w:pPr>
              <w:jc w:val="center"/>
              <w:rPr>
                <w:rFonts w:ascii="Times New Roman" w:hAnsi="Times New Roman" w:eastAsia="宋体" w:cs="Times New Roman"/>
                <w:b/>
                <w:sz w:val="24"/>
                <w:szCs w:val="20"/>
              </w:rPr>
            </w:pPr>
          </w:p>
        </w:tc>
        <w:tc>
          <w:tcPr>
            <w:tcW w:w="2414" w:type="dxa"/>
          </w:tcPr>
          <w:p w14:paraId="52174342">
            <w:pPr>
              <w:jc w:val="center"/>
              <w:rPr>
                <w:rFonts w:ascii="Times New Roman" w:hAnsi="Times New Roman" w:eastAsia="宋体" w:cs="Times New Roman"/>
                <w:b/>
                <w:sz w:val="24"/>
                <w:szCs w:val="20"/>
              </w:rPr>
            </w:pPr>
          </w:p>
        </w:tc>
        <w:tc>
          <w:tcPr>
            <w:tcW w:w="1608" w:type="dxa"/>
          </w:tcPr>
          <w:p w14:paraId="617C193C">
            <w:pPr>
              <w:jc w:val="center"/>
              <w:rPr>
                <w:rFonts w:ascii="Times New Roman" w:hAnsi="Times New Roman" w:eastAsia="宋体" w:cs="Times New Roman"/>
                <w:b/>
                <w:sz w:val="24"/>
                <w:szCs w:val="20"/>
              </w:rPr>
            </w:pPr>
          </w:p>
        </w:tc>
      </w:tr>
      <w:tr w14:paraId="3FAAA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2C89986">
            <w:pPr>
              <w:jc w:val="center"/>
              <w:rPr>
                <w:rFonts w:ascii="Times New Roman" w:hAnsi="Times New Roman" w:eastAsia="宋体" w:cs="Times New Roman"/>
                <w:b/>
                <w:sz w:val="24"/>
                <w:szCs w:val="20"/>
              </w:rPr>
            </w:pPr>
          </w:p>
        </w:tc>
        <w:tc>
          <w:tcPr>
            <w:tcW w:w="3449" w:type="dxa"/>
          </w:tcPr>
          <w:p w14:paraId="64B667A5">
            <w:pPr>
              <w:jc w:val="center"/>
              <w:rPr>
                <w:rFonts w:ascii="Times New Roman" w:hAnsi="Times New Roman" w:eastAsia="宋体" w:cs="Times New Roman"/>
                <w:b/>
                <w:sz w:val="24"/>
                <w:szCs w:val="20"/>
              </w:rPr>
            </w:pPr>
          </w:p>
        </w:tc>
        <w:tc>
          <w:tcPr>
            <w:tcW w:w="2414" w:type="dxa"/>
          </w:tcPr>
          <w:p w14:paraId="44B3071A">
            <w:pPr>
              <w:jc w:val="center"/>
              <w:rPr>
                <w:rFonts w:ascii="Times New Roman" w:hAnsi="Times New Roman" w:eastAsia="宋体" w:cs="Times New Roman"/>
                <w:b/>
                <w:sz w:val="24"/>
                <w:szCs w:val="20"/>
              </w:rPr>
            </w:pPr>
          </w:p>
        </w:tc>
        <w:tc>
          <w:tcPr>
            <w:tcW w:w="1608" w:type="dxa"/>
          </w:tcPr>
          <w:p w14:paraId="232438FA">
            <w:pPr>
              <w:jc w:val="center"/>
              <w:rPr>
                <w:rFonts w:ascii="Times New Roman" w:hAnsi="Times New Roman" w:eastAsia="宋体" w:cs="Times New Roman"/>
                <w:b/>
                <w:sz w:val="24"/>
                <w:szCs w:val="20"/>
              </w:rPr>
            </w:pPr>
          </w:p>
        </w:tc>
      </w:tr>
      <w:tr w14:paraId="4AED3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0183873">
            <w:pPr>
              <w:jc w:val="center"/>
              <w:rPr>
                <w:rFonts w:ascii="Times New Roman" w:hAnsi="Times New Roman" w:eastAsia="宋体" w:cs="Times New Roman"/>
                <w:b/>
                <w:sz w:val="24"/>
                <w:szCs w:val="20"/>
              </w:rPr>
            </w:pPr>
          </w:p>
        </w:tc>
        <w:tc>
          <w:tcPr>
            <w:tcW w:w="3449" w:type="dxa"/>
          </w:tcPr>
          <w:p w14:paraId="0C3A5831">
            <w:pPr>
              <w:jc w:val="center"/>
              <w:rPr>
                <w:rFonts w:ascii="Times New Roman" w:hAnsi="Times New Roman" w:eastAsia="宋体" w:cs="Times New Roman"/>
                <w:b/>
                <w:sz w:val="24"/>
                <w:szCs w:val="20"/>
              </w:rPr>
            </w:pPr>
          </w:p>
        </w:tc>
        <w:tc>
          <w:tcPr>
            <w:tcW w:w="2414" w:type="dxa"/>
          </w:tcPr>
          <w:p w14:paraId="3555FD0F">
            <w:pPr>
              <w:jc w:val="center"/>
              <w:rPr>
                <w:rFonts w:ascii="Times New Roman" w:hAnsi="Times New Roman" w:eastAsia="宋体" w:cs="Times New Roman"/>
                <w:b/>
                <w:sz w:val="24"/>
                <w:szCs w:val="20"/>
              </w:rPr>
            </w:pPr>
          </w:p>
        </w:tc>
        <w:tc>
          <w:tcPr>
            <w:tcW w:w="1608" w:type="dxa"/>
          </w:tcPr>
          <w:p w14:paraId="3ED9F733">
            <w:pPr>
              <w:jc w:val="center"/>
              <w:rPr>
                <w:rFonts w:ascii="Times New Roman" w:hAnsi="Times New Roman" w:eastAsia="宋体" w:cs="Times New Roman"/>
                <w:b/>
                <w:sz w:val="24"/>
                <w:szCs w:val="20"/>
              </w:rPr>
            </w:pPr>
          </w:p>
        </w:tc>
      </w:tr>
      <w:tr w14:paraId="716C4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931C329">
            <w:pPr>
              <w:jc w:val="center"/>
              <w:rPr>
                <w:rFonts w:ascii="Times New Roman" w:hAnsi="Times New Roman" w:eastAsia="宋体" w:cs="Times New Roman"/>
                <w:b/>
                <w:sz w:val="24"/>
                <w:szCs w:val="20"/>
              </w:rPr>
            </w:pPr>
          </w:p>
        </w:tc>
        <w:tc>
          <w:tcPr>
            <w:tcW w:w="3449" w:type="dxa"/>
          </w:tcPr>
          <w:p w14:paraId="5518B909">
            <w:pPr>
              <w:jc w:val="center"/>
              <w:rPr>
                <w:rFonts w:ascii="Times New Roman" w:hAnsi="Times New Roman" w:eastAsia="宋体" w:cs="Times New Roman"/>
                <w:b/>
                <w:sz w:val="24"/>
                <w:szCs w:val="20"/>
              </w:rPr>
            </w:pPr>
          </w:p>
        </w:tc>
        <w:tc>
          <w:tcPr>
            <w:tcW w:w="2414" w:type="dxa"/>
          </w:tcPr>
          <w:p w14:paraId="307F7080">
            <w:pPr>
              <w:jc w:val="center"/>
              <w:rPr>
                <w:rFonts w:ascii="Times New Roman" w:hAnsi="Times New Roman" w:eastAsia="宋体" w:cs="Times New Roman"/>
                <w:b/>
                <w:sz w:val="24"/>
                <w:szCs w:val="20"/>
              </w:rPr>
            </w:pPr>
          </w:p>
        </w:tc>
        <w:tc>
          <w:tcPr>
            <w:tcW w:w="1608" w:type="dxa"/>
          </w:tcPr>
          <w:p w14:paraId="240BBD5C">
            <w:pPr>
              <w:jc w:val="center"/>
              <w:rPr>
                <w:rFonts w:ascii="Times New Roman" w:hAnsi="Times New Roman" w:eastAsia="宋体" w:cs="Times New Roman"/>
                <w:b/>
                <w:sz w:val="24"/>
                <w:szCs w:val="20"/>
              </w:rPr>
            </w:pPr>
          </w:p>
        </w:tc>
      </w:tr>
      <w:tr w14:paraId="06600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2773ADB">
            <w:pPr>
              <w:jc w:val="center"/>
              <w:rPr>
                <w:rFonts w:ascii="Times New Roman" w:hAnsi="Times New Roman" w:eastAsia="宋体" w:cs="Times New Roman"/>
                <w:b/>
                <w:sz w:val="24"/>
                <w:szCs w:val="20"/>
              </w:rPr>
            </w:pPr>
          </w:p>
        </w:tc>
        <w:tc>
          <w:tcPr>
            <w:tcW w:w="3449" w:type="dxa"/>
          </w:tcPr>
          <w:p w14:paraId="1319CAE3">
            <w:pPr>
              <w:jc w:val="center"/>
              <w:rPr>
                <w:rFonts w:ascii="Times New Roman" w:hAnsi="Times New Roman" w:eastAsia="宋体" w:cs="Times New Roman"/>
                <w:b/>
                <w:sz w:val="24"/>
                <w:szCs w:val="20"/>
              </w:rPr>
            </w:pPr>
          </w:p>
        </w:tc>
        <w:tc>
          <w:tcPr>
            <w:tcW w:w="2414" w:type="dxa"/>
          </w:tcPr>
          <w:p w14:paraId="5F892C72">
            <w:pPr>
              <w:jc w:val="center"/>
              <w:rPr>
                <w:rFonts w:ascii="Times New Roman" w:hAnsi="Times New Roman" w:eastAsia="宋体" w:cs="Times New Roman"/>
                <w:b/>
                <w:sz w:val="24"/>
                <w:szCs w:val="20"/>
              </w:rPr>
            </w:pPr>
          </w:p>
        </w:tc>
        <w:tc>
          <w:tcPr>
            <w:tcW w:w="1608" w:type="dxa"/>
          </w:tcPr>
          <w:p w14:paraId="2C7B0448">
            <w:pPr>
              <w:jc w:val="center"/>
              <w:rPr>
                <w:rFonts w:ascii="Times New Roman" w:hAnsi="Times New Roman" w:eastAsia="宋体" w:cs="Times New Roman"/>
                <w:b/>
                <w:sz w:val="24"/>
                <w:szCs w:val="20"/>
              </w:rPr>
            </w:pPr>
          </w:p>
        </w:tc>
      </w:tr>
      <w:tr w14:paraId="7CD3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C636764">
            <w:pPr>
              <w:jc w:val="center"/>
              <w:rPr>
                <w:rFonts w:ascii="Times New Roman" w:hAnsi="Times New Roman" w:eastAsia="宋体" w:cs="Times New Roman"/>
                <w:b/>
                <w:sz w:val="24"/>
                <w:szCs w:val="20"/>
              </w:rPr>
            </w:pPr>
          </w:p>
        </w:tc>
        <w:tc>
          <w:tcPr>
            <w:tcW w:w="3449" w:type="dxa"/>
          </w:tcPr>
          <w:p w14:paraId="7C823F97">
            <w:pPr>
              <w:jc w:val="center"/>
              <w:rPr>
                <w:rFonts w:ascii="Times New Roman" w:hAnsi="Times New Roman" w:eastAsia="宋体" w:cs="Times New Roman"/>
                <w:b/>
                <w:sz w:val="24"/>
                <w:szCs w:val="20"/>
              </w:rPr>
            </w:pPr>
          </w:p>
        </w:tc>
        <w:tc>
          <w:tcPr>
            <w:tcW w:w="2414" w:type="dxa"/>
          </w:tcPr>
          <w:p w14:paraId="2BCE8303">
            <w:pPr>
              <w:jc w:val="center"/>
              <w:rPr>
                <w:rFonts w:ascii="Times New Roman" w:hAnsi="Times New Roman" w:eastAsia="宋体" w:cs="Times New Roman"/>
                <w:b/>
                <w:sz w:val="24"/>
                <w:szCs w:val="20"/>
              </w:rPr>
            </w:pPr>
          </w:p>
        </w:tc>
        <w:tc>
          <w:tcPr>
            <w:tcW w:w="1608" w:type="dxa"/>
          </w:tcPr>
          <w:p w14:paraId="2C84C702">
            <w:pPr>
              <w:jc w:val="center"/>
              <w:rPr>
                <w:rFonts w:ascii="Times New Roman" w:hAnsi="Times New Roman" w:eastAsia="宋体" w:cs="Times New Roman"/>
                <w:b/>
                <w:sz w:val="24"/>
                <w:szCs w:val="20"/>
              </w:rPr>
            </w:pPr>
          </w:p>
        </w:tc>
      </w:tr>
      <w:tr w14:paraId="7EA7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4D88EF2">
            <w:pPr>
              <w:jc w:val="center"/>
              <w:rPr>
                <w:rFonts w:ascii="Times New Roman" w:hAnsi="Times New Roman" w:eastAsia="宋体" w:cs="Times New Roman"/>
                <w:b/>
                <w:sz w:val="24"/>
                <w:szCs w:val="20"/>
              </w:rPr>
            </w:pPr>
          </w:p>
        </w:tc>
        <w:tc>
          <w:tcPr>
            <w:tcW w:w="3449" w:type="dxa"/>
          </w:tcPr>
          <w:p w14:paraId="12F0B10F">
            <w:pPr>
              <w:jc w:val="center"/>
              <w:rPr>
                <w:rFonts w:ascii="Times New Roman" w:hAnsi="Times New Roman" w:eastAsia="宋体" w:cs="Times New Roman"/>
                <w:b/>
                <w:sz w:val="24"/>
                <w:szCs w:val="20"/>
              </w:rPr>
            </w:pPr>
          </w:p>
        </w:tc>
        <w:tc>
          <w:tcPr>
            <w:tcW w:w="2414" w:type="dxa"/>
          </w:tcPr>
          <w:p w14:paraId="36C54971">
            <w:pPr>
              <w:jc w:val="center"/>
              <w:rPr>
                <w:rFonts w:ascii="Times New Roman" w:hAnsi="Times New Roman" w:eastAsia="宋体" w:cs="Times New Roman"/>
                <w:b/>
                <w:sz w:val="24"/>
                <w:szCs w:val="20"/>
              </w:rPr>
            </w:pPr>
          </w:p>
        </w:tc>
        <w:tc>
          <w:tcPr>
            <w:tcW w:w="1608" w:type="dxa"/>
          </w:tcPr>
          <w:p w14:paraId="499F4858">
            <w:pPr>
              <w:jc w:val="center"/>
              <w:rPr>
                <w:rFonts w:ascii="Times New Roman" w:hAnsi="Times New Roman" w:eastAsia="宋体" w:cs="Times New Roman"/>
                <w:b/>
                <w:sz w:val="24"/>
                <w:szCs w:val="20"/>
              </w:rPr>
            </w:pPr>
          </w:p>
        </w:tc>
      </w:tr>
      <w:tr w14:paraId="50B21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12B6CFA">
            <w:pPr>
              <w:jc w:val="center"/>
              <w:rPr>
                <w:rFonts w:ascii="Times New Roman" w:hAnsi="Times New Roman" w:eastAsia="宋体" w:cs="Times New Roman"/>
                <w:b/>
                <w:sz w:val="24"/>
                <w:szCs w:val="20"/>
              </w:rPr>
            </w:pPr>
          </w:p>
        </w:tc>
        <w:tc>
          <w:tcPr>
            <w:tcW w:w="3449" w:type="dxa"/>
          </w:tcPr>
          <w:p w14:paraId="2A00B220">
            <w:pPr>
              <w:jc w:val="center"/>
              <w:rPr>
                <w:rFonts w:ascii="Times New Roman" w:hAnsi="Times New Roman" w:eastAsia="宋体" w:cs="Times New Roman"/>
                <w:b/>
                <w:sz w:val="24"/>
                <w:szCs w:val="20"/>
              </w:rPr>
            </w:pPr>
          </w:p>
        </w:tc>
        <w:tc>
          <w:tcPr>
            <w:tcW w:w="2414" w:type="dxa"/>
          </w:tcPr>
          <w:p w14:paraId="77BE407A">
            <w:pPr>
              <w:jc w:val="center"/>
              <w:rPr>
                <w:rFonts w:ascii="Times New Roman" w:hAnsi="Times New Roman" w:eastAsia="宋体" w:cs="Times New Roman"/>
                <w:b/>
                <w:sz w:val="24"/>
                <w:szCs w:val="20"/>
              </w:rPr>
            </w:pPr>
          </w:p>
        </w:tc>
        <w:tc>
          <w:tcPr>
            <w:tcW w:w="1608" w:type="dxa"/>
          </w:tcPr>
          <w:p w14:paraId="58BC73C4">
            <w:pPr>
              <w:jc w:val="center"/>
              <w:rPr>
                <w:rFonts w:ascii="Times New Roman" w:hAnsi="Times New Roman" w:eastAsia="宋体" w:cs="Times New Roman"/>
                <w:b/>
                <w:sz w:val="24"/>
                <w:szCs w:val="20"/>
              </w:rPr>
            </w:pPr>
          </w:p>
        </w:tc>
      </w:tr>
      <w:tr w14:paraId="1E1F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5D81C">
            <w:pPr>
              <w:jc w:val="center"/>
              <w:rPr>
                <w:rFonts w:ascii="Times New Roman" w:hAnsi="Times New Roman" w:eastAsia="宋体" w:cs="Times New Roman"/>
                <w:b/>
                <w:sz w:val="24"/>
                <w:szCs w:val="20"/>
              </w:rPr>
            </w:pPr>
          </w:p>
        </w:tc>
        <w:tc>
          <w:tcPr>
            <w:tcW w:w="3449" w:type="dxa"/>
          </w:tcPr>
          <w:p w14:paraId="75F0A1D4">
            <w:pPr>
              <w:jc w:val="center"/>
              <w:rPr>
                <w:rFonts w:ascii="Times New Roman" w:hAnsi="Times New Roman" w:eastAsia="宋体" w:cs="Times New Roman"/>
                <w:b/>
                <w:sz w:val="24"/>
                <w:szCs w:val="20"/>
              </w:rPr>
            </w:pPr>
          </w:p>
        </w:tc>
        <w:tc>
          <w:tcPr>
            <w:tcW w:w="2414" w:type="dxa"/>
          </w:tcPr>
          <w:p w14:paraId="2B7D454B">
            <w:pPr>
              <w:jc w:val="center"/>
              <w:rPr>
                <w:rFonts w:ascii="Times New Roman" w:hAnsi="Times New Roman" w:eastAsia="宋体" w:cs="Times New Roman"/>
                <w:b/>
                <w:sz w:val="24"/>
                <w:szCs w:val="20"/>
              </w:rPr>
            </w:pPr>
          </w:p>
        </w:tc>
        <w:tc>
          <w:tcPr>
            <w:tcW w:w="1608" w:type="dxa"/>
          </w:tcPr>
          <w:p w14:paraId="7FD80AB6">
            <w:pPr>
              <w:jc w:val="center"/>
              <w:rPr>
                <w:rFonts w:ascii="Times New Roman" w:hAnsi="Times New Roman" w:eastAsia="宋体" w:cs="Times New Roman"/>
                <w:b/>
                <w:sz w:val="24"/>
                <w:szCs w:val="20"/>
              </w:rPr>
            </w:pPr>
          </w:p>
        </w:tc>
      </w:tr>
      <w:tr w14:paraId="396A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BC1F28">
            <w:pPr>
              <w:jc w:val="center"/>
              <w:rPr>
                <w:rFonts w:ascii="Times New Roman" w:hAnsi="Times New Roman" w:eastAsia="宋体" w:cs="Times New Roman"/>
                <w:b/>
                <w:sz w:val="24"/>
                <w:szCs w:val="20"/>
              </w:rPr>
            </w:pPr>
          </w:p>
        </w:tc>
        <w:tc>
          <w:tcPr>
            <w:tcW w:w="3449" w:type="dxa"/>
          </w:tcPr>
          <w:p w14:paraId="3A04244A">
            <w:pPr>
              <w:jc w:val="center"/>
              <w:rPr>
                <w:rFonts w:ascii="Times New Roman" w:hAnsi="Times New Roman" w:eastAsia="宋体" w:cs="Times New Roman"/>
                <w:b/>
                <w:sz w:val="24"/>
                <w:szCs w:val="20"/>
              </w:rPr>
            </w:pPr>
          </w:p>
        </w:tc>
        <w:tc>
          <w:tcPr>
            <w:tcW w:w="2414" w:type="dxa"/>
          </w:tcPr>
          <w:p w14:paraId="4BF0EDCB">
            <w:pPr>
              <w:jc w:val="center"/>
              <w:rPr>
                <w:rFonts w:ascii="Times New Roman" w:hAnsi="Times New Roman" w:eastAsia="宋体" w:cs="Times New Roman"/>
                <w:b/>
                <w:sz w:val="24"/>
                <w:szCs w:val="20"/>
              </w:rPr>
            </w:pPr>
          </w:p>
        </w:tc>
        <w:tc>
          <w:tcPr>
            <w:tcW w:w="1608" w:type="dxa"/>
          </w:tcPr>
          <w:p w14:paraId="74DF6673">
            <w:pPr>
              <w:jc w:val="center"/>
              <w:rPr>
                <w:rFonts w:ascii="Times New Roman" w:hAnsi="Times New Roman" w:eastAsia="宋体" w:cs="Times New Roman"/>
                <w:b/>
                <w:sz w:val="24"/>
                <w:szCs w:val="20"/>
              </w:rPr>
            </w:pPr>
          </w:p>
        </w:tc>
      </w:tr>
      <w:tr w14:paraId="4091A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CD5FD3E">
            <w:pPr>
              <w:jc w:val="center"/>
              <w:rPr>
                <w:rFonts w:ascii="Times New Roman" w:hAnsi="Times New Roman" w:eastAsia="宋体" w:cs="Times New Roman"/>
                <w:b/>
                <w:sz w:val="24"/>
                <w:szCs w:val="20"/>
              </w:rPr>
            </w:pPr>
          </w:p>
        </w:tc>
        <w:tc>
          <w:tcPr>
            <w:tcW w:w="3449" w:type="dxa"/>
          </w:tcPr>
          <w:p w14:paraId="786109B0">
            <w:pPr>
              <w:jc w:val="center"/>
              <w:rPr>
                <w:rFonts w:ascii="Times New Roman" w:hAnsi="Times New Roman" w:eastAsia="宋体" w:cs="Times New Roman"/>
                <w:b/>
                <w:sz w:val="24"/>
                <w:szCs w:val="20"/>
              </w:rPr>
            </w:pPr>
          </w:p>
        </w:tc>
        <w:tc>
          <w:tcPr>
            <w:tcW w:w="2414" w:type="dxa"/>
          </w:tcPr>
          <w:p w14:paraId="3DBDA0CB">
            <w:pPr>
              <w:jc w:val="center"/>
              <w:rPr>
                <w:rFonts w:ascii="Times New Roman" w:hAnsi="Times New Roman" w:eastAsia="宋体" w:cs="Times New Roman"/>
                <w:b/>
                <w:sz w:val="24"/>
                <w:szCs w:val="20"/>
              </w:rPr>
            </w:pPr>
          </w:p>
        </w:tc>
        <w:tc>
          <w:tcPr>
            <w:tcW w:w="1608" w:type="dxa"/>
          </w:tcPr>
          <w:p w14:paraId="2ECE6F54">
            <w:pPr>
              <w:jc w:val="center"/>
              <w:rPr>
                <w:rFonts w:ascii="Times New Roman" w:hAnsi="Times New Roman" w:eastAsia="宋体" w:cs="Times New Roman"/>
                <w:b/>
                <w:sz w:val="24"/>
                <w:szCs w:val="20"/>
              </w:rPr>
            </w:pPr>
          </w:p>
        </w:tc>
      </w:tr>
      <w:tr w14:paraId="3FFF4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F8DD36F">
            <w:pPr>
              <w:jc w:val="center"/>
              <w:rPr>
                <w:rFonts w:ascii="Times New Roman" w:hAnsi="Times New Roman" w:eastAsia="宋体" w:cs="Times New Roman"/>
                <w:b/>
                <w:sz w:val="24"/>
                <w:szCs w:val="20"/>
              </w:rPr>
            </w:pPr>
          </w:p>
        </w:tc>
        <w:tc>
          <w:tcPr>
            <w:tcW w:w="3449" w:type="dxa"/>
          </w:tcPr>
          <w:p w14:paraId="6EF521E3">
            <w:pPr>
              <w:jc w:val="center"/>
              <w:rPr>
                <w:rFonts w:ascii="Times New Roman" w:hAnsi="Times New Roman" w:eastAsia="宋体" w:cs="Times New Roman"/>
                <w:b/>
                <w:sz w:val="24"/>
                <w:szCs w:val="20"/>
              </w:rPr>
            </w:pPr>
          </w:p>
        </w:tc>
        <w:tc>
          <w:tcPr>
            <w:tcW w:w="2414" w:type="dxa"/>
          </w:tcPr>
          <w:p w14:paraId="4D21F621">
            <w:pPr>
              <w:jc w:val="center"/>
              <w:rPr>
                <w:rFonts w:ascii="Times New Roman" w:hAnsi="Times New Roman" w:eastAsia="宋体" w:cs="Times New Roman"/>
                <w:b/>
                <w:sz w:val="24"/>
                <w:szCs w:val="20"/>
              </w:rPr>
            </w:pPr>
          </w:p>
        </w:tc>
        <w:tc>
          <w:tcPr>
            <w:tcW w:w="1608" w:type="dxa"/>
          </w:tcPr>
          <w:p w14:paraId="2AEC22C9">
            <w:pPr>
              <w:jc w:val="center"/>
              <w:rPr>
                <w:rFonts w:ascii="Times New Roman" w:hAnsi="Times New Roman" w:eastAsia="宋体" w:cs="Times New Roman"/>
                <w:b/>
                <w:sz w:val="24"/>
                <w:szCs w:val="20"/>
              </w:rPr>
            </w:pPr>
          </w:p>
        </w:tc>
      </w:tr>
      <w:tr w14:paraId="3864C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74069B">
            <w:pPr>
              <w:jc w:val="center"/>
              <w:rPr>
                <w:rFonts w:ascii="Times New Roman" w:hAnsi="Times New Roman" w:eastAsia="宋体" w:cs="Times New Roman"/>
                <w:b/>
                <w:sz w:val="24"/>
                <w:szCs w:val="20"/>
              </w:rPr>
            </w:pPr>
          </w:p>
        </w:tc>
        <w:tc>
          <w:tcPr>
            <w:tcW w:w="3449" w:type="dxa"/>
          </w:tcPr>
          <w:p w14:paraId="612E39AE">
            <w:pPr>
              <w:jc w:val="center"/>
              <w:rPr>
                <w:rFonts w:ascii="Times New Roman" w:hAnsi="Times New Roman" w:eastAsia="宋体" w:cs="Times New Roman"/>
                <w:b/>
                <w:sz w:val="24"/>
                <w:szCs w:val="20"/>
              </w:rPr>
            </w:pPr>
          </w:p>
        </w:tc>
        <w:tc>
          <w:tcPr>
            <w:tcW w:w="2414" w:type="dxa"/>
          </w:tcPr>
          <w:p w14:paraId="4567AC17">
            <w:pPr>
              <w:jc w:val="center"/>
              <w:rPr>
                <w:rFonts w:ascii="Times New Roman" w:hAnsi="Times New Roman" w:eastAsia="宋体" w:cs="Times New Roman"/>
                <w:b/>
                <w:sz w:val="24"/>
                <w:szCs w:val="20"/>
              </w:rPr>
            </w:pPr>
          </w:p>
        </w:tc>
        <w:tc>
          <w:tcPr>
            <w:tcW w:w="1608" w:type="dxa"/>
          </w:tcPr>
          <w:p w14:paraId="3541CD11">
            <w:pPr>
              <w:jc w:val="center"/>
              <w:rPr>
                <w:rFonts w:ascii="Times New Roman" w:hAnsi="Times New Roman" w:eastAsia="宋体" w:cs="Times New Roman"/>
                <w:b/>
                <w:sz w:val="24"/>
                <w:szCs w:val="20"/>
              </w:rPr>
            </w:pPr>
          </w:p>
        </w:tc>
      </w:tr>
    </w:tbl>
    <w:p w14:paraId="0E76890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47391C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0AB8C82">
      <w:pPr>
        <w:rPr>
          <w:rFonts w:ascii="宋体" w:hAnsi="Calibri" w:eastAsia="宋体" w:cs="宋体"/>
          <w:b/>
          <w:bCs/>
          <w:color w:val="000000"/>
          <w:sz w:val="28"/>
          <w:szCs w:val="20"/>
        </w:rPr>
      </w:pPr>
    </w:p>
    <w:p w14:paraId="470852FA">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747E191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eastAsia" w:ascii="Times New Roman" w:hAnsi="Times New Roman" w:eastAsia="宋体" w:cs="Times New Roman"/>
          <w:b/>
          <w:bCs/>
          <w:color w:val="000000"/>
          <w:sz w:val="24"/>
          <w:szCs w:val="24"/>
        </w:rPr>
        <w:t>年1月1日至今同类项目业绩一览表</w:t>
      </w:r>
    </w:p>
    <w:p w14:paraId="2494935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u w:val="single"/>
          <w:lang w:eastAsia="zh-CN"/>
        </w:rPr>
        <w:t>济南成型厂5吨整体式转向节模具新制项目</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tbl>
      <w:tblPr>
        <w:tblStyle w:val="36"/>
        <w:tblW w:w="82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72E65017">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89B857C">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15C94B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7C283A0">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1320" w:type="dxa"/>
            <w:vAlign w:val="center"/>
          </w:tcPr>
          <w:p w14:paraId="2C408C15">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34ADE3E">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A3CB77B">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7657C40B">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EFDE466">
            <w:pPr>
              <w:ind w:left="420" w:hanging="420"/>
              <w:rPr>
                <w:rFonts w:ascii="宋体" w:hAnsi="Times New Roman" w:eastAsia="宋体" w:cs="Times New Roman"/>
                <w:b/>
                <w:szCs w:val="20"/>
              </w:rPr>
            </w:pPr>
          </w:p>
        </w:tc>
        <w:tc>
          <w:tcPr>
            <w:tcW w:w="2082" w:type="dxa"/>
          </w:tcPr>
          <w:p w14:paraId="3D2FCE82">
            <w:pPr>
              <w:ind w:left="420" w:hanging="420"/>
              <w:rPr>
                <w:rFonts w:ascii="宋体" w:hAnsi="Times New Roman" w:eastAsia="宋体" w:cs="Times New Roman"/>
                <w:b/>
                <w:szCs w:val="20"/>
              </w:rPr>
            </w:pPr>
          </w:p>
        </w:tc>
        <w:tc>
          <w:tcPr>
            <w:tcW w:w="1355" w:type="dxa"/>
          </w:tcPr>
          <w:p w14:paraId="6E122691">
            <w:pPr>
              <w:ind w:left="420" w:hanging="420"/>
              <w:rPr>
                <w:rFonts w:ascii="宋体" w:hAnsi="Times New Roman" w:eastAsia="宋体" w:cs="Times New Roman"/>
                <w:b/>
                <w:szCs w:val="20"/>
              </w:rPr>
            </w:pPr>
          </w:p>
        </w:tc>
        <w:tc>
          <w:tcPr>
            <w:tcW w:w="1320" w:type="dxa"/>
          </w:tcPr>
          <w:p w14:paraId="495E849B">
            <w:pPr>
              <w:ind w:left="420" w:hanging="420"/>
              <w:rPr>
                <w:rFonts w:ascii="宋体" w:hAnsi="Times New Roman" w:eastAsia="宋体" w:cs="Times New Roman"/>
                <w:b/>
                <w:szCs w:val="20"/>
              </w:rPr>
            </w:pPr>
          </w:p>
        </w:tc>
        <w:tc>
          <w:tcPr>
            <w:tcW w:w="1023" w:type="dxa"/>
          </w:tcPr>
          <w:p w14:paraId="4A1218EE">
            <w:pPr>
              <w:ind w:left="420" w:hanging="420"/>
              <w:rPr>
                <w:rFonts w:ascii="宋体" w:hAnsi="Times New Roman" w:eastAsia="宋体" w:cs="Times New Roman"/>
                <w:b/>
                <w:szCs w:val="20"/>
              </w:rPr>
            </w:pPr>
          </w:p>
        </w:tc>
        <w:tc>
          <w:tcPr>
            <w:tcW w:w="1590" w:type="dxa"/>
          </w:tcPr>
          <w:p w14:paraId="33534E82">
            <w:pPr>
              <w:ind w:left="420" w:hanging="420"/>
              <w:rPr>
                <w:rFonts w:ascii="宋体" w:hAnsi="Times New Roman" w:eastAsia="宋体" w:cs="Times New Roman"/>
                <w:b/>
                <w:szCs w:val="20"/>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FD41C3">
            <w:pPr>
              <w:ind w:left="420" w:hanging="420"/>
              <w:rPr>
                <w:rFonts w:ascii="宋体" w:hAnsi="Times New Roman" w:eastAsia="宋体" w:cs="Times New Roman"/>
                <w:b/>
                <w:szCs w:val="20"/>
              </w:rPr>
            </w:pPr>
          </w:p>
        </w:tc>
        <w:tc>
          <w:tcPr>
            <w:tcW w:w="2082" w:type="dxa"/>
          </w:tcPr>
          <w:p w14:paraId="4ED0B260">
            <w:pPr>
              <w:ind w:left="420" w:hanging="420"/>
              <w:rPr>
                <w:rFonts w:ascii="宋体" w:hAnsi="Times New Roman" w:eastAsia="宋体" w:cs="Times New Roman"/>
                <w:b/>
                <w:szCs w:val="20"/>
              </w:rPr>
            </w:pPr>
          </w:p>
        </w:tc>
        <w:tc>
          <w:tcPr>
            <w:tcW w:w="1355" w:type="dxa"/>
          </w:tcPr>
          <w:p w14:paraId="3757F33A">
            <w:pPr>
              <w:ind w:left="420" w:hanging="420"/>
              <w:rPr>
                <w:rFonts w:ascii="宋体" w:hAnsi="Times New Roman" w:eastAsia="宋体" w:cs="Times New Roman"/>
                <w:b/>
                <w:szCs w:val="20"/>
              </w:rPr>
            </w:pPr>
          </w:p>
        </w:tc>
        <w:tc>
          <w:tcPr>
            <w:tcW w:w="1320" w:type="dxa"/>
          </w:tcPr>
          <w:p w14:paraId="441AD68E">
            <w:pPr>
              <w:ind w:left="420" w:hanging="420"/>
              <w:rPr>
                <w:rFonts w:ascii="宋体" w:hAnsi="Times New Roman" w:eastAsia="宋体" w:cs="Times New Roman"/>
                <w:b/>
                <w:szCs w:val="20"/>
              </w:rPr>
            </w:pPr>
          </w:p>
        </w:tc>
        <w:tc>
          <w:tcPr>
            <w:tcW w:w="1023" w:type="dxa"/>
          </w:tcPr>
          <w:p w14:paraId="54A5E14C">
            <w:pPr>
              <w:ind w:left="420" w:hanging="420"/>
              <w:rPr>
                <w:rFonts w:ascii="宋体" w:hAnsi="Times New Roman" w:eastAsia="宋体" w:cs="Times New Roman"/>
                <w:b/>
                <w:szCs w:val="20"/>
              </w:rPr>
            </w:pPr>
          </w:p>
        </w:tc>
        <w:tc>
          <w:tcPr>
            <w:tcW w:w="1590" w:type="dxa"/>
          </w:tcPr>
          <w:p w14:paraId="7AC10708">
            <w:pPr>
              <w:ind w:left="420" w:hanging="420"/>
              <w:rPr>
                <w:rFonts w:ascii="宋体" w:hAnsi="Times New Roman" w:eastAsia="宋体" w:cs="Times New Roman"/>
                <w:b/>
                <w:szCs w:val="20"/>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94295F3">
            <w:pPr>
              <w:ind w:left="420" w:hanging="420"/>
              <w:rPr>
                <w:rFonts w:ascii="宋体" w:hAnsi="Times New Roman" w:eastAsia="宋体" w:cs="Times New Roman"/>
                <w:b/>
                <w:szCs w:val="20"/>
              </w:rPr>
            </w:pPr>
          </w:p>
        </w:tc>
        <w:tc>
          <w:tcPr>
            <w:tcW w:w="2082" w:type="dxa"/>
          </w:tcPr>
          <w:p w14:paraId="7A7F59A6">
            <w:pPr>
              <w:ind w:left="420" w:hanging="420"/>
              <w:rPr>
                <w:rFonts w:ascii="宋体" w:hAnsi="Times New Roman" w:eastAsia="宋体" w:cs="Times New Roman"/>
                <w:b/>
                <w:szCs w:val="20"/>
              </w:rPr>
            </w:pPr>
          </w:p>
        </w:tc>
        <w:tc>
          <w:tcPr>
            <w:tcW w:w="1355" w:type="dxa"/>
          </w:tcPr>
          <w:p w14:paraId="029F355C">
            <w:pPr>
              <w:ind w:left="420" w:hanging="420"/>
              <w:rPr>
                <w:rFonts w:ascii="宋体" w:hAnsi="Times New Roman" w:eastAsia="宋体" w:cs="Times New Roman"/>
                <w:b/>
                <w:szCs w:val="20"/>
              </w:rPr>
            </w:pPr>
          </w:p>
        </w:tc>
        <w:tc>
          <w:tcPr>
            <w:tcW w:w="1320" w:type="dxa"/>
          </w:tcPr>
          <w:p w14:paraId="30CECE3C">
            <w:pPr>
              <w:ind w:left="420" w:hanging="420"/>
              <w:rPr>
                <w:rFonts w:ascii="宋体" w:hAnsi="Times New Roman" w:eastAsia="宋体" w:cs="Times New Roman"/>
                <w:b/>
                <w:szCs w:val="20"/>
              </w:rPr>
            </w:pPr>
          </w:p>
        </w:tc>
        <w:tc>
          <w:tcPr>
            <w:tcW w:w="1023" w:type="dxa"/>
          </w:tcPr>
          <w:p w14:paraId="08CA960A">
            <w:pPr>
              <w:ind w:left="420" w:hanging="420"/>
              <w:rPr>
                <w:rFonts w:ascii="宋体" w:hAnsi="Times New Roman" w:eastAsia="宋体" w:cs="Times New Roman"/>
                <w:b/>
                <w:szCs w:val="20"/>
              </w:rPr>
            </w:pPr>
          </w:p>
        </w:tc>
        <w:tc>
          <w:tcPr>
            <w:tcW w:w="1590" w:type="dxa"/>
          </w:tcPr>
          <w:p w14:paraId="5EEAB7A0">
            <w:pPr>
              <w:ind w:left="420" w:hanging="420"/>
              <w:rPr>
                <w:rFonts w:ascii="宋体" w:hAnsi="Times New Roman" w:eastAsia="宋体" w:cs="Times New Roman"/>
                <w:b/>
                <w:szCs w:val="20"/>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AD4458">
            <w:pPr>
              <w:ind w:left="420" w:hanging="420"/>
              <w:rPr>
                <w:rFonts w:ascii="宋体" w:hAnsi="Times New Roman" w:eastAsia="宋体" w:cs="Times New Roman"/>
                <w:b/>
                <w:szCs w:val="20"/>
              </w:rPr>
            </w:pPr>
          </w:p>
        </w:tc>
        <w:tc>
          <w:tcPr>
            <w:tcW w:w="2082" w:type="dxa"/>
          </w:tcPr>
          <w:p w14:paraId="7423D2C9">
            <w:pPr>
              <w:ind w:left="420" w:hanging="420"/>
              <w:rPr>
                <w:rFonts w:ascii="宋体" w:hAnsi="Times New Roman" w:eastAsia="宋体" w:cs="Times New Roman"/>
                <w:b/>
                <w:szCs w:val="20"/>
              </w:rPr>
            </w:pPr>
          </w:p>
        </w:tc>
        <w:tc>
          <w:tcPr>
            <w:tcW w:w="1355" w:type="dxa"/>
          </w:tcPr>
          <w:p w14:paraId="1D5A5BAA">
            <w:pPr>
              <w:ind w:left="420" w:hanging="420"/>
              <w:rPr>
                <w:rFonts w:ascii="宋体" w:hAnsi="Times New Roman" w:eastAsia="宋体" w:cs="Times New Roman"/>
                <w:b/>
                <w:szCs w:val="20"/>
              </w:rPr>
            </w:pPr>
          </w:p>
        </w:tc>
        <w:tc>
          <w:tcPr>
            <w:tcW w:w="1320" w:type="dxa"/>
          </w:tcPr>
          <w:p w14:paraId="2E7B38F0">
            <w:pPr>
              <w:ind w:left="420" w:hanging="420"/>
              <w:rPr>
                <w:rFonts w:ascii="宋体" w:hAnsi="Times New Roman" w:eastAsia="宋体" w:cs="Times New Roman"/>
                <w:b/>
                <w:szCs w:val="20"/>
              </w:rPr>
            </w:pPr>
          </w:p>
        </w:tc>
        <w:tc>
          <w:tcPr>
            <w:tcW w:w="1023" w:type="dxa"/>
          </w:tcPr>
          <w:p w14:paraId="48442129">
            <w:pPr>
              <w:ind w:left="420" w:hanging="420"/>
              <w:rPr>
                <w:rFonts w:ascii="宋体" w:hAnsi="Times New Roman" w:eastAsia="宋体" w:cs="Times New Roman"/>
                <w:b/>
                <w:szCs w:val="20"/>
              </w:rPr>
            </w:pPr>
          </w:p>
        </w:tc>
        <w:tc>
          <w:tcPr>
            <w:tcW w:w="1590" w:type="dxa"/>
          </w:tcPr>
          <w:p w14:paraId="78B8F0CA">
            <w:pPr>
              <w:ind w:left="420" w:hanging="420"/>
              <w:rPr>
                <w:rFonts w:ascii="宋体" w:hAnsi="Times New Roman" w:eastAsia="宋体" w:cs="Times New Roman"/>
                <w:b/>
                <w:szCs w:val="20"/>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079B72">
            <w:pPr>
              <w:ind w:left="420" w:hanging="420"/>
              <w:rPr>
                <w:rFonts w:ascii="宋体" w:hAnsi="Times New Roman" w:eastAsia="宋体" w:cs="Times New Roman"/>
                <w:b/>
                <w:szCs w:val="20"/>
              </w:rPr>
            </w:pPr>
          </w:p>
        </w:tc>
        <w:tc>
          <w:tcPr>
            <w:tcW w:w="2082" w:type="dxa"/>
          </w:tcPr>
          <w:p w14:paraId="20E348AC">
            <w:pPr>
              <w:ind w:left="420" w:hanging="420"/>
              <w:rPr>
                <w:rFonts w:ascii="宋体" w:hAnsi="Times New Roman" w:eastAsia="宋体" w:cs="Times New Roman"/>
                <w:b/>
                <w:szCs w:val="20"/>
              </w:rPr>
            </w:pPr>
          </w:p>
        </w:tc>
        <w:tc>
          <w:tcPr>
            <w:tcW w:w="1355" w:type="dxa"/>
          </w:tcPr>
          <w:p w14:paraId="4A67A34F">
            <w:pPr>
              <w:ind w:left="420" w:hanging="420"/>
              <w:rPr>
                <w:rFonts w:ascii="宋体" w:hAnsi="Times New Roman" w:eastAsia="宋体" w:cs="Times New Roman"/>
                <w:b/>
                <w:szCs w:val="20"/>
              </w:rPr>
            </w:pPr>
          </w:p>
        </w:tc>
        <w:tc>
          <w:tcPr>
            <w:tcW w:w="1320" w:type="dxa"/>
          </w:tcPr>
          <w:p w14:paraId="04F0E9B7">
            <w:pPr>
              <w:ind w:left="420" w:hanging="420"/>
              <w:rPr>
                <w:rFonts w:ascii="宋体" w:hAnsi="Times New Roman" w:eastAsia="宋体" w:cs="Times New Roman"/>
                <w:b/>
                <w:szCs w:val="20"/>
              </w:rPr>
            </w:pPr>
          </w:p>
        </w:tc>
        <w:tc>
          <w:tcPr>
            <w:tcW w:w="1023" w:type="dxa"/>
          </w:tcPr>
          <w:p w14:paraId="2942C70E">
            <w:pPr>
              <w:ind w:left="420" w:hanging="420"/>
              <w:rPr>
                <w:rFonts w:ascii="宋体" w:hAnsi="Times New Roman" w:eastAsia="宋体" w:cs="Times New Roman"/>
                <w:b/>
                <w:szCs w:val="20"/>
              </w:rPr>
            </w:pPr>
          </w:p>
        </w:tc>
        <w:tc>
          <w:tcPr>
            <w:tcW w:w="1590" w:type="dxa"/>
          </w:tcPr>
          <w:p w14:paraId="01DB390F">
            <w:pPr>
              <w:ind w:left="420" w:hanging="420"/>
              <w:rPr>
                <w:rFonts w:ascii="宋体" w:hAnsi="Times New Roman" w:eastAsia="宋体" w:cs="Times New Roman"/>
                <w:b/>
                <w:szCs w:val="20"/>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A24210">
            <w:pPr>
              <w:ind w:left="420" w:hanging="420"/>
              <w:rPr>
                <w:rFonts w:ascii="宋体" w:hAnsi="Times New Roman" w:eastAsia="宋体" w:cs="Times New Roman"/>
                <w:b/>
                <w:szCs w:val="20"/>
              </w:rPr>
            </w:pPr>
          </w:p>
        </w:tc>
        <w:tc>
          <w:tcPr>
            <w:tcW w:w="2082" w:type="dxa"/>
          </w:tcPr>
          <w:p w14:paraId="77CD530D">
            <w:pPr>
              <w:ind w:left="420" w:hanging="420"/>
              <w:rPr>
                <w:rFonts w:ascii="宋体" w:hAnsi="Times New Roman" w:eastAsia="宋体" w:cs="Times New Roman"/>
                <w:b/>
                <w:szCs w:val="20"/>
              </w:rPr>
            </w:pPr>
          </w:p>
        </w:tc>
        <w:tc>
          <w:tcPr>
            <w:tcW w:w="1355" w:type="dxa"/>
          </w:tcPr>
          <w:p w14:paraId="1AF801A7">
            <w:pPr>
              <w:ind w:left="420" w:hanging="420"/>
              <w:rPr>
                <w:rFonts w:ascii="宋体" w:hAnsi="Times New Roman" w:eastAsia="宋体" w:cs="Times New Roman"/>
                <w:b/>
                <w:szCs w:val="20"/>
              </w:rPr>
            </w:pPr>
          </w:p>
        </w:tc>
        <w:tc>
          <w:tcPr>
            <w:tcW w:w="1320" w:type="dxa"/>
          </w:tcPr>
          <w:p w14:paraId="376414BF">
            <w:pPr>
              <w:ind w:left="420" w:hanging="420"/>
              <w:rPr>
                <w:rFonts w:ascii="宋体" w:hAnsi="Times New Roman" w:eastAsia="宋体" w:cs="Times New Roman"/>
                <w:b/>
                <w:szCs w:val="20"/>
              </w:rPr>
            </w:pPr>
          </w:p>
        </w:tc>
        <w:tc>
          <w:tcPr>
            <w:tcW w:w="1023" w:type="dxa"/>
          </w:tcPr>
          <w:p w14:paraId="157CBC41">
            <w:pPr>
              <w:ind w:left="420" w:hanging="420"/>
              <w:rPr>
                <w:rFonts w:ascii="宋体" w:hAnsi="Times New Roman" w:eastAsia="宋体" w:cs="Times New Roman"/>
                <w:b/>
                <w:szCs w:val="20"/>
              </w:rPr>
            </w:pPr>
          </w:p>
        </w:tc>
        <w:tc>
          <w:tcPr>
            <w:tcW w:w="1590" w:type="dxa"/>
          </w:tcPr>
          <w:p w14:paraId="6D4ECD6C">
            <w:pPr>
              <w:ind w:left="420" w:hanging="420"/>
              <w:rPr>
                <w:rFonts w:ascii="宋体" w:hAnsi="Times New Roman" w:eastAsia="宋体" w:cs="Times New Roman"/>
                <w:b/>
                <w:szCs w:val="20"/>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602B19">
            <w:pPr>
              <w:ind w:left="420" w:hanging="420"/>
              <w:rPr>
                <w:rFonts w:ascii="宋体" w:hAnsi="Times New Roman" w:eastAsia="宋体" w:cs="Times New Roman"/>
                <w:b/>
                <w:szCs w:val="20"/>
              </w:rPr>
            </w:pPr>
          </w:p>
        </w:tc>
        <w:tc>
          <w:tcPr>
            <w:tcW w:w="2082" w:type="dxa"/>
          </w:tcPr>
          <w:p w14:paraId="39623141">
            <w:pPr>
              <w:ind w:left="420" w:hanging="420"/>
              <w:rPr>
                <w:rFonts w:ascii="宋体" w:hAnsi="Times New Roman" w:eastAsia="宋体" w:cs="Times New Roman"/>
                <w:b/>
                <w:szCs w:val="20"/>
              </w:rPr>
            </w:pPr>
          </w:p>
        </w:tc>
        <w:tc>
          <w:tcPr>
            <w:tcW w:w="1355" w:type="dxa"/>
          </w:tcPr>
          <w:p w14:paraId="07086CEC">
            <w:pPr>
              <w:ind w:left="420" w:hanging="420"/>
              <w:rPr>
                <w:rFonts w:ascii="宋体" w:hAnsi="Times New Roman" w:eastAsia="宋体" w:cs="Times New Roman"/>
                <w:b/>
                <w:szCs w:val="20"/>
              </w:rPr>
            </w:pPr>
          </w:p>
        </w:tc>
        <w:tc>
          <w:tcPr>
            <w:tcW w:w="1320" w:type="dxa"/>
          </w:tcPr>
          <w:p w14:paraId="69475932">
            <w:pPr>
              <w:ind w:left="420" w:hanging="420"/>
              <w:rPr>
                <w:rFonts w:ascii="宋体" w:hAnsi="Times New Roman" w:eastAsia="宋体" w:cs="Times New Roman"/>
                <w:b/>
                <w:szCs w:val="20"/>
              </w:rPr>
            </w:pPr>
          </w:p>
        </w:tc>
        <w:tc>
          <w:tcPr>
            <w:tcW w:w="1023" w:type="dxa"/>
          </w:tcPr>
          <w:p w14:paraId="7135CD98">
            <w:pPr>
              <w:ind w:left="420" w:hanging="420"/>
              <w:rPr>
                <w:rFonts w:ascii="宋体" w:hAnsi="Times New Roman" w:eastAsia="宋体" w:cs="Times New Roman"/>
                <w:b/>
                <w:szCs w:val="20"/>
              </w:rPr>
            </w:pPr>
          </w:p>
        </w:tc>
        <w:tc>
          <w:tcPr>
            <w:tcW w:w="1590" w:type="dxa"/>
          </w:tcPr>
          <w:p w14:paraId="381D38C7">
            <w:pPr>
              <w:ind w:left="420" w:hanging="420"/>
              <w:rPr>
                <w:rFonts w:ascii="宋体" w:hAnsi="Times New Roman" w:eastAsia="宋体" w:cs="Times New Roman"/>
                <w:b/>
                <w:szCs w:val="20"/>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E48CB2">
            <w:pPr>
              <w:ind w:left="420" w:hanging="420"/>
              <w:rPr>
                <w:rFonts w:ascii="宋体" w:hAnsi="Times New Roman" w:eastAsia="宋体" w:cs="Times New Roman"/>
                <w:b/>
                <w:szCs w:val="20"/>
              </w:rPr>
            </w:pPr>
          </w:p>
        </w:tc>
        <w:tc>
          <w:tcPr>
            <w:tcW w:w="2082" w:type="dxa"/>
          </w:tcPr>
          <w:p w14:paraId="0FF652EC">
            <w:pPr>
              <w:ind w:left="420" w:hanging="420"/>
              <w:rPr>
                <w:rFonts w:ascii="宋体" w:hAnsi="Times New Roman" w:eastAsia="宋体" w:cs="Times New Roman"/>
                <w:b/>
                <w:szCs w:val="20"/>
              </w:rPr>
            </w:pPr>
          </w:p>
        </w:tc>
        <w:tc>
          <w:tcPr>
            <w:tcW w:w="1355" w:type="dxa"/>
          </w:tcPr>
          <w:p w14:paraId="77D7DB6F">
            <w:pPr>
              <w:ind w:left="420" w:hanging="420"/>
              <w:rPr>
                <w:rFonts w:ascii="宋体" w:hAnsi="Times New Roman" w:eastAsia="宋体" w:cs="Times New Roman"/>
                <w:b/>
                <w:szCs w:val="20"/>
              </w:rPr>
            </w:pPr>
          </w:p>
        </w:tc>
        <w:tc>
          <w:tcPr>
            <w:tcW w:w="1320" w:type="dxa"/>
          </w:tcPr>
          <w:p w14:paraId="2F0A17E7">
            <w:pPr>
              <w:ind w:left="420" w:hanging="420"/>
              <w:rPr>
                <w:rFonts w:ascii="宋体" w:hAnsi="Times New Roman" w:eastAsia="宋体" w:cs="Times New Roman"/>
                <w:b/>
                <w:szCs w:val="20"/>
              </w:rPr>
            </w:pPr>
          </w:p>
        </w:tc>
        <w:tc>
          <w:tcPr>
            <w:tcW w:w="1023" w:type="dxa"/>
          </w:tcPr>
          <w:p w14:paraId="3143C605">
            <w:pPr>
              <w:ind w:left="420" w:hanging="420"/>
              <w:rPr>
                <w:rFonts w:ascii="宋体" w:hAnsi="Times New Roman" w:eastAsia="宋体" w:cs="Times New Roman"/>
                <w:b/>
                <w:szCs w:val="20"/>
              </w:rPr>
            </w:pPr>
          </w:p>
        </w:tc>
        <w:tc>
          <w:tcPr>
            <w:tcW w:w="1590" w:type="dxa"/>
          </w:tcPr>
          <w:p w14:paraId="10108423">
            <w:pPr>
              <w:ind w:left="420" w:hanging="420"/>
              <w:rPr>
                <w:rFonts w:ascii="宋体" w:hAnsi="Times New Roman" w:eastAsia="宋体" w:cs="Times New Roman"/>
                <w:b/>
                <w:szCs w:val="20"/>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60A6EB">
            <w:pPr>
              <w:ind w:left="420" w:hanging="420"/>
              <w:rPr>
                <w:rFonts w:ascii="宋体" w:hAnsi="Times New Roman" w:eastAsia="宋体" w:cs="Times New Roman"/>
                <w:b/>
                <w:szCs w:val="20"/>
              </w:rPr>
            </w:pPr>
          </w:p>
        </w:tc>
        <w:tc>
          <w:tcPr>
            <w:tcW w:w="2082" w:type="dxa"/>
          </w:tcPr>
          <w:p w14:paraId="24F0685A">
            <w:pPr>
              <w:ind w:left="420" w:hanging="420"/>
              <w:rPr>
                <w:rFonts w:ascii="宋体" w:hAnsi="Times New Roman" w:eastAsia="宋体" w:cs="Times New Roman"/>
                <w:b/>
                <w:szCs w:val="20"/>
              </w:rPr>
            </w:pPr>
          </w:p>
        </w:tc>
        <w:tc>
          <w:tcPr>
            <w:tcW w:w="1355" w:type="dxa"/>
          </w:tcPr>
          <w:p w14:paraId="35E01C83">
            <w:pPr>
              <w:ind w:left="420" w:hanging="420"/>
              <w:rPr>
                <w:rFonts w:ascii="宋体" w:hAnsi="Times New Roman" w:eastAsia="宋体" w:cs="Times New Roman"/>
                <w:b/>
                <w:szCs w:val="20"/>
              </w:rPr>
            </w:pPr>
          </w:p>
        </w:tc>
        <w:tc>
          <w:tcPr>
            <w:tcW w:w="1320" w:type="dxa"/>
          </w:tcPr>
          <w:p w14:paraId="71B2A2EE">
            <w:pPr>
              <w:ind w:left="420" w:hanging="420"/>
              <w:rPr>
                <w:rFonts w:ascii="宋体" w:hAnsi="Times New Roman" w:eastAsia="宋体" w:cs="Times New Roman"/>
                <w:b/>
                <w:szCs w:val="20"/>
              </w:rPr>
            </w:pPr>
          </w:p>
        </w:tc>
        <w:tc>
          <w:tcPr>
            <w:tcW w:w="1023" w:type="dxa"/>
          </w:tcPr>
          <w:p w14:paraId="6D218064">
            <w:pPr>
              <w:ind w:left="420" w:hanging="420"/>
              <w:rPr>
                <w:rFonts w:ascii="宋体" w:hAnsi="Times New Roman" w:eastAsia="宋体" w:cs="Times New Roman"/>
                <w:b/>
                <w:szCs w:val="20"/>
              </w:rPr>
            </w:pPr>
          </w:p>
        </w:tc>
        <w:tc>
          <w:tcPr>
            <w:tcW w:w="1590" w:type="dxa"/>
          </w:tcPr>
          <w:p w14:paraId="394766F4">
            <w:pPr>
              <w:ind w:left="420" w:hanging="420"/>
              <w:rPr>
                <w:rFonts w:ascii="宋体" w:hAnsi="Times New Roman" w:eastAsia="宋体" w:cs="Times New Roman"/>
                <w:b/>
                <w:szCs w:val="20"/>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297B04">
            <w:pPr>
              <w:ind w:left="420" w:hanging="420"/>
              <w:rPr>
                <w:rFonts w:ascii="宋体" w:hAnsi="Times New Roman" w:eastAsia="宋体" w:cs="Times New Roman"/>
                <w:b/>
                <w:szCs w:val="20"/>
              </w:rPr>
            </w:pPr>
          </w:p>
        </w:tc>
        <w:tc>
          <w:tcPr>
            <w:tcW w:w="2082" w:type="dxa"/>
          </w:tcPr>
          <w:p w14:paraId="0A6119C2">
            <w:pPr>
              <w:ind w:left="420" w:hanging="420"/>
              <w:rPr>
                <w:rFonts w:ascii="宋体" w:hAnsi="Times New Roman" w:eastAsia="宋体" w:cs="Times New Roman"/>
                <w:b/>
                <w:szCs w:val="20"/>
              </w:rPr>
            </w:pPr>
          </w:p>
        </w:tc>
        <w:tc>
          <w:tcPr>
            <w:tcW w:w="1355" w:type="dxa"/>
          </w:tcPr>
          <w:p w14:paraId="4A25CEAA">
            <w:pPr>
              <w:ind w:left="420" w:hanging="420"/>
              <w:rPr>
                <w:rFonts w:ascii="宋体" w:hAnsi="Times New Roman" w:eastAsia="宋体" w:cs="Times New Roman"/>
                <w:b/>
                <w:szCs w:val="20"/>
              </w:rPr>
            </w:pPr>
          </w:p>
        </w:tc>
        <w:tc>
          <w:tcPr>
            <w:tcW w:w="1320" w:type="dxa"/>
          </w:tcPr>
          <w:p w14:paraId="27762986">
            <w:pPr>
              <w:ind w:left="420" w:hanging="420"/>
              <w:rPr>
                <w:rFonts w:ascii="宋体" w:hAnsi="Times New Roman" w:eastAsia="宋体" w:cs="Times New Roman"/>
                <w:b/>
                <w:szCs w:val="20"/>
              </w:rPr>
            </w:pPr>
          </w:p>
        </w:tc>
        <w:tc>
          <w:tcPr>
            <w:tcW w:w="1023" w:type="dxa"/>
          </w:tcPr>
          <w:p w14:paraId="7B23C461">
            <w:pPr>
              <w:ind w:left="420" w:hanging="420"/>
              <w:rPr>
                <w:rFonts w:ascii="宋体" w:hAnsi="Times New Roman" w:eastAsia="宋体" w:cs="Times New Roman"/>
                <w:b/>
                <w:szCs w:val="20"/>
              </w:rPr>
            </w:pPr>
          </w:p>
        </w:tc>
        <w:tc>
          <w:tcPr>
            <w:tcW w:w="1590" w:type="dxa"/>
          </w:tcPr>
          <w:p w14:paraId="2631C11D">
            <w:pPr>
              <w:ind w:left="420" w:hanging="420"/>
              <w:rPr>
                <w:rFonts w:ascii="宋体" w:hAnsi="Times New Roman" w:eastAsia="宋体" w:cs="Times New Roman"/>
                <w:b/>
                <w:szCs w:val="20"/>
              </w:rPr>
            </w:pPr>
          </w:p>
        </w:tc>
      </w:tr>
      <w:tr w14:paraId="5EAC3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87FC3D">
            <w:pPr>
              <w:ind w:left="420" w:hanging="420"/>
              <w:rPr>
                <w:rFonts w:ascii="宋体" w:hAnsi="Times New Roman" w:eastAsia="宋体" w:cs="Times New Roman"/>
                <w:b/>
                <w:szCs w:val="20"/>
              </w:rPr>
            </w:pPr>
          </w:p>
        </w:tc>
        <w:tc>
          <w:tcPr>
            <w:tcW w:w="2082" w:type="dxa"/>
          </w:tcPr>
          <w:p w14:paraId="02E490BF">
            <w:pPr>
              <w:ind w:left="420" w:hanging="420"/>
              <w:rPr>
                <w:rFonts w:ascii="宋体" w:hAnsi="Times New Roman" w:eastAsia="宋体" w:cs="Times New Roman"/>
                <w:b/>
                <w:szCs w:val="20"/>
              </w:rPr>
            </w:pPr>
          </w:p>
        </w:tc>
        <w:tc>
          <w:tcPr>
            <w:tcW w:w="1355" w:type="dxa"/>
          </w:tcPr>
          <w:p w14:paraId="1591A809">
            <w:pPr>
              <w:ind w:left="420" w:hanging="420"/>
              <w:rPr>
                <w:rFonts w:ascii="宋体" w:hAnsi="Times New Roman" w:eastAsia="宋体" w:cs="Times New Roman"/>
                <w:b/>
                <w:szCs w:val="20"/>
              </w:rPr>
            </w:pPr>
          </w:p>
        </w:tc>
        <w:tc>
          <w:tcPr>
            <w:tcW w:w="1320" w:type="dxa"/>
          </w:tcPr>
          <w:p w14:paraId="0FE8210A">
            <w:pPr>
              <w:ind w:left="420" w:hanging="420"/>
              <w:rPr>
                <w:rFonts w:ascii="宋体" w:hAnsi="Times New Roman" w:eastAsia="宋体" w:cs="Times New Roman"/>
                <w:b/>
                <w:szCs w:val="20"/>
              </w:rPr>
            </w:pPr>
          </w:p>
        </w:tc>
        <w:tc>
          <w:tcPr>
            <w:tcW w:w="1023" w:type="dxa"/>
          </w:tcPr>
          <w:p w14:paraId="574836DA">
            <w:pPr>
              <w:ind w:left="420" w:hanging="420"/>
              <w:rPr>
                <w:rFonts w:ascii="宋体" w:hAnsi="Times New Roman" w:eastAsia="宋体" w:cs="Times New Roman"/>
                <w:b/>
                <w:szCs w:val="20"/>
              </w:rPr>
            </w:pPr>
          </w:p>
        </w:tc>
        <w:tc>
          <w:tcPr>
            <w:tcW w:w="1590" w:type="dxa"/>
          </w:tcPr>
          <w:p w14:paraId="086D2835">
            <w:pPr>
              <w:ind w:left="420" w:hanging="420"/>
              <w:rPr>
                <w:rFonts w:ascii="宋体" w:hAnsi="Times New Roman" w:eastAsia="宋体" w:cs="Times New Roman"/>
                <w:b/>
                <w:szCs w:val="20"/>
              </w:rPr>
            </w:pPr>
          </w:p>
        </w:tc>
      </w:tr>
      <w:tr w14:paraId="14B19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143E66">
            <w:pPr>
              <w:ind w:left="420" w:hanging="420"/>
              <w:rPr>
                <w:rFonts w:ascii="宋体" w:hAnsi="Times New Roman" w:eastAsia="宋体" w:cs="Times New Roman"/>
                <w:b/>
                <w:szCs w:val="20"/>
              </w:rPr>
            </w:pPr>
          </w:p>
        </w:tc>
        <w:tc>
          <w:tcPr>
            <w:tcW w:w="2082" w:type="dxa"/>
          </w:tcPr>
          <w:p w14:paraId="73AA90C4">
            <w:pPr>
              <w:ind w:left="420" w:hanging="420"/>
              <w:rPr>
                <w:rFonts w:ascii="宋体" w:hAnsi="Times New Roman" w:eastAsia="宋体" w:cs="Times New Roman"/>
                <w:b/>
                <w:szCs w:val="20"/>
              </w:rPr>
            </w:pPr>
          </w:p>
        </w:tc>
        <w:tc>
          <w:tcPr>
            <w:tcW w:w="1355" w:type="dxa"/>
          </w:tcPr>
          <w:p w14:paraId="71809481">
            <w:pPr>
              <w:ind w:left="420" w:hanging="420"/>
              <w:rPr>
                <w:rFonts w:ascii="宋体" w:hAnsi="Times New Roman" w:eastAsia="宋体" w:cs="Times New Roman"/>
                <w:b/>
                <w:szCs w:val="20"/>
              </w:rPr>
            </w:pPr>
          </w:p>
        </w:tc>
        <w:tc>
          <w:tcPr>
            <w:tcW w:w="1320" w:type="dxa"/>
          </w:tcPr>
          <w:p w14:paraId="6CCE08E1">
            <w:pPr>
              <w:ind w:left="420" w:hanging="420"/>
              <w:rPr>
                <w:rFonts w:ascii="宋体" w:hAnsi="Times New Roman" w:eastAsia="宋体" w:cs="Times New Roman"/>
                <w:b/>
                <w:szCs w:val="20"/>
              </w:rPr>
            </w:pPr>
          </w:p>
        </w:tc>
        <w:tc>
          <w:tcPr>
            <w:tcW w:w="1023" w:type="dxa"/>
          </w:tcPr>
          <w:p w14:paraId="37378EDC">
            <w:pPr>
              <w:ind w:left="420" w:hanging="420"/>
              <w:rPr>
                <w:rFonts w:ascii="宋体" w:hAnsi="Times New Roman" w:eastAsia="宋体" w:cs="Times New Roman"/>
                <w:b/>
                <w:szCs w:val="20"/>
              </w:rPr>
            </w:pPr>
          </w:p>
        </w:tc>
        <w:tc>
          <w:tcPr>
            <w:tcW w:w="1590" w:type="dxa"/>
          </w:tcPr>
          <w:p w14:paraId="69704FC8">
            <w:pPr>
              <w:ind w:left="420" w:hanging="420"/>
              <w:rPr>
                <w:rFonts w:ascii="宋体" w:hAnsi="Times New Roman" w:eastAsia="宋体" w:cs="Times New Roman"/>
                <w:b/>
                <w:szCs w:val="20"/>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D299EF7">
            <w:pPr>
              <w:ind w:left="420" w:hanging="420"/>
              <w:rPr>
                <w:rFonts w:ascii="宋体" w:hAnsi="Times New Roman" w:eastAsia="宋体" w:cs="Times New Roman"/>
                <w:b/>
                <w:szCs w:val="20"/>
              </w:rPr>
            </w:pPr>
            <w:r>
              <w:rPr>
                <w:rFonts w:ascii="宋体" w:hAnsi="宋体" w:eastAsia="宋体" w:cs="宋体"/>
                <w:sz w:val="24"/>
                <w:szCs w:val="24"/>
              </w:rPr>
              <w:t>20</w:t>
            </w:r>
            <w:r>
              <w:rPr>
                <w:rFonts w:hint="eastAsia" w:ascii="宋体" w:hAnsi="宋体" w:eastAsia="宋体" w:cs="宋体"/>
                <w:sz w:val="24"/>
                <w:szCs w:val="24"/>
              </w:rPr>
              <w:t>2</w:t>
            </w:r>
            <w:r>
              <w:rPr>
                <w:rFonts w:hint="eastAsia" w:ascii="宋体" w:hAnsi="宋体" w:eastAsia="宋体" w:cs="宋体"/>
                <w:sz w:val="24"/>
                <w:szCs w:val="24"/>
                <w:lang w:val="en-US" w:eastAsia="zh-CN"/>
              </w:rPr>
              <w:t>2</w:t>
            </w:r>
            <w:r>
              <w:rPr>
                <w:rFonts w:ascii="宋体" w:hAnsi="宋体" w:eastAsia="宋体" w:cs="宋体"/>
                <w:sz w:val="24"/>
                <w:szCs w:val="24"/>
              </w:rPr>
              <w:t>年1月1日至今所有业绩合同总额汇总（必填）</w:t>
            </w:r>
          </w:p>
        </w:tc>
        <w:tc>
          <w:tcPr>
            <w:tcW w:w="1320" w:type="dxa"/>
          </w:tcPr>
          <w:p w14:paraId="40C45986">
            <w:pPr>
              <w:ind w:left="420" w:hanging="420"/>
              <w:rPr>
                <w:rFonts w:ascii="宋体" w:hAnsi="Times New Roman" w:eastAsia="宋体" w:cs="Times New Roman"/>
                <w:b/>
                <w:szCs w:val="20"/>
              </w:rPr>
            </w:pPr>
          </w:p>
        </w:tc>
        <w:tc>
          <w:tcPr>
            <w:tcW w:w="1023" w:type="dxa"/>
          </w:tcPr>
          <w:p w14:paraId="47AB43D1">
            <w:pPr>
              <w:ind w:left="420" w:hanging="420"/>
              <w:rPr>
                <w:rFonts w:ascii="宋体" w:hAnsi="Times New Roman" w:eastAsia="宋体" w:cs="Times New Roman"/>
                <w:b/>
                <w:szCs w:val="20"/>
              </w:rPr>
            </w:pPr>
          </w:p>
        </w:tc>
        <w:tc>
          <w:tcPr>
            <w:tcW w:w="1590" w:type="dxa"/>
          </w:tcPr>
          <w:p w14:paraId="10559679">
            <w:pPr>
              <w:ind w:left="420" w:hanging="420"/>
              <w:rPr>
                <w:rFonts w:ascii="宋体" w:hAnsi="Times New Roman" w:eastAsia="宋体" w:cs="Times New Roman"/>
                <w:b/>
                <w:szCs w:val="20"/>
              </w:rPr>
            </w:pPr>
          </w:p>
        </w:tc>
      </w:tr>
    </w:tbl>
    <w:p w14:paraId="7915B601">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w:t>
      </w:r>
      <w:r>
        <w:rPr>
          <w:rFonts w:hint="eastAsia" w:ascii="宋体" w:hAnsi="宋体" w:eastAsia="宋体" w:cs="宋体"/>
          <w:kern w:val="0"/>
          <w:sz w:val="24"/>
          <w:szCs w:val="20"/>
          <w:lang w:eastAsia="zh-CN"/>
        </w:rPr>
        <w:t>2022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50F44EC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77E2ED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ED790B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ED7DFE6">
      <w:pPr>
        <w:rPr>
          <w:rFonts w:ascii="宋体" w:hAnsi="Calibri" w:eastAsia="宋体" w:cs="宋体"/>
          <w:b/>
          <w:bCs/>
          <w:color w:val="000000"/>
          <w:sz w:val="28"/>
        </w:rPr>
      </w:pPr>
    </w:p>
    <w:p w14:paraId="114C6E1A">
      <w:pPr>
        <w:rPr>
          <w:rFonts w:ascii="宋体" w:hAnsi="Calibri" w:eastAsia="宋体" w:cs="宋体"/>
          <w:b/>
          <w:bCs/>
          <w:color w:val="000000"/>
          <w:sz w:val="28"/>
        </w:rPr>
        <w:sectPr>
          <w:footerReference r:id="rId22" w:type="default"/>
          <w:pgSz w:w="11906" w:h="16838"/>
          <w:pgMar w:top="1588" w:right="1418" w:bottom="1134" w:left="1418" w:header="851" w:footer="992" w:gutter="0"/>
          <w:cols w:space="720" w:num="1"/>
          <w:titlePg/>
          <w:docGrid w:type="lines" w:linePitch="312" w:charSpace="0"/>
        </w:sectPr>
      </w:pPr>
    </w:p>
    <w:p w14:paraId="1A5C4D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224E264">
      <w:pPr>
        <w:spacing w:line="240" w:lineRule="exact"/>
        <w:rPr>
          <w:rFonts w:ascii="宋体" w:hAnsi="宋体" w:eastAsia="宋体" w:cs="Times New Roman"/>
          <w:szCs w:val="20"/>
        </w:rPr>
      </w:pPr>
      <w:r>
        <w:rPr>
          <w:rFonts w:ascii="宋体" w:hAnsi="宋体" w:eastAsia="宋体" w:cs="Times New Roman"/>
          <w:szCs w:val="20"/>
        </w:rPr>
        <w:t xml:space="preserve">                                               </w:t>
      </w:r>
    </w:p>
    <w:p w14:paraId="3C0E09DE">
      <w:pPr>
        <w:spacing w:line="360" w:lineRule="auto"/>
        <w:rPr>
          <w:rFonts w:hint="eastAsia" w:ascii="宋体" w:hAnsi="宋体" w:eastAsia="宋体" w:cs="Times New Roman"/>
          <w:sz w:val="24"/>
          <w:szCs w:val="20"/>
          <w:u w:val="single"/>
          <w:lang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Times New Roman"/>
          <w:sz w:val="24"/>
          <w:szCs w:val="20"/>
          <w:u w:val="single"/>
          <w:lang w:eastAsia="zh-CN"/>
        </w:rPr>
        <w:t>济南成型厂5吨整体式转向节模具新制项目</w:t>
      </w:r>
    </w:p>
    <w:p w14:paraId="019D66F0">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red"/>
        </w:rPr>
        <w:t>中国重汽集团济南动力有限公司：</w:t>
      </w:r>
    </w:p>
    <w:p w14:paraId="0E82BE23">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8C4F9F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B749D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99C1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DEFB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1B8B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A8F75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248A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F2C89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72E6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8C6A4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D5200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3B3D6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B09ED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CA11E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1D40B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4904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49EF2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68C4B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4EC178">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53610C8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29B0F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377CAF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5CE7881">
      <w:pPr>
        <w:rPr>
          <w:rFonts w:ascii="宋体" w:hAnsi="Calibri" w:eastAsia="宋体" w:cs="宋体"/>
          <w:b/>
          <w:bCs/>
          <w:color w:val="000000"/>
          <w:sz w:val="28"/>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u w:val="single"/>
          <w:lang w:eastAsia="zh-CN"/>
        </w:rPr>
        <w:t>济南成型厂5吨整体式转向节模具新制项目</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tbl>
      <w:tblPr>
        <w:tblStyle w:val="36"/>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6AEA32C">
            <w:pPr>
              <w:jc w:val="center"/>
              <w:rPr>
                <w:rFonts w:hint="eastAsia" w:ascii="Times New Roman" w:hAnsi="Times New Roman" w:eastAsia="宋体" w:cs="Times New Roman"/>
                <w:b/>
                <w:szCs w:val="20"/>
                <w:lang w:eastAsia="zh-CN"/>
              </w:rPr>
            </w:pPr>
            <w:r>
              <w:rPr>
                <w:rFonts w:hint="eastAsia" w:ascii="Times New Roman" w:hAnsi="Times New Roman" w:eastAsia="宋体" w:cs="Times New Roman"/>
                <w:b/>
                <w:szCs w:val="20"/>
                <w:lang w:eastAsia="zh-CN"/>
              </w:rPr>
              <w:t>济南成型厂5吨整体式转向节模具新制项目</w:t>
            </w:r>
          </w:p>
        </w:tc>
        <w:tc>
          <w:tcPr>
            <w:tcW w:w="848" w:type="dxa"/>
            <w:vAlign w:val="center"/>
          </w:tcPr>
          <w:p w14:paraId="14B69725">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270"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36FA7CE1">
            <w:pPr>
              <w:jc w:val="center"/>
              <w:rPr>
                <w:rFonts w:ascii="Times New Roman" w:hAnsi="Times New Roman" w:eastAsia="宋体" w:cs="Times New Roman"/>
                <w:b/>
                <w:szCs w:val="20"/>
              </w:rPr>
            </w:pPr>
          </w:p>
        </w:tc>
        <w:tc>
          <w:tcPr>
            <w:tcW w:w="1243"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29C32E3A">
      <w:pPr>
        <w:spacing w:line="520" w:lineRule="exact"/>
        <w:rPr>
          <w:rFonts w:hint="eastAsia" w:ascii="宋体" w:hAnsi="宋体" w:eastAsia="宋体" w:cs="Times New Roman"/>
          <w:b/>
          <w:bCs/>
          <w:szCs w:val="21"/>
        </w:rPr>
      </w:pPr>
      <w:r>
        <w:rPr>
          <w:rFonts w:hint="eastAsia" w:ascii="宋体" w:hAnsi="宋体" w:eastAsia="宋体" w:cs="Times New Roman"/>
          <w:b/>
          <w:bCs/>
          <w:szCs w:val="21"/>
        </w:rPr>
        <w:t>1.此表中的报价必须与相应的报价明细表中的报价一致。</w:t>
      </w:r>
    </w:p>
    <w:p w14:paraId="70278D2A">
      <w:pPr>
        <w:spacing w:line="520" w:lineRule="exact"/>
        <w:rPr>
          <w:rFonts w:hint="eastAsia" w:ascii="宋体" w:hAnsi="宋体" w:eastAsia="宋体" w:cs="Times New Roman"/>
          <w:b/>
          <w:bCs/>
          <w:szCs w:val="21"/>
        </w:rPr>
      </w:pPr>
      <w:r>
        <w:rPr>
          <w:rFonts w:hint="eastAsia" w:ascii="宋体" w:hAnsi="宋体" w:eastAsia="宋体" w:cs="Times New Roman"/>
          <w:b/>
          <w:bCs/>
          <w:szCs w:val="21"/>
        </w:rPr>
        <w:t>2.此表在投递标书时请单独密封两份，否则不予唱标。</w:t>
      </w:r>
    </w:p>
    <w:p w14:paraId="05F39440">
      <w:pPr>
        <w:spacing w:line="520" w:lineRule="exact"/>
        <w:rPr>
          <w:rFonts w:hint="eastAsia" w:ascii="宋体" w:hAnsi="宋体" w:eastAsia="宋体" w:cs="Times New Roman"/>
          <w:b/>
          <w:bCs/>
          <w:szCs w:val="21"/>
        </w:rPr>
      </w:pPr>
      <w:r>
        <w:rPr>
          <w:rFonts w:hint="eastAsia" w:ascii="宋体" w:hAnsi="宋体" w:eastAsia="宋体" w:cs="Times New Roman"/>
          <w:b/>
          <w:bCs/>
          <w:szCs w:val="21"/>
        </w:rPr>
        <w:t>3.需写明含税价、不含税价格、税率。</w:t>
      </w:r>
    </w:p>
    <w:p w14:paraId="484D92EC">
      <w:p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4.投标总价大写为必填项，如发生大小写不一致，以大写为准。</w:t>
      </w:r>
    </w:p>
    <w:p w14:paraId="164498C5">
      <w:p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5.</w:t>
      </w:r>
      <w:r>
        <w:rPr>
          <w:rFonts w:hint="eastAsia" w:ascii="宋体" w:hAnsi="宋体" w:eastAsia="宋体" w:cs="Times New Roman"/>
          <w:b/>
          <w:bCs/>
          <w:szCs w:val="21"/>
          <w:highlight w:val="yellow"/>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17"/>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5677ADA">
      <w:pPr>
        <w:ind w:firstLine="480"/>
        <w:rPr>
          <w:rFonts w:ascii="宋体" w:hAnsi="Calibri" w:eastAsia="宋体" w:cs="Times New Roman"/>
          <w:color w:val="000000"/>
          <w:sz w:val="24"/>
          <w:szCs w:val="24"/>
        </w:rPr>
      </w:pPr>
    </w:p>
    <w:p w14:paraId="1B3F87BD">
      <w:pPr>
        <w:pStyle w:val="17"/>
        <w:sectPr>
          <w:pgSz w:w="11906" w:h="16838"/>
          <w:pgMar w:top="1588" w:right="1418" w:bottom="1134" w:left="1418" w:header="851" w:footer="992" w:gutter="0"/>
          <w:cols w:space="720" w:num="1"/>
          <w:titlePg/>
          <w:docGrid w:type="lines" w:linePitch="312" w:charSpace="0"/>
        </w:sectPr>
      </w:pPr>
    </w:p>
    <w:p w14:paraId="2464546E">
      <w:pPr>
        <w:rPr>
          <w:rFonts w:ascii="宋体" w:hAnsi="宋体" w:cs="宋体"/>
          <w:color w:val="000000"/>
          <w:sz w:val="24"/>
          <w:szCs w:val="24"/>
        </w:rPr>
      </w:pPr>
    </w:p>
    <w:p w14:paraId="3807B430">
      <w:pPr>
        <w:pStyle w:val="6"/>
        <w:spacing w:after="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A986012">
      <w:pPr>
        <w:pStyle w:val="7"/>
        <w:spacing w:after="0"/>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62AA42B7">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38CE5ED1">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7"/>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119C0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601846D3">
            <w:pPr>
              <w:spacing w:line="186" w:lineRule="auto"/>
              <w:jc w:val="center"/>
              <w:rPr>
                <w:rFonts w:ascii="宋体" w:hAnsi="宋体" w:eastAsia="宋体" w:cs="宋体"/>
                <w:szCs w:val="21"/>
              </w:rPr>
            </w:pPr>
            <w:r>
              <w:rPr>
                <w:rFonts w:ascii="宋体" w:hAnsi="宋体" w:eastAsia="宋体" w:cs="宋体"/>
                <w:szCs w:val="21"/>
              </w:rPr>
              <w:t>1</w:t>
            </w:r>
          </w:p>
        </w:tc>
        <w:tc>
          <w:tcPr>
            <w:tcW w:w="2315" w:type="dxa"/>
            <w:gridSpan w:val="2"/>
            <w:vAlign w:val="center"/>
          </w:tcPr>
          <w:p w14:paraId="1E61F0C2">
            <w:pPr>
              <w:spacing w:line="185" w:lineRule="auto"/>
              <w:jc w:val="center"/>
              <w:rPr>
                <w:rFonts w:ascii="宋体" w:hAnsi="宋体" w:eastAsia="宋体" w:cs="宋体"/>
                <w:szCs w:val="21"/>
              </w:rPr>
            </w:pPr>
            <w:r>
              <w:rPr>
                <w:rFonts w:ascii="宋体" w:hAnsi="宋体" w:eastAsia="宋体" w:cs="宋体"/>
                <w:szCs w:val="21"/>
              </w:rPr>
              <w:t>2</w:t>
            </w:r>
          </w:p>
        </w:tc>
        <w:tc>
          <w:tcPr>
            <w:tcW w:w="1722" w:type="dxa"/>
            <w:vAlign w:val="center"/>
          </w:tcPr>
          <w:p w14:paraId="2E5E0FBB">
            <w:pPr>
              <w:spacing w:line="183" w:lineRule="auto"/>
              <w:jc w:val="center"/>
              <w:rPr>
                <w:rFonts w:ascii="宋体" w:hAnsi="宋体" w:eastAsia="宋体" w:cs="宋体"/>
                <w:szCs w:val="21"/>
              </w:rPr>
            </w:pPr>
            <w:r>
              <w:rPr>
                <w:rFonts w:ascii="宋体" w:hAnsi="宋体" w:eastAsia="宋体" w:cs="宋体"/>
                <w:szCs w:val="21"/>
              </w:rPr>
              <w:t>3</w:t>
            </w:r>
          </w:p>
        </w:tc>
        <w:tc>
          <w:tcPr>
            <w:tcW w:w="703" w:type="dxa"/>
            <w:vAlign w:val="center"/>
          </w:tcPr>
          <w:p w14:paraId="698E36D2">
            <w:pPr>
              <w:spacing w:line="185" w:lineRule="auto"/>
              <w:jc w:val="center"/>
              <w:rPr>
                <w:rFonts w:ascii="宋体" w:hAnsi="宋体" w:eastAsia="宋体" w:cs="宋体"/>
                <w:szCs w:val="21"/>
              </w:rPr>
            </w:pPr>
            <w:r>
              <w:rPr>
                <w:rFonts w:ascii="宋体" w:hAnsi="宋体" w:eastAsia="宋体" w:cs="宋体"/>
                <w:szCs w:val="21"/>
              </w:rPr>
              <w:t>4</w:t>
            </w:r>
          </w:p>
        </w:tc>
        <w:tc>
          <w:tcPr>
            <w:tcW w:w="550" w:type="dxa"/>
            <w:vAlign w:val="center"/>
          </w:tcPr>
          <w:p w14:paraId="0FDA17D8">
            <w:pPr>
              <w:spacing w:line="182" w:lineRule="auto"/>
              <w:jc w:val="center"/>
              <w:rPr>
                <w:rFonts w:ascii="宋体" w:hAnsi="宋体" w:eastAsia="宋体" w:cs="宋体"/>
                <w:szCs w:val="21"/>
              </w:rPr>
            </w:pPr>
            <w:r>
              <w:rPr>
                <w:rFonts w:hint="eastAsia" w:ascii="宋体" w:hAnsi="宋体" w:eastAsia="宋体" w:cs="宋体"/>
                <w:szCs w:val="21"/>
              </w:rPr>
              <w:t>5</w:t>
            </w:r>
          </w:p>
        </w:tc>
        <w:tc>
          <w:tcPr>
            <w:tcW w:w="2550" w:type="dxa"/>
            <w:vAlign w:val="center"/>
          </w:tcPr>
          <w:p w14:paraId="3CD16F1E">
            <w:pPr>
              <w:spacing w:line="183" w:lineRule="auto"/>
              <w:jc w:val="center"/>
              <w:rPr>
                <w:rFonts w:ascii="宋体" w:hAnsi="宋体" w:eastAsia="宋体" w:cs="宋体"/>
                <w:szCs w:val="21"/>
              </w:rPr>
            </w:pPr>
            <w:r>
              <w:rPr>
                <w:rFonts w:ascii="宋体" w:hAnsi="宋体" w:eastAsia="宋体" w:cs="宋体"/>
                <w:szCs w:val="21"/>
              </w:rPr>
              <w:t>6</w:t>
            </w:r>
          </w:p>
        </w:tc>
        <w:tc>
          <w:tcPr>
            <w:tcW w:w="2510" w:type="dxa"/>
            <w:tcBorders>
              <w:right w:val="single" w:color="000000" w:sz="4" w:space="0"/>
            </w:tcBorders>
            <w:vAlign w:val="center"/>
          </w:tcPr>
          <w:p w14:paraId="49A0ADD6">
            <w:pPr>
              <w:spacing w:line="182" w:lineRule="auto"/>
              <w:jc w:val="center"/>
              <w:rPr>
                <w:rFonts w:ascii="宋体" w:hAnsi="宋体" w:eastAsia="宋体" w:cs="宋体"/>
                <w:szCs w:val="21"/>
              </w:rPr>
            </w:pPr>
            <w:r>
              <w:rPr>
                <w:rFonts w:ascii="宋体" w:hAnsi="宋体" w:eastAsia="宋体" w:cs="宋体"/>
                <w:szCs w:val="21"/>
              </w:rPr>
              <w:t>7</w:t>
            </w:r>
          </w:p>
        </w:tc>
        <w:tc>
          <w:tcPr>
            <w:tcW w:w="2196" w:type="dxa"/>
            <w:tcBorders>
              <w:left w:val="single" w:color="000000" w:sz="4" w:space="0"/>
            </w:tcBorders>
            <w:vAlign w:val="center"/>
          </w:tcPr>
          <w:p w14:paraId="3439BFB6">
            <w:pPr>
              <w:spacing w:line="183" w:lineRule="auto"/>
              <w:ind w:firstLine="420" w:firstLineChars="200"/>
              <w:jc w:val="center"/>
              <w:rPr>
                <w:rFonts w:ascii="宋体" w:hAnsi="宋体" w:eastAsia="宋体" w:cs="宋体"/>
                <w:szCs w:val="21"/>
              </w:rPr>
            </w:pPr>
            <w:r>
              <w:rPr>
                <w:rFonts w:ascii="宋体" w:hAnsi="宋体" w:eastAsia="宋体" w:cs="宋体"/>
                <w:szCs w:val="21"/>
              </w:rPr>
              <w:t>8</w:t>
            </w:r>
          </w:p>
        </w:tc>
        <w:tc>
          <w:tcPr>
            <w:tcW w:w="964" w:type="dxa"/>
            <w:vAlign w:val="center"/>
          </w:tcPr>
          <w:p w14:paraId="267C8235">
            <w:pPr>
              <w:spacing w:line="183" w:lineRule="auto"/>
              <w:ind w:firstLine="420" w:firstLineChars="200"/>
              <w:jc w:val="center"/>
              <w:rPr>
                <w:rFonts w:ascii="宋体" w:hAnsi="宋体" w:eastAsia="宋体" w:cs="宋体"/>
                <w:szCs w:val="21"/>
              </w:rPr>
            </w:pPr>
            <w:r>
              <w:rPr>
                <w:rFonts w:hint="eastAsia" w:ascii="宋体" w:hAnsi="宋体" w:eastAsia="宋体" w:cs="宋体"/>
                <w:szCs w:val="21"/>
              </w:rPr>
              <w:t>9</w:t>
            </w:r>
          </w:p>
        </w:tc>
      </w:tr>
      <w:tr w14:paraId="7B64AF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29511D55">
            <w:pPr>
              <w:spacing w:line="221" w:lineRule="auto"/>
              <w:jc w:val="center"/>
              <w:rPr>
                <w:rFonts w:ascii="宋体" w:hAnsi="宋体" w:eastAsia="宋体" w:cs="宋体"/>
                <w:spacing w:val="-1"/>
                <w:szCs w:val="21"/>
              </w:rPr>
            </w:pPr>
            <w:r>
              <w:rPr>
                <w:rFonts w:hint="eastAsia" w:ascii="宋体" w:hAnsi="宋体" w:eastAsia="宋体" w:cs="宋体"/>
                <w:spacing w:val="-1"/>
                <w:szCs w:val="21"/>
              </w:rPr>
              <w:t>序号</w:t>
            </w:r>
          </w:p>
        </w:tc>
        <w:tc>
          <w:tcPr>
            <w:tcW w:w="2315" w:type="dxa"/>
            <w:gridSpan w:val="2"/>
            <w:vAlign w:val="center"/>
          </w:tcPr>
          <w:p w14:paraId="27DF105C">
            <w:pPr>
              <w:spacing w:line="221" w:lineRule="auto"/>
              <w:jc w:val="center"/>
              <w:rPr>
                <w:rFonts w:ascii="宋体" w:hAnsi="宋体" w:eastAsia="宋体" w:cs="宋体"/>
                <w:spacing w:val="-1"/>
                <w:szCs w:val="21"/>
              </w:rPr>
            </w:pPr>
            <w:r>
              <w:rPr>
                <w:rFonts w:hint="eastAsia" w:ascii="宋体" w:hAnsi="宋体" w:eastAsia="宋体" w:cs="宋体"/>
                <w:spacing w:val="-1"/>
                <w:szCs w:val="21"/>
              </w:rPr>
              <w:t>货物名称</w:t>
            </w:r>
          </w:p>
        </w:tc>
        <w:tc>
          <w:tcPr>
            <w:tcW w:w="1722" w:type="dxa"/>
            <w:vAlign w:val="center"/>
          </w:tcPr>
          <w:p w14:paraId="33836207">
            <w:pPr>
              <w:spacing w:line="221" w:lineRule="auto"/>
              <w:jc w:val="center"/>
              <w:rPr>
                <w:rFonts w:ascii="宋体" w:hAnsi="宋体" w:eastAsia="宋体" w:cs="宋体"/>
                <w:spacing w:val="-1"/>
                <w:szCs w:val="21"/>
              </w:rPr>
            </w:pPr>
            <w:r>
              <w:rPr>
                <w:rFonts w:hint="eastAsia" w:ascii="宋体" w:hAnsi="宋体" w:eastAsia="宋体" w:cs="宋体"/>
                <w:spacing w:val="-1"/>
                <w:szCs w:val="21"/>
              </w:rPr>
              <w:t>型号和规格</w:t>
            </w:r>
          </w:p>
        </w:tc>
        <w:tc>
          <w:tcPr>
            <w:tcW w:w="703" w:type="dxa"/>
            <w:vAlign w:val="center"/>
          </w:tcPr>
          <w:p w14:paraId="525480C1">
            <w:pPr>
              <w:spacing w:line="221" w:lineRule="auto"/>
              <w:jc w:val="center"/>
              <w:rPr>
                <w:rFonts w:ascii="宋体" w:hAnsi="宋体" w:eastAsia="宋体" w:cs="宋体"/>
                <w:spacing w:val="-1"/>
                <w:szCs w:val="21"/>
              </w:rPr>
            </w:pPr>
            <w:r>
              <w:rPr>
                <w:rFonts w:hint="eastAsia" w:ascii="宋体" w:hAnsi="宋体" w:eastAsia="宋体" w:cs="宋体"/>
                <w:spacing w:val="-1"/>
                <w:szCs w:val="21"/>
              </w:rPr>
              <w:t>数量</w:t>
            </w:r>
          </w:p>
        </w:tc>
        <w:tc>
          <w:tcPr>
            <w:tcW w:w="550" w:type="dxa"/>
            <w:vAlign w:val="center"/>
          </w:tcPr>
          <w:p w14:paraId="0EDC60A1">
            <w:pPr>
              <w:spacing w:line="221" w:lineRule="auto"/>
              <w:jc w:val="center"/>
              <w:rPr>
                <w:rFonts w:ascii="宋体" w:hAnsi="宋体" w:eastAsia="宋体" w:cs="宋体"/>
                <w:spacing w:val="-1"/>
                <w:szCs w:val="21"/>
              </w:rPr>
            </w:pPr>
            <w:r>
              <w:rPr>
                <w:rFonts w:hint="eastAsia" w:ascii="宋体" w:hAnsi="宋体" w:eastAsia="宋体" w:cs="宋体"/>
                <w:spacing w:val="-1"/>
                <w:szCs w:val="21"/>
              </w:rPr>
              <w:t>单位</w:t>
            </w:r>
          </w:p>
        </w:tc>
        <w:tc>
          <w:tcPr>
            <w:tcW w:w="2550" w:type="dxa"/>
            <w:vAlign w:val="center"/>
          </w:tcPr>
          <w:p w14:paraId="3773C546">
            <w:pPr>
              <w:spacing w:line="221" w:lineRule="auto"/>
              <w:jc w:val="center"/>
              <w:rPr>
                <w:rFonts w:ascii="宋体" w:hAnsi="宋体" w:eastAsia="宋体" w:cs="宋体"/>
                <w:spacing w:val="-1"/>
                <w:szCs w:val="21"/>
              </w:rPr>
            </w:pPr>
            <w:r>
              <w:rPr>
                <w:rFonts w:hint="eastAsia" w:ascii="宋体" w:hAnsi="宋体" w:eastAsia="宋体" w:cs="宋体"/>
                <w:spacing w:val="-1"/>
                <w:szCs w:val="21"/>
              </w:rPr>
              <w:t>原产地和制造商名称</w:t>
            </w:r>
          </w:p>
        </w:tc>
        <w:tc>
          <w:tcPr>
            <w:tcW w:w="2510" w:type="dxa"/>
            <w:tcBorders>
              <w:right w:val="single" w:color="000000" w:sz="4" w:space="0"/>
            </w:tcBorders>
            <w:vAlign w:val="center"/>
          </w:tcPr>
          <w:p w14:paraId="6F63DE87">
            <w:pPr>
              <w:spacing w:line="221" w:lineRule="auto"/>
              <w:jc w:val="center"/>
              <w:rPr>
                <w:rFonts w:ascii="宋体" w:hAnsi="宋体" w:eastAsia="宋体" w:cs="宋体"/>
                <w:spacing w:val="-1"/>
                <w:szCs w:val="21"/>
              </w:rPr>
            </w:pPr>
            <w:r>
              <w:rPr>
                <w:rFonts w:hint="eastAsia" w:ascii="宋体" w:hAnsi="宋体" w:eastAsia="宋体" w:cs="宋体"/>
                <w:spacing w:val="-1"/>
                <w:szCs w:val="21"/>
              </w:rPr>
              <w:t>单价（不含税）</w:t>
            </w:r>
          </w:p>
          <w:p w14:paraId="655CC18C">
            <w:pPr>
              <w:spacing w:line="221" w:lineRule="auto"/>
              <w:jc w:val="center"/>
              <w:rPr>
                <w:rFonts w:ascii="宋体" w:hAnsi="宋体" w:eastAsia="宋体" w:cs="宋体"/>
                <w:spacing w:val="-1"/>
                <w:szCs w:val="21"/>
              </w:rPr>
            </w:pPr>
            <w:r>
              <w:rPr>
                <w:rFonts w:hint="eastAsia" w:ascii="宋体" w:hAnsi="宋体" w:eastAsia="宋体" w:cs="宋体"/>
                <w:spacing w:val="-1"/>
                <w:szCs w:val="21"/>
              </w:rPr>
              <w:t>(元)</w:t>
            </w:r>
          </w:p>
        </w:tc>
        <w:tc>
          <w:tcPr>
            <w:tcW w:w="2196" w:type="dxa"/>
            <w:tcBorders>
              <w:left w:val="single" w:color="000000" w:sz="4" w:space="0"/>
            </w:tcBorders>
            <w:vAlign w:val="center"/>
          </w:tcPr>
          <w:p w14:paraId="327A1644">
            <w:pPr>
              <w:spacing w:line="221" w:lineRule="auto"/>
              <w:jc w:val="center"/>
              <w:rPr>
                <w:rFonts w:ascii="宋体" w:hAnsi="宋体" w:eastAsia="宋体" w:cs="宋体"/>
                <w:spacing w:val="-1"/>
                <w:szCs w:val="21"/>
              </w:rPr>
            </w:pPr>
            <w:r>
              <w:rPr>
                <w:rFonts w:hint="eastAsia" w:ascii="宋体" w:hAnsi="宋体" w:eastAsia="宋体" w:cs="宋体"/>
                <w:spacing w:val="-1"/>
                <w:szCs w:val="21"/>
              </w:rPr>
              <w:t>总价[4×7]（不含税）</w:t>
            </w:r>
          </w:p>
          <w:p w14:paraId="10B4F297">
            <w:pPr>
              <w:spacing w:line="221" w:lineRule="auto"/>
              <w:jc w:val="center"/>
              <w:rPr>
                <w:rFonts w:ascii="宋体" w:hAnsi="宋体" w:eastAsia="宋体" w:cs="宋体"/>
                <w:spacing w:val="-1"/>
                <w:szCs w:val="21"/>
              </w:rPr>
            </w:pPr>
            <w:r>
              <w:rPr>
                <w:rFonts w:hint="eastAsia" w:ascii="宋体" w:hAnsi="宋体" w:eastAsia="宋体" w:cs="宋体"/>
                <w:spacing w:val="-1"/>
                <w:szCs w:val="21"/>
              </w:rPr>
              <w:t>(元)</w:t>
            </w:r>
          </w:p>
        </w:tc>
        <w:tc>
          <w:tcPr>
            <w:tcW w:w="964" w:type="dxa"/>
            <w:vAlign w:val="center"/>
          </w:tcPr>
          <w:p w14:paraId="08CB5410">
            <w:pPr>
              <w:spacing w:line="221" w:lineRule="auto"/>
              <w:jc w:val="center"/>
              <w:rPr>
                <w:rFonts w:ascii="宋体" w:hAnsi="宋体" w:eastAsia="宋体" w:cs="宋体"/>
                <w:spacing w:val="-1"/>
                <w:szCs w:val="21"/>
              </w:rPr>
            </w:pPr>
            <w:r>
              <w:rPr>
                <w:rFonts w:hint="eastAsia" w:ascii="宋体" w:hAnsi="宋体" w:eastAsia="宋体" w:cs="宋体"/>
                <w:spacing w:val="-1"/>
                <w:szCs w:val="21"/>
              </w:rPr>
              <w:t>备  注</w:t>
            </w:r>
          </w:p>
        </w:tc>
      </w:tr>
      <w:tr w14:paraId="270B58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09C32E7">
            <w:pPr>
              <w:pStyle w:val="125"/>
              <w:adjustRightInd w:val="0"/>
              <w:snapToGrid w:val="0"/>
              <w:ind w:firstLine="0" w:firstLineChars="0"/>
              <w:jc w:val="center"/>
              <w:rPr>
                <w:rFonts w:ascii="宋体" w:hAnsi="宋体" w:eastAsia="宋体" w:cs="宋体"/>
                <w:szCs w:val="21"/>
              </w:rPr>
            </w:pPr>
            <w:r>
              <w:rPr>
                <w:rFonts w:hint="eastAsia" w:ascii="宋体" w:hAnsi="宋体" w:eastAsia="宋体" w:cs="宋体"/>
                <w:color w:val="000000"/>
                <w:szCs w:val="21"/>
              </w:rPr>
              <w:t>1</w:t>
            </w:r>
          </w:p>
        </w:tc>
        <w:tc>
          <w:tcPr>
            <w:tcW w:w="2315" w:type="dxa"/>
            <w:gridSpan w:val="2"/>
            <w:shd w:val="clear" w:color="auto" w:fill="auto"/>
            <w:vAlign w:val="center"/>
          </w:tcPr>
          <w:p w14:paraId="6359B623">
            <w:pPr>
              <w:jc w:val="center"/>
              <w:rPr>
                <w:rFonts w:ascii="宋体" w:hAnsi="宋体" w:eastAsia="宋体" w:cs="宋体"/>
                <w:szCs w:val="21"/>
              </w:rPr>
            </w:pPr>
          </w:p>
        </w:tc>
        <w:tc>
          <w:tcPr>
            <w:tcW w:w="1722" w:type="dxa"/>
          </w:tcPr>
          <w:p w14:paraId="03AD3DFA">
            <w:pPr>
              <w:jc w:val="center"/>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282F4A75">
            <w:pPr>
              <w:jc w:val="center"/>
              <w:rPr>
                <w:rFonts w:ascii="Times New Roman" w:hAnsi="Times New Roman" w:eastAsia="宋体" w:cs="Times New Roman"/>
                <w:sz w:val="18"/>
                <w:szCs w:val="18"/>
              </w:rPr>
            </w:pPr>
          </w:p>
        </w:tc>
        <w:tc>
          <w:tcPr>
            <w:tcW w:w="550" w:type="dxa"/>
            <w:shd w:val="clear" w:color="auto" w:fill="auto"/>
            <w:vAlign w:val="center"/>
          </w:tcPr>
          <w:p w14:paraId="39482B8B">
            <w:pPr>
              <w:jc w:val="center"/>
              <w:rPr>
                <w:rFonts w:ascii="Times New Roman" w:hAnsi="Times New Roman" w:eastAsia="宋体" w:cs="Times New Roman"/>
                <w:sz w:val="18"/>
                <w:szCs w:val="18"/>
              </w:rPr>
            </w:pPr>
          </w:p>
        </w:tc>
        <w:tc>
          <w:tcPr>
            <w:tcW w:w="2550" w:type="dxa"/>
          </w:tcPr>
          <w:p w14:paraId="20BB4073">
            <w:pPr>
              <w:rPr>
                <w:rFonts w:ascii="宋体" w:hAnsi="宋体" w:eastAsia="宋体" w:cs="宋体"/>
                <w:szCs w:val="21"/>
              </w:rPr>
            </w:pPr>
          </w:p>
        </w:tc>
        <w:tc>
          <w:tcPr>
            <w:tcW w:w="2510" w:type="dxa"/>
            <w:tcBorders>
              <w:right w:val="single" w:color="000000" w:sz="4" w:space="0"/>
            </w:tcBorders>
          </w:tcPr>
          <w:p w14:paraId="4AA44428">
            <w:pPr>
              <w:ind w:left="105" w:leftChars="50"/>
              <w:jc w:val="left"/>
              <w:rPr>
                <w:rFonts w:ascii="宋体" w:hAnsi="宋体" w:eastAsia="宋体" w:cs="宋体"/>
                <w:szCs w:val="21"/>
              </w:rPr>
            </w:pPr>
          </w:p>
        </w:tc>
        <w:tc>
          <w:tcPr>
            <w:tcW w:w="2196" w:type="dxa"/>
            <w:tcBorders>
              <w:left w:val="single" w:color="000000" w:sz="4" w:space="0"/>
            </w:tcBorders>
          </w:tcPr>
          <w:p w14:paraId="1AD79E35">
            <w:pPr>
              <w:ind w:left="105" w:leftChars="50"/>
              <w:jc w:val="left"/>
              <w:rPr>
                <w:rFonts w:ascii="宋体" w:hAnsi="宋体" w:eastAsia="宋体" w:cs="宋体"/>
                <w:szCs w:val="21"/>
              </w:rPr>
            </w:pPr>
          </w:p>
        </w:tc>
        <w:tc>
          <w:tcPr>
            <w:tcW w:w="964" w:type="dxa"/>
          </w:tcPr>
          <w:p w14:paraId="5CDD0B67">
            <w:pPr>
              <w:rPr>
                <w:rFonts w:ascii="宋体" w:hAnsi="宋体" w:eastAsia="宋体" w:cs="宋体"/>
                <w:szCs w:val="21"/>
              </w:rPr>
            </w:pPr>
          </w:p>
        </w:tc>
      </w:tr>
      <w:tr w14:paraId="100E31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94CC1B6">
            <w:pPr>
              <w:pStyle w:val="125"/>
              <w:adjustRightInd w:val="0"/>
              <w:snapToGrid w:val="0"/>
              <w:ind w:firstLine="0" w:firstLineChars="0"/>
              <w:jc w:val="center"/>
              <w:rPr>
                <w:rFonts w:ascii="宋体" w:hAnsi="宋体" w:eastAsia="宋体" w:cs="宋体"/>
                <w:szCs w:val="21"/>
              </w:rPr>
            </w:pPr>
            <w:r>
              <w:rPr>
                <w:rFonts w:hint="eastAsia" w:ascii="宋体" w:hAnsi="宋体" w:eastAsia="宋体" w:cs="宋体"/>
                <w:szCs w:val="21"/>
              </w:rPr>
              <w:t>2</w:t>
            </w:r>
          </w:p>
        </w:tc>
        <w:tc>
          <w:tcPr>
            <w:tcW w:w="2315" w:type="dxa"/>
            <w:gridSpan w:val="2"/>
            <w:shd w:val="clear" w:color="auto" w:fill="auto"/>
            <w:vAlign w:val="center"/>
          </w:tcPr>
          <w:p w14:paraId="10B05B15">
            <w:pPr>
              <w:jc w:val="center"/>
              <w:rPr>
                <w:rFonts w:ascii="宋体" w:hAnsi="宋体" w:eastAsia="宋体" w:cs="宋体"/>
                <w:szCs w:val="21"/>
              </w:rPr>
            </w:pPr>
          </w:p>
        </w:tc>
        <w:tc>
          <w:tcPr>
            <w:tcW w:w="1722" w:type="dxa"/>
          </w:tcPr>
          <w:p w14:paraId="58A2E0C3">
            <w:pPr>
              <w:jc w:val="center"/>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7B957227">
            <w:pPr>
              <w:jc w:val="center"/>
              <w:rPr>
                <w:rFonts w:ascii="Times New Roman" w:hAnsi="Times New Roman" w:eastAsia="宋体" w:cs="Times New Roman"/>
                <w:sz w:val="18"/>
                <w:szCs w:val="18"/>
              </w:rPr>
            </w:pPr>
          </w:p>
        </w:tc>
        <w:tc>
          <w:tcPr>
            <w:tcW w:w="550" w:type="dxa"/>
            <w:shd w:val="clear" w:color="auto" w:fill="auto"/>
            <w:vAlign w:val="center"/>
          </w:tcPr>
          <w:p w14:paraId="2F492FCA">
            <w:pPr>
              <w:jc w:val="center"/>
              <w:rPr>
                <w:rFonts w:ascii="Times New Roman" w:hAnsi="Times New Roman" w:eastAsia="宋体" w:cs="Times New Roman"/>
                <w:sz w:val="18"/>
                <w:szCs w:val="18"/>
              </w:rPr>
            </w:pPr>
          </w:p>
        </w:tc>
        <w:tc>
          <w:tcPr>
            <w:tcW w:w="2550" w:type="dxa"/>
          </w:tcPr>
          <w:p w14:paraId="25BB2855">
            <w:pPr>
              <w:rPr>
                <w:rFonts w:ascii="宋体" w:hAnsi="宋体" w:eastAsia="宋体" w:cs="宋体"/>
                <w:szCs w:val="21"/>
              </w:rPr>
            </w:pPr>
          </w:p>
        </w:tc>
        <w:tc>
          <w:tcPr>
            <w:tcW w:w="2510" w:type="dxa"/>
            <w:tcBorders>
              <w:right w:val="single" w:color="000000" w:sz="4" w:space="0"/>
            </w:tcBorders>
          </w:tcPr>
          <w:p w14:paraId="18071774">
            <w:pPr>
              <w:ind w:left="105" w:leftChars="50"/>
              <w:jc w:val="left"/>
              <w:rPr>
                <w:rFonts w:ascii="宋体" w:hAnsi="宋体" w:eastAsia="宋体" w:cs="宋体"/>
                <w:szCs w:val="21"/>
              </w:rPr>
            </w:pPr>
          </w:p>
        </w:tc>
        <w:tc>
          <w:tcPr>
            <w:tcW w:w="2196" w:type="dxa"/>
            <w:tcBorders>
              <w:left w:val="single" w:color="000000" w:sz="4" w:space="0"/>
            </w:tcBorders>
          </w:tcPr>
          <w:p w14:paraId="631B770F">
            <w:pPr>
              <w:ind w:left="105" w:leftChars="50"/>
              <w:jc w:val="left"/>
              <w:rPr>
                <w:rFonts w:ascii="宋体" w:hAnsi="宋体" w:eastAsia="宋体" w:cs="宋体"/>
                <w:szCs w:val="21"/>
              </w:rPr>
            </w:pPr>
          </w:p>
        </w:tc>
        <w:tc>
          <w:tcPr>
            <w:tcW w:w="964" w:type="dxa"/>
          </w:tcPr>
          <w:p w14:paraId="2FB363F3">
            <w:pPr>
              <w:rPr>
                <w:rFonts w:ascii="宋体" w:hAnsi="宋体" w:eastAsia="宋体" w:cs="宋体"/>
                <w:szCs w:val="21"/>
              </w:rPr>
            </w:pPr>
          </w:p>
        </w:tc>
      </w:tr>
      <w:tr w14:paraId="2BD88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B8ED021">
            <w:pPr>
              <w:pStyle w:val="125"/>
              <w:adjustRightInd w:val="0"/>
              <w:snapToGrid w:val="0"/>
              <w:ind w:firstLine="0" w:firstLineChars="0"/>
              <w:jc w:val="center"/>
              <w:rPr>
                <w:rFonts w:ascii="宋体" w:hAnsi="宋体" w:eastAsia="宋体" w:cs="宋体"/>
                <w:szCs w:val="21"/>
              </w:rPr>
            </w:pPr>
            <w:r>
              <w:rPr>
                <w:rFonts w:hint="eastAsia" w:ascii="宋体" w:hAnsi="宋体" w:eastAsia="宋体" w:cs="宋体"/>
                <w:szCs w:val="21"/>
              </w:rPr>
              <w:t>3</w:t>
            </w:r>
          </w:p>
        </w:tc>
        <w:tc>
          <w:tcPr>
            <w:tcW w:w="2315" w:type="dxa"/>
            <w:gridSpan w:val="2"/>
            <w:shd w:val="clear" w:color="auto" w:fill="auto"/>
            <w:vAlign w:val="center"/>
          </w:tcPr>
          <w:p w14:paraId="00D32B6E">
            <w:pPr>
              <w:jc w:val="center"/>
              <w:rPr>
                <w:rFonts w:ascii="宋体" w:hAnsi="宋体" w:eastAsia="宋体" w:cs="宋体"/>
                <w:szCs w:val="21"/>
              </w:rPr>
            </w:pPr>
          </w:p>
        </w:tc>
        <w:tc>
          <w:tcPr>
            <w:tcW w:w="1722" w:type="dxa"/>
          </w:tcPr>
          <w:p w14:paraId="4035B93B">
            <w:pPr>
              <w:jc w:val="center"/>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680FF4F5">
            <w:pPr>
              <w:jc w:val="center"/>
              <w:rPr>
                <w:rFonts w:ascii="Times New Roman" w:hAnsi="Times New Roman" w:eastAsia="宋体" w:cs="Times New Roman"/>
                <w:sz w:val="18"/>
                <w:szCs w:val="18"/>
              </w:rPr>
            </w:pPr>
          </w:p>
        </w:tc>
        <w:tc>
          <w:tcPr>
            <w:tcW w:w="550" w:type="dxa"/>
            <w:shd w:val="clear" w:color="auto" w:fill="auto"/>
            <w:vAlign w:val="center"/>
          </w:tcPr>
          <w:p w14:paraId="47354F38">
            <w:pPr>
              <w:jc w:val="center"/>
              <w:rPr>
                <w:rFonts w:ascii="Times New Roman" w:hAnsi="Times New Roman" w:eastAsia="宋体" w:cs="Times New Roman"/>
                <w:sz w:val="18"/>
                <w:szCs w:val="18"/>
              </w:rPr>
            </w:pPr>
          </w:p>
        </w:tc>
        <w:tc>
          <w:tcPr>
            <w:tcW w:w="2550" w:type="dxa"/>
          </w:tcPr>
          <w:p w14:paraId="632CE69E">
            <w:pPr>
              <w:rPr>
                <w:rFonts w:ascii="宋体" w:hAnsi="宋体" w:eastAsia="宋体" w:cs="宋体"/>
                <w:szCs w:val="21"/>
              </w:rPr>
            </w:pPr>
          </w:p>
        </w:tc>
        <w:tc>
          <w:tcPr>
            <w:tcW w:w="2510" w:type="dxa"/>
            <w:tcBorders>
              <w:right w:val="single" w:color="000000" w:sz="4" w:space="0"/>
            </w:tcBorders>
          </w:tcPr>
          <w:p w14:paraId="4C981BFB">
            <w:pPr>
              <w:ind w:left="105" w:leftChars="50"/>
              <w:jc w:val="left"/>
              <w:rPr>
                <w:rFonts w:ascii="宋体" w:hAnsi="宋体" w:eastAsia="宋体" w:cs="宋体"/>
                <w:szCs w:val="21"/>
              </w:rPr>
            </w:pPr>
          </w:p>
        </w:tc>
        <w:tc>
          <w:tcPr>
            <w:tcW w:w="2196" w:type="dxa"/>
            <w:tcBorders>
              <w:left w:val="single" w:color="000000" w:sz="4" w:space="0"/>
            </w:tcBorders>
          </w:tcPr>
          <w:p w14:paraId="02764B32">
            <w:pPr>
              <w:ind w:left="105" w:leftChars="50"/>
              <w:jc w:val="left"/>
              <w:rPr>
                <w:rFonts w:ascii="宋体" w:hAnsi="宋体" w:eastAsia="宋体" w:cs="宋体"/>
                <w:szCs w:val="21"/>
              </w:rPr>
            </w:pPr>
          </w:p>
        </w:tc>
        <w:tc>
          <w:tcPr>
            <w:tcW w:w="964" w:type="dxa"/>
          </w:tcPr>
          <w:p w14:paraId="0F2F7CEE">
            <w:pPr>
              <w:rPr>
                <w:rFonts w:ascii="宋体" w:hAnsi="宋体" w:eastAsia="宋体" w:cs="宋体"/>
                <w:szCs w:val="21"/>
              </w:rPr>
            </w:pPr>
          </w:p>
        </w:tc>
      </w:tr>
      <w:tr w14:paraId="68375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2BB4FEB6">
            <w:pPr>
              <w:pStyle w:val="125"/>
              <w:adjustRightInd w:val="0"/>
              <w:snapToGrid w:val="0"/>
              <w:ind w:firstLine="0" w:firstLineChars="0"/>
              <w:jc w:val="center"/>
              <w:rPr>
                <w:rFonts w:ascii="宋体" w:hAnsi="宋体" w:eastAsia="宋体" w:cs="宋体"/>
                <w:szCs w:val="21"/>
              </w:rPr>
            </w:pPr>
            <w:r>
              <w:rPr>
                <w:rFonts w:hint="eastAsia" w:ascii="宋体" w:hAnsi="宋体" w:eastAsia="宋体" w:cs="宋体"/>
                <w:szCs w:val="21"/>
              </w:rPr>
              <w:t>4</w:t>
            </w:r>
          </w:p>
        </w:tc>
        <w:tc>
          <w:tcPr>
            <w:tcW w:w="2315" w:type="dxa"/>
            <w:gridSpan w:val="2"/>
            <w:shd w:val="clear" w:color="auto" w:fill="auto"/>
            <w:vAlign w:val="center"/>
          </w:tcPr>
          <w:p w14:paraId="599C685A">
            <w:pPr>
              <w:jc w:val="center"/>
              <w:rPr>
                <w:rFonts w:ascii="宋体" w:hAnsi="宋体" w:eastAsia="宋体" w:cs="宋体"/>
                <w:szCs w:val="21"/>
              </w:rPr>
            </w:pPr>
          </w:p>
        </w:tc>
        <w:tc>
          <w:tcPr>
            <w:tcW w:w="1722" w:type="dxa"/>
          </w:tcPr>
          <w:p w14:paraId="605C3589">
            <w:pPr>
              <w:jc w:val="center"/>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4C7EB7BD">
            <w:pPr>
              <w:jc w:val="center"/>
              <w:rPr>
                <w:rFonts w:ascii="Times New Roman" w:hAnsi="Times New Roman" w:eastAsia="宋体" w:cs="Times New Roman"/>
                <w:sz w:val="18"/>
                <w:szCs w:val="18"/>
              </w:rPr>
            </w:pPr>
          </w:p>
        </w:tc>
        <w:tc>
          <w:tcPr>
            <w:tcW w:w="550" w:type="dxa"/>
            <w:shd w:val="clear" w:color="auto" w:fill="auto"/>
            <w:vAlign w:val="center"/>
          </w:tcPr>
          <w:p w14:paraId="345BA7E0">
            <w:pPr>
              <w:jc w:val="center"/>
              <w:rPr>
                <w:rFonts w:ascii="Times New Roman" w:hAnsi="Times New Roman" w:eastAsia="宋体" w:cs="Times New Roman"/>
                <w:sz w:val="18"/>
                <w:szCs w:val="18"/>
              </w:rPr>
            </w:pPr>
          </w:p>
        </w:tc>
        <w:tc>
          <w:tcPr>
            <w:tcW w:w="2550" w:type="dxa"/>
          </w:tcPr>
          <w:p w14:paraId="3B440A87">
            <w:pPr>
              <w:rPr>
                <w:rFonts w:ascii="宋体" w:hAnsi="宋体" w:eastAsia="宋体" w:cs="宋体"/>
                <w:szCs w:val="21"/>
              </w:rPr>
            </w:pPr>
          </w:p>
        </w:tc>
        <w:tc>
          <w:tcPr>
            <w:tcW w:w="2510" w:type="dxa"/>
            <w:tcBorders>
              <w:right w:val="single" w:color="000000" w:sz="4" w:space="0"/>
            </w:tcBorders>
          </w:tcPr>
          <w:p w14:paraId="3C54A1D4">
            <w:pPr>
              <w:ind w:left="105" w:leftChars="50"/>
              <w:jc w:val="left"/>
              <w:rPr>
                <w:rFonts w:ascii="宋体" w:hAnsi="宋体" w:eastAsia="宋体" w:cs="宋体"/>
                <w:szCs w:val="21"/>
              </w:rPr>
            </w:pPr>
          </w:p>
        </w:tc>
        <w:tc>
          <w:tcPr>
            <w:tcW w:w="2196" w:type="dxa"/>
            <w:tcBorders>
              <w:left w:val="single" w:color="000000" w:sz="4" w:space="0"/>
            </w:tcBorders>
          </w:tcPr>
          <w:p w14:paraId="15D1121E">
            <w:pPr>
              <w:ind w:left="105" w:leftChars="50"/>
              <w:jc w:val="left"/>
              <w:rPr>
                <w:rFonts w:ascii="宋体" w:hAnsi="宋体" w:eastAsia="宋体" w:cs="宋体"/>
                <w:szCs w:val="21"/>
              </w:rPr>
            </w:pPr>
          </w:p>
        </w:tc>
        <w:tc>
          <w:tcPr>
            <w:tcW w:w="964" w:type="dxa"/>
          </w:tcPr>
          <w:p w14:paraId="10B0C30C">
            <w:pPr>
              <w:rPr>
                <w:rFonts w:ascii="宋体" w:hAnsi="宋体" w:eastAsia="宋体" w:cs="宋体"/>
                <w:szCs w:val="21"/>
              </w:rPr>
            </w:pPr>
          </w:p>
        </w:tc>
      </w:tr>
      <w:tr w14:paraId="7F02B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DC62485">
            <w:pPr>
              <w:pStyle w:val="125"/>
              <w:adjustRightInd w:val="0"/>
              <w:snapToGrid w:val="0"/>
              <w:ind w:firstLine="0" w:firstLineChars="0"/>
              <w:jc w:val="center"/>
              <w:rPr>
                <w:rFonts w:ascii="宋体" w:hAnsi="宋体" w:eastAsia="宋体" w:cs="宋体"/>
                <w:szCs w:val="21"/>
              </w:rPr>
            </w:pPr>
            <w:r>
              <w:rPr>
                <w:rFonts w:hint="eastAsia" w:ascii="宋体" w:hAnsi="宋体" w:eastAsia="宋体" w:cs="宋体"/>
                <w:szCs w:val="21"/>
              </w:rPr>
              <w:t>5</w:t>
            </w:r>
          </w:p>
        </w:tc>
        <w:tc>
          <w:tcPr>
            <w:tcW w:w="2315" w:type="dxa"/>
            <w:gridSpan w:val="2"/>
            <w:shd w:val="clear" w:color="auto" w:fill="auto"/>
            <w:vAlign w:val="center"/>
          </w:tcPr>
          <w:p w14:paraId="2573CB86">
            <w:pPr>
              <w:jc w:val="center"/>
              <w:rPr>
                <w:rFonts w:ascii="宋体" w:hAnsi="宋体" w:eastAsia="宋体" w:cs="宋体"/>
                <w:szCs w:val="21"/>
              </w:rPr>
            </w:pPr>
          </w:p>
        </w:tc>
        <w:tc>
          <w:tcPr>
            <w:tcW w:w="1722" w:type="dxa"/>
          </w:tcPr>
          <w:p w14:paraId="665398E9">
            <w:pPr>
              <w:jc w:val="center"/>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301E1C8E">
            <w:pPr>
              <w:jc w:val="center"/>
              <w:rPr>
                <w:rFonts w:ascii="Times New Roman" w:hAnsi="Times New Roman" w:eastAsia="宋体" w:cs="Times New Roman"/>
                <w:sz w:val="18"/>
                <w:szCs w:val="18"/>
              </w:rPr>
            </w:pPr>
          </w:p>
        </w:tc>
        <w:tc>
          <w:tcPr>
            <w:tcW w:w="550" w:type="dxa"/>
            <w:shd w:val="clear" w:color="auto" w:fill="auto"/>
            <w:vAlign w:val="center"/>
          </w:tcPr>
          <w:p w14:paraId="0E3A3B5F">
            <w:pPr>
              <w:jc w:val="center"/>
              <w:rPr>
                <w:rFonts w:ascii="Times New Roman" w:hAnsi="Times New Roman" w:eastAsia="宋体" w:cs="Times New Roman"/>
                <w:sz w:val="18"/>
                <w:szCs w:val="18"/>
              </w:rPr>
            </w:pPr>
          </w:p>
        </w:tc>
        <w:tc>
          <w:tcPr>
            <w:tcW w:w="2550" w:type="dxa"/>
          </w:tcPr>
          <w:p w14:paraId="6B045F6F">
            <w:pPr>
              <w:rPr>
                <w:rFonts w:ascii="宋体" w:hAnsi="宋体" w:eastAsia="宋体" w:cs="宋体"/>
                <w:szCs w:val="21"/>
              </w:rPr>
            </w:pPr>
          </w:p>
        </w:tc>
        <w:tc>
          <w:tcPr>
            <w:tcW w:w="2510" w:type="dxa"/>
            <w:tcBorders>
              <w:right w:val="single" w:color="000000" w:sz="4" w:space="0"/>
            </w:tcBorders>
          </w:tcPr>
          <w:p w14:paraId="21CE20CF">
            <w:pPr>
              <w:ind w:left="105" w:leftChars="50"/>
              <w:jc w:val="left"/>
              <w:rPr>
                <w:rFonts w:ascii="宋体" w:hAnsi="宋体" w:eastAsia="宋体" w:cs="宋体"/>
                <w:szCs w:val="21"/>
              </w:rPr>
            </w:pPr>
          </w:p>
        </w:tc>
        <w:tc>
          <w:tcPr>
            <w:tcW w:w="2196" w:type="dxa"/>
            <w:tcBorders>
              <w:left w:val="single" w:color="000000" w:sz="4" w:space="0"/>
            </w:tcBorders>
          </w:tcPr>
          <w:p w14:paraId="7BCD65DC">
            <w:pPr>
              <w:ind w:left="105" w:leftChars="50"/>
              <w:jc w:val="left"/>
              <w:rPr>
                <w:rFonts w:ascii="宋体" w:hAnsi="宋体" w:eastAsia="宋体" w:cs="宋体"/>
                <w:szCs w:val="21"/>
              </w:rPr>
            </w:pPr>
          </w:p>
        </w:tc>
        <w:tc>
          <w:tcPr>
            <w:tcW w:w="964" w:type="dxa"/>
          </w:tcPr>
          <w:p w14:paraId="11C99FC3">
            <w:pPr>
              <w:rPr>
                <w:rFonts w:ascii="宋体" w:hAnsi="宋体" w:eastAsia="宋体" w:cs="宋体"/>
                <w:szCs w:val="21"/>
              </w:rPr>
            </w:pPr>
          </w:p>
        </w:tc>
      </w:tr>
      <w:tr w14:paraId="42D9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1B7D0BFB">
            <w:pPr>
              <w:jc w:val="center"/>
              <w:rPr>
                <w:rFonts w:ascii="宋体" w:hAnsi="宋体" w:eastAsia="宋体" w:cs="宋体"/>
                <w:szCs w:val="21"/>
              </w:rPr>
            </w:pPr>
            <w:r>
              <w:rPr>
                <w:rFonts w:ascii="宋体" w:hAnsi="宋体" w:eastAsia="宋体" w:cs="宋体"/>
                <w:position w:val="1"/>
                <w:szCs w:val="21"/>
              </w:rPr>
              <w:t>…</w:t>
            </w:r>
          </w:p>
        </w:tc>
        <w:tc>
          <w:tcPr>
            <w:tcW w:w="2315" w:type="dxa"/>
            <w:gridSpan w:val="2"/>
            <w:shd w:val="clear" w:color="auto" w:fill="auto"/>
          </w:tcPr>
          <w:p w14:paraId="27415522">
            <w:pPr>
              <w:rPr>
                <w:rFonts w:ascii="宋体" w:hAnsi="宋体" w:eastAsia="宋体" w:cs="宋体"/>
                <w:szCs w:val="21"/>
              </w:rPr>
            </w:pPr>
            <w:r>
              <w:rPr>
                <w:rFonts w:hint="eastAsia" w:ascii="宋体" w:hAnsi="宋体" w:eastAsia="宋体" w:cs="Times New Roman"/>
                <w:sz w:val="18"/>
                <w:szCs w:val="18"/>
              </w:rPr>
              <w:t>以上投标设备不足之处请往下添加序号自行补充</w:t>
            </w:r>
          </w:p>
        </w:tc>
        <w:tc>
          <w:tcPr>
            <w:tcW w:w="1722" w:type="dxa"/>
          </w:tcPr>
          <w:p w14:paraId="106BAEA1">
            <w:pPr>
              <w:rPr>
                <w:rFonts w:ascii="Arial"/>
              </w:rPr>
            </w:pPr>
            <w:r>
              <w:rPr>
                <w:rFonts w:hint="eastAsia" w:ascii="宋体" w:hAnsi="宋体" w:eastAsia="宋体" w:cs="宋体"/>
                <w:szCs w:val="21"/>
              </w:rPr>
              <w:t xml:space="preserve"> </w:t>
            </w:r>
          </w:p>
        </w:tc>
        <w:tc>
          <w:tcPr>
            <w:tcW w:w="703" w:type="dxa"/>
          </w:tcPr>
          <w:p w14:paraId="0E170F96">
            <w:pPr>
              <w:rPr>
                <w:rFonts w:ascii="Arial"/>
              </w:rPr>
            </w:pPr>
            <w:r>
              <w:rPr>
                <w:rFonts w:hint="eastAsia" w:ascii="宋体" w:hAnsi="宋体" w:eastAsia="宋体" w:cs="宋体"/>
                <w:szCs w:val="21"/>
              </w:rPr>
              <w:t xml:space="preserve"> </w:t>
            </w:r>
          </w:p>
        </w:tc>
        <w:tc>
          <w:tcPr>
            <w:tcW w:w="550" w:type="dxa"/>
          </w:tcPr>
          <w:p w14:paraId="25BDB0B4">
            <w:pPr>
              <w:rPr>
                <w:rFonts w:ascii="Arial"/>
              </w:rPr>
            </w:pPr>
            <w:r>
              <w:rPr>
                <w:rFonts w:hint="eastAsia" w:ascii="宋体" w:hAnsi="宋体" w:eastAsia="宋体" w:cs="宋体"/>
                <w:szCs w:val="21"/>
              </w:rPr>
              <w:t xml:space="preserve"> </w:t>
            </w:r>
          </w:p>
        </w:tc>
        <w:tc>
          <w:tcPr>
            <w:tcW w:w="2550" w:type="dxa"/>
          </w:tcPr>
          <w:p w14:paraId="7930C09B">
            <w:pPr>
              <w:rPr>
                <w:rFonts w:ascii="Arial"/>
              </w:rPr>
            </w:pPr>
          </w:p>
        </w:tc>
        <w:tc>
          <w:tcPr>
            <w:tcW w:w="2510" w:type="dxa"/>
            <w:tcBorders>
              <w:right w:val="single" w:color="000000" w:sz="4" w:space="0"/>
            </w:tcBorders>
          </w:tcPr>
          <w:p w14:paraId="5E59E4A1">
            <w:pPr>
              <w:rPr>
                <w:rFonts w:ascii="Arial"/>
              </w:rPr>
            </w:pPr>
          </w:p>
        </w:tc>
        <w:tc>
          <w:tcPr>
            <w:tcW w:w="2196" w:type="dxa"/>
            <w:tcBorders>
              <w:left w:val="single" w:color="000000" w:sz="4" w:space="0"/>
            </w:tcBorders>
          </w:tcPr>
          <w:p w14:paraId="39A4EB1A">
            <w:pPr>
              <w:rPr>
                <w:rFonts w:ascii="Arial"/>
              </w:rPr>
            </w:pPr>
          </w:p>
        </w:tc>
        <w:tc>
          <w:tcPr>
            <w:tcW w:w="964" w:type="dxa"/>
          </w:tcPr>
          <w:p w14:paraId="06DC0C88">
            <w:pPr>
              <w:rPr>
                <w:rFonts w:ascii="Arial"/>
              </w:rPr>
            </w:pPr>
          </w:p>
        </w:tc>
      </w:tr>
      <w:tr w14:paraId="25A46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294B311B">
            <w:pPr>
              <w:jc w:val="center"/>
              <w:rPr>
                <w:rFonts w:ascii="宋体" w:hAnsi="宋体" w:eastAsia="宋体" w:cs="宋体"/>
                <w:spacing w:val="-6"/>
                <w:szCs w:val="21"/>
              </w:rPr>
            </w:pPr>
          </w:p>
        </w:tc>
        <w:tc>
          <w:tcPr>
            <w:tcW w:w="9440" w:type="dxa"/>
            <w:gridSpan w:val="6"/>
            <w:tcBorders>
              <w:right w:val="single" w:color="000000" w:sz="4" w:space="0"/>
            </w:tcBorders>
          </w:tcPr>
          <w:p w14:paraId="44A79AF8">
            <w:pPr>
              <w:jc w:val="center"/>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196" w:type="dxa"/>
            <w:tcBorders>
              <w:left w:val="single" w:color="000000" w:sz="4" w:space="0"/>
            </w:tcBorders>
          </w:tcPr>
          <w:p w14:paraId="6CF104D7">
            <w:pPr>
              <w:rPr>
                <w:rFonts w:ascii="Arial"/>
              </w:rPr>
            </w:pPr>
          </w:p>
        </w:tc>
        <w:tc>
          <w:tcPr>
            <w:tcW w:w="964" w:type="dxa"/>
          </w:tcPr>
          <w:p w14:paraId="7553A9C2">
            <w:pPr>
              <w:rPr>
                <w:rFonts w:ascii="Arial"/>
              </w:rPr>
            </w:pPr>
          </w:p>
        </w:tc>
      </w:tr>
    </w:tbl>
    <w:p w14:paraId="2F56F991">
      <w:pPr>
        <w:spacing w:before="58" w:line="219" w:lineRule="auto"/>
        <w:ind w:left="8"/>
        <w:rPr>
          <w:rFonts w:ascii="宋体" w:hAnsi="宋体" w:eastAsia="宋体" w:cs="宋体"/>
          <w:spacing w:val="-8"/>
          <w:szCs w:val="21"/>
        </w:rPr>
      </w:pPr>
    </w:p>
    <w:p w14:paraId="36B0F403">
      <w:pPr>
        <w:spacing w:before="58" w:line="219" w:lineRule="auto"/>
        <w:ind w:left="8"/>
        <w:rPr>
          <w:rFonts w:ascii="宋体" w:hAnsi="宋体" w:eastAsia="宋体" w:cs="宋体"/>
          <w:spacing w:val="-4"/>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D8DE3BE">
      <w:pPr>
        <w:spacing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766C2E6">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0C4FA0FD">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5DFBC8F">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351B20F">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028C9D0">
      <w:pPr>
        <w:spacing w:before="78" w:line="219" w:lineRule="auto"/>
        <w:ind w:left="431"/>
        <w:rPr>
          <w:rFonts w:ascii="宋体" w:hAnsi="宋体" w:eastAsia="宋体" w:cs="宋体"/>
          <w:spacing w:val="-6"/>
          <w:szCs w:val="21"/>
        </w:rPr>
      </w:pPr>
    </w:p>
    <w:p w14:paraId="5B724C69">
      <w:pPr>
        <w:spacing w:before="78" w:line="219" w:lineRule="auto"/>
        <w:ind w:left="431"/>
        <w:rPr>
          <w:rFonts w:ascii="宋体" w:hAnsi="宋体" w:eastAsia="宋体" w:cs="宋体"/>
          <w:spacing w:val="-6"/>
          <w:szCs w:val="21"/>
        </w:rPr>
      </w:pPr>
    </w:p>
    <w:p w14:paraId="4AEA3AF9">
      <w:pPr>
        <w:spacing w:before="78" w:line="219" w:lineRule="auto"/>
        <w:ind w:left="431"/>
        <w:rPr>
          <w:rFonts w:ascii="宋体" w:hAnsi="宋体" w:eastAsia="宋体" w:cs="宋体"/>
          <w:spacing w:val="-6"/>
          <w:szCs w:val="21"/>
        </w:rPr>
      </w:pPr>
    </w:p>
    <w:p w14:paraId="16E552B4">
      <w:pPr>
        <w:spacing w:before="78" w:line="219" w:lineRule="auto"/>
        <w:ind w:left="431"/>
        <w:rPr>
          <w:rFonts w:ascii="宋体" w:hAnsi="宋体" w:eastAsia="宋体" w:cs="宋体"/>
          <w:spacing w:val="-6"/>
          <w:szCs w:val="21"/>
        </w:rPr>
      </w:pPr>
    </w:p>
    <w:p w14:paraId="76A27A9C">
      <w:pPr>
        <w:spacing w:before="85" w:line="198" w:lineRule="auto"/>
        <w:ind w:firstLine="696" w:firstLineChars="300"/>
        <w:rPr>
          <w:rFonts w:ascii="宋体" w:hAnsi="宋体" w:eastAsia="宋体" w:cs="宋体"/>
          <w:sz w:val="24"/>
          <w:szCs w:val="24"/>
        </w:r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月  </w:t>
      </w:r>
    </w:p>
    <w:p w14:paraId="5246ADDA">
      <w:pPr>
        <w:rPr>
          <w:rFonts w:ascii="宋体" w:hAnsi="宋体" w:eastAsia="宋体" w:cs="宋体"/>
          <w:sz w:val="24"/>
          <w:szCs w:val="24"/>
        </w:rPr>
      </w:pPr>
    </w:p>
    <w:p w14:paraId="1A18A814">
      <w:pPr>
        <w:pStyle w:val="7"/>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3EF4BC8A">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4DF1D997">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7"/>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BE69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52355F6E">
            <w:pPr>
              <w:spacing w:line="296" w:lineRule="auto"/>
              <w:rPr>
                <w:rFonts w:ascii="Arial"/>
              </w:rPr>
            </w:pPr>
          </w:p>
          <w:p w14:paraId="649AD62D">
            <w:pPr>
              <w:spacing w:before="68" w:line="222" w:lineRule="auto"/>
              <w:ind w:left="194"/>
              <w:rPr>
                <w:rFonts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tcPr>
          <w:p w14:paraId="231766AC">
            <w:pPr>
              <w:spacing w:line="295" w:lineRule="auto"/>
              <w:rPr>
                <w:rFonts w:ascii="Arial"/>
              </w:rPr>
            </w:pPr>
          </w:p>
          <w:p w14:paraId="53CAA4A8">
            <w:pPr>
              <w:spacing w:before="68" w:line="221" w:lineRule="auto"/>
              <w:ind w:left="1476"/>
              <w:rPr>
                <w:rFonts w:ascii="宋体" w:hAnsi="宋体" w:eastAsia="宋体" w:cs="宋体"/>
                <w:szCs w:val="21"/>
              </w:rPr>
            </w:pPr>
            <w:r>
              <w:rPr>
                <w:rFonts w:ascii="宋体" w:hAnsi="宋体" w:eastAsia="宋体" w:cs="宋体"/>
                <w:spacing w:val="-1"/>
                <w:szCs w:val="21"/>
              </w:rPr>
              <w:t>内  容</w:t>
            </w:r>
          </w:p>
        </w:tc>
        <w:tc>
          <w:tcPr>
            <w:tcW w:w="2159" w:type="dxa"/>
          </w:tcPr>
          <w:p w14:paraId="201BA882">
            <w:pPr>
              <w:spacing w:before="130" w:line="221" w:lineRule="auto"/>
              <w:ind w:left="766"/>
              <w:rPr>
                <w:rFonts w:ascii="宋体" w:hAnsi="宋体" w:eastAsia="宋体" w:cs="宋体"/>
                <w:szCs w:val="21"/>
              </w:rPr>
            </w:pPr>
            <w:r>
              <w:rPr>
                <w:rFonts w:ascii="宋体" w:hAnsi="宋体" w:eastAsia="宋体" w:cs="宋体"/>
                <w:spacing w:val="-1"/>
                <w:szCs w:val="21"/>
              </w:rPr>
              <w:t>数  量</w:t>
            </w:r>
          </w:p>
        </w:tc>
        <w:tc>
          <w:tcPr>
            <w:tcW w:w="2186" w:type="dxa"/>
          </w:tcPr>
          <w:p w14:paraId="601C5725">
            <w:pPr>
              <w:spacing w:before="131" w:line="219" w:lineRule="auto"/>
              <w:jc w:val="center"/>
              <w:rPr>
                <w:rFonts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（不含税）</w:t>
            </w:r>
          </w:p>
        </w:tc>
        <w:tc>
          <w:tcPr>
            <w:tcW w:w="2596" w:type="dxa"/>
          </w:tcPr>
          <w:p w14:paraId="3A481111">
            <w:pPr>
              <w:spacing w:before="131" w:line="219" w:lineRule="auto"/>
              <w:jc w:val="center"/>
              <w:rPr>
                <w:rFonts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（不含税）</w:t>
            </w:r>
          </w:p>
        </w:tc>
        <w:tc>
          <w:tcPr>
            <w:tcW w:w="2164" w:type="dxa"/>
          </w:tcPr>
          <w:p w14:paraId="79C37EDB">
            <w:pPr>
              <w:spacing w:before="130" w:line="222" w:lineRule="auto"/>
              <w:ind w:left="770"/>
              <w:rPr>
                <w:rFonts w:ascii="宋体" w:hAnsi="宋体" w:eastAsia="宋体" w:cs="宋体"/>
                <w:szCs w:val="21"/>
              </w:rPr>
            </w:pPr>
            <w:r>
              <w:rPr>
                <w:rFonts w:ascii="宋体" w:hAnsi="宋体" w:eastAsia="宋体" w:cs="宋体"/>
                <w:spacing w:val="-1"/>
                <w:szCs w:val="21"/>
              </w:rPr>
              <w:t>备  注</w:t>
            </w:r>
          </w:p>
        </w:tc>
      </w:tr>
      <w:tr w14:paraId="5C7DB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7EBAA80">
            <w:pPr>
              <w:rPr>
                <w:rFonts w:ascii="Arial"/>
              </w:rPr>
            </w:pPr>
          </w:p>
        </w:tc>
        <w:tc>
          <w:tcPr>
            <w:tcW w:w="3530" w:type="dxa"/>
            <w:vMerge w:val="continue"/>
            <w:tcBorders>
              <w:top w:val="nil"/>
            </w:tcBorders>
          </w:tcPr>
          <w:p w14:paraId="66F8D401">
            <w:pPr>
              <w:rPr>
                <w:rFonts w:ascii="Arial"/>
              </w:rPr>
            </w:pPr>
          </w:p>
        </w:tc>
        <w:tc>
          <w:tcPr>
            <w:tcW w:w="2159" w:type="dxa"/>
          </w:tcPr>
          <w:p w14:paraId="72EA0C97">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17F20215">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3A46919B">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04CC711">
            <w:pPr>
              <w:spacing w:before="161" w:line="185" w:lineRule="auto"/>
              <w:ind w:left="1031"/>
              <w:rPr>
                <w:rFonts w:ascii="宋体" w:hAnsi="宋体" w:eastAsia="宋体" w:cs="宋体"/>
                <w:szCs w:val="21"/>
              </w:rPr>
            </w:pPr>
            <w:r>
              <w:rPr>
                <w:rFonts w:ascii="宋体" w:hAnsi="宋体" w:eastAsia="宋体" w:cs="宋体"/>
                <w:szCs w:val="21"/>
              </w:rPr>
              <w:t>4</w:t>
            </w:r>
          </w:p>
        </w:tc>
      </w:tr>
      <w:tr w14:paraId="66293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DC5EF12">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14:paraId="0D71715D">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5416BEDF">
            <w:pPr>
              <w:rPr>
                <w:rFonts w:ascii="Arial"/>
              </w:rPr>
            </w:pPr>
          </w:p>
        </w:tc>
        <w:tc>
          <w:tcPr>
            <w:tcW w:w="2186" w:type="dxa"/>
          </w:tcPr>
          <w:p w14:paraId="07A552CC">
            <w:pPr>
              <w:rPr>
                <w:rFonts w:ascii="Arial"/>
              </w:rPr>
            </w:pPr>
          </w:p>
        </w:tc>
        <w:tc>
          <w:tcPr>
            <w:tcW w:w="2596" w:type="dxa"/>
          </w:tcPr>
          <w:p w14:paraId="6C661128">
            <w:pPr>
              <w:rPr>
                <w:rFonts w:ascii="Arial"/>
              </w:rPr>
            </w:pPr>
          </w:p>
        </w:tc>
        <w:tc>
          <w:tcPr>
            <w:tcW w:w="2164" w:type="dxa"/>
          </w:tcPr>
          <w:p w14:paraId="22AD1C73">
            <w:pPr>
              <w:rPr>
                <w:rFonts w:ascii="Arial"/>
              </w:rPr>
            </w:pPr>
          </w:p>
        </w:tc>
      </w:tr>
      <w:tr w14:paraId="5A7DF7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6402DA8">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14:paraId="772476CC">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4CEE581C">
            <w:pPr>
              <w:rPr>
                <w:rFonts w:ascii="Arial"/>
              </w:rPr>
            </w:pPr>
          </w:p>
        </w:tc>
        <w:tc>
          <w:tcPr>
            <w:tcW w:w="2186" w:type="dxa"/>
          </w:tcPr>
          <w:p w14:paraId="6EB70881">
            <w:pPr>
              <w:rPr>
                <w:rFonts w:ascii="Arial"/>
              </w:rPr>
            </w:pPr>
          </w:p>
        </w:tc>
        <w:tc>
          <w:tcPr>
            <w:tcW w:w="2596" w:type="dxa"/>
          </w:tcPr>
          <w:p w14:paraId="7ECE3100">
            <w:pPr>
              <w:rPr>
                <w:rFonts w:ascii="Arial"/>
              </w:rPr>
            </w:pPr>
          </w:p>
        </w:tc>
        <w:tc>
          <w:tcPr>
            <w:tcW w:w="2164" w:type="dxa"/>
            <w:vMerge w:val="restart"/>
            <w:tcBorders>
              <w:bottom w:val="nil"/>
            </w:tcBorders>
          </w:tcPr>
          <w:p w14:paraId="473ABBD2">
            <w:pPr>
              <w:spacing w:line="295" w:lineRule="auto"/>
              <w:rPr>
                <w:rFonts w:ascii="Arial"/>
              </w:rPr>
            </w:pPr>
          </w:p>
          <w:p w14:paraId="334433A4">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512F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D9D9877">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14:paraId="11EEE4C0">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14CA5339">
            <w:pPr>
              <w:rPr>
                <w:rFonts w:ascii="Arial"/>
              </w:rPr>
            </w:pPr>
          </w:p>
        </w:tc>
        <w:tc>
          <w:tcPr>
            <w:tcW w:w="2186" w:type="dxa"/>
          </w:tcPr>
          <w:p w14:paraId="30E77166">
            <w:pPr>
              <w:rPr>
                <w:rFonts w:ascii="Arial"/>
              </w:rPr>
            </w:pPr>
          </w:p>
        </w:tc>
        <w:tc>
          <w:tcPr>
            <w:tcW w:w="2596" w:type="dxa"/>
          </w:tcPr>
          <w:p w14:paraId="39F618AB">
            <w:pPr>
              <w:rPr>
                <w:rFonts w:ascii="Arial"/>
              </w:rPr>
            </w:pPr>
          </w:p>
        </w:tc>
        <w:tc>
          <w:tcPr>
            <w:tcW w:w="2164" w:type="dxa"/>
            <w:vMerge w:val="continue"/>
            <w:tcBorders>
              <w:top w:val="nil"/>
            </w:tcBorders>
          </w:tcPr>
          <w:p w14:paraId="311D1DF5">
            <w:pPr>
              <w:rPr>
                <w:rFonts w:ascii="Arial"/>
              </w:rPr>
            </w:pPr>
          </w:p>
        </w:tc>
      </w:tr>
      <w:tr w14:paraId="33311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4BCF438">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14:paraId="5FF1BF44">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8437303">
            <w:pPr>
              <w:rPr>
                <w:rFonts w:ascii="Arial"/>
              </w:rPr>
            </w:pPr>
          </w:p>
        </w:tc>
        <w:tc>
          <w:tcPr>
            <w:tcW w:w="2186" w:type="dxa"/>
          </w:tcPr>
          <w:p w14:paraId="2EA015BB">
            <w:pPr>
              <w:rPr>
                <w:rFonts w:ascii="Arial"/>
              </w:rPr>
            </w:pPr>
          </w:p>
        </w:tc>
        <w:tc>
          <w:tcPr>
            <w:tcW w:w="2596" w:type="dxa"/>
          </w:tcPr>
          <w:p w14:paraId="4E6E6007">
            <w:pPr>
              <w:rPr>
                <w:rFonts w:ascii="Arial"/>
              </w:rPr>
            </w:pPr>
          </w:p>
        </w:tc>
        <w:tc>
          <w:tcPr>
            <w:tcW w:w="2164" w:type="dxa"/>
          </w:tcPr>
          <w:p w14:paraId="7B66D61D">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09868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CDD86DB">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14:paraId="598B7618">
            <w:pPr>
              <w:spacing w:before="211" w:line="221" w:lineRule="auto"/>
              <w:ind w:left="1557"/>
              <w:rPr>
                <w:rFonts w:ascii="宋体" w:hAnsi="宋体" w:eastAsia="宋体" w:cs="宋体"/>
                <w:szCs w:val="21"/>
              </w:rPr>
            </w:pPr>
            <w:r>
              <w:rPr>
                <w:rFonts w:hint="eastAsia" w:ascii="宋体" w:hAnsi="宋体" w:eastAsia="宋体" w:cs="宋体"/>
                <w:spacing w:val="-2"/>
                <w:szCs w:val="21"/>
              </w:rPr>
              <w:t>土建</w:t>
            </w:r>
          </w:p>
        </w:tc>
        <w:tc>
          <w:tcPr>
            <w:tcW w:w="2159" w:type="dxa"/>
          </w:tcPr>
          <w:p w14:paraId="563E5E58">
            <w:pPr>
              <w:rPr>
                <w:rFonts w:ascii="Arial"/>
              </w:rPr>
            </w:pPr>
          </w:p>
        </w:tc>
        <w:tc>
          <w:tcPr>
            <w:tcW w:w="2186" w:type="dxa"/>
          </w:tcPr>
          <w:p w14:paraId="31B637D4">
            <w:pPr>
              <w:rPr>
                <w:rFonts w:ascii="Arial"/>
              </w:rPr>
            </w:pPr>
          </w:p>
        </w:tc>
        <w:tc>
          <w:tcPr>
            <w:tcW w:w="2596" w:type="dxa"/>
          </w:tcPr>
          <w:p w14:paraId="36887C09">
            <w:pPr>
              <w:rPr>
                <w:rFonts w:ascii="Arial"/>
              </w:rPr>
            </w:pPr>
          </w:p>
        </w:tc>
        <w:tc>
          <w:tcPr>
            <w:tcW w:w="2164" w:type="dxa"/>
          </w:tcPr>
          <w:p w14:paraId="2D0B2BB4">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6E1C9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1E7A42E">
            <w:pPr>
              <w:spacing w:before="247" w:line="183" w:lineRule="auto"/>
              <w:ind w:left="352"/>
              <w:rPr>
                <w:rFonts w:ascii="宋体" w:hAnsi="宋体" w:eastAsia="宋体" w:cs="宋体"/>
                <w:szCs w:val="21"/>
              </w:rPr>
            </w:pPr>
            <w:r>
              <w:rPr>
                <w:rFonts w:hint="eastAsia" w:ascii="宋体" w:hAnsi="宋体" w:eastAsia="宋体" w:cs="宋体"/>
                <w:szCs w:val="21"/>
              </w:rPr>
              <w:t>6</w:t>
            </w:r>
          </w:p>
        </w:tc>
        <w:tc>
          <w:tcPr>
            <w:tcW w:w="3530" w:type="dxa"/>
          </w:tcPr>
          <w:p w14:paraId="7E9232A1">
            <w:pPr>
              <w:spacing w:before="211" w:line="221" w:lineRule="auto"/>
              <w:ind w:left="1557"/>
              <w:rPr>
                <w:rFonts w:ascii="宋体" w:hAnsi="宋体" w:eastAsia="宋体" w:cs="宋体"/>
                <w:spacing w:val="-2"/>
                <w:szCs w:val="21"/>
              </w:rPr>
            </w:pPr>
            <w:r>
              <w:rPr>
                <w:rFonts w:ascii="宋体" w:hAnsi="宋体" w:eastAsia="宋体" w:cs="宋体"/>
                <w:spacing w:val="-2"/>
                <w:szCs w:val="21"/>
              </w:rPr>
              <w:t>其他</w:t>
            </w:r>
          </w:p>
        </w:tc>
        <w:tc>
          <w:tcPr>
            <w:tcW w:w="2159" w:type="dxa"/>
          </w:tcPr>
          <w:p w14:paraId="49AD33FD">
            <w:pPr>
              <w:rPr>
                <w:rFonts w:ascii="Arial"/>
              </w:rPr>
            </w:pPr>
          </w:p>
        </w:tc>
        <w:tc>
          <w:tcPr>
            <w:tcW w:w="2186" w:type="dxa"/>
          </w:tcPr>
          <w:p w14:paraId="14B04129">
            <w:pPr>
              <w:rPr>
                <w:rFonts w:ascii="Arial"/>
              </w:rPr>
            </w:pPr>
          </w:p>
        </w:tc>
        <w:tc>
          <w:tcPr>
            <w:tcW w:w="2596" w:type="dxa"/>
          </w:tcPr>
          <w:p w14:paraId="48C089FA">
            <w:pPr>
              <w:rPr>
                <w:rFonts w:ascii="Arial"/>
              </w:rPr>
            </w:pPr>
          </w:p>
        </w:tc>
        <w:tc>
          <w:tcPr>
            <w:tcW w:w="2164" w:type="dxa"/>
          </w:tcPr>
          <w:p w14:paraId="1D7A0B9F">
            <w:pPr>
              <w:spacing w:before="210" w:line="221" w:lineRule="auto"/>
              <w:ind w:left="456"/>
              <w:rPr>
                <w:rFonts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39292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9E8E637">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56D4B4CE">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9E782E3">
      <w:pPr>
        <w:spacing w:line="172" w:lineRule="exact"/>
      </w:pPr>
    </w:p>
    <w:p w14:paraId="41953141">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138F6EF2">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09FF5B6">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3A1F8A6">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7CCAE41">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245D091">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1B5EF77C">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41820CE1">
      <w:pPr>
        <w:rPr>
          <w:sz w:val="24"/>
          <w:szCs w:val="24"/>
        </w:rPr>
        <w:sectPr>
          <w:headerReference r:id="rId25" w:type="default"/>
          <w:footerReference r:id="rId26" w:type="default"/>
          <w:pgSz w:w="16841" w:h="11907"/>
          <w:pgMar w:top="400" w:right="1699" w:bottom="1184" w:left="1481" w:header="0" w:footer="1022" w:gutter="0"/>
          <w:cols w:space="720" w:num="1"/>
        </w:sectPr>
      </w:pPr>
    </w:p>
    <w:p w14:paraId="00AB143B">
      <w:pPr>
        <w:pStyle w:val="7"/>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3E33C851">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63989DB2">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0E6ABE6"/>
    <w:p w14:paraId="5C5D8885">
      <w:pPr>
        <w:spacing w:line="20" w:lineRule="exact"/>
      </w:pPr>
    </w:p>
    <w:tbl>
      <w:tblPr>
        <w:tblStyle w:val="127"/>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9A963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0B4B3AC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601B6DD6">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1751A0C2">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3190E92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1F4E2DC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153E06C1">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0795D217">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4FDCB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26544E0">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center"/>
          </w:tcPr>
          <w:p w14:paraId="521003B7">
            <w:pPr>
              <w:spacing w:before="266" w:line="221" w:lineRule="auto"/>
              <w:jc w:val="center"/>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tcPr>
          <w:p w14:paraId="4B6B621D">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19FDC2E">
            <w:pPr>
              <w:spacing w:before="266" w:line="221" w:lineRule="auto"/>
              <w:jc w:val="center"/>
              <w:rPr>
                <w:rFonts w:ascii="宋体" w:hAnsi="宋体" w:eastAsia="宋体" w:cs="宋体"/>
                <w:spacing w:val="-2"/>
                <w:szCs w:val="21"/>
              </w:rPr>
            </w:pPr>
          </w:p>
        </w:tc>
        <w:tc>
          <w:tcPr>
            <w:tcW w:w="1138" w:type="dxa"/>
          </w:tcPr>
          <w:p w14:paraId="1CCED543">
            <w:pPr>
              <w:spacing w:before="266" w:line="221" w:lineRule="auto"/>
              <w:jc w:val="center"/>
              <w:rPr>
                <w:rFonts w:ascii="宋体" w:hAnsi="宋体" w:eastAsia="宋体" w:cs="宋体"/>
                <w:spacing w:val="-2"/>
                <w:szCs w:val="21"/>
              </w:rPr>
            </w:pPr>
          </w:p>
        </w:tc>
        <w:tc>
          <w:tcPr>
            <w:tcW w:w="2449" w:type="dxa"/>
          </w:tcPr>
          <w:p w14:paraId="45D82B41">
            <w:pPr>
              <w:rPr>
                <w:rFonts w:ascii="Arial"/>
              </w:rPr>
            </w:pPr>
          </w:p>
        </w:tc>
        <w:tc>
          <w:tcPr>
            <w:tcW w:w="3328" w:type="dxa"/>
          </w:tcPr>
          <w:p w14:paraId="11003422">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2278D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1381F57">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center"/>
          </w:tcPr>
          <w:p w14:paraId="41173595">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326F5AF7">
            <w:pPr>
              <w:spacing w:before="266" w:line="221" w:lineRule="auto"/>
              <w:jc w:val="center"/>
              <w:rPr>
                <w:rFonts w:ascii="宋体" w:hAnsi="宋体" w:eastAsia="宋体" w:cs="宋体"/>
                <w:spacing w:val="-2"/>
                <w:szCs w:val="21"/>
              </w:rPr>
            </w:pPr>
          </w:p>
        </w:tc>
        <w:tc>
          <w:tcPr>
            <w:tcW w:w="1138" w:type="dxa"/>
          </w:tcPr>
          <w:p w14:paraId="7501744B">
            <w:pPr>
              <w:spacing w:before="266" w:line="221" w:lineRule="auto"/>
              <w:jc w:val="center"/>
              <w:rPr>
                <w:rFonts w:ascii="宋体" w:hAnsi="宋体" w:eastAsia="宋体" w:cs="宋体"/>
                <w:spacing w:val="-2"/>
                <w:szCs w:val="21"/>
              </w:rPr>
            </w:pPr>
          </w:p>
        </w:tc>
        <w:tc>
          <w:tcPr>
            <w:tcW w:w="1138" w:type="dxa"/>
          </w:tcPr>
          <w:p w14:paraId="53D754C9">
            <w:pPr>
              <w:spacing w:before="266" w:line="221" w:lineRule="auto"/>
              <w:jc w:val="center"/>
              <w:rPr>
                <w:rFonts w:ascii="宋体" w:hAnsi="宋体" w:eastAsia="宋体" w:cs="宋体"/>
                <w:spacing w:val="-2"/>
                <w:szCs w:val="21"/>
              </w:rPr>
            </w:pPr>
          </w:p>
        </w:tc>
        <w:tc>
          <w:tcPr>
            <w:tcW w:w="2449" w:type="dxa"/>
          </w:tcPr>
          <w:p w14:paraId="06DC8075">
            <w:pPr>
              <w:rPr>
                <w:rFonts w:ascii="Arial"/>
              </w:rPr>
            </w:pPr>
          </w:p>
        </w:tc>
        <w:tc>
          <w:tcPr>
            <w:tcW w:w="3328" w:type="dxa"/>
          </w:tcPr>
          <w:p w14:paraId="5438CF63">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3B245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11AA95A2">
            <w:pPr>
              <w:spacing w:before="303" w:line="183" w:lineRule="auto"/>
              <w:jc w:val="center"/>
              <w:rPr>
                <w:rFonts w:ascii="宋体" w:hAnsi="宋体" w:eastAsia="宋体" w:cs="宋体"/>
                <w:szCs w:val="21"/>
              </w:rPr>
            </w:pPr>
            <w:r>
              <w:rPr>
                <w:rFonts w:ascii="宋体" w:hAnsi="宋体" w:eastAsia="宋体" w:cs="宋体"/>
                <w:szCs w:val="21"/>
              </w:rPr>
              <w:t>3</w:t>
            </w:r>
          </w:p>
        </w:tc>
        <w:tc>
          <w:tcPr>
            <w:tcW w:w="3625" w:type="dxa"/>
            <w:vAlign w:val="center"/>
          </w:tcPr>
          <w:p w14:paraId="583B2405">
            <w:pPr>
              <w:spacing w:before="266" w:line="221" w:lineRule="auto"/>
              <w:jc w:val="center"/>
              <w:rPr>
                <w:rFonts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6FE1A82F">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EFE0125">
            <w:pPr>
              <w:spacing w:before="266" w:line="221" w:lineRule="auto"/>
              <w:jc w:val="center"/>
              <w:rPr>
                <w:rFonts w:ascii="宋体" w:hAnsi="宋体" w:eastAsia="宋体" w:cs="宋体"/>
                <w:spacing w:val="-2"/>
                <w:szCs w:val="21"/>
              </w:rPr>
            </w:pPr>
          </w:p>
        </w:tc>
        <w:tc>
          <w:tcPr>
            <w:tcW w:w="1138" w:type="dxa"/>
          </w:tcPr>
          <w:p w14:paraId="317EBBD6">
            <w:pPr>
              <w:spacing w:before="266" w:line="221" w:lineRule="auto"/>
              <w:jc w:val="center"/>
              <w:rPr>
                <w:rFonts w:ascii="宋体" w:hAnsi="宋体" w:eastAsia="宋体" w:cs="宋体"/>
                <w:spacing w:val="-2"/>
                <w:szCs w:val="21"/>
              </w:rPr>
            </w:pPr>
          </w:p>
        </w:tc>
        <w:tc>
          <w:tcPr>
            <w:tcW w:w="2449" w:type="dxa"/>
          </w:tcPr>
          <w:p w14:paraId="65F8E0F3">
            <w:pPr>
              <w:rPr>
                <w:rFonts w:ascii="Arial"/>
              </w:rPr>
            </w:pPr>
          </w:p>
        </w:tc>
        <w:tc>
          <w:tcPr>
            <w:tcW w:w="3328" w:type="dxa"/>
          </w:tcPr>
          <w:p w14:paraId="17DAACD0">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2B93F8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BF389BE">
            <w:pPr>
              <w:spacing w:before="306" w:line="182" w:lineRule="auto"/>
              <w:jc w:val="center"/>
              <w:rPr>
                <w:rFonts w:ascii="宋体" w:hAnsi="宋体" w:eastAsia="宋体" w:cs="宋体"/>
                <w:szCs w:val="21"/>
              </w:rPr>
            </w:pPr>
            <w:r>
              <w:rPr>
                <w:rFonts w:hint="eastAsia" w:ascii="宋体" w:hAnsi="宋体" w:eastAsia="宋体" w:cs="宋体"/>
                <w:szCs w:val="21"/>
              </w:rPr>
              <w:t>4</w:t>
            </w:r>
          </w:p>
        </w:tc>
        <w:tc>
          <w:tcPr>
            <w:tcW w:w="3625" w:type="dxa"/>
            <w:vAlign w:val="center"/>
          </w:tcPr>
          <w:p w14:paraId="48F837B5">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757DF3FE">
            <w:pPr>
              <w:spacing w:before="266" w:line="221" w:lineRule="auto"/>
              <w:jc w:val="center"/>
              <w:rPr>
                <w:rFonts w:ascii="宋体" w:hAnsi="宋体" w:eastAsia="宋体" w:cs="宋体"/>
                <w:spacing w:val="-2"/>
                <w:szCs w:val="21"/>
              </w:rPr>
            </w:pPr>
          </w:p>
        </w:tc>
        <w:tc>
          <w:tcPr>
            <w:tcW w:w="1138" w:type="dxa"/>
          </w:tcPr>
          <w:p w14:paraId="7C063DEC">
            <w:pPr>
              <w:spacing w:before="266" w:line="221" w:lineRule="auto"/>
              <w:jc w:val="center"/>
              <w:rPr>
                <w:rFonts w:ascii="宋体" w:hAnsi="宋体" w:eastAsia="宋体" w:cs="宋体"/>
                <w:spacing w:val="-2"/>
                <w:szCs w:val="21"/>
              </w:rPr>
            </w:pPr>
          </w:p>
        </w:tc>
        <w:tc>
          <w:tcPr>
            <w:tcW w:w="1138" w:type="dxa"/>
          </w:tcPr>
          <w:p w14:paraId="1682813F">
            <w:pPr>
              <w:spacing w:before="266" w:line="221" w:lineRule="auto"/>
              <w:jc w:val="center"/>
              <w:rPr>
                <w:rFonts w:ascii="宋体" w:hAnsi="宋体" w:eastAsia="宋体" w:cs="宋体"/>
                <w:spacing w:val="-2"/>
                <w:szCs w:val="21"/>
              </w:rPr>
            </w:pPr>
          </w:p>
        </w:tc>
        <w:tc>
          <w:tcPr>
            <w:tcW w:w="2449" w:type="dxa"/>
          </w:tcPr>
          <w:p w14:paraId="27A500C4">
            <w:pPr>
              <w:rPr>
                <w:rFonts w:ascii="Arial"/>
              </w:rPr>
            </w:pPr>
          </w:p>
        </w:tc>
        <w:tc>
          <w:tcPr>
            <w:tcW w:w="3328" w:type="dxa"/>
          </w:tcPr>
          <w:p w14:paraId="001B1F7F">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7A1201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6BB68CB">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3EB02A0F">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074A5406">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9862419">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3A23BC95">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08067061">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1FC97697">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0ED74391">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347DACE">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26A1F577">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E52ADF9">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4E8F7D5">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8788011"/>
    <w:p w14:paraId="71D5F646">
      <w:pPr>
        <w:pStyle w:val="17"/>
      </w:pPr>
    </w:p>
    <w:p w14:paraId="3855BD10">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5950E9BF">
      <w:pPr>
        <w:spacing w:before="35" w:line="239" w:lineRule="auto"/>
        <w:ind w:left="724"/>
        <w:rPr>
          <w:rFonts w:ascii="宋体" w:hAnsi="宋体" w:eastAsia="宋体" w:cs="宋体"/>
          <w:spacing w:val="-1"/>
          <w:sz w:val="24"/>
          <w:szCs w:val="24"/>
        </w:rPr>
        <w:sectPr>
          <w:footerReference r:id="rId27" w:type="default"/>
          <w:pgSz w:w="16841" w:h="11907"/>
          <w:pgMar w:top="400" w:right="1699" w:bottom="1184" w:left="1481" w:header="0" w:footer="1022" w:gutter="0"/>
          <w:cols w:space="720" w:num="1"/>
        </w:sectPr>
      </w:pPr>
    </w:p>
    <w:p w14:paraId="3C0CB58D">
      <w:pPr>
        <w:pStyle w:val="7"/>
        <w:jc w:val="left"/>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4E9DACED">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11FFDD9C">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FE57786">
      <w:pPr>
        <w:spacing w:line="172" w:lineRule="exact"/>
      </w:pPr>
    </w:p>
    <w:tbl>
      <w:tblPr>
        <w:tblStyle w:val="127"/>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84BF3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41271EF4">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14DB573A">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3DAE04B7">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57F7C69B">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578B1840">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0E2E3754">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1E0D5075">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7FD46228">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1C68794">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E2EB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4D24B43">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729E2C9E">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39229D17">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FF14036">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6539550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638089E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5536FC8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9833EF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7B13FEE4">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4×6]（不含税）(元)</w:t>
            </w:r>
          </w:p>
        </w:tc>
        <w:tc>
          <w:tcPr>
            <w:tcW w:w="1120" w:type="dxa"/>
            <w:vAlign w:val="center"/>
          </w:tcPr>
          <w:p w14:paraId="49267D9E">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64ADFBED">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01A691A9">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517D0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20A746D">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14:paraId="3621449A">
            <w:pPr>
              <w:rPr>
                <w:rFonts w:ascii="Arial"/>
              </w:rPr>
            </w:pPr>
          </w:p>
        </w:tc>
        <w:tc>
          <w:tcPr>
            <w:tcW w:w="2100" w:type="dxa"/>
          </w:tcPr>
          <w:p w14:paraId="35519AF8">
            <w:pPr>
              <w:rPr>
                <w:rFonts w:ascii="Arial"/>
              </w:rPr>
            </w:pPr>
          </w:p>
        </w:tc>
        <w:tc>
          <w:tcPr>
            <w:tcW w:w="840" w:type="dxa"/>
          </w:tcPr>
          <w:p w14:paraId="16B2D976">
            <w:pPr>
              <w:rPr>
                <w:rFonts w:ascii="Arial"/>
              </w:rPr>
            </w:pPr>
          </w:p>
        </w:tc>
        <w:tc>
          <w:tcPr>
            <w:tcW w:w="2239" w:type="dxa"/>
          </w:tcPr>
          <w:p w14:paraId="664D54A3">
            <w:pPr>
              <w:rPr>
                <w:rFonts w:ascii="Arial"/>
              </w:rPr>
            </w:pPr>
          </w:p>
        </w:tc>
        <w:tc>
          <w:tcPr>
            <w:tcW w:w="1498" w:type="dxa"/>
          </w:tcPr>
          <w:p w14:paraId="3FB4EA13">
            <w:pPr>
              <w:rPr>
                <w:rFonts w:ascii="Arial"/>
              </w:rPr>
            </w:pPr>
          </w:p>
        </w:tc>
        <w:tc>
          <w:tcPr>
            <w:tcW w:w="1861" w:type="dxa"/>
          </w:tcPr>
          <w:p w14:paraId="1A84B438">
            <w:pPr>
              <w:rPr>
                <w:rFonts w:ascii="Arial"/>
              </w:rPr>
            </w:pPr>
          </w:p>
        </w:tc>
        <w:tc>
          <w:tcPr>
            <w:tcW w:w="1120" w:type="dxa"/>
          </w:tcPr>
          <w:p w14:paraId="70028F99">
            <w:pPr>
              <w:rPr>
                <w:rFonts w:ascii="Arial"/>
              </w:rPr>
            </w:pPr>
          </w:p>
        </w:tc>
        <w:tc>
          <w:tcPr>
            <w:tcW w:w="1125" w:type="dxa"/>
          </w:tcPr>
          <w:p w14:paraId="2D4BD6D2">
            <w:pPr>
              <w:rPr>
                <w:rFonts w:ascii="Arial"/>
              </w:rPr>
            </w:pPr>
          </w:p>
        </w:tc>
      </w:tr>
      <w:tr w14:paraId="6020D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43C42BF9">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14:paraId="57D7D057">
            <w:pPr>
              <w:rPr>
                <w:rFonts w:ascii="Arial"/>
              </w:rPr>
            </w:pPr>
          </w:p>
        </w:tc>
        <w:tc>
          <w:tcPr>
            <w:tcW w:w="2100" w:type="dxa"/>
          </w:tcPr>
          <w:p w14:paraId="0D606E21">
            <w:pPr>
              <w:rPr>
                <w:rFonts w:ascii="Arial"/>
              </w:rPr>
            </w:pPr>
          </w:p>
        </w:tc>
        <w:tc>
          <w:tcPr>
            <w:tcW w:w="840" w:type="dxa"/>
          </w:tcPr>
          <w:p w14:paraId="476D9745">
            <w:pPr>
              <w:rPr>
                <w:rFonts w:ascii="Arial"/>
              </w:rPr>
            </w:pPr>
          </w:p>
        </w:tc>
        <w:tc>
          <w:tcPr>
            <w:tcW w:w="2239" w:type="dxa"/>
          </w:tcPr>
          <w:p w14:paraId="5250FD25">
            <w:pPr>
              <w:rPr>
                <w:rFonts w:ascii="Arial"/>
              </w:rPr>
            </w:pPr>
          </w:p>
        </w:tc>
        <w:tc>
          <w:tcPr>
            <w:tcW w:w="1498" w:type="dxa"/>
          </w:tcPr>
          <w:p w14:paraId="080C4E6F">
            <w:pPr>
              <w:rPr>
                <w:rFonts w:ascii="Arial"/>
              </w:rPr>
            </w:pPr>
          </w:p>
        </w:tc>
        <w:tc>
          <w:tcPr>
            <w:tcW w:w="1861" w:type="dxa"/>
          </w:tcPr>
          <w:p w14:paraId="5B29B191">
            <w:pPr>
              <w:rPr>
                <w:rFonts w:ascii="Arial"/>
              </w:rPr>
            </w:pPr>
          </w:p>
        </w:tc>
        <w:tc>
          <w:tcPr>
            <w:tcW w:w="1120" w:type="dxa"/>
          </w:tcPr>
          <w:p w14:paraId="698DFF2F">
            <w:pPr>
              <w:rPr>
                <w:rFonts w:ascii="Arial"/>
              </w:rPr>
            </w:pPr>
          </w:p>
        </w:tc>
        <w:tc>
          <w:tcPr>
            <w:tcW w:w="1125" w:type="dxa"/>
          </w:tcPr>
          <w:p w14:paraId="0783A36A">
            <w:pPr>
              <w:rPr>
                <w:rFonts w:ascii="Arial"/>
              </w:rPr>
            </w:pPr>
          </w:p>
        </w:tc>
      </w:tr>
      <w:tr w14:paraId="5E648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7F9D379">
            <w:pPr>
              <w:rPr>
                <w:rFonts w:ascii="Arial"/>
              </w:rPr>
            </w:pPr>
          </w:p>
        </w:tc>
        <w:tc>
          <w:tcPr>
            <w:tcW w:w="2543" w:type="dxa"/>
          </w:tcPr>
          <w:p w14:paraId="7632AD95">
            <w:pPr>
              <w:rPr>
                <w:rFonts w:ascii="Arial"/>
              </w:rPr>
            </w:pPr>
          </w:p>
        </w:tc>
        <w:tc>
          <w:tcPr>
            <w:tcW w:w="2100" w:type="dxa"/>
          </w:tcPr>
          <w:p w14:paraId="113A2B29">
            <w:pPr>
              <w:rPr>
                <w:rFonts w:ascii="Arial"/>
              </w:rPr>
            </w:pPr>
          </w:p>
        </w:tc>
        <w:tc>
          <w:tcPr>
            <w:tcW w:w="840" w:type="dxa"/>
          </w:tcPr>
          <w:p w14:paraId="7F968B73">
            <w:pPr>
              <w:rPr>
                <w:rFonts w:ascii="Arial"/>
              </w:rPr>
            </w:pPr>
          </w:p>
        </w:tc>
        <w:tc>
          <w:tcPr>
            <w:tcW w:w="2239" w:type="dxa"/>
          </w:tcPr>
          <w:p w14:paraId="4D70A686">
            <w:pPr>
              <w:rPr>
                <w:rFonts w:ascii="Arial"/>
              </w:rPr>
            </w:pPr>
          </w:p>
        </w:tc>
        <w:tc>
          <w:tcPr>
            <w:tcW w:w="1498" w:type="dxa"/>
          </w:tcPr>
          <w:p w14:paraId="75B1444F">
            <w:pPr>
              <w:rPr>
                <w:rFonts w:ascii="Arial"/>
              </w:rPr>
            </w:pPr>
          </w:p>
        </w:tc>
        <w:tc>
          <w:tcPr>
            <w:tcW w:w="1861" w:type="dxa"/>
          </w:tcPr>
          <w:p w14:paraId="2C967E8A">
            <w:pPr>
              <w:rPr>
                <w:rFonts w:ascii="Arial"/>
              </w:rPr>
            </w:pPr>
          </w:p>
        </w:tc>
        <w:tc>
          <w:tcPr>
            <w:tcW w:w="1120" w:type="dxa"/>
          </w:tcPr>
          <w:p w14:paraId="24814715">
            <w:pPr>
              <w:rPr>
                <w:rFonts w:ascii="Arial"/>
              </w:rPr>
            </w:pPr>
          </w:p>
        </w:tc>
        <w:tc>
          <w:tcPr>
            <w:tcW w:w="1125" w:type="dxa"/>
          </w:tcPr>
          <w:p w14:paraId="0E90A708">
            <w:pPr>
              <w:rPr>
                <w:rFonts w:ascii="Arial"/>
              </w:rPr>
            </w:pPr>
          </w:p>
        </w:tc>
      </w:tr>
      <w:tr w14:paraId="2B62D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26C76CF">
            <w:pPr>
              <w:rPr>
                <w:rFonts w:ascii="Arial"/>
              </w:rPr>
            </w:pPr>
          </w:p>
        </w:tc>
        <w:tc>
          <w:tcPr>
            <w:tcW w:w="2543" w:type="dxa"/>
          </w:tcPr>
          <w:p w14:paraId="2616C00A">
            <w:pPr>
              <w:rPr>
                <w:rFonts w:ascii="Arial"/>
              </w:rPr>
            </w:pPr>
          </w:p>
        </w:tc>
        <w:tc>
          <w:tcPr>
            <w:tcW w:w="2100" w:type="dxa"/>
          </w:tcPr>
          <w:p w14:paraId="51D1F521">
            <w:pPr>
              <w:rPr>
                <w:rFonts w:ascii="Arial"/>
              </w:rPr>
            </w:pPr>
          </w:p>
        </w:tc>
        <w:tc>
          <w:tcPr>
            <w:tcW w:w="840" w:type="dxa"/>
          </w:tcPr>
          <w:p w14:paraId="7EB5E759">
            <w:pPr>
              <w:rPr>
                <w:rFonts w:ascii="Arial"/>
              </w:rPr>
            </w:pPr>
          </w:p>
        </w:tc>
        <w:tc>
          <w:tcPr>
            <w:tcW w:w="2239" w:type="dxa"/>
          </w:tcPr>
          <w:p w14:paraId="237944E8">
            <w:pPr>
              <w:rPr>
                <w:rFonts w:ascii="Arial"/>
              </w:rPr>
            </w:pPr>
          </w:p>
        </w:tc>
        <w:tc>
          <w:tcPr>
            <w:tcW w:w="1498" w:type="dxa"/>
          </w:tcPr>
          <w:p w14:paraId="7E55509E">
            <w:pPr>
              <w:rPr>
                <w:rFonts w:ascii="Arial"/>
              </w:rPr>
            </w:pPr>
          </w:p>
        </w:tc>
        <w:tc>
          <w:tcPr>
            <w:tcW w:w="1861" w:type="dxa"/>
          </w:tcPr>
          <w:p w14:paraId="2A02C386">
            <w:pPr>
              <w:rPr>
                <w:rFonts w:ascii="Arial"/>
              </w:rPr>
            </w:pPr>
          </w:p>
        </w:tc>
        <w:tc>
          <w:tcPr>
            <w:tcW w:w="1120" w:type="dxa"/>
          </w:tcPr>
          <w:p w14:paraId="4713A48D">
            <w:pPr>
              <w:rPr>
                <w:rFonts w:ascii="Arial"/>
              </w:rPr>
            </w:pPr>
          </w:p>
        </w:tc>
        <w:tc>
          <w:tcPr>
            <w:tcW w:w="1125" w:type="dxa"/>
          </w:tcPr>
          <w:p w14:paraId="579C89E4">
            <w:pPr>
              <w:rPr>
                <w:rFonts w:ascii="Arial"/>
              </w:rPr>
            </w:pPr>
          </w:p>
        </w:tc>
      </w:tr>
      <w:tr w14:paraId="503085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95525FC">
            <w:pPr>
              <w:rPr>
                <w:rFonts w:ascii="Arial"/>
              </w:rPr>
            </w:pPr>
          </w:p>
        </w:tc>
        <w:tc>
          <w:tcPr>
            <w:tcW w:w="2543" w:type="dxa"/>
          </w:tcPr>
          <w:p w14:paraId="229EE8ED">
            <w:pPr>
              <w:rPr>
                <w:rFonts w:ascii="Arial"/>
              </w:rPr>
            </w:pPr>
          </w:p>
        </w:tc>
        <w:tc>
          <w:tcPr>
            <w:tcW w:w="2100" w:type="dxa"/>
          </w:tcPr>
          <w:p w14:paraId="455A7E4D">
            <w:pPr>
              <w:rPr>
                <w:rFonts w:ascii="Arial"/>
              </w:rPr>
            </w:pPr>
          </w:p>
        </w:tc>
        <w:tc>
          <w:tcPr>
            <w:tcW w:w="840" w:type="dxa"/>
          </w:tcPr>
          <w:p w14:paraId="3BAC1E46">
            <w:pPr>
              <w:rPr>
                <w:rFonts w:ascii="Arial"/>
              </w:rPr>
            </w:pPr>
          </w:p>
        </w:tc>
        <w:tc>
          <w:tcPr>
            <w:tcW w:w="2239" w:type="dxa"/>
          </w:tcPr>
          <w:p w14:paraId="55123626">
            <w:pPr>
              <w:rPr>
                <w:rFonts w:ascii="Arial"/>
              </w:rPr>
            </w:pPr>
          </w:p>
        </w:tc>
        <w:tc>
          <w:tcPr>
            <w:tcW w:w="1498" w:type="dxa"/>
          </w:tcPr>
          <w:p w14:paraId="36B43E06">
            <w:pPr>
              <w:rPr>
                <w:rFonts w:ascii="Arial"/>
              </w:rPr>
            </w:pPr>
          </w:p>
        </w:tc>
        <w:tc>
          <w:tcPr>
            <w:tcW w:w="1861" w:type="dxa"/>
          </w:tcPr>
          <w:p w14:paraId="3BBC4D70">
            <w:pPr>
              <w:rPr>
                <w:rFonts w:ascii="Arial"/>
              </w:rPr>
            </w:pPr>
          </w:p>
        </w:tc>
        <w:tc>
          <w:tcPr>
            <w:tcW w:w="1120" w:type="dxa"/>
          </w:tcPr>
          <w:p w14:paraId="41F392AF">
            <w:pPr>
              <w:rPr>
                <w:rFonts w:ascii="Arial"/>
              </w:rPr>
            </w:pPr>
          </w:p>
        </w:tc>
        <w:tc>
          <w:tcPr>
            <w:tcW w:w="1125" w:type="dxa"/>
          </w:tcPr>
          <w:p w14:paraId="384F2AFA">
            <w:pPr>
              <w:rPr>
                <w:rFonts w:ascii="Arial"/>
              </w:rPr>
            </w:pPr>
          </w:p>
        </w:tc>
      </w:tr>
      <w:tr w14:paraId="6FB93E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088C54F">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4A06535F">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0903613">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27774D72">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6E2E063">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68C704DD">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36127664">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D54A793">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3ADBD05">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2B394428">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4EF8761E">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0A19A0E4">
      <w:pPr>
        <w:spacing w:before="87" w:line="198" w:lineRule="auto"/>
        <w:ind w:left="411"/>
        <w:rPr>
          <w:rFonts w:ascii="宋体" w:hAnsi="宋体" w:eastAsia="宋体" w:cs="宋体"/>
          <w:spacing w:val="-2"/>
          <w:sz w:val="24"/>
          <w:szCs w:val="24"/>
        </w:rPr>
        <w:sectPr>
          <w:footerReference r:id="rId28" w:type="default"/>
          <w:pgSz w:w="16841" w:h="11907"/>
          <w:pgMar w:top="400" w:right="1500" w:bottom="1184" w:left="1480" w:header="0" w:footer="1022" w:gutter="0"/>
          <w:cols w:space="720" w:num="1"/>
        </w:sectPr>
      </w:pPr>
    </w:p>
    <w:p w14:paraId="7CCD0CEF">
      <w:pPr>
        <w:pStyle w:val="7"/>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6176253B">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0C7F44BE">
      <w:pPr>
        <w:spacing w:before="24" w:line="221" w:lineRule="auto"/>
        <w:ind w:left="211" w:firstLine="2310" w:firstLineChars="1100"/>
        <w:jc w:val="right"/>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97CED9E">
      <w:pPr>
        <w:spacing w:line="127" w:lineRule="exact"/>
      </w:pPr>
    </w:p>
    <w:tbl>
      <w:tblPr>
        <w:tblStyle w:val="127"/>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FBD8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8B4698B">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5C41B43D">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FAC7195">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758E50C5">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BFBD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51C4FD9">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14:paraId="3A302D65">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654A554E">
            <w:pPr>
              <w:rPr>
                <w:rFonts w:ascii="Arial"/>
              </w:rPr>
            </w:pPr>
          </w:p>
        </w:tc>
        <w:tc>
          <w:tcPr>
            <w:tcW w:w="3362" w:type="dxa"/>
          </w:tcPr>
          <w:p w14:paraId="6FB77477">
            <w:pPr>
              <w:rPr>
                <w:rFonts w:ascii="Arial"/>
              </w:rPr>
            </w:pPr>
          </w:p>
        </w:tc>
      </w:tr>
      <w:tr w14:paraId="54CD21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8A636CC">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14:paraId="5B911470">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67C9EED7">
            <w:pPr>
              <w:rPr>
                <w:rFonts w:ascii="Arial"/>
              </w:rPr>
            </w:pPr>
          </w:p>
        </w:tc>
        <w:tc>
          <w:tcPr>
            <w:tcW w:w="3362" w:type="dxa"/>
          </w:tcPr>
          <w:p w14:paraId="48DCAC5C">
            <w:pPr>
              <w:rPr>
                <w:rFonts w:ascii="Arial"/>
              </w:rPr>
            </w:pPr>
          </w:p>
        </w:tc>
      </w:tr>
      <w:tr w14:paraId="1CBD4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C93FABE">
            <w:pPr>
              <w:rPr>
                <w:rFonts w:ascii="Arial"/>
              </w:rPr>
            </w:pPr>
          </w:p>
          <w:p w14:paraId="340735DF">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14:paraId="13AA869A">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0FFA8C94">
            <w:pPr>
              <w:rPr>
                <w:rFonts w:ascii="Arial"/>
              </w:rPr>
            </w:pPr>
          </w:p>
        </w:tc>
        <w:tc>
          <w:tcPr>
            <w:tcW w:w="3362" w:type="dxa"/>
          </w:tcPr>
          <w:p w14:paraId="19EFB9F2">
            <w:pPr>
              <w:rPr>
                <w:rFonts w:ascii="Arial"/>
              </w:rPr>
            </w:pPr>
          </w:p>
        </w:tc>
      </w:tr>
      <w:tr w14:paraId="0FA6B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24EEB55E">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14:paraId="74B094E3">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54CBC15">
            <w:pPr>
              <w:rPr>
                <w:rFonts w:ascii="Arial"/>
              </w:rPr>
            </w:pPr>
          </w:p>
        </w:tc>
        <w:tc>
          <w:tcPr>
            <w:tcW w:w="3362" w:type="dxa"/>
          </w:tcPr>
          <w:p w14:paraId="5BD82F98">
            <w:pPr>
              <w:rPr>
                <w:rFonts w:ascii="Arial"/>
              </w:rPr>
            </w:pPr>
          </w:p>
        </w:tc>
      </w:tr>
      <w:tr w14:paraId="4AFCB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A9586C5">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255FE984">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B8E3E66">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EE5E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C74ADA8">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336DE9A">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B0661E1">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05E19697">
      <w:pPr>
        <w:spacing w:line="291" w:lineRule="auto"/>
        <w:rPr>
          <w:rFonts w:ascii="Arial"/>
        </w:rPr>
      </w:pPr>
    </w:p>
    <w:p w14:paraId="3A5AD7BA">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A12CF3D">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EA53ABD">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33CB4DDC">
      <w:pPr>
        <w:pStyle w:val="17"/>
      </w:pPr>
    </w:p>
    <w:p w14:paraId="1976CBAA">
      <w:pPr>
        <w:pStyle w:val="17"/>
      </w:pPr>
    </w:p>
    <w:p w14:paraId="5D286263">
      <w:pPr>
        <w:spacing w:before="140" w:line="220" w:lineRule="auto"/>
        <w:ind w:left="2" w:firstLine="464" w:firstLineChars="200"/>
        <w:rPr>
          <w:rFonts w:ascii="宋体" w:hAnsi="宋体" w:eastAsia="宋体" w:cs="宋体"/>
          <w:spacing w:val="-2"/>
          <w:szCs w:val="21"/>
        </w:rPr>
        <w:sectPr>
          <w:footerReference r:id="rId29"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4995ADA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E344BEC">
      <w:pPr>
        <w:rPr>
          <w:rFonts w:ascii="Calibri" w:hAnsi="Calibri" w:eastAsia="宋体" w:cs="Times New Roman"/>
          <w:szCs w:val="20"/>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028673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7514533">
            <w:pPr>
              <w:jc w:val="center"/>
              <w:rPr>
                <w:rFonts w:hint="eastAsia" w:ascii="Times New Roman" w:hAnsi="Times New Roman" w:eastAsia="宋体" w:cs="Times New Roman"/>
                <w:b/>
                <w:szCs w:val="20"/>
                <w:lang w:eastAsia="zh-CN"/>
              </w:rPr>
            </w:pPr>
            <w:r>
              <w:rPr>
                <w:rFonts w:hint="eastAsia" w:ascii="宋体" w:hAnsi="宋体" w:eastAsia="宋体" w:cs="Times New Roman"/>
                <w:color w:val="000000"/>
                <w:sz w:val="24"/>
                <w:szCs w:val="24"/>
                <w:u w:val="single"/>
                <w:lang w:eastAsia="zh-CN"/>
              </w:rPr>
              <w:t>济南成型厂5吨整体式转向节模具新制项目</w:t>
            </w:r>
          </w:p>
        </w:tc>
        <w:tc>
          <w:tcPr>
            <w:tcW w:w="2875" w:type="dxa"/>
            <w:tcBorders>
              <w:top w:val="single" w:color="auto" w:sz="4" w:space="0"/>
              <w:left w:val="single" w:color="auto" w:sz="4" w:space="0"/>
              <w:bottom w:val="single" w:color="auto" w:sz="4" w:space="0"/>
              <w:right w:val="single" w:color="auto" w:sz="4" w:space="0"/>
            </w:tcBorders>
            <w:vAlign w:val="center"/>
          </w:tcPr>
          <w:p w14:paraId="53D86C4D">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0BF975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11DEED9">
            <w:pPr>
              <w:jc w:val="center"/>
              <w:rPr>
                <w:rFonts w:ascii="Times New Roman" w:hAnsi="Times New Roman" w:eastAsia="宋体" w:cs="Times New Roman"/>
                <w:b/>
                <w:szCs w:val="20"/>
              </w:rPr>
            </w:pPr>
            <w:r>
              <w:rPr>
                <w:rFonts w:hint="eastAsia" w:ascii="宋体" w:hAnsi="宋体" w:eastAsia="宋体" w:cs="宋体"/>
                <w:b/>
                <w:szCs w:val="20"/>
              </w:rPr>
              <w:t>是否偏离</w:t>
            </w:r>
          </w:p>
          <w:p w14:paraId="3460D98B">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225538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B1366CF">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325C2025">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349E91C">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5809D75">
            <w:pPr>
              <w:jc w:val="center"/>
              <w:rPr>
                <w:rFonts w:ascii="Times New Roman" w:hAnsi="Times New Roman" w:eastAsia="宋体" w:cs="Times New Roman"/>
                <w:b/>
                <w:szCs w:val="20"/>
              </w:rPr>
            </w:pPr>
          </w:p>
        </w:tc>
      </w:tr>
      <w:tr w14:paraId="7211B5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D01C9C4">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78A643B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D818AD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DB84A94">
            <w:pPr>
              <w:jc w:val="center"/>
              <w:rPr>
                <w:rFonts w:ascii="Times New Roman" w:hAnsi="Times New Roman" w:eastAsia="宋体" w:cs="Times New Roman"/>
                <w:b/>
                <w:szCs w:val="21"/>
              </w:rPr>
            </w:pPr>
          </w:p>
        </w:tc>
      </w:tr>
      <w:tr w14:paraId="3785B9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C6DEADD">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FD7ECA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699E0693">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6F1BAD">
            <w:pPr>
              <w:jc w:val="center"/>
              <w:rPr>
                <w:rFonts w:ascii="Times New Roman" w:hAnsi="Times New Roman" w:eastAsia="宋体" w:cs="Times New Roman"/>
                <w:b/>
                <w:szCs w:val="20"/>
              </w:rPr>
            </w:pPr>
          </w:p>
        </w:tc>
      </w:tr>
      <w:tr w14:paraId="6D9D95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032F468">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5DD6F97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B2D599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5D1FBE0">
            <w:pPr>
              <w:jc w:val="center"/>
              <w:rPr>
                <w:rFonts w:ascii="Times New Roman" w:hAnsi="Times New Roman" w:eastAsia="宋体" w:cs="Times New Roman"/>
                <w:b/>
                <w:szCs w:val="21"/>
              </w:rPr>
            </w:pPr>
          </w:p>
          <w:p w14:paraId="53B87EF0">
            <w:pPr>
              <w:jc w:val="center"/>
              <w:rPr>
                <w:rFonts w:ascii="Times New Roman" w:hAnsi="Times New Roman" w:eastAsia="宋体" w:cs="Times New Roman"/>
                <w:b/>
                <w:szCs w:val="21"/>
              </w:rPr>
            </w:pPr>
          </w:p>
          <w:p w14:paraId="67EAB0BA">
            <w:pPr>
              <w:jc w:val="center"/>
              <w:rPr>
                <w:rFonts w:ascii="Times New Roman" w:hAnsi="Times New Roman" w:eastAsia="宋体" w:cs="Times New Roman"/>
                <w:b/>
                <w:szCs w:val="21"/>
              </w:rPr>
            </w:pPr>
          </w:p>
          <w:p w14:paraId="318AACDB">
            <w:pPr>
              <w:jc w:val="center"/>
              <w:rPr>
                <w:rFonts w:ascii="Times New Roman" w:hAnsi="Times New Roman" w:eastAsia="宋体" w:cs="Times New Roman"/>
                <w:b/>
                <w:szCs w:val="21"/>
              </w:rPr>
            </w:pPr>
          </w:p>
          <w:p w14:paraId="30162CDE">
            <w:pPr>
              <w:jc w:val="center"/>
              <w:rPr>
                <w:rFonts w:ascii="Times New Roman" w:hAnsi="Times New Roman" w:eastAsia="宋体" w:cs="Times New Roman"/>
                <w:b/>
                <w:szCs w:val="21"/>
              </w:rPr>
            </w:pPr>
          </w:p>
          <w:p w14:paraId="5DC41C49">
            <w:pPr>
              <w:jc w:val="center"/>
              <w:rPr>
                <w:rFonts w:ascii="Times New Roman" w:hAnsi="Times New Roman" w:eastAsia="宋体" w:cs="Times New Roman"/>
                <w:b/>
                <w:szCs w:val="21"/>
              </w:rPr>
            </w:pPr>
          </w:p>
          <w:p w14:paraId="477DFBFA">
            <w:pPr>
              <w:jc w:val="center"/>
              <w:rPr>
                <w:rFonts w:ascii="Times New Roman" w:hAnsi="Times New Roman" w:eastAsia="宋体" w:cs="Times New Roman"/>
                <w:b/>
                <w:szCs w:val="21"/>
              </w:rPr>
            </w:pPr>
          </w:p>
          <w:p w14:paraId="47388F65">
            <w:pPr>
              <w:jc w:val="center"/>
              <w:rPr>
                <w:rFonts w:ascii="Times New Roman" w:hAnsi="Times New Roman" w:eastAsia="宋体" w:cs="Times New Roman"/>
                <w:b/>
                <w:szCs w:val="21"/>
              </w:rPr>
            </w:pPr>
          </w:p>
          <w:p w14:paraId="5FE1ECE8">
            <w:pPr>
              <w:jc w:val="center"/>
              <w:rPr>
                <w:rFonts w:ascii="Times New Roman" w:hAnsi="Times New Roman" w:eastAsia="宋体" w:cs="Times New Roman"/>
                <w:b/>
                <w:szCs w:val="21"/>
              </w:rPr>
            </w:pPr>
          </w:p>
          <w:p w14:paraId="794A6A9A">
            <w:pPr>
              <w:jc w:val="center"/>
              <w:rPr>
                <w:rFonts w:ascii="Times New Roman" w:hAnsi="Times New Roman" w:eastAsia="宋体" w:cs="Times New Roman"/>
                <w:b/>
                <w:szCs w:val="21"/>
              </w:rPr>
            </w:pPr>
          </w:p>
          <w:p w14:paraId="36E88C7C">
            <w:pPr>
              <w:jc w:val="center"/>
              <w:rPr>
                <w:rFonts w:ascii="Times New Roman" w:hAnsi="Times New Roman" w:eastAsia="宋体" w:cs="Times New Roman"/>
                <w:b/>
                <w:szCs w:val="21"/>
              </w:rPr>
            </w:pPr>
          </w:p>
          <w:p w14:paraId="12623250">
            <w:pPr>
              <w:jc w:val="center"/>
              <w:rPr>
                <w:rFonts w:ascii="Times New Roman" w:hAnsi="Times New Roman" w:eastAsia="宋体" w:cs="Times New Roman"/>
                <w:b/>
                <w:szCs w:val="21"/>
              </w:rPr>
            </w:pPr>
          </w:p>
          <w:p w14:paraId="5C30E28E">
            <w:pPr>
              <w:jc w:val="center"/>
              <w:rPr>
                <w:rFonts w:ascii="Times New Roman" w:hAnsi="Times New Roman" w:eastAsia="宋体" w:cs="Times New Roman"/>
                <w:b/>
                <w:szCs w:val="21"/>
              </w:rPr>
            </w:pPr>
          </w:p>
          <w:p w14:paraId="5A7043F7">
            <w:pPr>
              <w:jc w:val="center"/>
              <w:rPr>
                <w:rFonts w:ascii="Times New Roman" w:hAnsi="Times New Roman" w:eastAsia="宋体" w:cs="Times New Roman"/>
                <w:b/>
                <w:szCs w:val="21"/>
              </w:rPr>
            </w:pPr>
          </w:p>
          <w:p w14:paraId="1FEC4787">
            <w:pPr>
              <w:jc w:val="center"/>
              <w:rPr>
                <w:rFonts w:ascii="Times New Roman" w:hAnsi="Times New Roman" w:eastAsia="宋体" w:cs="Times New Roman"/>
                <w:b/>
                <w:szCs w:val="21"/>
              </w:rPr>
            </w:pPr>
          </w:p>
          <w:p w14:paraId="4680D5FE">
            <w:pPr>
              <w:jc w:val="center"/>
              <w:rPr>
                <w:rFonts w:ascii="Times New Roman" w:hAnsi="Times New Roman" w:eastAsia="宋体" w:cs="Times New Roman"/>
                <w:b/>
                <w:szCs w:val="21"/>
              </w:rPr>
            </w:pPr>
          </w:p>
          <w:p w14:paraId="579E43D8">
            <w:pPr>
              <w:jc w:val="center"/>
              <w:rPr>
                <w:rFonts w:ascii="Times New Roman" w:hAnsi="Times New Roman" w:eastAsia="宋体" w:cs="Times New Roman"/>
                <w:b/>
                <w:szCs w:val="20"/>
              </w:rPr>
            </w:pPr>
          </w:p>
        </w:tc>
      </w:tr>
      <w:tr w14:paraId="56841F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186D040">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BEFF780">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7FF6B194">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60770EE">
            <w:pPr>
              <w:jc w:val="center"/>
              <w:rPr>
                <w:rFonts w:ascii="Times New Roman" w:hAnsi="Times New Roman" w:eastAsia="宋体" w:cs="Times New Roman"/>
                <w:b/>
                <w:szCs w:val="20"/>
              </w:rPr>
            </w:pPr>
          </w:p>
        </w:tc>
      </w:tr>
    </w:tbl>
    <w:p w14:paraId="25ACA4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B20D1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65050FEC">
      <w:pPr>
        <w:rPr>
          <w:rFonts w:ascii="宋体" w:hAnsi="Calibri" w:eastAsia="宋体" w:cs="Times New Roman"/>
          <w:szCs w:val="20"/>
        </w:rPr>
      </w:pPr>
    </w:p>
    <w:p w14:paraId="3BABB4F0">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64DEF86A">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58ECDBFD">
      <w:pPr>
        <w:spacing w:line="272" w:lineRule="auto"/>
        <w:rPr>
          <w:rFonts w:ascii="Arial"/>
        </w:rPr>
      </w:pPr>
    </w:p>
    <w:p w14:paraId="11C05ED1">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Times New Roman"/>
          <w:color w:val="000000"/>
          <w:sz w:val="24"/>
          <w:szCs w:val="24"/>
          <w:u w:val="single"/>
        </w:rPr>
        <w:t>济南成型厂5吨整体式转向节模具新制项目</w:t>
      </w:r>
    </w:p>
    <w:p w14:paraId="1C022C9A">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1A75DE06"/>
    <w:p w14:paraId="36D349FF">
      <w:pPr>
        <w:spacing w:line="109" w:lineRule="exact"/>
      </w:pPr>
    </w:p>
    <w:tbl>
      <w:tblPr>
        <w:tblStyle w:val="127"/>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0A3F5DE">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2CA8FDB">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FFDA4B2">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7D1BF7C6">
      <w:pPr>
        <w:keepNext/>
        <w:keepLines/>
        <w:rPr>
          <w:rFonts w:ascii="Times New Roman" w:hAnsi="Times New Roman" w:eastAsia="宋体" w:cs="Times New Roman"/>
          <w:b/>
          <w:bCs/>
          <w:color w:val="000000"/>
          <w:sz w:val="24"/>
          <w:szCs w:val="24"/>
        </w:rPr>
      </w:pPr>
    </w:p>
    <w:p w14:paraId="34FD54A0">
      <w:pPr>
        <w:spacing w:before="75" w:line="227" w:lineRule="auto"/>
        <w:ind w:left="135"/>
        <w:rPr>
          <w:rFonts w:ascii="宋体" w:hAnsi="宋体" w:eastAsia="宋体" w:cs="宋体"/>
          <w:spacing w:val="-2"/>
          <w:sz w:val="24"/>
          <w:szCs w:val="24"/>
        </w:rPr>
      </w:pPr>
    </w:p>
    <w:p w14:paraId="75A454F7">
      <w:pPr>
        <w:spacing w:before="75" w:line="227" w:lineRule="auto"/>
        <w:ind w:left="135"/>
        <w:rPr>
          <w:rFonts w:ascii="宋体" w:hAnsi="宋体" w:eastAsia="宋体" w:cs="宋体"/>
          <w:spacing w:val="-2"/>
          <w:sz w:val="24"/>
          <w:szCs w:val="24"/>
        </w:rPr>
      </w:pPr>
    </w:p>
    <w:p w14:paraId="181EA42A">
      <w:pPr>
        <w:spacing w:before="75" w:line="227" w:lineRule="auto"/>
        <w:ind w:left="135"/>
        <w:rPr>
          <w:rFonts w:eastAsia="宋体"/>
          <w:sz w:val="24"/>
          <w:szCs w:val="24"/>
        </w:rPr>
        <w:sectPr>
          <w:footerReference r:id="rId30"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42176D5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17CA230F">
      <w:pPr>
        <w:spacing w:line="240" w:lineRule="exact"/>
        <w:jc w:val="center"/>
        <w:rPr>
          <w:rFonts w:ascii="宋体" w:hAnsi="Calibri" w:eastAsia="宋体" w:cs="Times New Roman"/>
          <w:b/>
          <w:bCs/>
          <w:sz w:val="36"/>
          <w:szCs w:val="20"/>
        </w:rPr>
      </w:pPr>
    </w:p>
    <w:p w14:paraId="40AFAD5F">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Times New Roman"/>
          <w:color w:val="000000"/>
          <w:sz w:val="24"/>
          <w:szCs w:val="24"/>
          <w:u w:val="single"/>
        </w:rPr>
        <w:t>济南成型厂5吨整体式转向节模具新制项目</w:t>
      </w:r>
    </w:p>
    <w:p w14:paraId="2E9AF4D2">
      <w:pPr>
        <w:spacing w:line="360" w:lineRule="auto"/>
        <w:rPr>
          <w:rFonts w:ascii="宋体" w:hAnsi="Calibri" w:eastAsia="宋体" w:cs="Times New Roman"/>
          <w:b/>
          <w:bCs/>
          <w:sz w:val="24"/>
          <w:szCs w:val="20"/>
          <w:highlight w:val="none"/>
        </w:rPr>
      </w:pPr>
      <w:r>
        <w:rPr>
          <w:rFonts w:hint="eastAsia" w:ascii="宋体" w:hAnsi="宋体"/>
          <w:sz w:val="24"/>
          <w:szCs w:val="24"/>
          <w:highlight w:val="none"/>
        </w:rPr>
        <w:t>济南成型厂</w:t>
      </w:r>
      <w:r>
        <w:rPr>
          <w:rFonts w:hint="eastAsia" w:ascii="宋体" w:hAnsi="宋体" w:eastAsia="宋体" w:cs="Times New Roman"/>
          <w:b/>
          <w:bCs/>
          <w:sz w:val="24"/>
          <w:szCs w:val="20"/>
          <w:highlight w:val="none"/>
        </w:rPr>
        <w:t>：</w:t>
      </w:r>
    </w:p>
    <w:p w14:paraId="09AEF7EE">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86A1E8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23172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3C571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E6B77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1A536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FDC51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800D0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80AC9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692D9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06B78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BB55F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DDA6E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58619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A4420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87046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BFC94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9A03C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90F3A5">
      <w:pPr>
        <w:spacing w:line="360" w:lineRule="auto"/>
        <w:ind w:firstLine="480" w:firstLineChars="200"/>
        <w:rPr>
          <w:rFonts w:ascii="宋体" w:hAnsi="宋体" w:eastAsia="宋体" w:cs="Times New Roman"/>
          <w:sz w:val="24"/>
          <w:szCs w:val="20"/>
          <w:u w:val="single"/>
        </w:rPr>
      </w:pPr>
    </w:p>
    <w:p w14:paraId="24DFB3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4F3E03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AEDD34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0D0470D">
      <w:pPr>
        <w:rPr>
          <w:rFonts w:ascii="宋体" w:hAnsi="Calibri" w:eastAsia="宋体" w:cs="宋体"/>
          <w:b/>
          <w:bCs/>
          <w:color w:val="000000"/>
          <w:sz w:val="28"/>
          <w:szCs w:val="20"/>
        </w:rPr>
      </w:pPr>
    </w:p>
    <w:p w14:paraId="3142B742">
      <w:pPr>
        <w:pStyle w:val="17"/>
        <w:rPr>
          <w:rFonts w:hAnsi="Calibri" w:eastAsia="宋体" w:cs="宋体"/>
          <w:b/>
          <w:bCs/>
          <w:color w:val="000000"/>
          <w:sz w:val="28"/>
          <w:szCs w:val="20"/>
        </w:rPr>
      </w:pPr>
    </w:p>
    <w:p w14:paraId="677D2A47">
      <w:pPr>
        <w:rPr>
          <w:rFonts w:ascii="宋体" w:hAnsi="Calibri" w:eastAsia="宋体" w:cs="宋体"/>
          <w:b/>
          <w:bCs/>
          <w:color w:val="000000"/>
          <w:sz w:val="28"/>
          <w:szCs w:val="20"/>
        </w:rPr>
      </w:pPr>
    </w:p>
    <w:p w14:paraId="47CBD4B0">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71AB372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4D0E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070D858">
            <w:pPr>
              <w:jc w:val="center"/>
              <w:rPr>
                <w:rFonts w:ascii="Times New Roman" w:hAnsi="Times New Roman" w:eastAsia="宋体" w:cs="Times New Roman"/>
                <w:b/>
                <w:szCs w:val="20"/>
              </w:rPr>
            </w:pPr>
          </w:p>
          <w:p w14:paraId="142892E5">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73981662">
            <w:pPr>
              <w:rPr>
                <w:rFonts w:ascii="Times New Roman" w:hAnsi="Times New Roman" w:eastAsia="等线" w:cs="Times New Roman"/>
                <w:b/>
                <w:sz w:val="30"/>
                <w:szCs w:val="30"/>
              </w:rPr>
            </w:pPr>
          </w:p>
          <w:p w14:paraId="2C9F9A79">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val="en-US" w:eastAsia="zh-CN"/>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highlight w:val="yellow"/>
                <w:u w:val="single"/>
                <w:lang w:val="en-US" w:eastAsia="zh-CN"/>
              </w:rPr>
              <w:t>2</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01F5EAF4">
            <w:pPr>
              <w:jc w:val="center"/>
              <w:rPr>
                <w:rFonts w:ascii="Times New Roman" w:hAnsi="Times New Roman" w:eastAsia="宋体" w:cs="Times New Roman"/>
                <w:b/>
                <w:szCs w:val="20"/>
              </w:rPr>
            </w:pPr>
          </w:p>
          <w:p w14:paraId="524341B2">
            <w:pPr>
              <w:jc w:val="center"/>
              <w:rPr>
                <w:rFonts w:ascii="Times New Roman" w:hAnsi="Times New Roman" w:eastAsia="宋体" w:cs="Times New Roman"/>
                <w:b/>
                <w:szCs w:val="20"/>
              </w:rPr>
            </w:pPr>
          </w:p>
          <w:p w14:paraId="793C2633">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Times New Roman"/>
                <w:b/>
                <w:bCs/>
                <w:color w:val="000000"/>
                <w:sz w:val="24"/>
                <w:szCs w:val="24"/>
                <w:u w:val="none"/>
              </w:rPr>
              <w:t>济南成型厂5吨整体式转向节模具新制项目</w:t>
            </w:r>
          </w:p>
          <w:p w14:paraId="13926FE3">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73DB0698">
            <w:pPr>
              <w:jc w:val="center"/>
              <w:rPr>
                <w:rFonts w:ascii="Times New Roman" w:hAnsi="Times New Roman" w:eastAsia="宋体" w:cs="Times New Roman"/>
                <w:b/>
                <w:szCs w:val="20"/>
              </w:rPr>
            </w:pPr>
            <w:r>
              <w:rPr>
                <w:rFonts w:hint="eastAsia" w:ascii="宋体" w:hAnsi="宋体" w:eastAsia="宋体" w:cs="宋体"/>
                <w:b/>
                <w:szCs w:val="20"/>
              </w:rPr>
              <w:t>地址：</w:t>
            </w:r>
          </w:p>
          <w:p w14:paraId="3498D8B9">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66BF1370">
            <w:pPr>
              <w:jc w:val="center"/>
              <w:rPr>
                <w:rFonts w:ascii="Times New Roman" w:hAnsi="Times New Roman" w:eastAsia="宋体" w:cs="Times New Roman"/>
                <w:b/>
                <w:szCs w:val="20"/>
              </w:rPr>
            </w:pPr>
            <w:r>
              <w:rPr>
                <w:rFonts w:hint="eastAsia" w:ascii="宋体" w:hAnsi="宋体" w:eastAsia="宋体" w:cs="宋体"/>
                <w:b/>
                <w:szCs w:val="20"/>
              </w:rPr>
              <w:t>传真：</w:t>
            </w:r>
          </w:p>
          <w:p w14:paraId="4B598E8C">
            <w:pPr>
              <w:jc w:val="center"/>
              <w:rPr>
                <w:rFonts w:ascii="Times New Roman" w:hAnsi="Times New Roman" w:eastAsia="宋体" w:cs="Times New Roman"/>
                <w:b/>
                <w:szCs w:val="20"/>
              </w:rPr>
            </w:pPr>
          </w:p>
          <w:p w14:paraId="45BE690D">
            <w:pPr>
              <w:jc w:val="center"/>
              <w:rPr>
                <w:rFonts w:ascii="Times New Roman" w:hAnsi="Times New Roman" w:eastAsia="宋体" w:cs="Times New Roman"/>
                <w:b/>
                <w:szCs w:val="20"/>
              </w:rPr>
            </w:pPr>
          </w:p>
        </w:tc>
      </w:tr>
    </w:tbl>
    <w:p w14:paraId="4D9C60D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33B44A4">
      <w:pPr>
        <w:pStyle w:val="17"/>
      </w:pPr>
    </w:p>
    <w:p w14:paraId="13C4EDB8">
      <w:pPr>
        <w:jc w:val="right"/>
        <w:rPr>
          <w:rFonts w:asciiTheme="minorEastAsia" w:hAnsiTheme="minorEastAsia" w:cstheme="minorEastAsia"/>
          <w:sz w:val="20"/>
          <w:szCs w:val="20"/>
        </w:rPr>
      </w:pPr>
    </w:p>
    <w:p w14:paraId="04E070C9">
      <w:pPr>
        <w:jc w:val="right"/>
        <w:rPr>
          <w:rFonts w:asciiTheme="minorEastAsia" w:hAnsiTheme="minorEastAsia" w:cstheme="minorEastAsia"/>
          <w:sz w:val="20"/>
          <w:szCs w:val="20"/>
        </w:rPr>
      </w:pPr>
    </w:p>
    <w:p w14:paraId="6B12A346">
      <w:pPr>
        <w:sectPr>
          <w:headerReference r:id="rId32" w:type="first"/>
          <w:footerReference r:id="rId34" w:type="first"/>
          <w:headerReference r:id="rId31" w:type="default"/>
          <w:footerReference r:id="rId33" w:type="default"/>
          <w:pgSz w:w="11906" w:h="16838"/>
          <w:pgMar w:top="1588" w:right="1418" w:bottom="1134" w:left="1418" w:header="851" w:footer="992" w:gutter="0"/>
          <w:cols w:space="720" w:num="1"/>
          <w:titlePg/>
          <w:docGrid w:type="lines" w:linePitch="312" w:charSpace="0"/>
        </w:sectPr>
      </w:pPr>
    </w:p>
    <w:p w14:paraId="6F222FE8">
      <w:pPr>
        <w:spacing w:line="360" w:lineRule="auto"/>
        <w:outlineLvl w:val="2"/>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rPr>
        <w:t>附件14</w:t>
      </w:r>
      <w:r>
        <w:rPr>
          <w:rFonts w:hint="eastAsia" w:ascii="Times New Roman" w:hAnsi="Times New Roman" w:eastAsia="宋体" w:cs="Times New Roman"/>
          <w:b/>
          <w:bCs/>
          <w:color w:val="000000"/>
          <w:sz w:val="24"/>
          <w:szCs w:val="24"/>
          <w:lang w:val="en-US" w:eastAsia="zh-CN"/>
        </w:rPr>
        <w:t>技术要求承诺书</w:t>
      </w:r>
    </w:p>
    <w:p w14:paraId="3904A8E4">
      <w:pPr>
        <w:spacing w:line="360" w:lineRule="auto"/>
        <w:rPr>
          <w:rFonts w:hint="eastAsia" w:ascii="宋体" w:hAnsi="Calibri" w:eastAsia="宋体" w:cs="Times New Roman"/>
          <w:sz w:val="24"/>
          <w:szCs w:val="20"/>
          <w:u w:val="single"/>
          <w:lang w:eastAsia="zh-CN"/>
        </w:rPr>
      </w:pPr>
      <w:r>
        <w:rPr>
          <w:rFonts w:hint="eastAsia" w:ascii="宋体" w:hAnsi="宋体" w:eastAsia="宋体" w:cs="Times New Roman"/>
          <w:sz w:val="24"/>
          <w:szCs w:val="20"/>
        </w:rPr>
        <w:t>项目名称：</w:t>
      </w:r>
      <w:r>
        <w:rPr>
          <w:rFonts w:hint="eastAsia" w:ascii="宋体" w:hAnsi="宋体" w:eastAsia="宋体" w:cs="Times New Roman"/>
          <w:color w:val="000000"/>
          <w:sz w:val="24"/>
          <w:szCs w:val="24"/>
          <w:u w:val="single"/>
        </w:rPr>
        <w:t>济南成型厂5吨整体式转向节模具新制项目</w:t>
      </w:r>
    </w:p>
    <w:p w14:paraId="5103D175">
      <w:pPr>
        <w:spacing w:line="360" w:lineRule="auto"/>
        <w:rPr>
          <w:rFonts w:ascii="宋体" w:hAnsi="Calibri" w:eastAsia="宋体" w:cs="Times New Roman"/>
          <w:b/>
          <w:bCs/>
          <w:sz w:val="24"/>
          <w:szCs w:val="20"/>
          <w:highlight w:val="none"/>
        </w:rPr>
      </w:pPr>
      <w:r>
        <w:rPr>
          <w:rFonts w:hint="eastAsia" w:ascii="宋体" w:hAnsi="宋体"/>
          <w:sz w:val="24"/>
          <w:szCs w:val="24"/>
        </w:rPr>
        <w:t>济</w:t>
      </w:r>
      <w:r>
        <w:rPr>
          <w:rFonts w:hint="eastAsia" w:ascii="宋体" w:hAnsi="宋体"/>
          <w:sz w:val="24"/>
          <w:szCs w:val="24"/>
          <w:highlight w:val="none"/>
        </w:rPr>
        <w:t>南成型厂</w:t>
      </w:r>
      <w:r>
        <w:rPr>
          <w:rFonts w:hint="eastAsia" w:ascii="宋体" w:hAnsi="宋体" w:eastAsia="宋体" w:cs="Times New Roman"/>
          <w:b/>
          <w:bCs/>
          <w:sz w:val="24"/>
          <w:szCs w:val="20"/>
          <w:highlight w:val="none"/>
        </w:rPr>
        <w:t>：</w:t>
      </w:r>
    </w:p>
    <w:p w14:paraId="4DF9E1C6">
      <w:pPr>
        <w:spacing w:line="360" w:lineRule="auto"/>
        <w:ind w:firstLine="480"/>
        <w:rPr>
          <w:rFonts w:hint="eastAsia" w:ascii="宋体" w:hAnsi="宋体" w:eastAsia="宋体" w:cs="Times New Roman"/>
          <w:sz w:val="24"/>
          <w:szCs w:val="20"/>
        </w:rPr>
      </w:pPr>
      <w:r>
        <w:rPr>
          <w:rFonts w:hint="eastAsia" w:ascii="宋体" w:hAnsi="宋体" w:eastAsia="宋体" w:cs="Times New Roman"/>
          <w:sz w:val="24"/>
          <w:szCs w:val="20"/>
          <w:highlight w:val="none"/>
        </w:rPr>
        <w:t>我代表（投标单位名称）</w:t>
      </w:r>
      <w:r>
        <w:rPr>
          <w:rFonts w:hint="eastAsia" w:ascii="宋体" w:hAnsi="宋体" w:eastAsia="宋体" w:cs="Times New Roman"/>
          <w:sz w:val="24"/>
          <w:szCs w:val="20"/>
        </w:rPr>
        <w:t>对中标合同产品的服务作如下承诺：</w:t>
      </w:r>
    </w:p>
    <w:p w14:paraId="47736DB8">
      <w:pPr>
        <w:pStyle w:val="3"/>
        <w:keepNext/>
        <w:keepLines/>
        <w:pageBreakBefore w:val="0"/>
        <w:widowControl w:val="0"/>
        <w:tabs>
          <w:tab w:val="right" w:leader="dot" w:pos="9061"/>
        </w:tabs>
        <w:kinsoku/>
        <w:wordWrap/>
        <w:overflowPunct/>
        <w:topLinePunct w:val="0"/>
        <w:autoSpaceDE/>
        <w:autoSpaceDN/>
        <w:bidi w:val="0"/>
        <w:adjustRightInd/>
        <w:snapToGrid/>
        <w:spacing w:before="0" w:after="0" w:line="360" w:lineRule="auto"/>
        <w:textAlignment w:val="auto"/>
        <w:rPr>
          <w:rFonts w:hint="default"/>
          <w:sz w:val="24"/>
          <w:szCs w:val="24"/>
          <w:lang w:val="en-US" w:eastAsia="zh-CN"/>
        </w:rPr>
      </w:pPr>
      <w:r>
        <w:rPr>
          <w:rFonts w:hint="eastAsia"/>
          <w:sz w:val="24"/>
          <w:szCs w:val="24"/>
          <w:lang w:val="en-US" w:eastAsia="zh-CN"/>
        </w:rPr>
        <w:t>我司提供的产品完全相应并满足本次项目招标文件的技术要求。</w:t>
      </w:r>
    </w:p>
    <w:p w14:paraId="67A0CCB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E0F74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44EEA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0CB40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2204BE">
      <w:pPr>
        <w:pStyle w:val="3"/>
        <w:tabs>
          <w:tab w:val="right" w:leader="dot" w:pos="9061"/>
        </w:tabs>
      </w:pPr>
    </w:p>
    <w:p w14:paraId="47CD582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85E315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47D917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FE3E8F0">
      <w:pPr>
        <w:sectPr>
          <w:pgSz w:w="11906" w:h="16838"/>
          <w:pgMar w:top="1587" w:right="1417" w:bottom="1134" w:left="1417" w:header="850" w:footer="992" w:gutter="0"/>
          <w:pgNumType w:fmt="decimal"/>
          <w:cols w:space="0" w:num="1"/>
          <w:titlePg/>
          <w:docGrid w:type="lines" w:linePitch="324" w:charSpace="0"/>
        </w:sectPr>
      </w:pPr>
    </w:p>
    <w:p w14:paraId="190FA2E4">
      <w:pPr>
        <w:pStyle w:val="17"/>
      </w:pPr>
    </w:p>
    <w:p w14:paraId="366F6708">
      <w:pPr>
        <w:rPr>
          <w:rFonts w:ascii="宋体" w:hAnsi="宋体" w:eastAsia="宋体" w:cs="宋体"/>
          <w:b/>
          <w:bCs/>
          <w:color w:val="000000"/>
          <w:sz w:val="24"/>
          <w:szCs w:val="24"/>
        </w:rPr>
      </w:pPr>
    </w:p>
    <w:p w14:paraId="6AD07233">
      <w:pPr>
        <w:pStyle w:val="17"/>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59B9F5A1">
      <w:pPr>
        <w:pStyle w:val="17"/>
        <w:rPr>
          <w:rFonts w:eastAsia="宋体"/>
        </w:rPr>
      </w:pPr>
    </w:p>
    <w:p w14:paraId="4E10F8E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C2A9B53">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995A954">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4D8DBDD4">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1"/>
                    <a:stretch>
                      <a:fillRect/>
                    </a:stretch>
                  </pic:blipFill>
                  <pic:spPr>
                    <a:xfrm>
                      <a:off x="0" y="0"/>
                      <a:ext cx="5760085" cy="2933377"/>
                    </a:xfrm>
                    <a:prstGeom prst="rect">
                      <a:avLst/>
                    </a:prstGeom>
                  </pic:spPr>
                </pic:pic>
              </a:graphicData>
            </a:graphic>
          </wp:inline>
        </w:drawing>
      </w:r>
    </w:p>
    <w:p w14:paraId="51B83E5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43C5EA8">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2"/>
                    <a:stretch>
                      <a:fillRect/>
                    </a:stretch>
                  </pic:blipFill>
                  <pic:spPr>
                    <a:xfrm>
                      <a:off x="0" y="0"/>
                      <a:ext cx="5760085" cy="2766707"/>
                    </a:xfrm>
                    <a:prstGeom prst="rect">
                      <a:avLst/>
                    </a:prstGeom>
                  </pic:spPr>
                </pic:pic>
              </a:graphicData>
            </a:graphic>
          </wp:inline>
        </w:drawing>
      </w:r>
    </w:p>
    <w:p w14:paraId="3B081EB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18EF120">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3"/>
                    <a:stretch>
                      <a:fillRect/>
                    </a:stretch>
                  </pic:blipFill>
                  <pic:spPr>
                    <a:xfrm>
                      <a:off x="0" y="0"/>
                      <a:ext cx="5760085" cy="2870054"/>
                    </a:xfrm>
                    <a:prstGeom prst="rect">
                      <a:avLst/>
                    </a:prstGeom>
                  </pic:spPr>
                </pic:pic>
              </a:graphicData>
            </a:graphic>
          </wp:inline>
        </w:drawing>
      </w:r>
    </w:p>
    <w:p w14:paraId="23C53D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0DA1DA2">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4"/>
                    <a:stretch>
                      <a:fillRect/>
                    </a:stretch>
                  </pic:blipFill>
                  <pic:spPr>
                    <a:xfrm>
                      <a:off x="0" y="0"/>
                      <a:ext cx="5760085" cy="2853375"/>
                    </a:xfrm>
                    <a:prstGeom prst="rect">
                      <a:avLst/>
                    </a:prstGeom>
                  </pic:spPr>
                </pic:pic>
              </a:graphicData>
            </a:graphic>
          </wp:inline>
        </w:drawing>
      </w:r>
    </w:p>
    <w:p w14:paraId="2AAFA905">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2FF3DE23">
      <w:pPr>
        <w:pStyle w:val="17"/>
      </w:pPr>
    </w:p>
    <w:p w14:paraId="399DBCD5">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5"/>
                    <a:stretch>
                      <a:fillRect/>
                    </a:stretch>
                  </pic:blipFill>
                  <pic:spPr>
                    <a:xfrm>
                      <a:off x="0" y="0"/>
                      <a:ext cx="5760085" cy="2810122"/>
                    </a:xfrm>
                    <a:prstGeom prst="rect">
                      <a:avLst/>
                    </a:prstGeom>
                  </pic:spPr>
                </pic:pic>
              </a:graphicData>
            </a:graphic>
          </wp:inline>
        </w:drawing>
      </w:r>
    </w:p>
    <w:p w14:paraId="7362023B">
      <w:pPr>
        <w:pStyle w:val="17"/>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6"/>
                    <a:stretch>
                      <a:fillRect/>
                    </a:stretch>
                  </pic:blipFill>
                  <pic:spPr>
                    <a:xfrm>
                      <a:off x="0" y="0"/>
                      <a:ext cx="5760085" cy="2820042"/>
                    </a:xfrm>
                    <a:prstGeom prst="rect">
                      <a:avLst/>
                    </a:prstGeom>
                  </pic:spPr>
                </pic:pic>
              </a:graphicData>
            </a:graphic>
          </wp:inline>
        </w:drawing>
      </w:r>
    </w:p>
    <w:p w14:paraId="11FC7CE2">
      <w:pPr>
        <w:pStyle w:val="17"/>
      </w:pPr>
    </w:p>
    <w:p w14:paraId="1E4FAFDD">
      <w:pPr>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14:paraId="721A68E1">
      <w:pPr>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1.“项目名称”和“采购形式编号”见投标须知前附表1.1；</w:t>
      </w:r>
    </w:p>
    <w:p w14:paraId="7A367765">
      <w:pPr>
        <w:pStyle w:val="17"/>
      </w:pPr>
      <w:r>
        <w:rPr>
          <w:rFonts w:hint="eastAsia" w:hAnsi="宋体" w:eastAsia="宋体" w:cs="宋体"/>
          <w:b/>
          <w:bCs/>
          <w:color w:val="000000"/>
          <w:sz w:val="24"/>
          <w:szCs w:val="28"/>
        </w:rPr>
        <w:t>2.配套能力“供货类别”填“工艺装备”，业务主管部门选择“工艺工匠研究院”。</w:t>
      </w:r>
    </w:p>
    <w:p w14:paraId="431CFAB3">
      <w:pPr>
        <w:pStyle w:val="17"/>
        <w:sectPr>
          <w:pgSz w:w="11906" w:h="16838"/>
          <w:pgMar w:top="1588" w:right="1418" w:bottom="1134" w:left="1418" w:header="851" w:footer="992" w:gutter="0"/>
          <w:cols w:space="720" w:num="1"/>
          <w:titlePg/>
          <w:docGrid w:type="lines" w:linePitch="312" w:charSpace="0"/>
        </w:sectPr>
      </w:pPr>
    </w:p>
    <w:p w14:paraId="158AA682">
      <w:pPr>
        <w:pStyle w:val="17"/>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032295F5">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4"/>
          <w:rFonts w:hint="eastAsia" w:ascii="宋体" w:hAnsi="宋体" w:eastAsia="宋体" w:cs="宋体"/>
          <w:sz w:val="24"/>
          <w:szCs w:val="24"/>
        </w:rPr>
        <w:t>https://ecaitong.sinotruk.com:8012/</w:t>
      </w:r>
      <w:r>
        <w:rPr>
          <w:rStyle w:val="44"/>
          <w:rFonts w:hint="eastAsia" w:ascii="宋体" w:hAnsi="宋体" w:eastAsia="宋体" w:cs="宋体"/>
          <w:sz w:val="24"/>
          <w:szCs w:val="24"/>
        </w:rPr>
        <w:fldChar w:fldCharType="end"/>
      </w:r>
    </w:p>
    <w:p w14:paraId="60DF8B7A">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7AF6BF5B">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6717F67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D56854D">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B44A78D">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3DC9820">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7"/>
                    <a:stretch>
                      <a:fillRect/>
                    </a:stretch>
                  </pic:blipFill>
                  <pic:spPr>
                    <a:xfrm>
                      <a:off x="0" y="0"/>
                      <a:ext cx="5760085" cy="2269864"/>
                    </a:xfrm>
                    <a:prstGeom prst="rect">
                      <a:avLst/>
                    </a:prstGeom>
                  </pic:spPr>
                </pic:pic>
              </a:graphicData>
            </a:graphic>
          </wp:inline>
        </w:drawing>
      </w:r>
    </w:p>
    <w:p w14:paraId="30C4DD8A"/>
    <w:p w14:paraId="0B73CFC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4F6B432">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76BD72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8"/>
                    <a:stretch>
                      <a:fillRect/>
                    </a:stretch>
                  </pic:blipFill>
                  <pic:spPr>
                    <a:xfrm>
                      <a:off x="0" y="0"/>
                      <a:ext cx="5760085" cy="2125673"/>
                    </a:xfrm>
                    <a:prstGeom prst="rect">
                      <a:avLst/>
                    </a:prstGeom>
                  </pic:spPr>
                </pic:pic>
              </a:graphicData>
            </a:graphic>
          </wp:inline>
        </w:drawing>
      </w:r>
    </w:p>
    <w:p w14:paraId="3F28D54B">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C8B82F4">
      <w:pPr>
        <w:pStyle w:val="17"/>
      </w:pPr>
      <w:r>
        <w:rPr>
          <w:rFonts w:hint="eastAsia" w:hAnsi="宋体" w:eastAsia="宋体" w:cs="宋体"/>
          <w:color w:val="000000"/>
          <w:sz w:val="24"/>
          <w:szCs w:val="28"/>
        </w:rPr>
        <w:t>注意：系统内的投标报价单位为“万元”，如开标现场发现填错报价，即直接淘汰。</w:t>
      </w:r>
    </w:p>
    <w:p w14:paraId="2F2B82EA">
      <w:pPr>
        <w:pStyle w:val="7"/>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9"/>
                    <a:stretch>
                      <a:fillRect/>
                    </a:stretch>
                  </pic:blipFill>
                  <pic:spPr>
                    <a:xfrm>
                      <a:off x="0" y="0"/>
                      <a:ext cx="5490210" cy="2669498"/>
                    </a:xfrm>
                    <a:prstGeom prst="rect">
                      <a:avLst/>
                    </a:prstGeom>
                  </pic:spPr>
                </pic:pic>
              </a:graphicData>
            </a:graphic>
          </wp:inline>
        </w:drawing>
      </w:r>
    </w:p>
    <w:p w14:paraId="334A0E4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B13316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A5C2F29">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6D8A2ECE">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0"/>
                    <a:stretch>
                      <a:fillRect/>
                    </a:stretch>
                  </pic:blipFill>
                  <pic:spPr>
                    <a:xfrm>
                      <a:off x="0" y="0"/>
                      <a:ext cx="5490210" cy="1992743"/>
                    </a:xfrm>
                    <a:prstGeom prst="rect">
                      <a:avLst/>
                    </a:prstGeom>
                  </pic:spPr>
                </pic:pic>
              </a:graphicData>
            </a:graphic>
          </wp:inline>
        </w:drawing>
      </w:r>
    </w:p>
    <w:p w14:paraId="693278CA">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5050C33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55DC2B0">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902AC2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692782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C186E46">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04B41CE">
      <w:pPr>
        <w:pStyle w:val="7"/>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1"/>
                    <a:stretch>
                      <a:fillRect/>
                    </a:stretch>
                  </pic:blipFill>
                  <pic:spPr>
                    <a:xfrm>
                      <a:off x="0" y="0"/>
                      <a:ext cx="5490210" cy="2544669"/>
                    </a:xfrm>
                    <a:prstGeom prst="rect">
                      <a:avLst/>
                    </a:prstGeom>
                  </pic:spPr>
                </pic:pic>
              </a:graphicData>
            </a:graphic>
          </wp:inline>
        </w:drawing>
      </w:r>
    </w:p>
    <w:p w14:paraId="2228558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065DFC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5F46B6EC">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6E46F93">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2"/>
                    <a:stretch>
                      <a:fillRect/>
                    </a:stretch>
                  </pic:blipFill>
                  <pic:spPr>
                    <a:xfrm>
                      <a:off x="0" y="0"/>
                      <a:ext cx="5760085" cy="1956600"/>
                    </a:xfrm>
                    <a:prstGeom prst="rect">
                      <a:avLst/>
                    </a:prstGeom>
                  </pic:spPr>
                </pic:pic>
              </a:graphicData>
            </a:graphic>
          </wp:inline>
        </w:drawing>
      </w:r>
    </w:p>
    <w:p w14:paraId="236594FB">
      <w:pPr>
        <w:pStyle w:val="17"/>
        <w:rPr>
          <w:rFonts w:hAnsi="宋体" w:eastAsia="宋体" w:cs="Times New Roman"/>
          <w:b/>
          <w:color w:val="000000"/>
          <w:sz w:val="24"/>
          <w:szCs w:val="24"/>
        </w:rPr>
        <w:sectPr>
          <w:pgSz w:w="11906" w:h="16838"/>
          <w:pgMar w:top="1588" w:right="1418" w:bottom="1134" w:left="1418" w:header="851" w:footer="992" w:gutter="0"/>
          <w:cols w:space="720" w:num="1"/>
          <w:titlePg/>
          <w:docGrid w:type="lines" w:linePitch="312" w:charSpace="0"/>
        </w:sectPr>
      </w:pPr>
    </w:p>
    <w:p w14:paraId="358FB386">
      <w:pPr>
        <w:pStyle w:val="17"/>
        <w:rPr>
          <w:rFonts w:hAnsi="宋体" w:eastAsia="宋体" w:cs="Times New Roman"/>
          <w:b/>
          <w:color w:val="000000"/>
          <w:sz w:val="24"/>
          <w:szCs w:val="24"/>
        </w:rPr>
      </w:pPr>
    </w:p>
    <w:sectPr>
      <w:headerReference r:id="rId36" w:type="first"/>
      <w:footerReference r:id="rId38" w:type="first"/>
      <w:headerReference r:id="rId35" w:type="default"/>
      <w:footerReference r:id="rId37" w:type="default"/>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Tahoma">
    <w:panose1 w:val="020B0604030504040204"/>
    <w:charset w:val="00"/>
    <w:family w:val="auto"/>
    <w:pitch w:val="default"/>
    <w:sig w:usb0="E1002EFF" w:usb1="C000605B" w:usb2="00000029" w:usb3="00000000" w:csb0="200101FF" w:csb1="20280000"/>
  </w:font>
  <w:font w:name="Kingsoft UE">
    <w:panose1 w:val="02000100010000000000"/>
    <w:charset w:val="00"/>
    <w:family w:val="auto"/>
    <w:pitch w:val="default"/>
    <w:sig w:usb0="00000001" w:usb1="00004000" w:usb2="00000000" w:usb3="00000000" w:csb0="00000001" w:csb1="00000000"/>
  </w:font>
  <w:font w:name="Helvetica">
    <w:altName w:val="Arial"/>
    <w:panose1 w:val="00000000000000000000"/>
    <w:charset w:val="00"/>
    <w:family w:val="auto"/>
    <w:pitch w:val="default"/>
    <w:sig w:usb0="00000000" w:usb1="00000000" w:usb2="00000000" w:usb3="00000000" w:csb0="00040001" w:csb1="00000000"/>
  </w:font>
  <w:font w:name="华文中宋">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A6978">
    <w:pPr>
      <w:pStyle w:val="2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1DDD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F1DDDE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277D2">
    <w:pPr>
      <w:pStyle w:val="22"/>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AB09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6AAB09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5F03F">
    <w:pPr>
      <w:pStyle w:val="22"/>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52C91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4E52C91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9D8B5">
    <w:pPr>
      <w:pStyle w:val="22"/>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61A1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1361A19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8EFA6">
    <w:pPr>
      <w:pStyle w:val="22"/>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A5266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16A5266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0732A0">
    <w:pPr>
      <w:pStyle w:val="22"/>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0FF2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0C0FF2C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65ACC">
    <w:pPr>
      <w:pStyle w:val="22"/>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2A4B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182A4BF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DABC">
    <w:pPr>
      <w:spacing w:line="182" w:lineRule="auto"/>
      <w:ind w:left="6866"/>
      <w:rPr>
        <w:rFonts w:ascii="宋体" w:hAnsi="宋体" w:eastAsia="宋体" w:cs="宋体"/>
        <w:sz w:val="18"/>
        <w:szCs w:val="1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7695E">
    <w:pPr>
      <w:pStyle w:val="22"/>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06A1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1B06A1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CC893">
    <w:pPr>
      <w:pStyle w:val="22"/>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84427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3884427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4A4C0">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E94CD">
    <w:pPr>
      <w:pStyle w:val="22"/>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1953D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F1953D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78888">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1DE07">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74ABA">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91109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C03392">
                          <w:pPr>
                            <w:pStyle w:val="22"/>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6BC03392">
                    <w:pPr>
                      <w:pStyle w:val="22"/>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D6D9C">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AEC731">
                          <w:pPr>
                            <w:pStyle w:val="22"/>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2DAEC731">
                    <w:pPr>
                      <w:pStyle w:val="22"/>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607D9">
    <w:pPr>
      <w:pStyle w:val="22"/>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2687F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4C2687F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6560F">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2F4508">
                          <w:pPr>
                            <w:pStyle w:val="22"/>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492F4508">
                    <w:pPr>
                      <w:pStyle w:val="22"/>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862FC">
    <w:pPr>
      <w:pStyle w:val="22"/>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C61B4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5EC61B4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C1452">
    <w:pPr>
      <w:pStyle w:val="22"/>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49BC7F">
                          <w:pPr>
                            <w:pStyle w:val="22"/>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C49BC7F">
                    <w:pPr>
                      <w:pStyle w:val="2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993E3">
    <w:pPr>
      <w:pStyle w:val="22"/>
      <w:jc w:val="center"/>
    </w:pPr>
  </w:p>
  <w:p w14:paraId="4BAB3D96">
    <w:pPr>
      <w:pStyle w:val="2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40059">
    <w:pPr>
      <w:pStyle w:val="22"/>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FFA98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56FFA98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5F262">
    <w:pPr>
      <w:pStyle w:val="22"/>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83D7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E83D7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E232FF">
    <w:pPr>
      <w:pStyle w:val="22"/>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616E23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EGwwyAgAAZQ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zrGijQNPUyk1JUerdDu&#10;2p7nzhQn0HSmmxRv+aZGKVvmwz1zGA2Uj8cT7rCU0iCl6S1KKuO+/us8xqNj8FLSYNRyqvGyKJEf&#10;NDoJwDAYbjB2g6EP6tZgdtEc1JJMXHBBDmbpjPqCF7WKOeBimiNTTsNg3oZu3PEiuVitUhBmz7Kw&#10;1Q+WR+goj7erQ4CcSeUoSqcEuhM3mL7Up/6lxPH+c5+inv4O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8QbDDICAABlBAAADgAAAAAAAAABACAAAAAfAQAAZHJzL2Uyb0RvYy54bWxQSwUG&#10;AAAAAAYABgBZAQAAwwUAAAAA&#10;">
              <v:fill on="f" focussize="0,0"/>
              <v:stroke on="f" weight="0.5pt"/>
              <v:imagedata o:title=""/>
              <o:lock v:ext="edit" aspectratio="f"/>
              <v:textbox inset="0mm,0mm,0mm,0mm" style="mso-fit-shape-to-text:t;">
                <w:txbxContent>
                  <w:p w14:paraId="0616E23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3FFFF">
    <w:pPr>
      <w:pStyle w:val="22"/>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C070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AC070E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AD750">
    <w:pPr>
      <w:pStyle w:val="22"/>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5FD0C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425FD0C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782BD">
    <w:pPr>
      <w:pStyle w:val="2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7DD06F">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2DBDCA">
    <w:pPr>
      <w:pStyle w:val="23"/>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E68E43">
    <w:pPr>
      <w:pStyle w:val="23"/>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855E3">
    <w:pPr>
      <w:pStyle w:val="23"/>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B5DA0">
    <w:pPr>
      <w:pStyle w:val="23"/>
    </w:pPr>
  </w:p>
  <w:p w14:paraId="3893B6F7">
    <w:pPr>
      <w:pStyle w:val="23"/>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B62CB">
    <w:pPr>
      <w:pStyle w:val="23"/>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1235A">
    <w:pPr>
      <w:pStyle w:val="23"/>
    </w:pPr>
  </w:p>
  <w:p w14:paraId="3935E60C">
    <w:pPr>
      <w:pStyle w:val="23"/>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C1F29">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464416"/>
    <w:multiLevelType w:val="singleLevel"/>
    <w:tmpl w:val="89464416"/>
    <w:lvl w:ilvl="0" w:tentative="0">
      <w:start w:val="1"/>
      <w:numFmt w:val="decimal"/>
      <w:suff w:val="nothing"/>
      <w:lvlText w:val="（%1）"/>
      <w:lvlJc w:val="left"/>
      <w:pPr>
        <w:ind w:left="-100"/>
      </w:pPr>
    </w:lvl>
  </w:abstractNum>
  <w:abstractNum w:abstractNumId="1">
    <w:nsid w:val="A6849FB6"/>
    <w:multiLevelType w:val="singleLevel"/>
    <w:tmpl w:val="A6849FB6"/>
    <w:lvl w:ilvl="0" w:tentative="0">
      <w:start w:val="2"/>
      <w:numFmt w:val="chineseCounting"/>
      <w:suff w:val="nothing"/>
      <w:lvlText w:val="%1、"/>
      <w:lvlJc w:val="left"/>
      <w:rPr>
        <w:rFonts w:hint="eastAsia"/>
      </w:r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0CF35D61"/>
    <w:multiLevelType w:val="singleLevel"/>
    <w:tmpl w:val="0CF35D61"/>
    <w:lvl w:ilvl="0" w:tentative="0">
      <w:start w:val="1"/>
      <w:numFmt w:val="decimal"/>
      <w:suff w:val="nothing"/>
      <w:lvlText w:val="%1、"/>
      <w:lvlJc w:val="left"/>
    </w:lvl>
  </w:abstractNum>
  <w:abstractNum w:abstractNumId="5">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6">
    <w:nsid w:val="26908C5F"/>
    <w:multiLevelType w:val="singleLevel"/>
    <w:tmpl w:val="26908C5F"/>
    <w:lvl w:ilvl="0" w:tentative="0">
      <w:start w:val="1"/>
      <w:numFmt w:val="lowerLetter"/>
      <w:lvlText w:val="%1."/>
      <w:lvlJc w:val="left"/>
      <w:pPr>
        <w:tabs>
          <w:tab w:val="left" w:pos="312"/>
        </w:tabs>
      </w:pPr>
    </w:lvl>
  </w:abstractNum>
  <w:abstractNum w:abstractNumId="7">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8">
    <w:nsid w:val="31C1148E"/>
    <w:multiLevelType w:val="singleLevel"/>
    <w:tmpl w:val="31C1148E"/>
    <w:lvl w:ilvl="0" w:tentative="0">
      <w:start w:val="1"/>
      <w:numFmt w:val="decimal"/>
      <w:suff w:val="nothing"/>
      <w:lvlText w:val="（%1）"/>
      <w:lvlJc w:val="left"/>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52F92844"/>
    <w:multiLevelType w:val="singleLevel"/>
    <w:tmpl w:val="52F92844"/>
    <w:lvl w:ilvl="0" w:tentative="0">
      <w:start w:val="2"/>
      <w:numFmt w:val="decimal"/>
      <w:lvlText w:val="%1."/>
      <w:lvlJc w:val="left"/>
      <w:pPr>
        <w:tabs>
          <w:tab w:val="left" w:pos="312"/>
        </w:tabs>
      </w:pPr>
    </w:lvl>
  </w:abstractNum>
  <w:abstractNum w:abstractNumId="11">
    <w:nsid w:val="650C8A26"/>
    <w:multiLevelType w:val="singleLevel"/>
    <w:tmpl w:val="650C8A26"/>
    <w:lvl w:ilvl="0" w:tentative="0">
      <w:start w:val="2"/>
      <w:numFmt w:val="decimal"/>
      <w:suff w:val="nothing"/>
      <w:lvlText w:val="%1、"/>
      <w:lvlJc w:val="left"/>
    </w:lvl>
  </w:abstractNum>
  <w:abstractNum w:abstractNumId="12">
    <w:nsid w:val="6BDB0257"/>
    <w:multiLevelType w:val="multilevel"/>
    <w:tmpl w:val="6BDB0257"/>
    <w:lvl w:ilvl="0" w:tentative="0">
      <w:start w:val="1"/>
      <w:numFmt w:val="japaneseCounting"/>
      <w:lvlText w:val="%1、"/>
      <w:lvlJc w:val="left"/>
      <w:pPr>
        <w:tabs>
          <w:tab w:val="left" w:pos="480"/>
        </w:tabs>
        <w:ind w:left="480" w:hanging="48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3">
    <w:nsid w:val="6E8C6948"/>
    <w:multiLevelType w:val="singleLevel"/>
    <w:tmpl w:val="6E8C6948"/>
    <w:lvl w:ilvl="0" w:tentative="0">
      <w:start w:val="1"/>
      <w:numFmt w:val="chineseCounting"/>
      <w:suff w:val="space"/>
      <w:lvlText w:val="第%1部分"/>
      <w:lvlJc w:val="left"/>
      <w:rPr>
        <w:rFonts w:hint="eastAsia"/>
      </w:rPr>
    </w:lvl>
  </w:abstractNum>
  <w:abstractNum w:abstractNumId="14">
    <w:nsid w:val="7A612DE2"/>
    <w:multiLevelType w:val="singleLevel"/>
    <w:tmpl w:val="7A612DE2"/>
    <w:lvl w:ilvl="0" w:tentative="0">
      <w:start w:val="2"/>
      <w:numFmt w:val="decimal"/>
      <w:lvlText w:val="%1."/>
      <w:lvlJc w:val="left"/>
      <w:pPr>
        <w:tabs>
          <w:tab w:val="left" w:pos="312"/>
        </w:tabs>
      </w:pPr>
    </w:lvl>
  </w:abstractNum>
  <w:num w:numId="1">
    <w:abstractNumId w:val="13"/>
  </w:num>
  <w:num w:numId="2">
    <w:abstractNumId w:val="1"/>
  </w:num>
  <w:num w:numId="3">
    <w:abstractNumId w:val="14"/>
  </w:num>
  <w:num w:numId="4">
    <w:abstractNumId w:val="5"/>
  </w:num>
  <w:num w:numId="5">
    <w:abstractNumId w:val="3"/>
  </w:num>
  <w:num w:numId="6">
    <w:abstractNumId w:val="9"/>
  </w:num>
  <w:num w:numId="7">
    <w:abstractNumId w:val="2"/>
  </w:num>
  <w:num w:numId="8">
    <w:abstractNumId w:val="7"/>
  </w:num>
  <w:num w:numId="9">
    <w:abstractNumId w:val="0"/>
  </w:num>
  <w:num w:numId="10">
    <w:abstractNumId w:val="11"/>
  </w:num>
  <w:num w:numId="11">
    <w:abstractNumId w:val="10"/>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4"/>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rawingGridHorizontalSpacing w:val="181"/>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547A000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2F6C4C"/>
    <w:rsid w:val="003A4540"/>
    <w:rsid w:val="003B4D7D"/>
    <w:rsid w:val="003D6656"/>
    <w:rsid w:val="003E0AB3"/>
    <w:rsid w:val="00401C42"/>
    <w:rsid w:val="004076DE"/>
    <w:rsid w:val="00423213"/>
    <w:rsid w:val="00460AFB"/>
    <w:rsid w:val="00470130"/>
    <w:rsid w:val="00483B0A"/>
    <w:rsid w:val="004B5126"/>
    <w:rsid w:val="004F7838"/>
    <w:rsid w:val="00503391"/>
    <w:rsid w:val="00552960"/>
    <w:rsid w:val="0056018A"/>
    <w:rsid w:val="00567344"/>
    <w:rsid w:val="005829DC"/>
    <w:rsid w:val="005C0B4E"/>
    <w:rsid w:val="005C421F"/>
    <w:rsid w:val="005F16F0"/>
    <w:rsid w:val="0062689F"/>
    <w:rsid w:val="0065185D"/>
    <w:rsid w:val="00680629"/>
    <w:rsid w:val="00686C52"/>
    <w:rsid w:val="006F1414"/>
    <w:rsid w:val="007432BF"/>
    <w:rsid w:val="007525BF"/>
    <w:rsid w:val="0075280E"/>
    <w:rsid w:val="007800DC"/>
    <w:rsid w:val="007838AA"/>
    <w:rsid w:val="00783D5E"/>
    <w:rsid w:val="00785FD6"/>
    <w:rsid w:val="007B212D"/>
    <w:rsid w:val="00806A61"/>
    <w:rsid w:val="00824BFD"/>
    <w:rsid w:val="008453B3"/>
    <w:rsid w:val="00845824"/>
    <w:rsid w:val="008D3B56"/>
    <w:rsid w:val="008D5CEF"/>
    <w:rsid w:val="009360F9"/>
    <w:rsid w:val="00964F00"/>
    <w:rsid w:val="009B511E"/>
    <w:rsid w:val="009E0F5E"/>
    <w:rsid w:val="00A21EB2"/>
    <w:rsid w:val="00A31561"/>
    <w:rsid w:val="00A54E95"/>
    <w:rsid w:val="00A80564"/>
    <w:rsid w:val="00A960B2"/>
    <w:rsid w:val="00AD7338"/>
    <w:rsid w:val="00AE6633"/>
    <w:rsid w:val="00B01FF1"/>
    <w:rsid w:val="00B426C4"/>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94578"/>
    <w:rsid w:val="00DB5225"/>
    <w:rsid w:val="00DD1E5E"/>
    <w:rsid w:val="00DE6417"/>
    <w:rsid w:val="00E16182"/>
    <w:rsid w:val="00E1627A"/>
    <w:rsid w:val="00E34C35"/>
    <w:rsid w:val="00E64BF7"/>
    <w:rsid w:val="00E650A8"/>
    <w:rsid w:val="00E878B4"/>
    <w:rsid w:val="00EA52E2"/>
    <w:rsid w:val="00EB3D00"/>
    <w:rsid w:val="00F71720"/>
    <w:rsid w:val="00FE040F"/>
    <w:rsid w:val="00FE42B3"/>
    <w:rsid w:val="014832F2"/>
    <w:rsid w:val="014C6B51"/>
    <w:rsid w:val="014D51C1"/>
    <w:rsid w:val="01714809"/>
    <w:rsid w:val="0179546C"/>
    <w:rsid w:val="01C52478"/>
    <w:rsid w:val="027408EE"/>
    <w:rsid w:val="02963F39"/>
    <w:rsid w:val="02B3095A"/>
    <w:rsid w:val="02B50726"/>
    <w:rsid w:val="02BA7274"/>
    <w:rsid w:val="03251978"/>
    <w:rsid w:val="0325718A"/>
    <w:rsid w:val="03A04F32"/>
    <w:rsid w:val="03CE7CF1"/>
    <w:rsid w:val="042921B6"/>
    <w:rsid w:val="043342B8"/>
    <w:rsid w:val="043B72BB"/>
    <w:rsid w:val="04461EC1"/>
    <w:rsid w:val="04504B3F"/>
    <w:rsid w:val="04510922"/>
    <w:rsid w:val="046B5540"/>
    <w:rsid w:val="04AD02B8"/>
    <w:rsid w:val="04DE51C8"/>
    <w:rsid w:val="04DF17D4"/>
    <w:rsid w:val="04EE7F1F"/>
    <w:rsid w:val="05355B4E"/>
    <w:rsid w:val="05412745"/>
    <w:rsid w:val="05491761"/>
    <w:rsid w:val="05A351AD"/>
    <w:rsid w:val="05F257ED"/>
    <w:rsid w:val="05F9748A"/>
    <w:rsid w:val="06266F78"/>
    <w:rsid w:val="063E7B7A"/>
    <w:rsid w:val="064500CC"/>
    <w:rsid w:val="06582413"/>
    <w:rsid w:val="06682E69"/>
    <w:rsid w:val="066A28A8"/>
    <w:rsid w:val="067E33B8"/>
    <w:rsid w:val="06B96433"/>
    <w:rsid w:val="06E82FCB"/>
    <w:rsid w:val="06F34B95"/>
    <w:rsid w:val="07426476"/>
    <w:rsid w:val="07571DAC"/>
    <w:rsid w:val="07612C2A"/>
    <w:rsid w:val="07867620"/>
    <w:rsid w:val="08916B94"/>
    <w:rsid w:val="089D4136"/>
    <w:rsid w:val="08D5567E"/>
    <w:rsid w:val="08DD171B"/>
    <w:rsid w:val="08E30F28"/>
    <w:rsid w:val="08E64121"/>
    <w:rsid w:val="09097B66"/>
    <w:rsid w:val="090F1795"/>
    <w:rsid w:val="0942017F"/>
    <w:rsid w:val="09BA1FBB"/>
    <w:rsid w:val="09CB139F"/>
    <w:rsid w:val="0A0106F5"/>
    <w:rsid w:val="0A112AB7"/>
    <w:rsid w:val="0A4E5482"/>
    <w:rsid w:val="0AAA504A"/>
    <w:rsid w:val="0AD71BC7"/>
    <w:rsid w:val="0AF049F1"/>
    <w:rsid w:val="0AF420EB"/>
    <w:rsid w:val="0B266665"/>
    <w:rsid w:val="0B2B2BF5"/>
    <w:rsid w:val="0B2F3908"/>
    <w:rsid w:val="0B3F6206"/>
    <w:rsid w:val="0B785C4C"/>
    <w:rsid w:val="0BDE715C"/>
    <w:rsid w:val="0BE12DB6"/>
    <w:rsid w:val="0BFC6504"/>
    <w:rsid w:val="0C345AD1"/>
    <w:rsid w:val="0C360B29"/>
    <w:rsid w:val="0C626CE4"/>
    <w:rsid w:val="0D030966"/>
    <w:rsid w:val="0D0C2B7B"/>
    <w:rsid w:val="0D807235"/>
    <w:rsid w:val="0D9308F8"/>
    <w:rsid w:val="0DE76C3D"/>
    <w:rsid w:val="0E1A1D85"/>
    <w:rsid w:val="0E1B0427"/>
    <w:rsid w:val="0E303356"/>
    <w:rsid w:val="0E750568"/>
    <w:rsid w:val="0E9C3C97"/>
    <w:rsid w:val="0F2D7A80"/>
    <w:rsid w:val="0F4277E5"/>
    <w:rsid w:val="0F661726"/>
    <w:rsid w:val="0F930041"/>
    <w:rsid w:val="0FA75561"/>
    <w:rsid w:val="0FB83603"/>
    <w:rsid w:val="0FCA77F1"/>
    <w:rsid w:val="0FCD5DCC"/>
    <w:rsid w:val="10043197"/>
    <w:rsid w:val="10270545"/>
    <w:rsid w:val="103409DF"/>
    <w:rsid w:val="108A1D4B"/>
    <w:rsid w:val="10A10111"/>
    <w:rsid w:val="10BE093E"/>
    <w:rsid w:val="10E20BD8"/>
    <w:rsid w:val="111B0FE9"/>
    <w:rsid w:val="112C77F4"/>
    <w:rsid w:val="113440E3"/>
    <w:rsid w:val="114755AB"/>
    <w:rsid w:val="115F67A8"/>
    <w:rsid w:val="119A7465"/>
    <w:rsid w:val="11C07DA5"/>
    <w:rsid w:val="11C2491E"/>
    <w:rsid w:val="11F36B75"/>
    <w:rsid w:val="12491386"/>
    <w:rsid w:val="12E60579"/>
    <w:rsid w:val="12EB0F02"/>
    <w:rsid w:val="130D1D87"/>
    <w:rsid w:val="13695B36"/>
    <w:rsid w:val="1372609F"/>
    <w:rsid w:val="13D03611"/>
    <w:rsid w:val="13D73572"/>
    <w:rsid w:val="14504752"/>
    <w:rsid w:val="145A6A37"/>
    <w:rsid w:val="1467440F"/>
    <w:rsid w:val="14D7277E"/>
    <w:rsid w:val="15400323"/>
    <w:rsid w:val="15433A9B"/>
    <w:rsid w:val="15FC2F04"/>
    <w:rsid w:val="16181FAC"/>
    <w:rsid w:val="168756A0"/>
    <w:rsid w:val="16F94849"/>
    <w:rsid w:val="17045E51"/>
    <w:rsid w:val="172011D4"/>
    <w:rsid w:val="17252C3B"/>
    <w:rsid w:val="17312619"/>
    <w:rsid w:val="173C25C7"/>
    <w:rsid w:val="173F0A2E"/>
    <w:rsid w:val="17770BC2"/>
    <w:rsid w:val="17860E2F"/>
    <w:rsid w:val="17A119AA"/>
    <w:rsid w:val="180E4708"/>
    <w:rsid w:val="18586F2B"/>
    <w:rsid w:val="19087FDA"/>
    <w:rsid w:val="19A766B9"/>
    <w:rsid w:val="19CE76BA"/>
    <w:rsid w:val="19F26070"/>
    <w:rsid w:val="19F97C8B"/>
    <w:rsid w:val="1A1523CE"/>
    <w:rsid w:val="1AA44EB0"/>
    <w:rsid w:val="1AA730BD"/>
    <w:rsid w:val="1ADF38C8"/>
    <w:rsid w:val="1B2B1506"/>
    <w:rsid w:val="1B333D5D"/>
    <w:rsid w:val="1B4F7512"/>
    <w:rsid w:val="1B587618"/>
    <w:rsid w:val="1B5F19C7"/>
    <w:rsid w:val="1B612DA1"/>
    <w:rsid w:val="1B8C2514"/>
    <w:rsid w:val="1BF367A5"/>
    <w:rsid w:val="1C1C709B"/>
    <w:rsid w:val="1C47643B"/>
    <w:rsid w:val="1C4F6795"/>
    <w:rsid w:val="1C9F6814"/>
    <w:rsid w:val="1CB93CF9"/>
    <w:rsid w:val="1CE7377A"/>
    <w:rsid w:val="1D5C514E"/>
    <w:rsid w:val="1D865D14"/>
    <w:rsid w:val="1D8705EC"/>
    <w:rsid w:val="1DEC0E7D"/>
    <w:rsid w:val="1DF20628"/>
    <w:rsid w:val="1DF63B37"/>
    <w:rsid w:val="1E43150B"/>
    <w:rsid w:val="1EA93E80"/>
    <w:rsid w:val="1ED33FB6"/>
    <w:rsid w:val="1EE81332"/>
    <w:rsid w:val="1F1C3BAF"/>
    <w:rsid w:val="1F32415A"/>
    <w:rsid w:val="1F542F9A"/>
    <w:rsid w:val="1F702632"/>
    <w:rsid w:val="1F7E2174"/>
    <w:rsid w:val="1FB64E98"/>
    <w:rsid w:val="1FEA7809"/>
    <w:rsid w:val="20062169"/>
    <w:rsid w:val="20107567"/>
    <w:rsid w:val="20605D1D"/>
    <w:rsid w:val="20AB56C6"/>
    <w:rsid w:val="21093CBF"/>
    <w:rsid w:val="21547789"/>
    <w:rsid w:val="2176507C"/>
    <w:rsid w:val="21A1039B"/>
    <w:rsid w:val="21AE2AB8"/>
    <w:rsid w:val="21BE35AF"/>
    <w:rsid w:val="21C11174"/>
    <w:rsid w:val="22113368"/>
    <w:rsid w:val="22244B28"/>
    <w:rsid w:val="22467FD4"/>
    <w:rsid w:val="229451FD"/>
    <w:rsid w:val="22A12DB6"/>
    <w:rsid w:val="23307139"/>
    <w:rsid w:val="236356D1"/>
    <w:rsid w:val="23A91C83"/>
    <w:rsid w:val="23C962E8"/>
    <w:rsid w:val="246D2675"/>
    <w:rsid w:val="247E4FED"/>
    <w:rsid w:val="24AD78E0"/>
    <w:rsid w:val="24B30BE8"/>
    <w:rsid w:val="24E34060"/>
    <w:rsid w:val="253A0491"/>
    <w:rsid w:val="254E0478"/>
    <w:rsid w:val="257D2ECD"/>
    <w:rsid w:val="25B14925"/>
    <w:rsid w:val="25E036B2"/>
    <w:rsid w:val="25E9082A"/>
    <w:rsid w:val="25F42473"/>
    <w:rsid w:val="26333491"/>
    <w:rsid w:val="269C17B8"/>
    <w:rsid w:val="26AF2D79"/>
    <w:rsid w:val="26B34B91"/>
    <w:rsid w:val="270075A9"/>
    <w:rsid w:val="270D66E8"/>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622B06"/>
    <w:rsid w:val="297B5976"/>
    <w:rsid w:val="297D349C"/>
    <w:rsid w:val="299741EC"/>
    <w:rsid w:val="299E147F"/>
    <w:rsid w:val="29BD6726"/>
    <w:rsid w:val="29C32A87"/>
    <w:rsid w:val="29CF26DC"/>
    <w:rsid w:val="2A1C5DA0"/>
    <w:rsid w:val="2A200D39"/>
    <w:rsid w:val="2A507EFF"/>
    <w:rsid w:val="2AC66BD8"/>
    <w:rsid w:val="2ADC05A4"/>
    <w:rsid w:val="2AEF2177"/>
    <w:rsid w:val="2B0E130E"/>
    <w:rsid w:val="2B161149"/>
    <w:rsid w:val="2B1B2F6C"/>
    <w:rsid w:val="2B6F0D7F"/>
    <w:rsid w:val="2B844FB6"/>
    <w:rsid w:val="2B8716BD"/>
    <w:rsid w:val="2B8A1EA0"/>
    <w:rsid w:val="2B8B76FF"/>
    <w:rsid w:val="2BD5034F"/>
    <w:rsid w:val="2CDF446E"/>
    <w:rsid w:val="2D025012"/>
    <w:rsid w:val="2D4178F0"/>
    <w:rsid w:val="2DAE631A"/>
    <w:rsid w:val="2DD877E0"/>
    <w:rsid w:val="2DE616C9"/>
    <w:rsid w:val="2DFC2451"/>
    <w:rsid w:val="2E3422F8"/>
    <w:rsid w:val="2E607565"/>
    <w:rsid w:val="2E6E566D"/>
    <w:rsid w:val="2E7F188E"/>
    <w:rsid w:val="2EBC0905"/>
    <w:rsid w:val="2EC73739"/>
    <w:rsid w:val="2EFB1B0E"/>
    <w:rsid w:val="2F4D56BE"/>
    <w:rsid w:val="2F5C684F"/>
    <w:rsid w:val="2F63756E"/>
    <w:rsid w:val="2F77098D"/>
    <w:rsid w:val="2FEC3129"/>
    <w:rsid w:val="303D3985"/>
    <w:rsid w:val="306A6644"/>
    <w:rsid w:val="30717AD3"/>
    <w:rsid w:val="307610EA"/>
    <w:rsid w:val="307776D1"/>
    <w:rsid w:val="30862574"/>
    <w:rsid w:val="30B631E1"/>
    <w:rsid w:val="30BD737C"/>
    <w:rsid w:val="30DF2A6F"/>
    <w:rsid w:val="30E860A3"/>
    <w:rsid w:val="311933AA"/>
    <w:rsid w:val="316B62D0"/>
    <w:rsid w:val="317D15BB"/>
    <w:rsid w:val="318902B2"/>
    <w:rsid w:val="31C825FC"/>
    <w:rsid w:val="31D07E6C"/>
    <w:rsid w:val="32036508"/>
    <w:rsid w:val="323F65DA"/>
    <w:rsid w:val="32412074"/>
    <w:rsid w:val="324F5BF1"/>
    <w:rsid w:val="327C2FDC"/>
    <w:rsid w:val="32A43435"/>
    <w:rsid w:val="32DE0199"/>
    <w:rsid w:val="333C2963"/>
    <w:rsid w:val="3344327C"/>
    <w:rsid w:val="335B2774"/>
    <w:rsid w:val="335F1E64"/>
    <w:rsid w:val="33A4642E"/>
    <w:rsid w:val="33D4039C"/>
    <w:rsid w:val="33D47E05"/>
    <w:rsid w:val="33DE547F"/>
    <w:rsid w:val="33E505BB"/>
    <w:rsid w:val="3413677D"/>
    <w:rsid w:val="342B544B"/>
    <w:rsid w:val="345E036E"/>
    <w:rsid w:val="34C47852"/>
    <w:rsid w:val="34DE1E4F"/>
    <w:rsid w:val="34F07DB1"/>
    <w:rsid w:val="35092435"/>
    <w:rsid w:val="359009FB"/>
    <w:rsid w:val="35D354B8"/>
    <w:rsid w:val="35D4025C"/>
    <w:rsid w:val="362666BC"/>
    <w:rsid w:val="368A6B11"/>
    <w:rsid w:val="37085B1F"/>
    <w:rsid w:val="372E04CB"/>
    <w:rsid w:val="378B76CC"/>
    <w:rsid w:val="37CA01F4"/>
    <w:rsid w:val="381274A5"/>
    <w:rsid w:val="38206BF2"/>
    <w:rsid w:val="38E070F2"/>
    <w:rsid w:val="390D33AB"/>
    <w:rsid w:val="391E6D06"/>
    <w:rsid w:val="3A074847"/>
    <w:rsid w:val="3A685AA2"/>
    <w:rsid w:val="3A830B2E"/>
    <w:rsid w:val="3AA90FE6"/>
    <w:rsid w:val="3AA9318F"/>
    <w:rsid w:val="3AB62DA0"/>
    <w:rsid w:val="3ACA1B91"/>
    <w:rsid w:val="3B0D21A6"/>
    <w:rsid w:val="3B451BFD"/>
    <w:rsid w:val="3B69577B"/>
    <w:rsid w:val="3B702D85"/>
    <w:rsid w:val="3B7D3FD5"/>
    <w:rsid w:val="3B823DDF"/>
    <w:rsid w:val="3BC431AC"/>
    <w:rsid w:val="3BD827B4"/>
    <w:rsid w:val="3C237ED3"/>
    <w:rsid w:val="3C460D90"/>
    <w:rsid w:val="3C4D2D59"/>
    <w:rsid w:val="3CAA596A"/>
    <w:rsid w:val="3CAF1D22"/>
    <w:rsid w:val="3CB1587B"/>
    <w:rsid w:val="3CB735F2"/>
    <w:rsid w:val="3CCD42E3"/>
    <w:rsid w:val="3D037D04"/>
    <w:rsid w:val="3D186684"/>
    <w:rsid w:val="3D363C36"/>
    <w:rsid w:val="3D6A1B31"/>
    <w:rsid w:val="3D8B2178"/>
    <w:rsid w:val="3DB34909"/>
    <w:rsid w:val="3DD115F5"/>
    <w:rsid w:val="3DE435F0"/>
    <w:rsid w:val="3DE5122C"/>
    <w:rsid w:val="3DF37E53"/>
    <w:rsid w:val="3E3C7998"/>
    <w:rsid w:val="3EC314F9"/>
    <w:rsid w:val="3ED26DE9"/>
    <w:rsid w:val="3EED17D0"/>
    <w:rsid w:val="3F0C0304"/>
    <w:rsid w:val="3F3423F7"/>
    <w:rsid w:val="3F774839"/>
    <w:rsid w:val="3F7D3D9E"/>
    <w:rsid w:val="3F9410E8"/>
    <w:rsid w:val="3FEC147E"/>
    <w:rsid w:val="40376375"/>
    <w:rsid w:val="412732B7"/>
    <w:rsid w:val="4127791F"/>
    <w:rsid w:val="41281794"/>
    <w:rsid w:val="413C1FDF"/>
    <w:rsid w:val="41806A69"/>
    <w:rsid w:val="41B0259C"/>
    <w:rsid w:val="41BC6F1C"/>
    <w:rsid w:val="41C061C4"/>
    <w:rsid w:val="41EF2363"/>
    <w:rsid w:val="41F77860"/>
    <w:rsid w:val="424A4B98"/>
    <w:rsid w:val="42581D3A"/>
    <w:rsid w:val="42ED2EA4"/>
    <w:rsid w:val="42F6649D"/>
    <w:rsid w:val="42FE0080"/>
    <w:rsid w:val="430856A1"/>
    <w:rsid w:val="43315D2E"/>
    <w:rsid w:val="43670C99"/>
    <w:rsid w:val="43824A1C"/>
    <w:rsid w:val="43AE09CA"/>
    <w:rsid w:val="43B1743B"/>
    <w:rsid w:val="43D110E1"/>
    <w:rsid w:val="43D61CCF"/>
    <w:rsid w:val="43DF072A"/>
    <w:rsid w:val="43E873C9"/>
    <w:rsid w:val="44905B1F"/>
    <w:rsid w:val="45316885"/>
    <w:rsid w:val="45326A50"/>
    <w:rsid w:val="45334280"/>
    <w:rsid w:val="454E56C4"/>
    <w:rsid w:val="45A95EE9"/>
    <w:rsid w:val="45FB0F21"/>
    <w:rsid w:val="46167166"/>
    <w:rsid w:val="46255415"/>
    <w:rsid w:val="4636719A"/>
    <w:rsid w:val="46380A1F"/>
    <w:rsid w:val="4714591E"/>
    <w:rsid w:val="47200EE3"/>
    <w:rsid w:val="47435AC2"/>
    <w:rsid w:val="47544B78"/>
    <w:rsid w:val="47587AF7"/>
    <w:rsid w:val="47745A86"/>
    <w:rsid w:val="47BC7B25"/>
    <w:rsid w:val="47E239AC"/>
    <w:rsid w:val="480F4B73"/>
    <w:rsid w:val="487974BD"/>
    <w:rsid w:val="48895562"/>
    <w:rsid w:val="48DB38E3"/>
    <w:rsid w:val="49001B5E"/>
    <w:rsid w:val="49376DB0"/>
    <w:rsid w:val="49804BB7"/>
    <w:rsid w:val="49826DCB"/>
    <w:rsid w:val="499013E7"/>
    <w:rsid w:val="49C8088A"/>
    <w:rsid w:val="4A0F6D68"/>
    <w:rsid w:val="4A301C93"/>
    <w:rsid w:val="4A3302AB"/>
    <w:rsid w:val="4A4060F4"/>
    <w:rsid w:val="4A572A17"/>
    <w:rsid w:val="4A6F2535"/>
    <w:rsid w:val="4AC85D49"/>
    <w:rsid w:val="4AE308A9"/>
    <w:rsid w:val="4B117A90"/>
    <w:rsid w:val="4B260F2D"/>
    <w:rsid w:val="4B9A1456"/>
    <w:rsid w:val="4BA32C82"/>
    <w:rsid w:val="4BD765E4"/>
    <w:rsid w:val="4BE70627"/>
    <w:rsid w:val="4BFC24EE"/>
    <w:rsid w:val="4C09585C"/>
    <w:rsid w:val="4C0A5AE1"/>
    <w:rsid w:val="4C130AB8"/>
    <w:rsid w:val="4C5A284D"/>
    <w:rsid w:val="4C5C0673"/>
    <w:rsid w:val="4C786019"/>
    <w:rsid w:val="4C856040"/>
    <w:rsid w:val="4CB96B43"/>
    <w:rsid w:val="4CC75FCC"/>
    <w:rsid w:val="4CC87A5E"/>
    <w:rsid w:val="4CD63947"/>
    <w:rsid w:val="4CDB2104"/>
    <w:rsid w:val="4CFC49F4"/>
    <w:rsid w:val="4D073D73"/>
    <w:rsid w:val="4D1D44CA"/>
    <w:rsid w:val="4D1E27BA"/>
    <w:rsid w:val="4D226CAF"/>
    <w:rsid w:val="4D23574A"/>
    <w:rsid w:val="4D4C4DB0"/>
    <w:rsid w:val="4D7322D5"/>
    <w:rsid w:val="4DC000E1"/>
    <w:rsid w:val="4DD4222A"/>
    <w:rsid w:val="4DD7034C"/>
    <w:rsid w:val="4DE312CB"/>
    <w:rsid w:val="4DF5318E"/>
    <w:rsid w:val="4E1F4862"/>
    <w:rsid w:val="4E2E4393"/>
    <w:rsid w:val="4E535EF2"/>
    <w:rsid w:val="4EBB0839"/>
    <w:rsid w:val="4EDA4744"/>
    <w:rsid w:val="4F0170F3"/>
    <w:rsid w:val="4F08773C"/>
    <w:rsid w:val="4F31409F"/>
    <w:rsid w:val="4F512B51"/>
    <w:rsid w:val="4F5E670E"/>
    <w:rsid w:val="4F846A83"/>
    <w:rsid w:val="4F883E6C"/>
    <w:rsid w:val="50070E2C"/>
    <w:rsid w:val="501112F3"/>
    <w:rsid w:val="504B57F2"/>
    <w:rsid w:val="50850D04"/>
    <w:rsid w:val="50C5433A"/>
    <w:rsid w:val="50C62BC7"/>
    <w:rsid w:val="50D3475E"/>
    <w:rsid w:val="50F72A66"/>
    <w:rsid w:val="5123368C"/>
    <w:rsid w:val="5130747C"/>
    <w:rsid w:val="51417051"/>
    <w:rsid w:val="515C765A"/>
    <w:rsid w:val="518330CC"/>
    <w:rsid w:val="51905BB3"/>
    <w:rsid w:val="51946FCB"/>
    <w:rsid w:val="51AC406F"/>
    <w:rsid w:val="51DD796B"/>
    <w:rsid w:val="51DF373B"/>
    <w:rsid w:val="52846D9A"/>
    <w:rsid w:val="52BC4786"/>
    <w:rsid w:val="52C96FAF"/>
    <w:rsid w:val="52EF4CB5"/>
    <w:rsid w:val="52F959F0"/>
    <w:rsid w:val="5302488E"/>
    <w:rsid w:val="53136173"/>
    <w:rsid w:val="53163E96"/>
    <w:rsid w:val="534B12B7"/>
    <w:rsid w:val="539442AF"/>
    <w:rsid w:val="539A4AC7"/>
    <w:rsid w:val="53D61877"/>
    <w:rsid w:val="542631B6"/>
    <w:rsid w:val="542B3971"/>
    <w:rsid w:val="543D6020"/>
    <w:rsid w:val="5447483C"/>
    <w:rsid w:val="547A000A"/>
    <w:rsid w:val="54862A07"/>
    <w:rsid w:val="54942CAE"/>
    <w:rsid w:val="54A61722"/>
    <w:rsid w:val="54B0031A"/>
    <w:rsid w:val="54B31FAF"/>
    <w:rsid w:val="54D44008"/>
    <w:rsid w:val="54FB10D7"/>
    <w:rsid w:val="54FD46FE"/>
    <w:rsid w:val="55326D63"/>
    <w:rsid w:val="555413F3"/>
    <w:rsid w:val="555D1A10"/>
    <w:rsid w:val="55C300FC"/>
    <w:rsid w:val="564B05A7"/>
    <w:rsid w:val="56AC4A78"/>
    <w:rsid w:val="56CB4F97"/>
    <w:rsid w:val="56DB16B9"/>
    <w:rsid w:val="574D00A2"/>
    <w:rsid w:val="57547004"/>
    <w:rsid w:val="5778511F"/>
    <w:rsid w:val="577A3463"/>
    <w:rsid w:val="57AA72A2"/>
    <w:rsid w:val="57F967AD"/>
    <w:rsid w:val="58052975"/>
    <w:rsid w:val="58063909"/>
    <w:rsid w:val="580F5357"/>
    <w:rsid w:val="583D3C73"/>
    <w:rsid w:val="584D1A65"/>
    <w:rsid w:val="584F5C44"/>
    <w:rsid w:val="58E525CA"/>
    <w:rsid w:val="58EE7372"/>
    <w:rsid w:val="59227E09"/>
    <w:rsid w:val="593D045A"/>
    <w:rsid w:val="5960739E"/>
    <w:rsid w:val="59896D0A"/>
    <w:rsid w:val="59B72684"/>
    <w:rsid w:val="59F61562"/>
    <w:rsid w:val="5A7140A7"/>
    <w:rsid w:val="5A8E6A07"/>
    <w:rsid w:val="5A9579AE"/>
    <w:rsid w:val="5AA91A93"/>
    <w:rsid w:val="5AB0697E"/>
    <w:rsid w:val="5AC468CD"/>
    <w:rsid w:val="5B342B9A"/>
    <w:rsid w:val="5B5953B0"/>
    <w:rsid w:val="5B630802"/>
    <w:rsid w:val="5B807F68"/>
    <w:rsid w:val="5BA72CE5"/>
    <w:rsid w:val="5C034D53"/>
    <w:rsid w:val="5C0A43A9"/>
    <w:rsid w:val="5C647631"/>
    <w:rsid w:val="5C7B276E"/>
    <w:rsid w:val="5CC96BFE"/>
    <w:rsid w:val="5D722852"/>
    <w:rsid w:val="5DA13E95"/>
    <w:rsid w:val="5DE51034"/>
    <w:rsid w:val="5DF60588"/>
    <w:rsid w:val="5E1D6F56"/>
    <w:rsid w:val="5E361890"/>
    <w:rsid w:val="5E52187F"/>
    <w:rsid w:val="5E6567AD"/>
    <w:rsid w:val="5E6A13CD"/>
    <w:rsid w:val="5E705D15"/>
    <w:rsid w:val="5E93326C"/>
    <w:rsid w:val="5E9F1A7A"/>
    <w:rsid w:val="5EAF3818"/>
    <w:rsid w:val="5EFB4BA4"/>
    <w:rsid w:val="5F025452"/>
    <w:rsid w:val="5F127074"/>
    <w:rsid w:val="5F5F46B5"/>
    <w:rsid w:val="5FB25360"/>
    <w:rsid w:val="5FBA3CC0"/>
    <w:rsid w:val="5FBE258A"/>
    <w:rsid w:val="5FD90D61"/>
    <w:rsid w:val="60177697"/>
    <w:rsid w:val="6022031E"/>
    <w:rsid w:val="602329DB"/>
    <w:rsid w:val="607777D6"/>
    <w:rsid w:val="608F5287"/>
    <w:rsid w:val="60B50B3A"/>
    <w:rsid w:val="60BC76A1"/>
    <w:rsid w:val="60D62EB6"/>
    <w:rsid w:val="610B7637"/>
    <w:rsid w:val="612279BA"/>
    <w:rsid w:val="615F5624"/>
    <w:rsid w:val="61D215CF"/>
    <w:rsid w:val="61D73926"/>
    <w:rsid w:val="61EE4EB3"/>
    <w:rsid w:val="625C563D"/>
    <w:rsid w:val="626A1704"/>
    <w:rsid w:val="627921C2"/>
    <w:rsid w:val="62B362C8"/>
    <w:rsid w:val="62C1330E"/>
    <w:rsid w:val="63220635"/>
    <w:rsid w:val="633D0FCB"/>
    <w:rsid w:val="6342085E"/>
    <w:rsid w:val="636F415C"/>
    <w:rsid w:val="644C0547"/>
    <w:rsid w:val="6488096B"/>
    <w:rsid w:val="64917820"/>
    <w:rsid w:val="649E018F"/>
    <w:rsid w:val="64AA1CC5"/>
    <w:rsid w:val="65200BA4"/>
    <w:rsid w:val="6528341F"/>
    <w:rsid w:val="656B2909"/>
    <w:rsid w:val="658D448B"/>
    <w:rsid w:val="65970AF2"/>
    <w:rsid w:val="65A3045D"/>
    <w:rsid w:val="65C21C5B"/>
    <w:rsid w:val="65D97752"/>
    <w:rsid w:val="65E25E59"/>
    <w:rsid w:val="66307F76"/>
    <w:rsid w:val="66580EAF"/>
    <w:rsid w:val="66694D0D"/>
    <w:rsid w:val="667B4472"/>
    <w:rsid w:val="66F041A8"/>
    <w:rsid w:val="6721178A"/>
    <w:rsid w:val="6739399A"/>
    <w:rsid w:val="673B1CC5"/>
    <w:rsid w:val="673F39DE"/>
    <w:rsid w:val="674C5D22"/>
    <w:rsid w:val="67663AF8"/>
    <w:rsid w:val="67762CFD"/>
    <w:rsid w:val="677A678D"/>
    <w:rsid w:val="677F7E04"/>
    <w:rsid w:val="67B77327"/>
    <w:rsid w:val="67D30B32"/>
    <w:rsid w:val="68011379"/>
    <w:rsid w:val="68252C37"/>
    <w:rsid w:val="683338F6"/>
    <w:rsid w:val="68817BAC"/>
    <w:rsid w:val="689A5E59"/>
    <w:rsid w:val="68A94E70"/>
    <w:rsid w:val="68EE72DF"/>
    <w:rsid w:val="68FE744E"/>
    <w:rsid w:val="690B4C92"/>
    <w:rsid w:val="69485FEA"/>
    <w:rsid w:val="69677DC0"/>
    <w:rsid w:val="69937EC7"/>
    <w:rsid w:val="69D64558"/>
    <w:rsid w:val="6A042548"/>
    <w:rsid w:val="6A471EFD"/>
    <w:rsid w:val="6A505A87"/>
    <w:rsid w:val="6A755CB7"/>
    <w:rsid w:val="6AB57116"/>
    <w:rsid w:val="6B0727CF"/>
    <w:rsid w:val="6B17424A"/>
    <w:rsid w:val="6B2218FA"/>
    <w:rsid w:val="6B686C59"/>
    <w:rsid w:val="6B691672"/>
    <w:rsid w:val="6BAF2C82"/>
    <w:rsid w:val="6BC06C3D"/>
    <w:rsid w:val="6BE97F42"/>
    <w:rsid w:val="6C270A6A"/>
    <w:rsid w:val="6C5E6A51"/>
    <w:rsid w:val="6C6513C3"/>
    <w:rsid w:val="6C744268"/>
    <w:rsid w:val="6C913746"/>
    <w:rsid w:val="6CA64085"/>
    <w:rsid w:val="6CD62D03"/>
    <w:rsid w:val="6CD97FB6"/>
    <w:rsid w:val="6D0E5050"/>
    <w:rsid w:val="6D4B22B8"/>
    <w:rsid w:val="6D930013"/>
    <w:rsid w:val="6DBE0F5A"/>
    <w:rsid w:val="6DD54C21"/>
    <w:rsid w:val="6E1A1656"/>
    <w:rsid w:val="6E231DD6"/>
    <w:rsid w:val="6E274D51"/>
    <w:rsid w:val="6E5A5288"/>
    <w:rsid w:val="6E9A5523"/>
    <w:rsid w:val="6EE013EE"/>
    <w:rsid w:val="6EE079F1"/>
    <w:rsid w:val="6EE42C42"/>
    <w:rsid w:val="6F233264"/>
    <w:rsid w:val="6F7F7CB0"/>
    <w:rsid w:val="6FE0165C"/>
    <w:rsid w:val="6FE10C44"/>
    <w:rsid w:val="6FE32EFA"/>
    <w:rsid w:val="70222744"/>
    <w:rsid w:val="706D25DF"/>
    <w:rsid w:val="706D2B21"/>
    <w:rsid w:val="707B1384"/>
    <w:rsid w:val="70857A34"/>
    <w:rsid w:val="70985D3C"/>
    <w:rsid w:val="70ED4030"/>
    <w:rsid w:val="70F81685"/>
    <w:rsid w:val="71047C73"/>
    <w:rsid w:val="7107096A"/>
    <w:rsid w:val="7109004F"/>
    <w:rsid w:val="71103167"/>
    <w:rsid w:val="712E56F7"/>
    <w:rsid w:val="713175C0"/>
    <w:rsid w:val="71691ABB"/>
    <w:rsid w:val="71AE1AEA"/>
    <w:rsid w:val="71CF3B6C"/>
    <w:rsid w:val="71DB032D"/>
    <w:rsid w:val="71F80F33"/>
    <w:rsid w:val="721101F2"/>
    <w:rsid w:val="722922C6"/>
    <w:rsid w:val="7235794D"/>
    <w:rsid w:val="727176A7"/>
    <w:rsid w:val="72AC2584"/>
    <w:rsid w:val="72CB03A1"/>
    <w:rsid w:val="732D4B5D"/>
    <w:rsid w:val="73393C88"/>
    <w:rsid w:val="7362513F"/>
    <w:rsid w:val="73771D49"/>
    <w:rsid w:val="73A1354E"/>
    <w:rsid w:val="74006876"/>
    <w:rsid w:val="745B5755"/>
    <w:rsid w:val="747607E0"/>
    <w:rsid w:val="74A11E7D"/>
    <w:rsid w:val="74C4654A"/>
    <w:rsid w:val="75387844"/>
    <w:rsid w:val="753A79B9"/>
    <w:rsid w:val="75590B0A"/>
    <w:rsid w:val="7582279F"/>
    <w:rsid w:val="75843EB5"/>
    <w:rsid w:val="75BB71AF"/>
    <w:rsid w:val="75F01962"/>
    <w:rsid w:val="75F145C2"/>
    <w:rsid w:val="760E19DF"/>
    <w:rsid w:val="764E52E0"/>
    <w:rsid w:val="76557F3E"/>
    <w:rsid w:val="76676A53"/>
    <w:rsid w:val="76961750"/>
    <w:rsid w:val="76A3294D"/>
    <w:rsid w:val="76B620A1"/>
    <w:rsid w:val="76F20814"/>
    <w:rsid w:val="77462524"/>
    <w:rsid w:val="776C358D"/>
    <w:rsid w:val="779A6594"/>
    <w:rsid w:val="77A21064"/>
    <w:rsid w:val="77E34EB2"/>
    <w:rsid w:val="78071E5D"/>
    <w:rsid w:val="780B56E4"/>
    <w:rsid w:val="781564B8"/>
    <w:rsid w:val="781B2E5F"/>
    <w:rsid w:val="78224ACF"/>
    <w:rsid w:val="783E7E0B"/>
    <w:rsid w:val="78992912"/>
    <w:rsid w:val="78CD6DCC"/>
    <w:rsid w:val="78CE0BEB"/>
    <w:rsid w:val="78D07CAF"/>
    <w:rsid w:val="78DE12D7"/>
    <w:rsid w:val="79210683"/>
    <w:rsid w:val="799C3465"/>
    <w:rsid w:val="79B14EC4"/>
    <w:rsid w:val="7A2A6B4A"/>
    <w:rsid w:val="7A304F8E"/>
    <w:rsid w:val="7A3507F6"/>
    <w:rsid w:val="7A681070"/>
    <w:rsid w:val="7A860C7C"/>
    <w:rsid w:val="7AB879FE"/>
    <w:rsid w:val="7AC34054"/>
    <w:rsid w:val="7AF64429"/>
    <w:rsid w:val="7B072683"/>
    <w:rsid w:val="7B3264DD"/>
    <w:rsid w:val="7B81188A"/>
    <w:rsid w:val="7B9E2902"/>
    <w:rsid w:val="7BC854E2"/>
    <w:rsid w:val="7BE67FFA"/>
    <w:rsid w:val="7C0562EC"/>
    <w:rsid w:val="7C067A45"/>
    <w:rsid w:val="7C27683F"/>
    <w:rsid w:val="7C3A6597"/>
    <w:rsid w:val="7CA91A64"/>
    <w:rsid w:val="7CB14B4D"/>
    <w:rsid w:val="7CB43C54"/>
    <w:rsid w:val="7CF26969"/>
    <w:rsid w:val="7D25523C"/>
    <w:rsid w:val="7D2A660C"/>
    <w:rsid w:val="7D6C2781"/>
    <w:rsid w:val="7DB23041"/>
    <w:rsid w:val="7DFE338E"/>
    <w:rsid w:val="7E253FEC"/>
    <w:rsid w:val="7E5F7809"/>
    <w:rsid w:val="7ED56C53"/>
    <w:rsid w:val="7EEA1BAF"/>
    <w:rsid w:val="7F5460D4"/>
    <w:rsid w:val="7F552892"/>
    <w:rsid w:val="7FC44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6"/>
    <w:qFormat/>
    <w:uiPriority w:val="9"/>
    <w:pPr>
      <w:keepNext/>
      <w:keepLines/>
      <w:jc w:val="center"/>
      <w:outlineLvl w:val="0"/>
    </w:pPr>
    <w:rPr>
      <w:b/>
      <w:bCs/>
      <w:kern w:val="44"/>
      <w:sz w:val="36"/>
      <w:szCs w:val="44"/>
    </w:rPr>
  </w:style>
  <w:style w:type="paragraph" w:styleId="3">
    <w:name w:val="heading 2"/>
    <w:basedOn w:val="2"/>
    <w:next w:val="4"/>
    <w:link w:val="47"/>
    <w:qFormat/>
    <w:uiPriority w:val="9"/>
    <w:pPr>
      <w:keepNext/>
      <w:keepLines/>
      <w:spacing w:line="360" w:lineRule="auto"/>
      <w:outlineLvl w:val="1"/>
    </w:pPr>
    <w:rPr>
      <w:rFonts w:ascii="Arial" w:hAnsi="Arial" w:eastAsia="宋体" w:cs="Times New Roman"/>
      <w:sz w:val="24"/>
      <w:szCs w:val="32"/>
    </w:rPr>
  </w:style>
  <w:style w:type="paragraph" w:styleId="6">
    <w:name w:val="heading 3"/>
    <w:basedOn w:val="1"/>
    <w:next w:val="1"/>
    <w:link w:val="48"/>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5"/>
    <w:link w:val="80"/>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customStyle="1" w:styleId="5">
    <w:name w:val="Default"/>
    <w:link w:val="73"/>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69"/>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0"/>
    <w:qFormat/>
    <w:uiPriority w:val="0"/>
    <w:pPr>
      <w:jc w:val="left"/>
    </w:pPr>
  </w:style>
  <w:style w:type="paragraph" w:styleId="13">
    <w:name w:val="Body Text Indent"/>
    <w:basedOn w:val="1"/>
    <w:link w:val="77"/>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toc 3"/>
    <w:basedOn w:val="1"/>
    <w:next w:val="1"/>
    <w:qFormat/>
    <w:uiPriority w:val="39"/>
    <w:pPr>
      <w:ind w:left="480"/>
      <w:jc w:val="left"/>
    </w:pPr>
    <w:rPr>
      <w:rFonts w:ascii="Calibri" w:hAnsi="Calibri" w:eastAsia="宋体" w:cs="Times New Roman"/>
      <w:i/>
      <w:iCs/>
      <w:sz w:val="20"/>
      <w:szCs w:val="20"/>
    </w:rPr>
  </w:style>
  <w:style w:type="paragraph" w:styleId="17">
    <w:name w:val="Plain Text"/>
    <w:basedOn w:val="1"/>
    <w:link w:val="71"/>
    <w:qFormat/>
    <w:uiPriority w:val="0"/>
    <w:rPr>
      <w:rFonts w:ascii="宋体" w:hAnsi="Courier New"/>
    </w:rPr>
  </w:style>
  <w:style w:type="paragraph" w:styleId="18">
    <w:name w:val="toc 8"/>
    <w:basedOn w:val="1"/>
    <w:next w:val="1"/>
    <w:qFormat/>
    <w:uiPriority w:val="39"/>
    <w:pPr>
      <w:ind w:left="1680"/>
      <w:jc w:val="left"/>
    </w:pPr>
    <w:rPr>
      <w:rFonts w:ascii="Calibri" w:hAnsi="Calibri" w:eastAsia="宋体" w:cs="Times New Roman"/>
      <w:sz w:val="18"/>
      <w:szCs w:val="18"/>
    </w:rPr>
  </w:style>
  <w:style w:type="paragraph" w:styleId="19">
    <w:name w:val="Date"/>
    <w:basedOn w:val="1"/>
    <w:next w:val="1"/>
    <w:link w:val="62"/>
    <w:qFormat/>
    <w:uiPriority w:val="0"/>
    <w:pPr>
      <w:ind w:left="100" w:leftChars="2500"/>
    </w:pPr>
    <w:rPr>
      <w:sz w:val="24"/>
    </w:rPr>
  </w:style>
  <w:style w:type="paragraph" w:styleId="20">
    <w:name w:val="Body Text Indent 2"/>
    <w:basedOn w:val="1"/>
    <w:link w:val="50"/>
    <w:qFormat/>
    <w:uiPriority w:val="0"/>
    <w:pPr>
      <w:spacing w:after="120" w:line="480" w:lineRule="auto"/>
      <w:ind w:left="420" w:leftChars="200"/>
    </w:pPr>
  </w:style>
  <w:style w:type="paragraph" w:styleId="21">
    <w:name w:val="Balloon Text"/>
    <w:basedOn w:val="1"/>
    <w:link w:val="66"/>
    <w:qFormat/>
    <w:uiPriority w:val="0"/>
    <w:rPr>
      <w:sz w:val="18"/>
    </w:rPr>
  </w:style>
  <w:style w:type="paragraph" w:styleId="22">
    <w:name w:val="footer"/>
    <w:basedOn w:val="1"/>
    <w:link w:val="72"/>
    <w:qFormat/>
    <w:uiPriority w:val="99"/>
    <w:pPr>
      <w:tabs>
        <w:tab w:val="center" w:pos="4153"/>
        <w:tab w:val="right" w:pos="8306"/>
      </w:tabs>
      <w:snapToGrid w:val="0"/>
      <w:jc w:val="left"/>
    </w:pPr>
    <w:rPr>
      <w:sz w:val="18"/>
    </w:rPr>
  </w:style>
  <w:style w:type="paragraph" w:styleId="23">
    <w:name w:val="header"/>
    <w:basedOn w:val="1"/>
    <w:link w:val="58"/>
    <w:qFormat/>
    <w:uiPriority w:val="0"/>
    <w:pPr>
      <w:pBdr>
        <w:bottom w:val="single" w:color="auto" w:sz="6" w:space="1"/>
      </w:pBdr>
      <w:tabs>
        <w:tab w:val="center" w:pos="4153"/>
        <w:tab w:val="right" w:pos="8306"/>
      </w:tabs>
      <w:snapToGrid w:val="0"/>
      <w:jc w:val="center"/>
    </w:pPr>
    <w:rPr>
      <w:sz w:val="18"/>
    </w:rPr>
  </w:style>
  <w:style w:type="paragraph" w:styleId="24">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qFormat/>
    <w:uiPriority w:val="39"/>
    <w:pPr>
      <w:ind w:left="720"/>
      <w:jc w:val="left"/>
    </w:pPr>
    <w:rPr>
      <w:rFonts w:ascii="Calibri" w:hAnsi="Calibri" w:eastAsia="宋体" w:cs="Times New Roman"/>
      <w:sz w:val="18"/>
      <w:szCs w:val="18"/>
    </w:rPr>
  </w:style>
  <w:style w:type="paragraph" w:styleId="26">
    <w:name w:val="List"/>
    <w:basedOn w:val="1"/>
    <w:qFormat/>
    <w:uiPriority w:val="99"/>
    <w:pPr>
      <w:ind w:left="420" w:hanging="420"/>
    </w:pPr>
    <w:rPr>
      <w:rFonts w:ascii="Times New Roman" w:hAnsi="Times New Roman" w:eastAsia="宋体" w:cs="Times New Roman"/>
      <w:szCs w:val="20"/>
    </w:rPr>
  </w:style>
  <w:style w:type="paragraph" w:styleId="27">
    <w:name w:val="toc 6"/>
    <w:basedOn w:val="1"/>
    <w:next w:val="1"/>
    <w:qFormat/>
    <w:uiPriority w:val="39"/>
    <w:pPr>
      <w:ind w:left="1200"/>
      <w:jc w:val="left"/>
    </w:pPr>
    <w:rPr>
      <w:rFonts w:ascii="Calibri" w:hAnsi="Calibri" w:eastAsia="宋体" w:cs="Times New Roman"/>
      <w:sz w:val="18"/>
      <w:szCs w:val="18"/>
    </w:rPr>
  </w:style>
  <w:style w:type="paragraph" w:styleId="28">
    <w:name w:val="Body Text Indent 3"/>
    <w:basedOn w:val="1"/>
    <w:link w:val="52"/>
    <w:qFormat/>
    <w:uiPriority w:val="0"/>
    <w:pPr>
      <w:spacing w:after="120"/>
      <w:ind w:left="420" w:leftChars="200"/>
    </w:pPr>
    <w:rPr>
      <w:sz w:val="16"/>
    </w:rPr>
  </w:style>
  <w:style w:type="paragraph" w:styleId="29">
    <w:name w:val="toc 2"/>
    <w:basedOn w:val="1"/>
    <w:next w:val="1"/>
    <w:unhideWhenUsed/>
    <w:qFormat/>
    <w:uiPriority w:val="39"/>
    <w:pPr>
      <w:ind w:left="420" w:leftChars="200"/>
    </w:pPr>
    <w:rPr>
      <w:rFonts w:ascii="Calibri" w:hAnsi="Calibri" w:eastAsia="宋体" w:cs="Times New Roman"/>
      <w:szCs w:val="20"/>
    </w:rPr>
  </w:style>
  <w:style w:type="paragraph" w:styleId="30">
    <w:name w:val="toc 9"/>
    <w:basedOn w:val="1"/>
    <w:next w:val="1"/>
    <w:qFormat/>
    <w:uiPriority w:val="39"/>
    <w:pPr>
      <w:ind w:left="1920"/>
      <w:jc w:val="left"/>
    </w:pPr>
    <w:rPr>
      <w:rFonts w:ascii="Calibri" w:hAnsi="Calibri" w:eastAsia="宋体" w:cs="Times New Roman"/>
      <w:sz w:val="18"/>
      <w:szCs w:val="18"/>
    </w:r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1"/>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2"/>
    <w:next w:val="12"/>
    <w:link w:val="51"/>
    <w:qFormat/>
    <w:uiPriority w:val="0"/>
    <w:rPr>
      <w:b/>
    </w:rPr>
  </w:style>
  <w:style w:type="paragraph" w:styleId="35">
    <w:name w:val="Body Text First Indent 2"/>
    <w:basedOn w:val="13"/>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Acronym"/>
    <w:basedOn w:val="38"/>
    <w:qFormat/>
    <w:uiPriority w:val="99"/>
  </w:style>
  <w:style w:type="character" w:styleId="44">
    <w:name w:val="Hyperlink"/>
    <w:basedOn w:val="38"/>
    <w:qFormat/>
    <w:uiPriority w:val="99"/>
    <w:rPr>
      <w:color w:val="1F4F88"/>
      <w:u w:val="none"/>
    </w:rPr>
  </w:style>
  <w:style w:type="character" w:styleId="45">
    <w:name w:val="annotation reference"/>
    <w:basedOn w:val="38"/>
    <w:qFormat/>
    <w:uiPriority w:val="99"/>
    <w:rPr>
      <w:sz w:val="21"/>
    </w:rPr>
  </w:style>
  <w:style w:type="character" w:customStyle="1" w:styleId="46">
    <w:name w:val="标题 1 字符"/>
    <w:basedOn w:val="38"/>
    <w:link w:val="2"/>
    <w:qFormat/>
    <w:uiPriority w:val="9"/>
    <w:rPr>
      <w:rFonts w:ascii="Calibri" w:hAnsi="Calibri" w:eastAsia="宋体" w:cs="Times New Roman"/>
      <w:b/>
      <w:bCs/>
      <w:kern w:val="44"/>
      <w:sz w:val="36"/>
      <w:szCs w:val="44"/>
    </w:rPr>
  </w:style>
  <w:style w:type="character" w:customStyle="1" w:styleId="47">
    <w:name w:val="标题 2 字符"/>
    <w:basedOn w:val="38"/>
    <w:link w:val="3"/>
    <w:qFormat/>
    <w:uiPriority w:val="9"/>
    <w:rPr>
      <w:rFonts w:ascii="Arial" w:hAnsi="Arial" w:eastAsia="宋体" w:cs="Times New Roman"/>
      <w:b/>
      <w:bCs/>
      <w:sz w:val="24"/>
      <w:szCs w:val="32"/>
    </w:rPr>
  </w:style>
  <w:style w:type="character" w:customStyle="1" w:styleId="48">
    <w:name w:val="标题 3 字符"/>
    <w:basedOn w:val="38"/>
    <w:link w:val="6"/>
    <w:semiHidden/>
    <w:qFormat/>
    <w:uiPriority w:val="9"/>
    <w:rPr>
      <w:rFonts w:ascii="Calibri" w:hAnsi="Calibri" w:eastAsia="宋体" w:cs="Times New Roman"/>
      <w:b/>
      <w:bCs/>
      <w:sz w:val="32"/>
      <w:szCs w:val="32"/>
    </w:rPr>
  </w:style>
  <w:style w:type="character" w:customStyle="1" w:styleId="49">
    <w:name w:val="Char Char3"/>
    <w:qFormat/>
    <w:uiPriority w:val="0"/>
    <w:rPr>
      <w:rFonts w:ascii="宋体" w:hAnsi="Courier New" w:eastAsia="宋体"/>
      <w:kern w:val="2"/>
      <w:sz w:val="21"/>
      <w:lang w:val="en-US" w:eastAsia="zh-CN"/>
    </w:rPr>
  </w:style>
  <w:style w:type="character" w:customStyle="1" w:styleId="50">
    <w:name w:val="正文文本缩进 2 字符"/>
    <w:link w:val="20"/>
    <w:qFormat/>
    <w:locked/>
    <w:uiPriority w:val="0"/>
  </w:style>
  <w:style w:type="character" w:customStyle="1" w:styleId="51">
    <w:name w:val="批注主题 字符"/>
    <w:link w:val="34"/>
    <w:qFormat/>
    <w:locked/>
    <w:uiPriority w:val="0"/>
    <w:rPr>
      <w:b/>
    </w:rPr>
  </w:style>
  <w:style w:type="character" w:customStyle="1" w:styleId="52">
    <w:name w:val="正文文本缩进 3 字符"/>
    <w:link w:val="28"/>
    <w:qFormat/>
    <w:locked/>
    <w:uiPriority w:val="0"/>
    <w:rPr>
      <w:sz w:val="16"/>
    </w:rPr>
  </w:style>
  <w:style w:type="character" w:customStyle="1" w:styleId="53">
    <w:name w:val="纯文本 Char"/>
    <w:qFormat/>
    <w:uiPriority w:val="0"/>
    <w:rPr>
      <w:rFonts w:ascii="宋体" w:hAnsi="Courier New" w:eastAsia="宋体"/>
      <w:kern w:val="2"/>
      <w:sz w:val="21"/>
      <w:lang w:val="en-US" w:eastAsia="zh-CN"/>
    </w:rPr>
  </w:style>
  <w:style w:type="character" w:customStyle="1" w:styleId="54">
    <w:name w:val="Char Char2"/>
    <w:qFormat/>
    <w:uiPriority w:val="0"/>
    <w:rPr>
      <w:rFonts w:ascii="宋体" w:hAnsi="Courier New"/>
      <w:kern w:val="2"/>
      <w:sz w:val="21"/>
    </w:rPr>
  </w:style>
  <w:style w:type="character" w:customStyle="1" w:styleId="55">
    <w:name w:val="列出段落 字符"/>
    <w:link w:val="56"/>
    <w:qFormat/>
    <w:locked/>
    <w:uiPriority w:val="34"/>
    <w:rPr>
      <w:sz w:val="22"/>
    </w:rPr>
  </w:style>
  <w:style w:type="paragraph" w:customStyle="1" w:styleId="56">
    <w:name w:val="列出段落1"/>
    <w:basedOn w:val="1"/>
    <w:link w:val="55"/>
    <w:qFormat/>
    <w:uiPriority w:val="34"/>
    <w:pPr>
      <w:ind w:firstLine="420" w:firstLineChars="200"/>
    </w:pPr>
    <w:rPr>
      <w:sz w:val="22"/>
    </w:rPr>
  </w:style>
  <w:style w:type="character" w:customStyle="1" w:styleId="57">
    <w:name w:val="apple-converted-space"/>
    <w:basedOn w:val="38"/>
    <w:qFormat/>
    <w:uiPriority w:val="0"/>
    <w:rPr>
      <w:rFonts w:cs="Times New Roman"/>
    </w:rPr>
  </w:style>
  <w:style w:type="character" w:customStyle="1" w:styleId="58">
    <w:name w:val="页眉 字符"/>
    <w:link w:val="23"/>
    <w:qFormat/>
    <w:locked/>
    <w:uiPriority w:val="0"/>
    <w:rPr>
      <w:sz w:val="18"/>
    </w:rPr>
  </w:style>
  <w:style w:type="character" w:customStyle="1" w:styleId="59">
    <w:name w:val="BODY TEXT Char"/>
    <w:qFormat/>
    <w:locked/>
    <w:uiPriority w:val="0"/>
    <w:rPr>
      <w:rFonts w:eastAsia="新宋体"/>
      <w:kern w:val="2"/>
      <w:sz w:val="21"/>
    </w:rPr>
  </w:style>
  <w:style w:type="character" w:customStyle="1" w:styleId="60">
    <w:name w:val="批注文字 字符"/>
    <w:link w:val="12"/>
    <w:qFormat/>
    <w:locked/>
    <w:uiPriority w:val="0"/>
  </w:style>
  <w:style w:type="character" w:customStyle="1" w:styleId="61">
    <w:name w:val="标题 字符"/>
    <w:link w:val="33"/>
    <w:qFormat/>
    <w:locked/>
    <w:uiPriority w:val="0"/>
    <w:rPr>
      <w:rFonts w:ascii="Arial" w:hAnsi="Arial"/>
      <w:b/>
      <w:sz w:val="32"/>
    </w:rPr>
  </w:style>
  <w:style w:type="character" w:customStyle="1" w:styleId="62">
    <w:name w:val="日期 字符"/>
    <w:link w:val="19"/>
    <w:qFormat/>
    <w:locked/>
    <w:uiPriority w:val="0"/>
    <w:rPr>
      <w:sz w:val="24"/>
    </w:rPr>
  </w:style>
  <w:style w:type="character" w:customStyle="1" w:styleId="63">
    <w:name w:val="ATXT_Bullets Zchn"/>
    <w:link w:val="64"/>
    <w:qFormat/>
    <w:locked/>
    <w:uiPriority w:val="99"/>
    <w:rPr>
      <w:rFonts w:ascii="Arial" w:hAnsi="Arial"/>
      <w:lang w:val="de-AT" w:eastAsia="zh-CN"/>
    </w:rPr>
  </w:style>
  <w:style w:type="paragraph" w:customStyle="1" w:styleId="64">
    <w:name w:val="ATXT_Bullets"/>
    <w:link w:val="63"/>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5">
    <w:name w:val="Char Char5"/>
    <w:qFormat/>
    <w:uiPriority w:val="0"/>
    <w:rPr>
      <w:rFonts w:ascii="宋体" w:hAnsi="Courier New" w:eastAsia="宋体"/>
      <w:kern w:val="2"/>
      <w:sz w:val="21"/>
      <w:lang w:val="en-US" w:eastAsia="zh-CN"/>
    </w:rPr>
  </w:style>
  <w:style w:type="character" w:customStyle="1" w:styleId="66">
    <w:name w:val="批注框文本 字符"/>
    <w:link w:val="21"/>
    <w:qFormat/>
    <w:locked/>
    <w:uiPriority w:val="0"/>
    <w:rPr>
      <w:sz w:val="18"/>
    </w:rPr>
  </w:style>
  <w:style w:type="character" w:customStyle="1" w:styleId="67">
    <w:name w:val="批注文字 Char"/>
    <w:qFormat/>
    <w:uiPriority w:val="0"/>
    <w:rPr>
      <w:kern w:val="2"/>
    </w:rPr>
  </w:style>
  <w:style w:type="character" w:customStyle="1" w:styleId="68">
    <w:name w:val="批注主题 Char"/>
    <w:qFormat/>
    <w:uiPriority w:val="0"/>
    <w:rPr>
      <w:b/>
      <w:kern w:val="2"/>
    </w:rPr>
  </w:style>
  <w:style w:type="character" w:customStyle="1" w:styleId="69">
    <w:name w:val="文档结构图 字符"/>
    <w:link w:val="10"/>
    <w:qFormat/>
    <w:locked/>
    <w:uiPriority w:val="0"/>
    <w:rPr>
      <w:sz w:val="24"/>
      <w:shd w:val="clear" w:color="auto" w:fill="000080"/>
    </w:rPr>
  </w:style>
  <w:style w:type="character" w:customStyle="1" w:styleId="70">
    <w:name w:val="HTML Markup"/>
    <w:qFormat/>
    <w:uiPriority w:val="0"/>
    <w:rPr>
      <w:vanish/>
      <w:color w:val="FF0000"/>
    </w:rPr>
  </w:style>
  <w:style w:type="character" w:customStyle="1" w:styleId="71">
    <w:name w:val="纯文本 字符"/>
    <w:link w:val="17"/>
    <w:qFormat/>
    <w:locked/>
    <w:uiPriority w:val="0"/>
    <w:rPr>
      <w:rFonts w:ascii="宋体" w:hAnsi="Courier New"/>
    </w:rPr>
  </w:style>
  <w:style w:type="character" w:customStyle="1" w:styleId="72">
    <w:name w:val="页脚 字符"/>
    <w:link w:val="22"/>
    <w:qFormat/>
    <w:locked/>
    <w:uiPriority w:val="99"/>
    <w:rPr>
      <w:sz w:val="18"/>
    </w:rPr>
  </w:style>
  <w:style w:type="character" w:customStyle="1" w:styleId="73">
    <w:name w:val="Default Char"/>
    <w:link w:val="5"/>
    <w:qFormat/>
    <w:locked/>
    <w:uiPriority w:val="0"/>
    <w:rPr>
      <w:rFonts w:ascii="仿宋_GB2312" w:eastAsia="仿宋_GB2312"/>
      <w:color w:val="000000"/>
      <w:sz w:val="24"/>
    </w:rPr>
  </w:style>
  <w:style w:type="character" w:customStyle="1" w:styleId="74">
    <w:name w:val="页脚 Char"/>
    <w:qFormat/>
    <w:locked/>
    <w:uiPriority w:val="99"/>
    <w:rPr>
      <w:sz w:val="18"/>
    </w:rPr>
  </w:style>
  <w:style w:type="character" w:customStyle="1" w:styleId="75">
    <w:name w:val="批注文字 字符1"/>
    <w:basedOn w:val="38"/>
    <w:semiHidden/>
    <w:qFormat/>
    <w:uiPriority w:val="99"/>
  </w:style>
  <w:style w:type="character" w:customStyle="1" w:styleId="76">
    <w:name w:val="批注文字 字符11"/>
    <w:basedOn w:val="38"/>
    <w:qFormat/>
    <w:uiPriority w:val="0"/>
    <w:rPr>
      <w:rFonts w:cs="Times New Roman"/>
      <w:kern w:val="2"/>
      <w:sz w:val="21"/>
    </w:rPr>
  </w:style>
  <w:style w:type="character" w:customStyle="1" w:styleId="77">
    <w:name w:val="正文文本缩进 字符"/>
    <w:basedOn w:val="38"/>
    <w:link w:val="13"/>
    <w:qFormat/>
    <w:uiPriority w:val="99"/>
    <w:rPr>
      <w:rFonts w:ascii="Calibri" w:hAnsi="Calibri" w:eastAsia="宋体" w:cs="Times New Roman"/>
      <w:szCs w:val="20"/>
    </w:rPr>
  </w:style>
  <w:style w:type="character" w:customStyle="1" w:styleId="78">
    <w:name w:val="文档结构图 字符1"/>
    <w:basedOn w:val="38"/>
    <w:semiHidden/>
    <w:qFormat/>
    <w:uiPriority w:val="99"/>
    <w:rPr>
      <w:rFonts w:ascii="Microsoft YaHei UI" w:eastAsia="Microsoft YaHei UI"/>
      <w:sz w:val="18"/>
      <w:szCs w:val="18"/>
    </w:rPr>
  </w:style>
  <w:style w:type="character" w:customStyle="1" w:styleId="79">
    <w:name w:val="文档结构图 字符11"/>
    <w:basedOn w:val="38"/>
    <w:semiHidden/>
    <w:qFormat/>
    <w:uiPriority w:val="99"/>
    <w:rPr>
      <w:rFonts w:ascii="Microsoft YaHei UI" w:eastAsia="Microsoft YaHei UI" w:cs="Times New Roman"/>
      <w:kern w:val="2"/>
      <w:sz w:val="18"/>
      <w:szCs w:val="18"/>
    </w:rPr>
  </w:style>
  <w:style w:type="character" w:customStyle="1" w:styleId="80">
    <w:name w:val="正文文本 字符"/>
    <w:basedOn w:val="38"/>
    <w:link w:val="4"/>
    <w:qFormat/>
    <w:uiPriority w:val="99"/>
    <w:rPr>
      <w:rFonts w:ascii="Calibri" w:hAnsi="Calibri" w:eastAsia="新宋体" w:cs="Times New Roman"/>
      <w:szCs w:val="21"/>
    </w:rPr>
  </w:style>
  <w:style w:type="character" w:customStyle="1" w:styleId="81">
    <w:name w:val="纯文本 字符1"/>
    <w:basedOn w:val="38"/>
    <w:semiHidden/>
    <w:qFormat/>
    <w:uiPriority w:val="99"/>
    <w:rPr>
      <w:rFonts w:hAnsi="Courier New" w:cs="Courier New" w:asciiTheme="minorEastAsia"/>
    </w:rPr>
  </w:style>
  <w:style w:type="character" w:customStyle="1" w:styleId="82">
    <w:name w:val="纯文本 字符11"/>
    <w:basedOn w:val="38"/>
    <w:qFormat/>
    <w:uiPriority w:val="0"/>
    <w:rPr>
      <w:rFonts w:hAnsi="Courier New" w:cs="Courier New" w:asciiTheme="minorEastAsia" w:eastAsiaTheme="minorEastAsia"/>
      <w:kern w:val="2"/>
      <w:sz w:val="21"/>
    </w:rPr>
  </w:style>
  <w:style w:type="character" w:customStyle="1" w:styleId="83">
    <w:name w:val="页眉 字符1"/>
    <w:basedOn w:val="38"/>
    <w:semiHidden/>
    <w:qFormat/>
    <w:uiPriority w:val="99"/>
    <w:rPr>
      <w:sz w:val="18"/>
      <w:szCs w:val="18"/>
    </w:rPr>
  </w:style>
  <w:style w:type="character" w:customStyle="1" w:styleId="84">
    <w:name w:val="页眉 字符11"/>
    <w:basedOn w:val="38"/>
    <w:semiHidden/>
    <w:qFormat/>
    <w:uiPriority w:val="99"/>
    <w:rPr>
      <w:rFonts w:cs="Times New Roman"/>
      <w:kern w:val="2"/>
      <w:sz w:val="18"/>
      <w:szCs w:val="18"/>
    </w:rPr>
  </w:style>
  <w:style w:type="character" w:customStyle="1" w:styleId="85">
    <w:name w:val="批注框文本 字符1"/>
    <w:basedOn w:val="38"/>
    <w:semiHidden/>
    <w:qFormat/>
    <w:uiPriority w:val="99"/>
    <w:rPr>
      <w:sz w:val="18"/>
      <w:szCs w:val="18"/>
    </w:rPr>
  </w:style>
  <w:style w:type="character" w:customStyle="1" w:styleId="86">
    <w:name w:val="批注框文本 字符11"/>
    <w:basedOn w:val="38"/>
    <w:semiHidden/>
    <w:qFormat/>
    <w:uiPriority w:val="99"/>
    <w:rPr>
      <w:rFonts w:cs="Times New Roman"/>
      <w:kern w:val="2"/>
      <w:sz w:val="18"/>
      <w:szCs w:val="18"/>
    </w:rPr>
  </w:style>
  <w:style w:type="character" w:customStyle="1" w:styleId="87">
    <w:name w:val="日期 字符1"/>
    <w:basedOn w:val="38"/>
    <w:semiHidden/>
    <w:qFormat/>
    <w:uiPriority w:val="99"/>
  </w:style>
  <w:style w:type="character" w:customStyle="1" w:styleId="88">
    <w:name w:val="日期 字符11"/>
    <w:basedOn w:val="38"/>
    <w:semiHidden/>
    <w:qFormat/>
    <w:uiPriority w:val="99"/>
    <w:rPr>
      <w:rFonts w:cs="Times New Roman"/>
      <w:kern w:val="2"/>
      <w:sz w:val="21"/>
    </w:rPr>
  </w:style>
  <w:style w:type="character" w:customStyle="1" w:styleId="89">
    <w:name w:val="页脚 字符1"/>
    <w:basedOn w:val="38"/>
    <w:semiHidden/>
    <w:qFormat/>
    <w:uiPriority w:val="99"/>
    <w:rPr>
      <w:sz w:val="18"/>
      <w:szCs w:val="18"/>
    </w:rPr>
  </w:style>
  <w:style w:type="character" w:customStyle="1" w:styleId="90">
    <w:name w:val="页脚 字符11"/>
    <w:basedOn w:val="38"/>
    <w:semiHidden/>
    <w:qFormat/>
    <w:uiPriority w:val="99"/>
    <w:rPr>
      <w:rFonts w:cs="Times New Roman"/>
      <w:kern w:val="2"/>
      <w:sz w:val="18"/>
      <w:szCs w:val="18"/>
    </w:rPr>
  </w:style>
  <w:style w:type="character" w:customStyle="1" w:styleId="91">
    <w:name w:val="正文文本缩进 2 字符1"/>
    <w:basedOn w:val="38"/>
    <w:semiHidden/>
    <w:qFormat/>
    <w:uiPriority w:val="99"/>
  </w:style>
  <w:style w:type="character" w:customStyle="1" w:styleId="92">
    <w:name w:val="正文文本缩进 2 字符11"/>
    <w:basedOn w:val="38"/>
    <w:semiHidden/>
    <w:qFormat/>
    <w:uiPriority w:val="99"/>
    <w:rPr>
      <w:rFonts w:cs="Times New Roman"/>
      <w:kern w:val="2"/>
      <w:sz w:val="21"/>
    </w:rPr>
  </w:style>
  <w:style w:type="character" w:customStyle="1" w:styleId="93">
    <w:name w:val="正文文本缩进 3 字符1"/>
    <w:basedOn w:val="38"/>
    <w:semiHidden/>
    <w:qFormat/>
    <w:uiPriority w:val="99"/>
    <w:rPr>
      <w:sz w:val="16"/>
      <w:szCs w:val="16"/>
    </w:rPr>
  </w:style>
  <w:style w:type="character" w:customStyle="1" w:styleId="94">
    <w:name w:val="正文文本缩进 3 字符11"/>
    <w:basedOn w:val="38"/>
    <w:semiHidden/>
    <w:qFormat/>
    <w:uiPriority w:val="99"/>
    <w:rPr>
      <w:rFonts w:cs="Times New Roman"/>
      <w:kern w:val="2"/>
      <w:sz w:val="16"/>
      <w:szCs w:val="16"/>
    </w:rPr>
  </w:style>
  <w:style w:type="character" w:customStyle="1" w:styleId="95">
    <w:name w:val="批注主题 字符1"/>
    <w:basedOn w:val="75"/>
    <w:semiHidden/>
    <w:qFormat/>
    <w:uiPriority w:val="99"/>
    <w:rPr>
      <w:b/>
      <w:bCs/>
    </w:rPr>
  </w:style>
  <w:style w:type="character" w:customStyle="1" w:styleId="96">
    <w:name w:val="批注主题 字符11"/>
    <w:basedOn w:val="76"/>
    <w:semiHidden/>
    <w:qFormat/>
    <w:uiPriority w:val="99"/>
    <w:rPr>
      <w:rFonts w:cs="Times New Roman"/>
      <w:b/>
      <w:bCs/>
      <w:kern w:val="2"/>
      <w:sz w:val="21"/>
    </w:rPr>
  </w:style>
  <w:style w:type="character" w:customStyle="1" w:styleId="97">
    <w:name w:val="标题 字符1"/>
    <w:basedOn w:val="38"/>
    <w:qFormat/>
    <w:uiPriority w:val="10"/>
    <w:rPr>
      <w:rFonts w:asciiTheme="majorHAnsi" w:hAnsiTheme="majorHAnsi" w:eastAsiaTheme="majorEastAsia" w:cstheme="majorBidi"/>
      <w:b/>
      <w:bCs/>
      <w:sz w:val="32"/>
      <w:szCs w:val="32"/>
    </w:rPr>
  </w:style>
  <w:style w:type="character" w:customStyle="1" w:styleId="98">
    <w:name w:val="标题 字符11"/>
    <w:basedOn w:val="38"/>
    <w:qFormat/>
    <w:uiPriority w:val="10"/>
    <w:rPr>
      <w:rFonts w:cs="Times New Roman" w:asciiTheme="majorHAnsi" w:hAnsiTheme="majorHAnsi" w:eastAsiaTheme="majorEastAsia"/>
      <w:b/>
      <w:bCs/>
      <w:kern w:val="2"/>
      <w:sz w:val="32"/>
      <w:szCs w:val="32"/>
    </w:rPr>
  </w:style>
  <w:style w:type="paragraph" w:customStyle="1" w:styleId="99">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0">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1">
    <w:name w:val="二级列表 Char"/>
    <w:basedOn w:val="1"/>
    <w:qFormat/>
    <w:uiPriority w:val="0"/>
    <w:rPr>
      <w:rFonts w:ascii="Calibri" w:hAnsi="Calibri" w:eastAsia="宋体" w:cs="Times New Roman"/>
      <w:szCs w:val="20"/>
    </w:rPr>
  </w:style>
  <w:style w:type="paragraph" w:customStyle="1" w:styleId="102">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3">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4">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5">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6">
    <w:name w:val="Char Char Char Char Char Char Char"/>
    <w:basedOn w:val="1"/>
    <w:qFormat/>
    <w:uiPriority w:val="0"/>
    <w:rPr>
      <w:rFonts w:ascii="Verdana" w:hAnsi="Verdana" w:eastAsia="宋体" w:cs="Times New Roman"/>
      <w:kern w:val="0"/>
      <w:sz w:val="20"/>
      <w:szCs w:val="20"/>
      <w:lang w:eastAsia="en-US"/>
    </w:rPr>
  </w:style>
  <w:style w:type="paragraph" w:customStyle="1" w:styleId="107">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8">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0">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1">
    <w:name w:val="标书正文格式"/>
    <w:basedOn w:val="17"/>
    <w:link w:val="113"/>
    <w:qFormat/>
    <w:uiPriority w:val="0"/>
    <w:pPr>
      <w:spacing w:line="360" w:lineRule="auto"/>
      <w:ind w:firstLine="200" w:firstLineChars="200"/>
    </w:pPr>
    <w:rPr>
      <w:rFonts w:hAnsi="宋体"/>
      <w:color w:val="000000"/>
      <w:sz w:val="24"/>
      <w:szCs w:val="24"/>
    </w:rPr>
  </w:style>
  <w:style w:type="paragraph" w:customStyle="1" w:styleId="112">
    <w:name w:val="标书二级标题"/>
    <w:basedOn w:val="3"/>
    <w:link w:val="115"/>
    <w:qFormat/>
    <w:uiPriority w:val="0"/>
    <w:pPr>
      <w:spacing w:line="240" w:lineRule="auto"/>
      <w:jc w:val="left"/>
    </w:pPr>
    <w:rPr>
      <w:rFonts w:ascii="宋体" w:hAnsi="宋体" w:eastAsia="黑体"/>
      <w:b w:val="0"/>
      <w:sz w:val="28"/>
      <w:szCs w:val="30"/>
    </w:rPr>
  </w:style>
  <w:style w:type="character" w:customStyle="1" w:styleId="113">
    <w:name w:val="标书正文格式 字符"/>
    <w:link w:val="111"/>
    <w:qFormat/>
    <w:locked/>
    <w:uiPriority w:val="0"/>
    <w:rPr>
      <w:rFonts w:ascii="宋体" w:hAnsi="宋体"/>
      <w:color w:val="000000"/>
      <w:sz w:val="24"/>
      <w:szCs w:val="24"/>
    </w:rPr>
  </w:style>
  <w:style w:type="paragraph" w:customStyle="1" w:styleId="114">
    <w:name w:val="标书表格"/>
    <w:basedOn w:val="1"/>
    <w:link w:val="116"/>
    <w:qFormat/>
    <w:uiPriority w:val="0"/>
    <w:pPr>
      <w:jc w:val="center"/>
    </w:pPr>
    <w:rPr>
      <w:rFonts w:ascii="Times New Roman" w:hAnsi="Times New Roman" w:eastAsia="宋体" w:cs="Times New Roman"/>
      <w:b/>
      <w:szCs w:val="20"/>
    </w:rPr>
  </w:style>
  <w:style w:type="character" w:customStyle="1" w:styleId="115">
    <w:name w:val="标书二级标题 字符"/>
    <w:link w:val="112"/>
    <w:qFormat/>
    <w:locked/>
    <w:uiPriority w:val="0"/>
    <w:rPr>
      <w:rFonts w:ascii="宋体" w:hAnsi="宋体" w:eastAsia="黑体" w:cs="Times New Roman"/>
      <w:bCs/>
      <w:sz w:val="28"/>
      <w:szCs w:val="30"/>
    </w:rPr>
  </w:style>
  <w:style w:type="character" w:customStyle="1" w:styleId="116">
    <w:name w:val="标书表格 字符"/>
    <w:link w:val="114"/>
    <w:qFormat/>
    <w:locked/>
    <w:uiPriority w:val="0"/>
    <w:rPr>
      <w:rFonts w:ascii="Times New Roman" w:hAnsi="Times New Roman" w:eastAsia="宋体" w:cs="Times New Roman"/>
      <w:b/>
      <w:szCs w:val="20"/>
    </w:rPr>
  </w:style>
  <w:style w:type="paragraph" w:customStyle="1" w:styleId="117">
    <w:name w:val="标书三级标题"/>
    <w:basedOn w:val="6"/>
    <w:next w:val="111"/>
    <w:link w:val="118"/>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8">
    <w:name w:val="标书三级标题 字符"/>
    <w:link w:val="117"/>
    <w:qFormat/>
    <w:locked/>
    <w:uiPriority w:val="0"/>
    <w:rPr>
      <w:rFonts w:ascii="Times New Roman" w:hAnsi="Times New Roman" w:eastAsia="宋体" w:cs="Times New Roman"/>
      <w:b/>
      <w:bCs/>
      <w:color w:val="000000"/>
      <w:sz w:val="24"/>
      <w:szCs w:val="24"/>
    </w:rPr>
  </w:style>
  <w:style w:type="character" w:customStyle="1" w:styleId="119">
    <w:name w:val="标三级标题 字符"/>
    <w:link w:val="120"/>
    <w:qFormat/>
    <w:locked/>
    <w:uiPriority w:val="0"/>
    <w:rPr>
      <w:b/>
      <w:color w:val="000000"/>
      <w:sz w:val="24"/>
    </w:rPr>
  </w:style>
  <w:style w:type="paragraph" w:customStyle="1" w:styleId="120">
    <w:name w:val="标三级标题"/>
    <w:basedOn w:val="117"/>
    <w:link w:val="119"/>
    <w:qFormat/>
    <w:uiPriority w:val="0"/>
    <w:rPr>
      <w:rFonts w:asciiTheme="minorHAnsi" w:hAnsiTheme="minorHAnsi" w:eastAsiaTheme="minorEastAsia" w:cstheme="minorBidi"/>
      <w:bCs w:val="0"/>
      <w:szCs w:val="22"/>
    </w:rPr>
  </w:style>
  <w:style w:type="character" w:customStyle="1" w:styleId="121">
    <w:name w:val="标正文 字符"/>
    <w:link w:val="122"/>
    <w:qFormat/>
    <w:locked/>
    <w:uiPriority w:val="0"/>
    <w:rPr>
      <w:rFonts w:ascii="宋体" w:eastAsia="宋体"/>
      <w:color w:val="000000"/>
      <w:sz w:val="24"/>
    </w:rPr>
  </w:style>
  <w:style w:type="paragraph" w:customStyle="1" w:styleId="122">
    <w:name w:val="标正文"/>
    <w:basedOn w:val="111"/>
    <w:link w:val="121"/>
    <w:qFormat/>
    <w:uiPriority w:val="0"/>
    <w:pPr>
      <w:ind w:firstLine="480"/>
    </w:pPr>
    <w:rPr>
      <w:rFonts w:eastAsia="宋体" w:hAnsiTheme="minorHAnsi"/>
      <w:szCs w:val="22"/>
    </w:rPr>
  </w:style>
  <w:style w:type="paragraph" w:customStyle="1" w:styleId="123">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4">
    <w:name w:val="HR正文表格"/>
    <w:basedOn w:val="1"/>
    <w:qFormat/>
    <w:uiPriority w:val="0"/>
    <w:pPr>
      <w:spacing w:beforeLines="25" w:afterLines="25" w:line="300" w:lineRule="auto"/>
    </w:pPr>
    <w:rPr>
      <w:szCs w:val="24"/>
    </w:rPr>
  </w:style>
  <w:style w:type="paragraph" w:styleId="125">
    <w:name w:val="List Paragraph"/>
    <w:basedOn w:val="1"/>
    <w:qFormat/>
    <w:uiPriority w:val="99"/>
    <w:pPr>
      <w:ind w:firstLine="420" w:firstLineChars="200"/>
    </w:pPr>
  </w:style>
  <w:style w:type="paragraph" w:customStyle="1" w:styleId="126">
    <w:name w:val="WPSOffice手动目录 1"/>
    <w:qFormat/>
    <w:uiPriority w:val="0"/>
    <w:rPr>
      <w:rFonts w:ascii="Times New Roman" w:hAnsi="Times New Roman" w:eastAsia="宋体" w:cs="Times New Roman"/>
      <w:lang w:val="en-US" w:eastAsia="zh-CN" w:bidi="ar-SA"/>
    </w:rPr>
  </w:style>
  <w:style w:type="table" w:customStyle="1" w:styleId="127">
    <w:name w:val="Table Normal"/>
    <w:semiHidden/>
    <w:unhideWhenUsed/>
    <w:qFormat/>
    <w:uiPriority w:val="0"/>
    <w:tblPr>
      <w:tblCellMar>
        <w:top w:w="0" w:type="dxa"/>
        <w:left w:w="0" w:type="dxa"/>
        <w:bottom w:w="0" w:type="dxa"/>
        <w:right w:w="0" w:type="dxa"/>
      </w:tblCellMar>
    </w:tblPr>
  </w:style>
  <w:style w:type="character" w:customStyle="1" w:styleId="128">
    <w:name w:val="NormalCharacter"/>
    <w:qFormat/>
    <w:uiPriority w:val="0"/>
  </w:style>
  <w:style w:type="paragraph" w:customStyle="1" w:styleId="129">
    <w:name w:val="Table Paragraph"/>
    <w:basedOn w:val="1"/>
    <w:qFormat/>
    <w:uiPriority w:val="1"/>
    <w:rPr>
      <w:rFonts w:ascii="宋体" w:hAnsi="宋体" w:eastAsia="宋体" w:cs="宋体"/>
    </w:rPr>
  </w:style>
  <w:style w:type="paragraph" w:customStyle="1" w:styleId="130">
    <w:name w:val="标书一级标题"/>
    <w:basedOn w:val="2"/>
    <w:qFormat/>
    <w:uiPriority w:val="0"/>
    <w:rPr>
      <w:rFonts w:eastAsia="黑体"/>
      <w:b w:val="0"/>
      <w:color w:val="000000"/>
      <w:sz w:val="30"/>
      <w:szCs w:val="24"/>
    </w:rPr>
  </w:style>
  <w:style w:type="paragraph" w:customStyle="1" w:styleId="131">
    <w:name w:val="无间隔1"/>
    <w:qFormat/>
    <w:uiPriority w:val="0"/>
    <w:rPr>
      <w:rFonts w:ascii="Calibri" w:hAnsi="Calibri" w:eastAsia="Calibri" w:cs="Times New Roman"/>
      <w:szCs w:val="22"/>
      <w:lang w:val="en-GB" w:eastAsia="en-US" w:bidi="ar-SA"/>
    </w:rPr>
  </w:style>
  <w:style w:type="character" w:customStyle="1" w:styleId="132">
    <w:name w:val="font21"/>
    <w:basedOn w:val="38"/>
    <w:qFormat/>
    <w:uiPriority w:val="0"/>
    <w:rPr>
      <w:rFonts w:hint="eastAsia" w:ascii="宋体" w:hAnsi="宋体" w:eastAsia="宋体" w:cs="宋体"/>
      <w:color w:val="000000"/>
      <w:sz w:val="24"/>
      <w:szCs w:val="24"/>
      <w:u w:val="none"/>
    </w:rPr>
  </w:style>
  <w:style w:type="character" w:customStyle="1" w:styleId="133">
    <w:name w:val="font01"/>
    <w:basedOn w:val="38"/>
    <w:qFormat/>
    <w:uiPriority w:val="0"/>
    <w:rPr>
      <w:rFonts w:hint="eastAsia" w:ascii="宋体" w:hAnsi="宋体" w:eastAsia="宋体" w:cs="宋体"/>
      <w:color w:val="000000"/>
      <w:sz w:val="18"/>
      <w:szCs w:val="18"/>
      <w:u w:val="none"/>
    </w:rPr>
  </w:style>
  <w:style w:type="character" w:customStyle="1" w:styleId="134">
    <w:name w:val="15"/>
    <w:qFormat/>
    <w:uiPriority w:val="0"/>
    <w:rPr>
      <w:rFonts w:hint="eastAsia" w:ascii="微软雅黑" w:hAnsi="微软雅黑" w:eastAsia="微软雅黑"/>
      <w:color w:val="000000"/>
      <w:sz w:val="22"/>
      <w:szCs w:val="22"/>
    </w:rPr>
  </w:style>
  <w:style w:type="paragraph" w:customStyle="1" w:styleId="135">
    <w:name w:val="Fließtext"/>
    <w:basedOn w:val="1"/>
    <w:qFormat/>
    <w:uiPriority w:val="99"/>
    <w:pPr>
      <w:widowControl/>
      <w:jc w:val="center"/>
    </w:pPr>
    <w:rPr>
      <w:rFonts w:ascii="Arial" w:hAnsi="Arial"/>
      <w:kern w:val="0"/>
      <w:szCs w:val="20"/>
      <w:lang w:val="de-DE" w:eastAsia="de-DE"/>
    </w:rPr>
  </w:style>
  <w:style w:type="paragraph" w:styleId="136">
    <w:name w:val="No Spacing"/>
    <w:qFormat/>
    <w:uiPriority w:val="1"/>
    <w:rPr>
      <w:rFonts w:ascii="Calibri" w:hAnsi="Calibri" w:eastAsia="宋体" w:cs="Times New Roman"/>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5" Type="http://schemas.openxmlformats.org/officeDocument/2006/relationships/fontTable" Target="fontTable.xml"/><Relationship Id="rId54" Type="http://schemas.openxmlformats.org/officeDocument/2006/relationships/numbering" Target="numbering.xml"/><Relationship Id="rId53" Type="http://schemas.openxmlformats.org/officeDocument/2006/relationships/customXml" Target="../customXml/item1.xml"/><Relationship Id="rId52" Type="http://schemas.openxmlformats.org/officeDocument/2006/relationships/image" Target="media/image13.png"/><Relationship Id="rId51" Type="http://schemas.openxmlformats.org/officeDocument/2006/relationships/image" Target="media/image12.png"/><Relationship Id="rId50" Type="http://schemas.openxmlformats.org/officeDocument/2006/relationships/image" Target="media/image11.png"/><Relationship Id="rId5" Type="http://schemas.openxmlformats.org/officeDocument/2006/relationships/header" Target="header1.xml"/><Relationship Id="rId49" Type="http://schemas.openxmlformats.org/officeDocument/2006/relationships/image" Target="media/image10.png"/><Relationship Id="rId48" Type="http://schemas.openxmlformats.org/officeDocument/2006/relationships/image" Target="media/image9.png"/><Relationship Id="rId47" Type="http://schemas.openxmlformats.org/officeDocument/2006/relationships/image" Target="media/image8.png"/><Relationship Id="rId46" Type="http://schemas.openxmlformats.org/officeDocument/2006/relationships/image" Target="media/image7.png"/><Relationship Id="rId45" Type="http://schemas.openxmlformats.org/officeDocument/2006/relationships/image" Target="media/image6.png"/><Relationship Id="rId44" Type="http://schemas.openxmlformats.org/officeDocument/2006/relationships/image" Target="media/image5.png"/><Relationship Id="rId43" Type="http://schemas.openxmlformats.org/officeDocument/2006/relationships/image" Target="media/image4.png"/><Relationship Id="rId42" Type="http://schemas.openxmlformats.org/officeDocument/2006/relationships/image" Target="media/image3.png"/><Relationship Id="rId41" Type="http://schemas.openxmlformats.org/officeDocument/2006/relationships/image" Target="media/image2.png"/><Relationship Id="rId40" Type="http://schemas.openxmlformats.org/officeDocument/2006/relationships/image" Target="media/image1.png"/><Relationship Id="rId4" Type="http://schemas.openxmlformats.org/officeDocument/2006/relationships/footer" Target="footer2.xml"/><Relationship Id="rId39" Type="http://schemas.openxmlformats.org/officeDocument/2006/relationships/theme" Target="theme/theme1.xml"/><Relationship Id="rId38" Type="http://schemas.openxmlformats.org/officeDocument/2006/relationships/footer" Target="footer27.xml"/><Relationship Id="rId37" Type="http://schemas.openxmlformats.org/officeDocument/2006/relationships/footer" Target="footer26.xml"/><Relationship Id="rId36" Type="http://schemas.openxmlformats.org/officeDocument/2006/relationships/header" Target="header9.xml"/><Relationship Id="rId35" Type="http://schemas.openxmlformats.org/officeDocument/2006/relationships/header" Target="header8.xml"/><Relationship Id="rId34" Type="http://schemas.openxmlformats.org/officeDocument/2006/relationships/footer" Target="footer25.xml"/><Relationship Id="rId33" Type="http://schemas.openxmlformats.org/officeDocument/2006/relationships/footer" Target="footer24.xml"/><Relationship Id="rId32" Type="http://schemas.openxmlformats.org/officeDocument/2006/relationships/header" Target="header7.xml"/><Relationship Id="rId31" Type="http://schemas.openxmlformats.org/officeDocument/2006/relationships/header" Target="header6.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header" Target="header5.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75</Pages>
  <Words>180</Words>
  <Characters>187</Characters>
  <Lines>364</Lines>
  <Paragraphs>102</Paragraphs>
  <TotalTime>3</TotalTime>
  <ScaleCrop>false</ScaleCrop>
  <LinksUpToDate>false</LinksUpToDate>
  <CharactersWithSpaces>318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2025-04-18T06:33:00Z</dcterms:created>
  <dc:creator>刘剑</dc:creator>
  <cp:lastModifiedBy>张志纯</cp:lastModifiedBy>
  <dcterms:modified xsi:type="dcterms:W3CDTF">2025-10-16T07:16:36Z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0B1218D1AFC44B4A927B11B1D638B56B_11</vt:lpwstr>
  </property>
  <property fmtid="{D5CDD505-2E9C-101B-9397-08002B2CF9AE}" pid="4" name="KSOTemplateDocerSaveRecord">
    <vt:lpwstr>eyJoZGlkIjoiODY0NTcxYjI4Y2NjNTJkNmIwYzM2NDk2ZTI0NWYxZjQiLCJ1c2VySWQiOiIxNjcxODY1NzIwIn0=</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