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0"/>
      <w:bookmarkStart w:id="1" w:name="OLE_LINK31"/>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“重汽后市场”直播平台矩阵建设运营及常态化直播</w:t>
      </w:r>
      <w:r>
        <w:rPr>
          <w:rFonts w:hint="eastAsia" w:ascii="Calibri" w:hAnsi="宋体" w:eastAsia="宋体" w:cs="Times New Roman"/>
          <w:b/>
          <w:bCs/>
          <w:color w:val="000000"/>
          <w:spacing w:val="-8"/>
          <w:sz w:val="48"/>
          <w:szCs w:val="44"/>
          <w:lang w:val="en-US" w:eastAsia="zh-CN"/>
        </w:rPr>
        <w:t>公开招标</w:t>
      </w:r>
      <w:r>
        <w:rPr>
          <w:rFonts w:hint="eastAsia" w:ascii="Calibri" w:hAnsi="宋体" w:eastAsia="宋体" w:cs="Times New Roman"/>
          <w:b/>
          <w:bCs/>
          <w:color w:val="000000"/>
          <w:spacing w:val="-8"/>
          <w:sz w:val="48"/>
          <w:szCs w:val="44"/>
        </w:rPr>
        <w:t>项目</w:t>
      </w:r>
      <w:r>
        <w:rPr>
          <w:rFonts w:ascii="Calibri" w:hAnsi="Calibri" w:eastAsia="宋体" w:cs="Times New Roman"/>
          <w:b/>
          <w:bCs/>
          <w:color w:val="000000"/>
          <w:spacing w:val="-8"/>
          <w:sz w:val="48"/>
          <w:szCs w:val="44"/>
        </w:rPr>
        <w:t xml:space="preserve"> </w:t>
      </w:r>
    </w:p>
    <w:p>
      <w:pPr>
        <w:pStyle w:val="21"/>
      </w:pPr>
    </w:p>
    <w:p>
      <w:pPr>
        <w:pStyle w:val="21"/>
      </w:pPr>
    </w:p>
    <w:p>
      <w:pPr>
        <w:pStyle w:val="21"/>
      </w:pPr>
    </w:p>
    <w:p>
      <w:pPr>
        <w:pStyle w:val="21"/>
      </w:pPr>
    </w:p>
    <w:p>
      <w:pPr>
        <w:jc w:val="right"/>
        <w:rPr>
          <w:rFonts w:ascii="Calibri" w:hAnsi="Calibri" w:eastAsia="宋体" w:cs="Times New Roman"/>
          <w:color w:val="000000"/>
          <w:sz w:val="28"/>
          <w:szCs w:val="28"/>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21"/>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hint="eastAsia" w:cs="宋体"/>
              <w:b/>
              <w:bCs/>
              <w:sz w:val="48"/>
              <w:szCs w:val="48"/>
            </w:rPr>
          </w:pPr>
          <w:r>
            <w:rPr>
              <w:rFonts w:ascii="宋体" w:hAnsi="宋体" w:eastAsia="宋体" w:cs="宋体"/>
              <w:b/>
              <w:bCs/>
              <w:sz w:val="48"/>
              <w:szCs w:val="48"/>
            </w:rPr>
            <w:t>目录</w:t>
          </w:r>
        </w:p>
        <w:p>
          <w:pPr>
            <w:pStyle w:val="28"/>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8"/>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pPr>
            <w:pStyle w:val="28"/>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8"/>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8"/>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65</w:t>
          </w:r>
        </w:p>
        <w:p>
          <w:pPr>
            <w:pStyle w:val="28"/>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83</w:t>
          </w:r>
        </w:p>
        <w:p>
          <w:pPr>
            <w:pStyle w:val="21"/>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1"/>
        <w:numPr>
          <w:ilvl w:val="0"/>
          <w:numId w:val="4"/>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21"/>
        <w:jc w:val="center"/>
        <w:rPr>
          <w:rFonts w:ascii="Calibri" w:hAnsi="Calibri" w:eastAsia="宋体" w:cs="Times New Roman"/>
          <w:b/>
          <w:bCs/>
          <w:kern w:val="44"/>
          <w:sz w:val="36"/>
          <w:szCs w:val="44"/>
        </w:rPr>
      </w:pP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40"/>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3"/>
                <w:rFonts w:hint="eastAsia" w:ascii="宋体" w:hAnsi="宋体" w:eastAsia="宋体" w:cs="宋体"/>
                <w:b/>
                <w:sz w:val="28"/>
                <w:szCs w:val="28"/>
              </w:rPr>
            </w:pPr>
            <w:bookmarkStart w:id="3" w:name="_Toc346372875"/>
            <w:r>
              <w:rPr>
                <w:rStyle w:val="133"/>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33"/>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u w:val="single"/>
              </w:rPr>
              <w:t>“重汽后市场”直播平台矩阵建设运营及常态化直播项目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highlight w:val="yellow"/>
              </w:rPr>
              <w:t>：</w:t>
            </w:r>
            <w:r>
              <w:rPr>
                <w:rFonts w:hint="eastAsia" w:ascii="宋体" w:hAnsi="宋体" w:eastAsia="宋体" w:cs="宋体"/>
                <w:b/>
                <w:bCs/>
                <w:sz w:val="24"/>
                <w:szCs w:val="24"/>
                <w:highlight w:val="yellow"/>
                <w:u w:val="single"/>
              </w:rPr>
              <w:t>FSCZB2025100026</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widowControl/>
              <w:spacing w:line="400" w:lineRule="exact"/>
              <w:ind w:left="2" w:firstLine="574"/>
              <w:textAlignment w:val="baseline"/>
              <w:rPr>
                <w:rFonts w:hint="eastAsia" w:ascii="宋体" w:hAnsi="宋体" w:eastAsia="宋体" w:cs="宋体"/>
                <w:b/>
                <w:bCs/>
                <w:sz w:val="24"/>
                <w:szCs w:val="24"/>
                <w:u w:val="single"/>
              </w:rPr>
            </w:pPr>
            <w:r>
              <w:rPr>
                <w:rFonts w:hint="eastAsia" w:ascii="宋体" w:hAnsi="宋体" w:eastAsia="宋体" w:cs="宋体"/>
                <w:b/>
                <w:bCs/>
                <w:sz w:val="24"/>
                <w:szCs w:val="24"/>
              </w:rPr>
              <w:t>招标内容：</w:t>
            </w:r>
            <w:bookmarkStart w:id="4" w:name="_Hlk60819894"/>
            <w:r>
              <w:rPr>
                <w:rFonts w:hint="eastAsia" w:ascii="宋体" w:hAnsi="宋体" w:eastAsia="宋体" w:cs="Times New Roman"/>
                <w:color w:val="000000"/>
                <w:sz w:val="24"/>
                <w:szCs w:val="24"/>
              </w:rPr>
              <w:t>2025年度“重汽后市场”官方视频号直播支持项目，包含但不限于账号的直播运营、</w:t>
            </w:r>
            <w:bookmarkEnd w:id="4"/>
            <w:r>
              <w:rPr>
                <w:rFonts w:hint="eastAsia" w:ascii="宋体" w:hAnsi="宋体" w:eastAsia="宋体" w:cs="Times New Roman"/>
                <w:color w:val="000000"/>
                <w:sz w:val="24"/>
                <w:szCs w:val="24"/>
              </w:rPr>
              <w:t>日常直播规划、营销线索收集、数据复盘分析等。</w:t>
            </w:r>
          </w:p>
          <w:p>
            <w:pPr>
              <w:ind w:firstLine="482" w:firstLineChars="200"/>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分投分中：</w:t>
            </w:r>
            <w:r>
              <w:rPr>
                <w:rFonts w:hint="eastAsia" w:ascii="宋体" w:hAnsi="宋体" w:eastAsia="宋体" w:cs="Times New Roman"/>
                <w:color w:val="000000"/>
                <w:sz w:val="24"/>
                <w:szCs w:val="24"/>
              </w:rPr>
              <w:t>不允许。</w:t>
            </w:r>
          </w:p>
          <w:p>
            <w:pPr>
              <w:ind w:firstLine="482" w:firstLineChars="200"/>
              <w:rPr>
                <w:rFonts w:hint="eastAsia" w:ascii="宋体" w:hAnsi="宋体" w:eastAsia="宋体" w:cs="宋体"/>
                <w:sz w:val="24"/>
                <w:szCs w:val="24"/>
              </w:rPr>
            </w:pPr>
            <w:r>
              <w:rPr>
                <w:rFonts w:hint="eastAsia" w:ascii="宋体" w:hAnsi="宋体" w:eastAsia="宋体" w:cs="Times New Roman"/>
                <w:b/>
                <w:bCs/>
                <w:color w:val="000000"/>
                <w:sz w:val="24"/>
                <w:szCs w:val="24"/>
              </w:rPr>
              <w:t>建设地点：</w:t>
            </w:r>
            <w:r>
              <w:rPr>
                <w:rFonts w:hint="eastAsia" w:ascii="宋体" w:hAnsi="宋体" w:eastAsia="宋体" w:cs="宋体"/>
                <w:color w:val="000000"/>
                <w:sz w:val="24"/>
                <w:szCs w:val="24"/>
                <w:highlight w:val="yellow"/>
                <w:u w:val="single"/>
              </w:rPr>
              <w:t>重汽（济南）后市场智慧服务有限公司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lang w:val="en-US" w:eastAsia="zh-CN"/>
              </w:rPr>
            </w:pPr>
            <w:r>
              <w:rPr>
                <w:rFonts w:hint="eastAsia" w:ascii="宋体" w:hAnsi="宋体" w:eastAsia="宋体" w:cs="宋体"/>
                <w:b/>
                <w:bCs/>
                <w:sz w:val="24"/>
                <w:szCs w:val="24"/>
              </w:rPr>
              <w:t>招标形式：</w:t>
            </w:r>
            <w:r>
              <w:rPr>
                <w:rFonts w:hint="eastAsia" w:ascii="宋体" w:hAnsi="宋体" w:eastAsia="宋体" w:cs="宋体"/>
                <w:b/>
                <w:bCs/>
                <w:sz w:val="24"/>
                <w:szCs w:val="24"/>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济南市历城区华奥路777号 </w:t>
            </w:r>
          </w:p>
          <w:p>
            <w:pPr>
              <w:ind w:firstLine="482" w:firstLineChars="200"/>
              <w:rPr>
                <w:rFonts w:hint="eastAsia"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商务联系人：</w:t>
            </w:r>
            <w:r>
              <w:rPr>
                <w:rFonts w:hint="eastAsia" w:ascii="宋体" w:hAnsi="宋体" w:eastAsia="宋体" w:cs="宋体"/>
                <w:b/>
                <w:bCs/>
                <w:sz w:val="24"/>
                <w:szCs w:val="24"/>
                <w:highlight w:val="yellow"/>
                <w:lang w:val="en-US" w:eastAsia="zh-CN"/>
              </w:rPr>
              <w:t>赵力</w:t>
            </w:r>
          </w:p>
          <w:p>
            <w:pPr>
              <w:pStyle w:val="21"/>
              <w:ind w:firstLine="482" w:firstLineChars="200"/>
              <w:rPr>
                <w:rFonts w:hint="default" w:eastAsia="宋体"/>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17860606595</w:t>
            </w:r>
          </w:p>
          <w:p>
            <w:pPr>
              <w:ind w:firstLine="482" w:firstLineChars="200"/>
              <w:rPr>
                <w:rFonts w:hint="eastAsia" w:ascii="宋体" w:hAnsi="宋体" w:eastAsia="宋体" w:cs="宋体"/>
                <w:b/>
                <w:snapToGrid w:val="0"/>
                <w:kern w:val="0"/>
                <w:sz w:val="24"/>
                <w:szCs w:val="24"/>
                <w:highlight w:val="yellow"/>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rPr>
              <w:fldChar w:fldCharType="begin"/>
            </w:r>
            <w:r>
              <w:rPr>
                <w:rFonts w:hint="eastAsia" w:ascii="宋体" w:hAnsi="宋体" w:eastAsia="宋体" w:cs="宋体"/>
                <w:b/>
                <w:snapToGrid w:val="0"/>
                <w:kern w:val="0"/>
                <w:sz w:val="24"/>
                <w:szCs w:val="24"/>
                <w:highlight w:val="yellow"/>
              </w:rPr>
              <w:instrText xml:space="preserve"> HYPERLINK "mailto:zhaoli@sinotruk.com" </w:instrText>
            </w:r>
            <w:r>
              <w:rPr>
                <w:rFonts w:hint="eastAsia" w:ascii="宋体" w:hAnsi="宋体" w:eastAsia="宋体" w:cs="宋体"/>
                <w:b/>
                <w:snapToGrid w:val="0"/>
                <w:kern w:val="0"/>
                <w:sz w:val="24"/>
                <w:szCs w:val="24"/>
                <w:highlight w:val="yellow"/>
              </w:rPr>
              <w:fldChar w:fldCharType="separate"/>
            </w:r>
            <w:r>
              <w:rPr>
                <w:rStyle w:val="48"/>
                <w:rFonts w:hint="eastAsia" w:ascii="宋体" w:hAnsi="宋体" w:eastAsia="宋体" w:cs="宋体"/>
                <w:b/>
                <w:snapToGrid w:val="0"/>
                <w:kern w:val="0"/>
                <w:sz w:val="24"/>
                <w:szCs w:val="24"/>
                <w:highlight w:val="yellow"/>
              </w:rPr>
              <w:t>zhaoli@sinotruk.com</w:t>
            </w:r>
            <w:r>
              <w:rPr>
                <w:rFonts w:hint="eastAsia" w:ascii="宋体" w:hAnsi="宋体" w:eastAsia="宋体" w:cs="宋体"/>
                <w:b/>
                <w:snapToGrid w:val="0"/>
                <w:kern w:val="0"/>
                <w:sz w:val="24"/>
                <w:szCs w:val="24"/>
                <w:highlight w:val="yellow"/>
              </w:rPr>
              <w:fldChar w:fldCharType="end"/>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技术联系人：</w:t>
            </w:r>
            <w:r>
              <w:rPr>
                <w:rFonts w:hint="eastAsia" w:ascii="宋体" w:hAnsi="宋体" w:eastAsia="宋体" w:cs="宋体"/>
                <w:b/>
                <w:bCs/>
                <w:sz w:val="24"/>
                <w:szCs w:val="24"/>
                <w:highlight w:val="yellow"/>
                <w:lang w:val="en-US" w:eastAsia="zh-CN"/>
              </w:rPr>
              <w:t>李乐凡</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电话：</w:t>
            </w:r>
            <w:r>
              <w:rPr>
                <w:rFonts w:hint="eastAsia" w:ascii="宋体" w:hAnsi="宋体" w:eastAsia="宋体" w:cs="宋体"/>
                <w:sz w:val="24"/>
                <w:szCs w:val="24"/>
              </w:rPr>
              <w:t>15153153975</w:t>
            </w:r>
          </w:p>
          <w:p>
            <w:pPr>
              <w:ind w:firstLine="482" w:firstLineChars="200"/>
              <w:rPr>
                <w:rFonts w:hint="eastAsia"/>
              </w:rPr>
            </w:pPr>
            <w:r>
              <w:rPr>
                <w:rFonts w:hint="eastAsia" w:ascii="宋体" w:hAnsi="宋体" w:eastAsia="宋体" w:cs="宋体"/>
                <w:b/>
                <w:bCs/>
                <w:sz w:val="24"/>
                <w:szCs w:val="24"/>
              </w:rPr>
              <w:t>邮箱：</w:t>
            </w:r>
            <w:r>
              <w:rPr>
                <w:rFonts w:hint="eastAsia" w:ascii="宋体" w:hAnsi="宋体" w:eastAsia="宋体" w:cs="宋体"/>
                <w:sz w:val="24"/>
                <w:szCs w:val="24"/>
              </w:rPr>
              <w:t>lilefan@sinotruk.com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ind w:firstLine="482" w:firstLineChars="200"/>
              <w:rPr>
                <w:rFonts w:hint="eastAsia" w:ascii="宋体" w:hAnsi="宋体" w:eastAsia="宋体" w:cs="宋体"/>
                <w:sz w:val="24"/>
                <w:szCs w:val="24"/>
              </w:rPr>
            </w:pPr>
            <w:r>
              <w:rPr>
                <w:rFonts w:hint="eastAsia" w:hAnsi="宋体" w:eastAsia="宋体" w:cs="Times New Roman"/>
                <w:b/>
                <w:bCs/>
                <w:color w:val="000000"/>
                <w:sz w:val="24"/>
                <w:szCs w:val="24"/>
              </w:rPr>
              <w:t>投标限价：</w:t>
            </w:r>
            <w:r>
              <w:rPr>
                <w:rFonts w:hint="eastAsia" w:hAnsi="宋体" w:eastAsia="宋体" w:cs="Times New Roman"/>
                <w:b/>
                <w:bCs/>
                <w:color w:val="000000"/>
                <w:sz w:val="24"/>
                <w:szCs w:val="24"/>
                <w:highlight w:val="yellow"/>
              </w:rPr>
              <w:t>人民币19.1944万元（含税，税率</w:t>
            </w:r>
            <w:r>
              <w:rPr>
                <w:rFonts w:hint="eastAsia" w:hAnsi="宋体" w:eastAsia="宋体" w:cs="Times New Roman"/>
                <w:b/>
                <w:bCs/>
                <w:color w:val="000000"/>
                <w:sz w:val="24"/>
                <w:szCs w:val="24"/>
                <w:highlight w:val="yellow"/>
                <w:lang w:val="en-US" w:eastAsia="zh-CN"/>
              </w:rPr>
              <w:t>6</w:t>
            </w:r>
            <w:r>
              <w:rPr>
                <w:rFonts w:hint="eastAsia" w:hAnsi="宋体" w:eastAsia="宋体" w:cs="Times New Roman"/>
                <w:b/>
                <w:bCs/>
                <w:color w:val="000000"/>
                <w:sz w:val="24"/>
                <w:szCs w:val="24"/>
                <w:highlight w:val="yellow"/>
              </w:rPr>
              <w:t>%），超过投标限价无法投标</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pPr>
              <w:pStyle w:val="21"/>
              <w:spacing w:line="360" w:lineRule="auto"/>
              <w:ind w:firstLine="420" w:firstLineChars="200"/>
            </w:pPr>
            <w:r>
              <w:rPr>
                <w:rFonts w:hint="eastAsia" w:hAnsi="宋体"/>
              </w:rPr>
              <w:t>（1）</w:t>
            </w:r>
            <w:r>
              <w:rPr>
                <w:rFonts w:hint="eastAsia"/>
              </w:rPr>
              <w:t>投标人须遵守《中华人民共和国招标投标法》、《中华人民共和国民法典》及其它有关的法律和法规；为中华人民共和国境内注册的独立法人机构，具有独立承担民事责任能力。公司成立三年以上（以营业执照成立日期到开标当日满三年为准），注册资金不低于300万；公司经营范围满足招标项目需求；投标人须提供具有统一社会信用代码的三证合一的营业执照副本</w:t>
            </w:r>
            <w:r>
              <w:rPr>
                <w:rFonts w:hint="eastAsia"/>
                <w:b/>
              </w:rPr>
              <w:t>原件</w:t>
            </w:r>
            <w:r>
              <w:rPr>
                <w:rFonts w:hint="eastAsia"/>
              </w:rPr>
              <w:t>及复印件（加盖公章）</w:t>
            </w:r>
            <w:r>
              <w:rPr>
                <w:rFonts w:hint="eastAsia"/>
                <w:szCs w:val="21"/>
              </w:rPr>
              <w:t>。</w:t>
            </w:r>
            <w:bookmarkStart w:id="15" w:name="_GoBack"/>
            <w:bookmarkEnd w:id="15"/>
          </w:p>
          <w:p>
            <w:pPr>
              <w:pStyle w:val="21"/>
              <w:spacing w:line="360" w:lineRule="auto"/>
              <w:ind w:firstLine="420" w:firstLineChars="200"/>
            </w:pPr>
            <w:r>
              <w:rPr>
                <w:rFonts w:hint="eastAsia"/>
              </w:rPr>
              <w:t>（2）投标人须提供法人授权委托书</w:t>
            </w:r>
            <w:r>
              <w:rPr>
                <w:rFonts w:hint="eastAsia"/>
                <w:b/>
              </w:rPr>
              <w:t>原件</w:t>
            </w:r>
            <w:r>
              <w:rPr>
                <w:rFonts w:hint="eastAsia"/>
              </w:rPr>
              <w:t>（在投标文件副本中可用复印件）及投标单位的法定代表人或授权代表的身份证</w:t>
            </w:r>
            <w:r>
              <w:rPr>
                <w:rFonts w:hint="eastAsia"/>
                <w:b/>
              </w:rPr>
              <w:t>原件</w:t>
            </w:r>
            <w:r>
              <w:rPr>
                <w:rFonts w:hint="eastAsia"/>
              </w:rPr>
              <w:t>及复印件（加盖公章），法人到场的，出具法定代表人资格证明文件。</w:t>
            </w:r>
          </w:p>
          <w:p>
            <w:pPr>
              <w:pStyle w:val="21"/>
              <w:spacing w:line="360" w:lineRule="auto"/>
              <w:ind w:firstLine="420" w:firstLineChars="200"/>
            </w:pPr>
            <w:r>
              <w:rPr>
                <w:rFonts w:hint="eastAsia"/>
              </w:rPr>
              <w:t>（3）具有健全的财务会计制度，财务状况和市场行为良好，投标人三年内无违法及重大违规情况。没有处于被有权机关吊销营业执照、吊销资质、停业整顿、取消投标资格以及财产被接管、冻结或进入破产程序等。</w:t>
            </w:r>
          </w:p>
          <w:p>
            <w:pPr>
              <w:pStyle w:val="21"/>
              <w:spacing w:line="360" w:lineRule="auto"/>
              <w:ind w:firstLine="420" w:firstLineChars="200"/>
            </w:pPr>
            <w:r>
              <w:rPr>
                <w:rFonts w:hint="eastAsia" w:hAnsi="宋体"/>
              </w:rPr>
              <w:t>（4）</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失信行为）的证明原件。</w:t>
            </w:r>
          </w:p>
          <w:p>
            <w:pPr>
              <w:pStyle w:val="21"/>
              <w:spacing w:line="360" w:lineRule="auto"/>
              <w:ind w:firstLine="420" w:firstLineChars="200"/>
              <w:rPr>
                <w:rFonts w:hAnsi="宋体"/>
              </w:rPr>
            </w:pPr>
            <w:r>
              <w:rPr>
                <w:rFonts w:hint="eastAsia" w:hAnsi="宋体"/>
              </w:rPr>
              <w:t>（5）投标人近三年的公司财务报表（资产负债表、损益表、现金流量表）未显示异常的证明原件。</w:t>
            </w:r>
          </w:p>
          <w:p>
            <w:pPr>
              <w:pStyle w:val="21"/>
              <w:spacing w:line="360" w:lineRule="auto"/>
              <w:ind w:firstLine="420" w:firstLineChars="200"/>
            </w:pPr>
            <w:r>
              <w:rPr>
                <w:rFonts w:hint="eastAsia" w:hAnsi="宋体"/>
              </w:rPr>
              <w:t>（6）投标人一旦参与投标，无论是否中标、是否签署合同，对获得的招标人商业信息（包括但不限于文字、图形、logo、商标、技术等所有信息资料）均不会用于本次投标项目以外事项，否则自愿承担一切责任.</w:t>
            </w:r>
          </w:p>
          <w:p>
            <w:pPr>
              <w:pStyle w:val="21"/>
              <w:spacing w:line="360" w:lineRule="auto"/>
              <w:rPr>
                <w:rFonts w:hAnsi="宋体"/>
              </w:rPr>
            </w:pPr>
            <w:r>
              <w:rPr>
                <w:rFonts w:hint="eastAsia" w:hAnsi="宋体"/>
              </w:rPr>
              <w:t xml:space="preserve"> </w:t>
            </w:r>
            <w:r>
              <w:rPr>
                <w:rFonts w:hAnsi="宋体"/>
              </w:rPr>
              <w:t xml:space="preserve">   </w:t>
            </w:r>
            <w:r>
              <w:rPr>
                <w:rFonts w:hint="eastAsia" w:hAnsi="宋体"/>
              </w:rPr>
              <w:t>（8）中标的投标人严禁弃标，弃标单位将进入中国重汽集团《违约单位名录》,禁止其参加中国重汽集团系统内所有单位招标。</w:t>
            </w:r>
          </w:p>
          <w:p>
            <w:pPr>
              <w:pStyle w:val="21"/>
              <w:spacing w:line="360" w:lineRule="auto"/>
              <w:ind w:firstLine="420" w:firstLineChars="200"/>
            </w:pPr>
            <w:r>
              <w:rPr>
                <w:rFonts w:hint="eastAsia" w:hAnsi="宋体"/>
              </w:rPr>
              <w:t>（9）</w:t>
            </w:r>
            <w:r>
              <w:rPr>
                <w:rFonts w:hint="eastAsia"/>
              </w:rPr>
              <w:t>投标人须认可招标人的工作指令，包括节、假日能正常开展工作的要求。</w:t>
            </w:r>
          </w:p>
          <w:p>
            <w:pPr>
              <w:pStyle w:val="21"/>
              <w:spacing w:line="360" w:lineRule="auto"/>
              <w:ind w:firstLine="420" w:firstLineChars="200"/>
            </w:pPr>
            <w:r>
              <w:rPr>
                <w:rFonts w:hint="eastAsia" w:hAnsi="宋体"/>
              </w:rPr>
              <w:t>（10）</w:t>
            </w:r>
            <w:r>
              <w:rPr>
                <w:rFonts w:hint="eastAsia"/>
              </w:rPr>
              <w:t>投标人须认可招标人终止合同后3个月退还履约保证金的招标要求。</w:t>
            </w:r>
          </w:p>
          <w:p>
            <w:pPr>
              <w:pStyle w:val="21"/>
              <w:spacing w:line="360" w:lineRule="auto"/>
              <w:ind w:firstLine="420" w:firstLineChars="200"/>
            </w:pPr>
            <w:r>
              <w:rPr>
                <w:rFonts w:hint="eastAsia" w:hAnsi="宋体"/>
              </w:rPr>
              <w:t>（11）本次招标项目不接受联合体投标。</w:t>
            </w:r>
          </w:p>
          <w:p>
            <w:pPr>
              <w:pStyle w:val="21"/>
              <w:spacing w:line="360" w:lineRule="auto"/>
              <w:ind w:firstLine="420" w:firstLineChars="200"/>
            </w:pPr>
            <w:r>
              <w:rPr>
                <w:rFonts w:hint="eastAsia" w:hAnsi="宋体"/>
              </w:rPr>
              <w:t>（12）</w:t>
            </w:r>
            <w:r>
              <w:rPr>
                <w:rFonts w:hint="eastAsia"/>
              </w:rPr>
              <w:t>逾期的投标文件招标人不予受理。</w:t>
            </w:r>
          </w:p>
          <w:p>
            <w:pPr>
              <w:adjustRightInd w:val="0"/>
              <w:snapToGrid w:val="0"/>
              <w:spacing w:line="360" w:lineRule="auto"/>
              <w:ind w:firstLine="573"/>
              <w:jc w:val="left"/>
              <w:rPr>
                <w:rFonts w:hint="eastAsia" w:ascii="宋体" w:hAnsi="宋体" w:eastAsia="宋体" w:cs="仿宋_GB2312"/>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15</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30</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25</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w:t>
            </w:r>
            <w:r>
              <w:rPr>
                <w:rFonts w:hint="eastAsia" w:eastAsia="宋体" w:cs="Times New Roman"/>
                <w:b/>
                <w:bCs/>
                <w:lang w:val="en-US" w:eastAsia="zh-CN"/>
              </w:rPr>
              <w:t>2</w:t>
            </w:r>
            <w:r>
              <w:rPr>
                <w:rFonts w:hint="eastAsia" w:eastAsia="宋体" w:cs="Times New Roman"/>
                <w:b/>
                <w:bCs/>
              </w:rPr>
              <w:t>）进行注册</w:t>
            </w:r>
            <w:r>
              <w:rPr>
                <w:rFonts w:hint="eastAsia" w:eastAsia="宋体" w:cs="Times New Roman"/>
              </w:rPr>
              <w:t>，注册完毕后按照</w:t>
            </w:r>
            <w:r>
              <w:rPr>
                <w:rFonts w:hint="eastAsia" w:eastAsia="宋体" w:cs="宋体"/>
                <w:b/>
              </w:rPr>
              <w:t>“SRM系统供应商用户手册（附件</w:t>
            </w:r>
            <w:r>
              <w:rPr>
                <w:rFonts w:hint="eastAsia" w:eastAsia="宋体" w:cs="宋体"/>
                <w:b/>
                <w:lang w:val="en-US" w:eastAsia="zh-CN"/>
              </w:rPr>
              <w:t>3</w:t>
            </w:r>
            <w:r>
              <w:rPr>
                <w:rFonts w:hint="eastAsia" w:eastAsia="宋体" w:cs="宋体"/>
                <w:b/>
              </w:rPr>
              <w:t>）”，</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hint="eastAsia" w:eastAsia="宋体" w:cs="宋体"/>
                <w:highlight w:val="yellow"/>
              </w:rPr>
            </w:pPr>
            <w:r>
              <w:rPr>
                <w:rFonts w:hint="eastAsia" w:eastAsia="宋体" w:cs="宋体"/>
                <w:b/>
                <w:bCs/>
              </w:rPr>
              <w:t>应标截止时间：</w:t>
            </w:r>
            <w:r>
              <w:rPr>
                <w:rFonts w:hint="eastAsia" w:ascii="宋体" w:hAnsi="宋体" w:eastAsia="宋体" w:cs="宋体"/>
                <w:bCs/>
                <w:sz w:val="24"/>
                <w:szCs w:val="24"/>
                <w:highlight w:val="yellow"/>
              </w:rPr>
              <w:t>2025年</w:t>
            </w:r>
            <w:r>
              <w:rPr>
                <w:rFonts w:hint="eastAsia"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eastAsia="宋体" w:cs="宋体"/>
                <w:bCs/>
                <w:sz w:val="24"/>
                <w:szCs w:val="24"/>
                <w:highlight w:val="yellow"/>
                <w:lang w:val="en-US" w:eastAsia="zh-CN"/>
              </w:rPr>
              <w:t>20</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p>
          <w:p>
            <w:pPr>
              <w:pStyle w:val="116"/>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2.4</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10</w:t>
            </w:r>
            <w:r>
              <w:rPr>
                <w:rFonts w:hint="eastAsia"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hAnsi="宋体" w:eastAsia="宋体" w:cs="宋体"/>
                <w:sz w:val="24"/>
                <w:szCs w:val="24"/>
                <w:highlight w:val="yellow"/>
              </w:rPr>
              <w:t>:00:00（北京时间）</w:t>
            </w:r>
          </w:p>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lang w:val="en-US" w:eastAsia="zh-CN"/>
              </w:rPr>
              <w:t>3</w:t>
            </w:r>
            <w:r>
              <w:rPr>
                <w:rFonts w:hint="eastAsia" w:ascii="宋体" w:hAnsi="宋体" w:eastAsia="宋体" w:cs="宋体"/>
                <w:sz w:val="24"/>
                <w:szCs w:val="24"/>
              </w:rPr>
              <w:t>.2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.00元</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开户名称：</w:t>
            </w:r>
            <w:r>
              <w:rPr>
                <w:rFonts w:hint="eastAsia" w:ascii="宋体" w:hAnsi="宋体" w:eastAsia="宋体" w:cs="宋体"/>
                <w:color w:val="000000"/>
                <w:kern w:val="0"/>
                <w:sz w:val="24"/>
                <w:szCs w:val="24"/>
              </w:rPr>
              <w:t>中国重汽集团济南动力有限公司</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开户银行：</w:t>
            </w:r>
            <w:r>
              <w:rPr>
                <w:rFonts w:hint="eastAsia" w:ascii="宋体" w:hAnsi="宋体" w:eastAsia="宋体" w:cs="宋体"/>
                <w:color w:val="000000"/>
                <w:kern w:val="0"/>
                <w:sz w:val="24"/>
                <w:szCs w:val="24"/>
              </w:rPr>
              <w:t>中国建设银行股份有限公司济南天桥支行</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银行帐号：</w:t>
            </w:r>
            <w:r>
              <w:rPr>
                <w:rFonts w:hint="eastAsia" w:ascii="宋体" w:hAnsi="宋体" w:eastAsia="宋体" w:cs="宋体"/>
                <w:color w:val="000000"/>
                <w:kern w:val="0"/>
                <w:sz w:val="24"/>
                <w:szCs w:val="24"/>
              </w:rPr>
              <w:t>37001616508050150300</w:t>
            </w:r>
          </w:p>
          <w:p>
            <w:pPr>
              <w:ind w:firstLine="482" w:firstLineChars="200"/>
              <w:rPr>
                <w:rFonts w:hint="eastAsia" w:ascii="宋体" w:hAnsi="宋体" w:eastAsia="宋体" w:cs="宋体"/>
                <w:sz w:val="24"/>
                <w:szCs w:val="24"/>
              </w:rPr>
            </w:pPr>
            <w:r>
              <w:rPr>
                <w:rFonts w:hint="eastAsia" w:ascii="宋体" w:hAnsi="宋体" w:eastAsia="宋体" w:cs="宋体"/>
                <w:b/>
                <w:bCs/>
                <w:color w:val="000000"/>
                <w:kern w:val="0"/>
                <w:sz w:val="24"/>
                <w:szCs w:val="24"/>
              </w:rPr>
              <w:t>联行号：</w:t>
            </w:r>
            <w:r>
              <w:rPr>
                <w:rFonts w:hint="eastAsia" w:ascii="宋体" w:hAnsi="宋体" w:eastAsia="宋体" w:cs="宋体"/>
                <w:color w:val="000000"/>
                <w:kern w:val="0"/>
                <w:sz w:val="24"/>
                <w:szCs w:val="24"/>
              </w:rPr>
              <w:t>105451000362</w:t>
            </w:r>
          </w:p>
          <w:p>
            <w:pPr>
              <w:ind w:firstLine="480" w:firstLineChars="200"/>
              <w:rPr>
                <w:rFonts w:hint="eastAsia"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.3</w:t>
            </w:r>
          </w:p>
        </w:tc>
        <w:tc>
          <w:tcPr>
            <w:tcW w:w="8363"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w:t>
            </w:r>
            <w:r>
              <w:rPr>
                <w:rFonts w:hint="eastAsia" w:ascii="宋体" w:hAnsi="宋体" w:cs="宋体"/>
                <w:sz w:val="24"/>
                <w:szCs w:val="24"/>
                <w:highlight w:val="yellow"/>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39"/>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.4</w:t>
            </w:r>
          </w:p>
        </w:tc>
        <w:tc>
          <w:tcPr>
            <w:tcW w:w="8363"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lang w:val="en-US" w:eastAsia="zh-CN"/>
              </w:rPr>
              <w:t>4</w:t>
            </w:r>
            <w:r>
              <w:rPr>
                <w:rFonts w:hint="eastAsia" w:ascii="宋体" w:hAnsi="宋体" w:eastAsia="宋体" w:cs="宋体"/>
                <w:b/>
                <w:bCs/>
                <w:sz w:val="24"/>
                <w:szCs w:val="24"/>
              </w:rPr>
              <w:t>.开评标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r>
              <w:rPr>
                <w:rFonts w:hint="eastAsia" w:ascii="宋体" w:hAnsi="宋体" w:eastAsia="宋体" w:cs="宋体"/>
                <w:kern w:val="0"/>
                <w:sz w:val="24"/>
                <w:szCs w:val="24"/>
                <w:highlight w:val="yellow"/>
              </w:rPr>
              <w:t>。</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w:t>
            </w:r>
          </w:p>
        </w:tc>
        <w:tc>
          <w:tcPr>
            <w:tcW w:w="8363" w:type="dxa"/>
            <w:tcBorders>
              <w:top w:val="single" w:color="auto" w:sz="2" w:space="0"/>
              <w:left w:val="single" w:color="auto" w:sz="2" w:space="0"/>
              <w:bottom w:val="single" w:color="auto" w:sz="2" w:space="0"/>
              <w:right w:val="single" w:color="auto" w:sz="2" w:space="0"/>
            </w:tcBorders>
            <w:vAlign w:val="center"/>
          </w:tcPr>
          <w:p>
            <w:pPr>
              <w:pStyle w:val="14"/>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合理最低价。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b/>
                <w:bCs/>
                <w:sz w:val="24"/>
                <w:szCs w:val="24"/>
                <w:lang w:val="en-US" w:eastAsia="zh-CN"/>
              </w:rPr>
              <w:t>5.付款方式和付款节点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autoSpaceDE w:val="0"/>
              <w:autoSpaceDN w:val="0"/>
              <w:adjustRightInd w:val="0"/>
              <w:spacing w:line="420" w:lineRule="exact"/>
              <w:ind w:firstLine="420" w:firstLineChars="200"/>
              <w:rPr>
                <w:rFonts w:ascii="宋体" w:hAnsi="宋体"/>
                <w:szCs w:val="21"/>
              </w:rPr>
            </w:pPr>
            <w:r>
              <w:rPr>
                <w:rFonts w:hint="eastAsia" w:ascii="宋体" w:hAnsi="Courier New"/>
              </w:rPr>
              <w:t>1.签署合同并成功完成活动，且活动过程中无明显纰</w:t>
            </w:r>
            <w:r>
              <w:rPr>
                <w:rFonts w:hint="eastAsia" w:ascii="宋体" w:hAnsi="宋体"/>
                <w:szCs w:val="21"/>
              </w:rPr>
              <w:t>漏，由中标人（乙</w:t>
            </w:r>
            <w:r>
              <w:rPr>
                <w:rFonts w:hint="eastAsia" w:ascii="宋体" w:hAnsi="宋体"/>
                <w:szCs w:val="21"/>
                <w:lang w:val="zh-CN"/>
              </w:rPr>
              <w:t>方）</w:t>
            </w:r>
            <w:r>
              <w:rPr>
                <w:rFonts w:hint="eastAsia" w:ascii="宋体" w:hAnsi="宋体"/>
                <w:szCs w:val="21"/>
              </w:rPr>
              <w:t>开具税率为6</w:t>
            </w:r>
            <w:r>
              <w:rPr>
                <w:rFonts w:ascii="宋体" w:hAnsi="宋体"/>
                <w:szCs w:val="21"/>
              </w:rPr>
              <w:t>%</w:t>
            </w:r>
            <w:r>
              <w:rPr>
                <w:rFonts w:hint="eastAsia" w:ascii="宋体" w:hAnsi="宋体"/>
                <w:szCs w:val="21"/>
              </w:rPr>
              <w:t>的</w:t>
            </w:r>
            <w:r>
              <w:rPr>
                <w:rFonts w:hint="eastAsia" w:ascii="宋体" w:hAnsi="宋体"/>
                <w:szCs w:val="21"/>
                <w:lang w:val="zh-CN"/>
              </w:rPr>
              <w:t>增值税专用发票，甲方在收到发票后向中标人（乙方）付款。</w:t>
            </w:r>
          </w:p>
          <w:p>
            <w:pPr>
              <w:spacing w:line="420" w:lineRule="exact"/>
              <w:ind w:firstLine="420" w:firstLineChars="200"/>
              <w:rPr>
                <w:rFonts w:ascii="宋体" w:hAnsi="宋体"/>
                <w:szCs w:val="21"/>
              </w:rPr>
            </w:pPr>
            <w:r>
              <w:rPr>
                <w:rFonts w:hint="eastAsia" w:ascii="宋体" w:hAnsi="宋体"/>
                <w:szCs w:val="21"/>
              </w:rPr>
              <w:t>2.付款方式：一个季度一结算，发票挂帐后一个月内，甲方以银行承兑汇票支付乙方费用。具体付款时间及方式，以双方签订的合同约定为准。</w:t>
            </w:r>
          </w:p>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7.投标报价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21"/>
              <w:spacing w:line="360" w:lineRule="auto"/>
              <w:ind w:firstLine="420" w:firstLineChars="200"/>
              <w:rPr>
                <w:b/>
              </w:rPr>
            </w:pPr>
            <w:bookmarkStart w:id="5" w:name="_Hlk199866266"/>
            <w:r>
              <w:rPr>
                <w:rFonts w:hint="eastAsia"/>
              </w:rPr>
              <w:t>1</w:t>
            </w:r>
            <w:r>
              <w:t>.</w:t>
            </w:r>
            <w:r>
              <w:rPr>
                <w:rFonts w:hint="eastAsia"/>
              </w:rPr>
              <w:t>经与招标人或其指派的答疑人员充分沟通确认基础上，由投标人在满足招标人所提出的、与本项目有关的所有费用；</w:t>
            </w:r>
            <w:r>
              <w:rPr>
                <w:rFonts w:hint="eastAsia" w:hAnsi="宋体"/>
                <w:b/>
                <w:kern w:val="0"/>
                <w:szCs w:val="21"/>
              </w:rPr>
              <w:t>投标单位报价必须涵盖所有类目，否则为无效投标。</w:t>
            </w:r>
            <w:bookmarkEnd w:id="5"/>
            <w:r>
              <w:rPr>
                <w:b/>
              </w:rPr>
              <w:t xml:space="preserve"> </w:t>
            </w:r>
          </w:p>
          <w:p>
            <w:pPr>
              <w:pStyle w:val="21"/>
              <w:spacing w:line="360" w:lineRule="auto"/>
              <w:ind w:firstLine="420" w:firstLineChars="200"/>
            </w:pPr>
            <w:r>
              <w:t>2.</w:t>
            </w:r>
            <w:r>
              <w:rPr>
                <w:rFonts w:hint="eastAsia"/>
              </w:rPr>
              <w:t>视频制作、图片设计</w:t>
            </w:r>
            <w:r>
              <w:rPr>
                <w:rFonts w:hint="eastAsia"/>
                <w:bCs/>
              </w:rPr>
              <w:t>等相关知识产权归招标人所有，投标人与招标人应当互相保守双方的商业秘密。对提供的参数、技术指标、价格等技术资料，未经招标人书面许可，投标人不得泄露。</w:t>
            </w:r>
          </w:p>
          <w:p>
            <w:pPr>
              <w:pStyle w:val="21"/>
              <w:spacing w:line="360" w:lineRule="auto"/>
              <w:ind w:firstLine="420" w:firstLineChars="200"/>
            </w:pPr>
            <w:r>
              <w:rPr>
                <w:rFonts w:hint="eastAsia"/>
              </w:rPr>
              <w:t>3</w:t>
            </w:r>
            <w:r>
              <w:t>.</w:t>
            </w:r>
            <w:r>
              <w:rPr>
                <w:rFonts w:hint="eastAsia"/>
              </w:rPr>
              <w:t>所有报价货币单位均为：</w:t>
            </w:r>
            <w:r>
              <w:rPr>
                <w:rFonts w:hint="eastAsia"/>
                <w:color w:val="000000"/>
              </w:rPr>
              <w:t>产品价格：元（人民币），含税</w:t>
            </w:r>
            <w:r>
              <w:rPr>
                <w:rFonts w:hint="eastAsia"/>
              </w:rPr>
              <w:t>。如发生政策性税费降低，中标价格要进行相应调整。</w:t>
            </w:r>
          </w:p>
          <w:p>
            <w:pPr>
              <w:pStyle w:val="21"/>
              <w:ind w:firstLine="480" w:firstLineChars="200"/>
              <w:rPr>
                <w:rFonts w:hint="eastAsia"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4"/>
              <w:jc w:val="center"/>
              <w:rPr>
                <w:rFonts w:hint="default" w:ascii="宋体" w:hAnsi="宋体" w:eastAsia="宋体" w:cs="宋体"/>
                <w:sz w:val="24"/>
                <w:szCs w:val="24"/>
                <w:lang w:val="en-US" w:eastAsia="zh-CN"/>
              </w:rPr>
            </w:pPr>
            <w:r>
              <w:rPr>
                <w:rFonts w:hint="eastAsia" w:ascii="宋体" w:hAnsi="宋体" w:eastAsia="宋体" w:cs="宋体"/>
                <w:b/>
                <w:bCs/>
                <w:kern w:val="2"/>
                <w:sz w:val="24"/>
                <w:szCs w:val="24"/>
                <w:lang w:val="en-US" w:eastAsia="zh-CN" w:bidi="ar-SA"/>
              </w:rPr>
              <w:t>8.中标人瑕疵滞后发现的处理原则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pStyle w:val="21"/>
              <w:spacing w:line="360" w:lineRule="auto"/>
              <w:ind w:firstLine="420" w:firstLineChars="200"/>
              <w:rPr>
                <w:bCs/>
              </w:rPr>
            </w:pPr>
            <w:r>
              <w:rPr>
                <w:rFonts w:ascii="Arial" w:hAnsi="Arial" w:cs="Arial"/>
                <w:color w:val="333333"/>
                <w:szCs w:val="21"/>
                <w:shd w:val="clear" w:color="auto" w:fill="FFFFFF"/>
              </w:rPr>
              <w:t>无</w:t>
            </w:r>
            <w:r>
              <w:rPr>
                <w:bCs/>
              </w:rPr>
              <w:t>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14"/>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pStyle w:val="14"/>
              <w:ind w:firstLine="480" w:firstLineChars="200"/>
              <w:rPr>
                <w:rFonts w:hint="eastAsia" w:ascii="宋体" w:hAnsi="宋体" w:eastAsia="宋体" w:cs="宋体"/>
                <w:sz w:val="24"/>
                <w:szCs w:val="24"/>
              </w:rPr>
            </w:pPr>
          </w:p>
        </w:tc>
      </w:tr>
      <w:bookmarkEnd w:id="3"/>
    </w:tbl>
    <w:p>
      <w:pPr>
        <w:rPr>
          <w:rFonts w:ascii="Calibri" w:hAnsi="Calibri" w:eastAsia="宋体" w:cs="Times New Roman"/>
          <w:b/>
          <w:bCs/>
          <w:kern w:val="44"/>
          <w:sz w:val="36"/>
          <w:szCs w:val="44"/>
        </w:rPr>
      </w:pPr>
      <w:bookmarkStart w:id="6" w:name="_Toc15609"/>
      <w:r>
        <w:rPr>
          <w:rFonts w:hint="eastAsia" w:ascii="Calibri" w:hAnsi="Calibri" w:eastAsia="宋体" w:cs="Times New Roman"/>
          <w:b/>
          <w:bCs/>
          <w:kern w:val="44"/>
          <w:sz w:val="36"/>
          <w:szCs w:val="44"/>
        </w:rPr>
        <w:br w:type="page"/>
      </w:r>
    </w:p>
    <w:p>
      <w:pPr>
        <w:pStyle w:val="21"/>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6"/>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7" w:name="OLE_LINK1"/>
      <w:r>
        <w:rPr>
          <w:rFonts w:hint="eastAsia" w:ascii="宋体" w:hAnsi="宋体" w:eastAsia="宋体" w:cs="宋体"/>
          <w:color w:val="000000"/>
          <w:sz w:val="24"/>
          <w:szCs w:val="24"/>
        </w:rPr>
        <w:t>见《投标须知前附表》。</w:t>
      </w:r>
    </w:p>
    <w:bookmarkEnd w:id="7"/>
    <w:p>
      <w:pPr>
        <w:keepNext/>
        <w:keepLines/>
        <w:numPr>
          <w:ilvl w:val="0"/>
          <w:numId w:val="5"/>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5"/>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highlight w:val="yellow"/>
          <w:lang w:val="en-US" w:eastAsia="zh-CN"/>
        </w:rPr>
        <w:t>见</w:t>
      </w:r>
      <w:r>
        <w:rPr>
          <w:rFonts w:hint="eastAsia" w:ascii="宋体" w:hAnsi="宋体" w:eastAsia="宋体" w:cs="宋体"/>
          <w:color w:val="000000"/>
          <w:sz w:val="24"/>
          <w:szCs w:val="24"/>
          <w:highlight w:val="yellow"/>
        </w:rPr>
        <w:t>附件）</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w:t>
      </w:r>
      <w:r>
        <w:rPr>
          <w:rFonts w:hint="eastAsia" w:ascii="宋体" w:hAnsi="宋体" w:eastAsia="宋体" w:cs="宋体"/>
          <w:b/>
          <w:color w:val="000000"/>
          <w:sz w:val="24"/>
          <w:szCs w:val="24"/>
          <w:highlight w:val="yellow"/>
          <w:lang w:val="en-US" w:eastAsia="zh-CN"/>
        </w:rPr>
        <w:t>见</w:t>
      </w:r>
      <w:r>
        <w:rPr>
          <w:rFonts w:hint="eastAsia" w:ascii="宋体" w:hAnsi="宋体" w:eastAsia="宋体" w:cs="宋体"/>
          <w:b/>
          <w:color w:val="000000"/>
          <w:sz w:val="24"/>
          <w:szCs w:val="24"/>
          <w:highlight w:val="yellow"/>
        </w:rPr>
        <w:t>附件）</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w:t>
      </w:r>
      <w:r>
        <w:rPr>
          <w:rFonts w:hint="eastAsia" w:ascii="宋体" w:hAnsi="宋体" w:eastAsia="宋体" w:cs="宋体"/>
          <w:color w:val="000000"/>
          <w:sz w:val="24"/>
          <w:szCs w:val="24"/>
          <w:lang w:val="en-US" w:eastAsia="zh-CN"/>
        </w:rPr>
        <w:t>编制要求准备材料</w:t>
      </w:r>
      <w:r>
        <w:rPr>
          <w:rFonts w:hint="eastAsia" w:ascii="宋体" w:hAnsi="宋体" w:eastAsia="宋体" w:cs="宋体"/>
          <w:color w:val="000000"/>
          <w:sz w:val="24"/>
          <w:szCs w:val="24"/>
        </w:rPr>
        <w:t>，资质审查通过即为报名成功，公示期间请尽快报名。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6"/>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21"/>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对于投标条件详见招标文件“第一部分投标须知前附表1.6”。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lang w:val="en-US" w:eastAsia="zh-CN"/>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pStyle w:val="21"/>
        <w:spacing w:line="360" w:lineRule="auto"/>
        <w:ind w:firstLine="420" w:firstLineChars="200"/>
      </w:pPr>
      <w:r>
        <w:rPr>
          <w:rFonts w:hint="eastAsia"/>
        </w:rPr>
        <w:t>1. 招标人根据评标工作小组的评标结果按相关法律法规的规定及公司相关制度要求，确定中标人。中标人承诺无条件服从招标人针对该项目的后续所有安排。</w:t>
      </w:r>
    </w:p>
    <w:p>
      <w:pPr>
        <w:pStyle w:val="21"/>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通知后3个工作日内）到招标单位对《中标人推荐表》进行签字确认并签订合同，如果中标人接到《中标通知书》后，无</w:t>
      </w:r>
      <w:r>
        <w:rPr>
          <w:rFonts w:hAnsi="宋体"/>
          <w:szCs w:val="21"/>
        </w:rPr>
        <w:t>不正当理由</w:t>
      </w:r>
      <w:r>
        <w:rPr>
          <w:rFonts w:hint="eastAsia" w:hAnsi="宋体"/>
          <w:szCs w:val="21"/>
        </w:rPr>
        <w:t>拒签</w:t>
      </w:r>
      <w:r>
        <w:rPr>
          <w:rFonts w:hAnsi="宋体"/>
          <w:szCs w:val="21"/>
        </w:rPr>
        <w:t>合同</w:t>
      </w:r>
      <w:r>
        <w:rPr>
          <w:rFonts w:hint="eastAsia" w:hAnsi="宋体"/>
          <w:szCs w:val="21"/>
        </w:rPr>
        <w:t>、</w:t>
      </w:r>
      <w:r>
        <w:rPr>
          <w:rFonts w:hAnsi="宋体"/>
          <w:szCs w:val="21"/>
        </w:rPr>
        <w:t>在签订合同时向招标人提出</w:t>
      </w:r>
      <w:r>
        <w:rPr>
          <w:rFonts w:hint="eastAsia" w:hAnsi="宋体"/>
          <w:szCs w:val="21"/>
        </w:rPr>
        <w:t>无理</w:t>
      </w:r>
      <w:r>
        <w:rPr>
          <w:rFonts w:hAnsi="宋体"/>
          <w:szCs w:val="21"/>
        </w:rPr>
        <w:t>附加条件</w:t>
      </w:r>
      <w:r>
        <w:rPr>
          <w:rFonts w:hint="eastAsia" w:hAnsi="宋体"/>
          <w:szCs w:val="21"/>
        </w:rPr>
        <w:t>的，取消该投标人的中标资格</w:t>
      </w:r>
      <w:r>
        <w:rPr>
          <w:rFonts w:hAnsi="宋体"/>
          <w:szCs w:val="21"/>
        </w:rPr>
        <w:t>，</w:t>
      </w:r>
      <w:r>
        <w:rPr>
          <w:rFonts w:hint="eastAsia" w:hAnsi="宋体"/>
          <w:szCs w:val="21"/>
        </w:rPr>
        <w:t>该企业进入中国重汽集团《违约单位名录》,禁止其参加中国重汽集团系统内所有单位招标。</w:t>
      </w:r>
    </w:p>
    <w:p>
      <w:pPr>
        <w:pStyle w:val="21"/>
        <w:spacing w:line="360" w:lineRule="auto"/>
        <w:ind w:firstLine="420" w:firstLineChars="200"/>
        <w:rPr>
          <w:rFonts w:hAnsi="宋体"/>
          <w:szCs w:val="21"/>
        </w:rPr>
      </w:pPr>
      <w:r>
        <w:rPr>
          <w:rFonts w:hAnsi="宋体"/>
          <w:szCs w:val="21"/>
        </w:rPr>
        <w:t>3</w:t>
      </w:r>
      <w:r>
        <w:rPr>
          <w:rFonts w:hint="eastAsia" w:hAnsi="宋体"/>
          <w:szCs w:val="21"/>
        </w:rPr>
        <w:t>.中标人应在保证质量的前提下完成中标项目，不得将中标项目转包或分包给他人，否则视为违约，招标人或相关单位有权解除合同。</w:t>
      </w:r>
    </w:p>
    <w:p>
      <w:pPr>
        <w:pStyle w:val="21"/>
        <w:spacing w:line="360" w:lineRule="auto"/>
        <w:ind w:firstLine="420" w:firstLineChars="200"/>
        <w:rPr>
          <w:rFonts w:hAnsi="宋体"/>
          <w:szCs w:val="21"/>
        </w:rPr>
      </w:pPr>
      <w:r>
        <w:rPr>
          <w:rFonts w:hAnsi="宋体"/>
          <w:szCs w:val="21"/>
        </w:rPr>
        <w:t>4</w:t>
      </w:r>
      <w:r>
        <w:rPr>
          <w:rFonts w:hint="eastAsia" w:hAnsi="宋体"/>
          <w:szCs w:val="21"/>
        </w:rPr>
        <w:t>.在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pStyle w:val="21"/>
        <w:spacing w:line="360" w:lineRule="auto"/>
        <w:ind w:firstLine="420" w:firstLineChars="200"/>
        <w:rPr>
          <w:rFonts w:hint="eastAsia" w:eastAsiaTheme="minorEastAsia"/>
          <w:lang w:eastAsia="zh-CN"/>
        </w:rPr>
      </w:pPr>
      <w:r>
        <w:rPr>
          <w:rFonts w:hint="eastAsia"/>
        </w:rPr>
        <w:t>出现下列情形之一，招标人有权否决所有投标人的投标，并终止招标</w:t>
      </w:r>
      <w:r>
        <w:rPr>
          <w:rFonts w:hint="eastAsia"/>
          <w:lang w:eastAsia="zh-CN"/>
        </w:rPr>
        <w:t>：</w:t>
      </w:r>
    </w:p>
    <w:p>
      <w:pPr>
        <w:pStyle w:val="21"/>
        <w:spacing w:line="360" w:lineRule="auto"/>
        <w:ind w:firstLine="420" w:firstLineChars="200"/>
      </w:pPr>
      <w:r>
        <w:rPr>
          <w:rFonts w:hint="eastAsia"/>
        </w:rPr>
        <w:t>1</w:t>
      </w:r>
      <w:r>
        <w:t>.</w:t>
      </w:r>
      <w:r>
        <w:rPr>
          <w:rFonts w:hint="eastAsia"/>
        </w:rPr>
        <w:t>符合条件的投标人或者对招标文件做实质响应的投标人不足三家的。</w:t>
      </w:r>
    </w:p>
    <w:p>
      <w:pPr>
        <w:pStyle w:val="21"/>
        <w:spacing w:line="360" w:lineRule="auto"/>
        <w:ind w:firstLine="420" w:firstLineChars="200"/>
      </w:pPr>
      <w:r>
        <w:rPr>
          <w:rFonts w:hint="eastAsia"/>
        </w:rPr>
        <w:t>2</w:t>
      </w:r>
      <w:r>
        <w:t>.</w:t>
      </w:r>
      <w:r>
        <w:rPr>
          <w:rFonts w:hint="eastAsia"/>
        </w:rPr>
        <w:t>出现影响采购公正的违法、违规行为的。</w:t>
      </w:r>
    </w:p>
    <w:p>
      <w:pPr>
        <w:pStyle w:val="21"/>
        <w:spacing w:line="360" w:lineRule="auto"/>
        <w:ind w:firstLine="420" w:firstLineChars="200"/>
      </w:pPr>
      <w:r>
        <w:rPr>
          <w:rFonts w:hint="eastAsia"/>
        </w:rPr>
        <w:t>3</w:t>
      </w:r>
      <w:r>
        <w:t>.</w:t>
      </w:r>
      <w:r>
        <w:rPr>
          <w:rFonts w:hint="eastAsia"/>
        </w:rPr>
        <w:t>经评标委员会评审，所有投标均不符合招标方要求的。</w:t>
      </w:r>
    </w:p>
    <w:p>
      <w:pPr>
        <w:pStyle w:val="21"/>
        <w:spacing w:line="360" w:lineRule="auto"/>
        <w:ind w:firstLine="420" w:firstLineChars="200"/>
      </w:pPr>
      <w:r>
        <w:rPr>
          <w:rFonts w:hint="eastAsia"/>
        </w:rPr>
        <w:t>4</w:t>
      </w:r>
      <w:r>
        <w:t>.</w:t>
      </w:r>
      <w:r>
        <w:rPr>
          <w:rFonts w:hint="eastAsia"/>
        </w:rPr>
        <w:t>因重大变故，采购任务取消的。</w:t>
      </w:r>
    </w:p>
    <w:p>
      <w:pPr>
        <w:pStyle w:val="21"/>
        <w:spacing w:line="360" w:lineRule="auto"/>
        <w:ind w:firstLine="420" w:firstLineChars="200"/>
        <w:rPr>
          <w:rFonts w:hint="eastAsia"/>
        </w:rPr>
      </w:pPr>
      <w:r>
        <w:rPr>
          <w:rFonts w:hint="eastAsia"/>
        </w:rPr>
        <w:t>5.招标人认为其他应终止招标的情形。</w:t>
      </w:r>
    </w:p>
    <w:p>
      <w:pPr>
        <w:pStyle w:val="21"/>
        <w:spacing w:line="360" w:lineRule="auto"/>
        <w:ind w:firstLine="420" w:firstLineChars="200"/>
      </w:pPr>
      <w:r>
        <w:rPr>
          <w:rFonts w:hint="eastAsia"/>
        </w:rPr>
        <w:t>投标人有下列情形之一，其投标将被视为废标，招标人将严格按照《中华人民共</w:t>
      </w:r>
      <w:r>
        <w:rPr>
          <w:rFonts w:hint="eastAsia"/>
        </w:rPr>
        <w:cr/>
      </w:r>
      <w:r>
        <w:rPr>
          <w:rFonts w:hint="eastAsia"/>
        </w:rPr>
        <w:t>和国招标投标法》及相关法律、法规及规章制度的规定行使权利。投标人给招标人造</w:t>
      </w:r>
      <w:r>
        <w:rPr>
          <w:rFonts w:hint="eastAsia"/>
        </w:rPr>
        <w:cr/>
      </w:r>
      <w:r>
        <w:rPr>
          <w:rFonts w:hint="eastAsia"/>
        </w:rPr>
        <w:t>成损失的，招标人有索赔的权利，投标人应予以赔偿。</w:t>
      </w:r>
    </w:p>
    <w:p>
      <w:pPr>
        <w:pStyle w:val="21"/>
        <w:spacing w:line="360" w:lineRule="auto"/>
        <w:ind w:firstLine="420" w:firstLineChars="200"/>
      </w:pPr>
      <w:r>
        <w:rPr>
          <w:rFonts w:hint="eastAsia"/>
        </w:rPr>
        <w:t>1</w:t>
      </w:r>
      <w:r>
        <w:t>.</w:t>
      </w:r>
      <w:r>
        <w:rPr>
          <w:rFonts w:hint="eastAsia"/>
        </w:rPr>
        <w:t>投标人提供的有关资格、资质证明文件不合格、不真实或提供虚假投标材料。</w:t>
      </w:r>
    </w:p>
    <w:p>
      <w:pPr>
        <w:pStyle w:val="21"/>
        <w:spacing w:line="360" w:lineRule="auto"/>
        <w:ind w:firstLine="420" w:firstLineChars="200"/>
      </w:pPr>
      <w:r>
        <w:rPr>
          <w:rFonts w:hint="eastAsia"/>
        </w:rPr>
        <w:t>2</w:t>
      </w:r>
      <w:r>
        <w:t>.</w:t>
      </w:r>
      <w:r>
        <w:rPr>
          <w:rFonts w:hint="eastAsia"/>
        </w:rPr>
        <w:t>投标人在报价有效期内撤回投标。</w:t>
      </w:r>
    </w:p>
    <w:p>
      <w:pPr>
        <w:pStyle w:val="21"/>
        <w:spacing w:line="360" w:lineRule="auto"/>
        <w:ind w:firstLine="420" w:firstLineChars="200"/>
      </w:pPr>
      <w:r>
        <w:rPr>
          <w:rFonts w:hint="eastAsia"/>
        </w:rPr>
        <w:t>3</w:t>
      </w:r>
      <w:r>
        <w:t>.</w:t>
      </w:r>
      <w:r>
        <w:rPr>
          <w:rFonts w:hint="eastAsia"/>
        </w:rPr>
        <w:t>在整个评标过程中，投标人有企图影响评标结果公正性的任何活动；</w:t>
      </w:r>
    </w:p>
    <w:p>
      <w:pPr>
        <w:pStyle w:val="21"/>
        <w:spacing w:line="360" w:lineRule="auto"/>
        <w:ind w:firstLine="420" w:firstLineChars="200"/>
      </w:pPr>
      <w:r>
        <w:rPr>
          <w:rFonts w:hint="eastAsia"/>
        </w:rPr>
        <w:t>4投标人以任何方式诋毁其他投标人。</w:t>
      </w:r>
    </w:p>
    <w:p>
      <w:pPr>
        <w:pStyle w:val="21"/>
        <w:spacing w:line="360" w:lineRule="auto"/>
        <w:ind w:firstLine="420" w:firstLineChars="200"/>
      </w:pPr>
      <w:r>
        <w:rPr>
          <w:rFonts w:hint="eastAsia"/>
        </w:rPr>
        <w:t>5</w:t>
      </w:r>
      <w:r>
        <w:t>.</w:t>
      </w:r>
      <w:r>
        <w:rPr>
          <w:rFonts w:hint="eastAsia"/>
        </w:rPr>
        <w:t>投标人串通投标。</w:t>
      </w:r>
    </w:p>
    <w:p>
      <w:pPr>
        <w:pStyle w:val="21"/>
        <w:spacing w:line="360" w:lineRule="auto"/>
        <w:ind w:firstLine="420" w:firstLineChars="200"/>
      </w:pPr>
      <w:r>
        <w:rPr>
          <w:rFonts w:hint="eastAsia"/>
        </w:rPr>
        <w:t>6</w:t>
      </w:r>
      <w:r>
        <w:t>.</w:t>
      </w:r>
      <w:r>
        <w:rPr>
          <w:rFonts w:hint="eastAsia"/>
        </w:rPr>
        <w:t>以他人名义投标或者以其他方式弄虚作假，骗取中标的。</w:t>
      </w:r>
    </w:p>
    <w:p>
      <w:pPr>
        <w:pStyle w:val="21"/>
        <w:spacing w:line="360" w:lineRule="auto"/>
        <w:ind w:firstLine="420" w:firstLineChars="200"/>
      </w:pPr>
      <w:r>
        <w:rPr>
          <w:rFonts w:hint="eastAsia"/>
        </w:rPr>
        <w:t>7</w:t>
      </w:r>
      <w:r>
        <w:t>.</w:t>
      </w:r>
      <w:r>
        <w:rPr>
          <w:rFonts w:hint="eastAsia"/>
        </w:rPr>
        <w:t>中标人不按规定签订合同。</w:t>
      </w:r>
    </w:p>
    <w:p>
      <w:pPr>
        <w:pStyle w:val="21"/>
        <w:spacing w:line="360" w:lineRule="auto"/>
        <w:ind w:firstLine="420" w:firstLineChars="200"/>
      </w:pPr>
      <w:r>
        <w:rPr>
          <w:rFonts w:hint="eastAsia"/>
        </w:rPr>
        <w:t>8</w:t>
      </w:r>
      <w:r>
        <w:t>.</w:t>
      </w:r>
      <w:r>
        <w:rPr>
          <w:rFonts w:hint="eastAsia"/>
        </w:rPr>
        <w:t>投标人负责人为同一人或者存在控股、管理关系的不同单位；</w:t>
      </w:r>
    </w:p>
    <w:p>
      <w:pPr>
        <w:pStyle w:val="21"/>
        <w:spacing w:line="360" w:lineRule="auto"/>
        <w:ind w:firstLine="420" w:firstLineChars="200"/>
      </w:pPr>
      <w:r>
        <w:rPr>
          <w:rFonts w:hint="eastAsia"/>
        </w:rPr>
        <w:t>9投标人被举报、检举，并经招标方查实无误的。</w:t>
      </w:r>
    </w:p>
    <w:p>
      <w:pPr>
        <w:pStyle w:val="21"/>
        <w:numPr>
          <w:ilvl w:val="0"/>
          <w:numId w:val="7"/>
        </w:numPr>
        <w:spacing w:line="360" w:lineRule="auto"/>
        <w:ind w:firstLine="420" w:firstLineChars="200"/>
        <w:rPr>
          <w:rFonts w:hint="eastAsia"/>
        </w:rPr>
      </w:pPr>
      <w:r>
        <w:rPr>
          <w:rFonts w:hint="eastAsia"/>
        </w:rPr>
        <w:t>法律、法规规定的其他情况。</w:t>
      </w:r>
    </w:p>
    <w:p>
      <w:pPr>
        <w:pStyle w:val="21"/>
        <w:numPr>
          <w:ilvl w:val="0"/>
          <w:numId w:val="0"/>
        </w:numPr>
        <w:spacing w:line="360" w:lineRule="auto"/>
        <w:rPr>
          <w:rFonts w:hint="eastAsia"/>
        </w:rPr>
      </w:pPr>
    </w:p>
    <w:p>
      <w:pPr>
        <w:pStyle w:val="21"/>
        <w:numPr>
          <w:ilvl w:val="0"/>
          <w:numId w:val="8"/>
        </w:numPr>
        <w:spacing w:line="360" w:lineRule="auto"/>
        <w:rPr>
          <w:rFonts w:hint="eastAsia" w:hAnsi="宋体" w:eastAsia="宋体" w:cs="宋体"/>
          <w:b/>
          <w:bCs/>
          <w:kern w:val="2"/>
          <w:sz w:val="24"/>
          <w:szCs w:val="24"/>
          <w:lang w:val="en-US" w:eastAsia="zh-CN" w:bidi="ar-SA"/>
        </w:rPr>
      </w:pPr>
      <w:r>
        <w:rPr>
          <w:rFonts w:hint="eastAsia" w:hAnsi="宋体" w:eastAsia="宋体" w:cs="宋体"/>
          <w:b/>
          <w:bCs/>
          <w:kern w:val="2"/>
          <w:sz w:val="24"/>
          <w:szCs w:val="24"/>
          <w:lang w:val="en-US" w:eastAsia="zh-CN" w:bidi="ar-SA"/>
        </w:rPr>
        <w:t>验收</w:t>
      </w:r>
    </w:p>
    <w:p>
      <w:pPr>
        <w:spacing w:line="360" w:lineRule="auto"/>
        <w:ind w:firstLine="420" w:firstLineChars="200"/>
        <w:rPr>
          <w:rFonts w:hint="default" w:hAnsi="宋体" w:eastAsia="宋体" w:cs="宋体"/>
          <w:b/>
          <w:bCs/>
          <w:kern w:val="2"/>
          <w:sz w:val="24"/>
          <w:szCs w:val="24"/>
          <w:lang w:val="en-US" w:eastAsia="zh-CN" w:bidi="ar-SA"/>
        </w:rPr>
      </w:pPr>
      <w:r>
        <w:rPr>
          <w:rFonts w:hint="eastAsia"/>
        </w:rPr>
        <w:t>中标人不得以任何非正当理由拒绝该项目执行，招标人有权根据项目执行情况</w:t>
      </w:r>
      <w:r>
        <w:rPr>
          <w:rFonts w:hint="eastAsia" w:ascii="宋体" w:hAnsi="Courier New"/>
          <w:szCs w:val="22"/>
        </w:rPr>
        <w:t>、服务及时性及态度对中标人每季度进行评分，评分标准细则详见合同，低于80分甲方有权采取包括但不限于罚款及单方面终止合同等措施进行处罚。合同期内，乙方必须服从管理，如严重违规，给甲方造成重大损失的，甲方有权单方面无条件终止协议,</w:t>
      </w:r>
      <w:r>
        <w:rPr>
          <w:rFonts w:hint="eastAsia" w:hAnsi="宋体"/>
          <w:szCs w:val="21"/>
        </w:rPr>
        <w:t>合同约定以最终签署版本为准。</w:t>
      </w:r>
    </w:p>
    <w:p>
      <w:pPr>
        <w:pStyle w:val="2"/>
        <w:ind w:left="0" w:leftChars="0" w:firstLine="0" w:firstLineChars="0"/>
        <w:rPr>
          <w:rFonts w:hint="eastAsia"/>
        </w:rPr>
      </w:pPr>
    </w:p>
    <w:p>
      <w:pPr>
        <w:spacing w:line="360" w:lineRule="auto"/>
        <w:ind w:right="2"/>
        <w:outlineLvl w:val="1"/>
        <w:rPr>
          <w:rFonts w:hint="eastAsia" w:ascii="宋体" w:hAnsi="宋体" w:eastAsia="宋体" w:cs="宋体"/>
          <w:b/>
          <w:color w:val="000000"/>
          <w:sz w:val="24"/>
          <w:szCs w:val="24"/>
        </w:rPr>
      </w:pPr>
      <w:r>
        <w:rPr>
          <w:rFonts w:hint="eastAsia" w:ascii="宋体" w:hAnsi="宋体" w:eastAsia="宋体" w:cs="宋体"/>
          <w:b/>
          <w:bCs/>
          <w:sz w:val="24"/>
          <w:szCs w:val="24"/>
          <w:lang w:val="en-US" w:eastAsia="zh-CN"/>
        </w:rPr>
        <w:t>十</w:t>
      </w:r>
      <w:r>
        <w:rPr>
          <w:rFonts w:hint="eastAsia" w:ascii="宋体" w:hAnsi="宋体" w:eastAsia="宋体" w:cs="宋体"/>
          <w:b/>
          <w:bCs/>
          <w:sz w:val="24"/>
          <w:szCs w:val="24"/>
        </w:rPr>
        <w:t>、本次招标最终解释权</w:t>
      </w:r>
      <w:r>
        <w:rPr>
          <w:rFonts w:hint="eastAsia" w:ascii="宋体" w:hAnsi="宋体" w:eastAsia="宋体" w:cs="宋体"/>
          <w:b/>
          <w:color w:val="000000"/>
          <w:sz w:val="24"/>
          <w:szCs w:val="24"/>
        </w:rPr>
        <w:t>归中国重汽集团济南动力有限公司。</w:t>
      </w:r>
    </w:p>
    <w:p>
      <w:pPr>
        <w:pStyle w:val="21"/>
        <w:spacing w:line="360" w:lineRule="auto"/>
        <w:jc w:val="center"/>
        <w:rPr>
          <w:rFonts w:hint="eastAsia"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bookmarkEnd w:id="0"/>
    <w:bookmarkEnd w:id="1"/>
    <w:p>
      <w:pPr>
        <w:spacing w:line="360" w:lineRule="auto"/>
        <w:jc w:val="both"/>
        <w:outlineLvl w:val="0"/>
        <w:rPr>
          <w:b/>
          <w:sz w:val="32"/>
          <w:szCs w:val="32"/>
        </w:rPr>
      </w:pPr>
      <w:bookmarkStart w:id="8" w:name="_Toc28859"/>
      <w:r>
        <w:rPr>
          <w:rFonts w:hint="eastAsia"/>
          <w:b/>
          <w:sz w:val="40"/>
          <w:szCs w:val="32"/>
          <w:lang w:val="en-US" w:eastAsia="zh-CN"/>
        </w:rPr>
        <w:t xml:space="preserve">第三部分 </w:t>
      </w:r>
      <w:r>
        <w:rPr>
          <w:rFonts w:hint="eastAsia"/>
          <w:b/>
          <w:sz w:val="40"/>
          <w:szCs w:val="32"/>
        </w:rPr>
        <w:t>技术</w:t>
      </w:r>
      <w:r>
        <w:rPr>
          <w:rFonts w:hint="eastAsia"/>
          <w:b/>
          <w:sz w:val="40"/>
          <w:szCs w:val="32"/>
          <w:lang w:val="en-US" w:eastAsia="zh-CN"/>
        </w:rPr>
        <w:t>标文件</w:t>
      </w:r>
    </w:p>
    <w:p>
      <w:pPr>
        <w:overflowPunct w:val="0"/>
        <w:topLinePunct/>
        <w:spacing w:line="560" w:lineRule="exact"/>
        <w:jc w:val="both"/>
        <w:outlineLvl w:val="1"/>
        <w:rPr>
          <w:rFonts w:hint="default" w:ascii="黑体" w:eastAsia="黑体"/>
          <w:sz w:val="28"/>
          <w:szCs w:val="28"/>
          <w:lang w:val="en-US" w:eastAsia="zh-CN"/>
        </w:rPr>
      </w:pPr>
      <w:r>
        <w:rPr>
          <w:rFonts w:hint="eastAsia" w:ascii="黑体" w:eastAsia="黑体"/>
          <w:sz w:val="28"/>
          <w:szCs w:val="28"/>
          <w:lang w:val="en-US" w:eastAsia="zh-CN"/>
        </w:rPr>
        <w:t>一、招标项目</w:t>
      </w:r>
    </w:p>
    <w:p>
      <w:pPr>
        <w:spacing w:line="360" w:lineRule="auto"/>
        <w:ind w:firstLine="420" w:firstLineChars="200"/>
      </w:pPr>
      <w:r>
        <w:rPr>
          <w:rFonts w:hint="eastAsia"/>
        </w:rPr>
        <w:t>1</w:t>
      </w:r>
      <w:r>
        <w:t>.</w:t>
      </w:r>
      <w:r>
        <w:rPr>
          <w:rFonts w:hint="eastAsia"/>
        </w:rPr>
        <w:t>项目背景及内容：重汽后市场视频号是我公司企业形象及产品实力对外展示的重要渠道，为我公司企业实力和产品宣传提拱了有利支持。 由于 2024 年度线上平台技术直播支持项目即将到期，为加大线上传播力度，扩大品牌知名度，进一步促进集团整车销售，本次招标内容包含直播所需的内容策划、主持人、直播运营、月度传播计划、总结及传播方案等。</w:t>
      </w:r>
    </w:p>
    <w:p>
      <w:pPr>
        <w:spacing w:line="360" w:lineRule="auto"/>
        <w:ind w:firstLine="420" w:firstLineChars="200"/>
      </w:pPr>
      <w:r>
        <w:rPr>
          <w:rFonts w:hint="eastAsia"/>
        </w:rPr>
        <w:t>2.项目用途：提升品牌、产品传播效果，助力营销。</w:t>
      </w:r>
    </w:p>
    <w:p>
      <w:pPr>
        <w:spacing w:line="360" w:lineRule="auto"/>
        <w:ind w:firstLine="420" w:firstLineChars="200"/>
      </w:pPr>
      <w:r>
        <w:rPr>
          <w:rFonts w:hint="eastAsia"/>
        </w:rPr>
        <w:t>3.项目执行期：自签订合同之日起 12 个月（具体时间以中标后合同约定的时间为准）</w:t>
      </w:r>
    </w:p>
    <w:p>
      <w:pPr>
        <w:spacing w:line="360" w:lineRule="auto"/>
        <w:ind w:firstLine="420" w:firstLineChars="200"/>
      </w:pPr>
      <w:r>
        <w:rPr>
          <w:rFonts w:hint="eastAsia"/>
        </w:rPr>
        <w:t>4.项目交付物</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2551"/>
        <w:gridCol w:w="5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b/>
                <w:color w:val="000000"/>
                <w:kern w:val="0"/>
                <w:sz w:val="16"/>
                <w:szCs w:val="16"/>
              </w:rPr>
            </w:pPr>
            <w:r>
              <w:rPr>
                <w:rFonts w:hint="eastAsia" w:ascii="等线" w:hAnsi="等线" w:eastAsia="等线" w:cs="宋体"/>
                <w:b/>
                <w:color w:val="000000"/>
                <w:kern w:val="0"/>
                <w:sz w:val="16"/>
                <w:szCs w:val="16"/>
              </w:rPr>
              <w:t>序号</w:t>
            </w:r>
          </w:p>
        </w:tc>
        <w:tc>
          <w:tcPr>
            <w:tcW w:w="2551" w:type="dxa"/>
          </w:tcPr>
          <w:p>
            <w:pPr>
              <w:spacing w:line="360" w:lineRule="auto"/>
              <w:jc w:val="center"/>
              <w:rPr>
                <w:rFonts w:ascii="等线" w:hAnsi="等线" w:eastAsia="等线" w:cs="宋体"/>
                <w:b/>
                <w:color w:val="000000"/>
                <w:kern w:val="0"/>
                <w:sz w:val="16"/>
                <w:szCs w:val="16"/>
              </w:rPr>
            </w:pPr>
            <w:r>
              <w:rPr>
                <w:rFonts w:hint="eastAsia" w:ascii="等线" w:hAnsi="等线" w:eastAsia="等线" w:cs="宋体"/>
                <w:b/>
                <w:color w:val="000000"/>
                <w:kern w:val="0"/>
                <w:sz w:val="16"/>
                <w:szCs w:val="16"/>
              </w:rPr>
              <w:t>服务项目（工作细项）</w:t>
            </w:r>
          </w:p>
        </w:tc>
        <w:tc>
          <w:tcPr>
            <w:tcW w:w="5381" w:type="dxa"/>
          </w:tcPr>
          <w:p>
            <w:pPr>
              <w:spacing w:line="360" w:lineRule="auto"/>
              <w:jc w:val="center"/>
              <w:rPr>
                <w:rFonts w:ascii="等线" w:hAnsi="等线" w:eastAsia="等线" w:cs="宋体"/>
                <w:b/>
                <w:color w:val="000000"/>
                <w:kern w:val="0"/>
                <w:sz w:val="16"/>
                <w:szCs w:val="16"/>
              </w:rPr>
            </w:pPr>
            <w:r>
              <w:rPr>
                <w:rFonts w:hint="eastAsia" w:ascii="等线" w:hAnsi="等线" w:eastAsia="等线" w:cs="宋体"/>
                <w:b/>
                <w:color w:val="000000"/>
                <w:kern w:val="0"/>
                <w:sz w:val="16"/>
                <w:szCs w:val="16"/>
              </w:rPr>
              <w:t>详细说明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1</w:t>
            </w:r>
          </w:p>
        </w:tc>
        <w:tc>
          <w:tcPr>
            <w:tcW w:w="255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标杆中心库直播</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根据重汽后市场要求，对重汽后市场全国范围内标杆中心库进行宣传直播，执行期内不少于4场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2</w:t>
            </w:r>
          </w:p>
        </w:tc>
        <w:tc>
          <w:tcPr>
            <w:tcW w:w="255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常规化直播（实景或绿幕直播间直播）</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根据产品推广需求，重点节日节点以场景化应用在官方直播间、济南区域内中心库、车辆等场景下对产品进行直播宣传，执行期内不少于20场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3</w:t>
            </w:r>
          </w:p>
        </w:tc>
        <w:tc>
          <w:tcPr>
            <w:tcW w:w="255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宣传海报</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根据直播内容对直播进行宣传海报设计，执行期内不少于24张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4</w:t>
            </w:r>
          </w:p>
        </w:tc>
        <w:tc>
          <w:tcPr>
            <w:tcW w:w="255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直播间形象设计</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直播间形象展示设计，直播间形象打造，执行期内不少于24场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5</w:t>
            </w:r>
          </w:p>
        </w:tc>
        <w:tc>
          <w:tcPr>
            <w:tcW w:w="255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直播人员配置</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直播间内配备摄像师、现场导演、导播等专业直播人员配置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6</w:t>
            </w:r>
          </w:p>
        </w:tc>
        <w:tc>
          <w:tcPr>
            <w:tcW w:w="255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专业主持人</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熟悉重汽行业的专业主持人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7</w:t>
            </w:r>
          </w:p>
        </w:tc>
        <w:tc>
          <w:tcPr>
            <w:tcW w:w="2551" w:type="dxa"/>
            <w:vAlign w:val="center"/>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直播设备需求</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灯光、导播切换台、编码器、提词器、直播盒子、FX3专业摄像机、小蜜蜂收音设备等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vMerge w:val="restart"/>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8</w:t>
            </w:r>
          </w:p>
        </w:tc>
        <w:tc>
          <w:tcPr>
            <w:tcW w:w="2551" w:type="dxa"/>
            <w:vMerge w:val="restart"/>
            <w:vAlign w:val="center"/>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直播运营</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直播间里面的负面评论要有良好的应变和应对能力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4" w:hRule="atLeast"/>
          <w:jc w:val="center"/>
        </w:trPr>
        <w:tc>
          <w:tcPr>
            <w:tcW w:w="988" w:type="dxa"/>
            <w:vMerge w:val="continue"/>
          </w:tcPr>
          <w:p>
            <w:pPr>
              <w:spacing w:line="360" w:lineRule="auto"/>
              <w:jc w:val="center"/>
              <w:rPr>
                <w:rFonts w:ascii="等线" w:hAnsi="等线" w:eastAsia="等线" w:cs="宋体"/>
                <w:color w:val="000000"/>
                <w:kern w:val="0"/>
                <w:sz w:val="16"/>
                <w:szCs w:val="16"/>
              </w:rPr>
            </w:pPr>
          </w:p>
        </w:tc>
        <w:tc>
          <w:tcPr>
            <w:tcW w:w="2551" w:type="dxa"/>
            <w:vMerge w:val="continue"/>
          </w:tcPr>
          <w:p>
            <w:pPr>
              <w:spacing w:line="360" w:lineRule="auto"/>
              <w:jc w:val="center"/>
              <w:rPr>
                <w:rFonts w:ascii="等线" w:hAnsi="等线" w:eastAsia="等线" w:cs="宋体"/>
                <w:color w:val="000000"/>
                <w:kern w:val="0"/>
                <w:sz w:val="16"/>
                <w:szCs w:val="16"/>
              </w:rPr>
            </w:pP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工作总结、规划、日常管理等不少于24场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color w:val="000000"/>
                <w:kern w:val="0"/>
                <w:sz w:val="16"/>
                <w:szCs w:val="16"/>
              </w:rPr>
            </w:pPr>
            <w:bookmarkStart w:id="9" w:name="_Hlk200031054"/>
            <w:r>
              <w:rPr>
                <w:rFonts w:hint="eastAsia" w:ascii="等线" w:hAnsi="等线" w:eastAsia="等线" w:cs="宋体"/>
                <w:color w:val="000000"/>
                <w:kern w:val="0"/>
                <w:sz w:val="16"/>
                <w:szCs w:val="16"/>
              </w:rPr>
              <w:t>9</w:t>
            </w:r>
          </w:p>
        </w:tc>
        <w:tc>
          <w:tcPr>
            <w:tcW w:w="255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直播礼品</w:t>
            </w:r>
          </w:p>
        </w:tc>
        <w:tc>
          <w:tcPr>
            <w:tcW w:w="5381"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直播礼品价值不低于</w:t>
            </w:r>
            <w:r>
              <w:rPr>
                <w:rFonts w:ascii="等线" w:hAnsi="等线" w:eastAsia="等线" w:cs="宋体"/>
                <w:color w:val="000000"/>
                <w:kern w:val="0"/>
                <w:sz w:val="16"/>
                <w:szCs w:val="16"/>
              </w:rPr>
              <w:t>8</w:t>
            </w:r>
            <w:r>
              <w:rPr>
                <w:rFonts w:hint="eastAsia" w:ascii="等线" w:hAnsi="等线" w:eastAsia="等线" w:cs="宋体"/>
                <w:color w:val="000000"/>
                <w:kern w:val="0"/>
                <w:sz w:val="16"/>
                <w:szCs w:val="16"/>
              </w:rPr>
              <w:t>00元/场，年度不低于</w:t>
            </w:r>
            <w:r>
              <w:rPr>
                <w:rFonts w:ascii="等线" w:hAnsi="等线" w:eastAsia="等线" w:cs="宋体"/>
                <w:color w:val="000000"/>
                <w:kern w:val="0"/>
                <w:sz w:val="16"/>
                <w:szCs w:val="16"/>
              </w:rPr>
              <w:t>19200</w:t>
            </w:r>
            <w:r>
              <w:rPr>
                <w:rFonts w:hint="eastAsia" w:ascii="等线" w:hAnsi="等线" w:eastAsia="等线" w:cs="宋体"/>
                <w:color w:val="000000"/>
                <w:kern w:val="0"/>
                <w:sz w:val="16"/>
                <w:szCs w:val="16"/>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Pr>
          <w:p>
            <w:pPr>
              <w:spacing w:line="36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1</w:t>
            </w:r>
            <w:r>
              <w:rPr>
                <w:rFonts w:ascii="等线" w:hAnsi="等线" w:eastAsia="等线" w:cs="宋体"/>
                <w:color w:val="000000"/>
                <w:kern w:val="0"/>
                <w:sz w:val="16"/>
                <w:szCs w:val="16"/>
              </w:rPr>
              <w:t>0</w:t>
            </w:r>
          </w:p>
        </w:tc>
        <w:tc>
          <w:tcPr>
            <w:tcW w:w="2551" w:type="dxa"/>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问卷星运营数据年费</w:t>
            </w:r>
          </w:p>
        </w:tc>
        <w:tc>
          <w:tcPr>
            <w:tcW w:w="5381" w:type="dxa"/>
          </w:tcPr>
          <w:p>
            <w:pPr>
              <w:widowControl/>
              <w:jc w:val="center"/>
              <w:rPr>
                <w:rFonts w:ascii="微软雅黑" w:hAnsi="微软雅黑" w:eastAsia="微软雅黑"/>
                <w:kern w:val="0"/>
                <w:sz w:val="20"/>
              </w:rPr>
            </w:pPr>
            <w:r>
              <w:rPr>
                <w:rFonts w:hint="eastAsia" w:ascii="等线" w:hAnsi="等线" w:eastAsia="等线" w:cs="宋体"/>
                <w:color w:val="000000"/>
                <w:kern w:val="0"/>
                <w:sz w:val="16"/>
                <w:szCs w:val="16"/>
              </w:rPr>
              <w:t>企业版线上订单统计程序年费（问卷星）2999元/年</w:t>
            </w:r>
          </w:p>
        </w:tc>
      </w:tr>
      <w:bookmarkEnd w:id="9"/>
    </w:tbl>
    <w:p>
      <w:pPr>
        <w:spacing w:line="360" w:lineRule="auto"/>
        <w:ind w:firstLine="420" w:firstLineChars="200"/>
      </w:pPr>
      <w:r>
        <w:rPr>
          <w:rFonts w:hint="eastAsia"/>
        </w:rPr>
        <w:t>5.项目KPI指标：</w:t>
      </w:r>
    </w:p>
    <w:tbl>
      <w:tblPr>
        <w:tblStyle w:val="40"/>
        <w:tblW w:w="8813" w:type="dxa"/>
        <w:jc w:val="center"/>
        <w:tblLayout w:type="autofit"/>
        <w:tblCellMar>
          <w:top w:w="0" w:type="dxa"/>
          <w:left w:w="108" w:type="dxa"/>
          <w:bottom w:w="0" w:type="dxa"/>
          <w:right w:w="108" w:type="dxa"/>
        </w:tblCellMar>
      </w:tblPr>
      <w:tblGrid>
        <w:gridCol w:w="553"/>
        <w:gridCol w:w="1852"/>
        <w:gridCol w:w="1701"/>
        <w:gridCol w:w="1276"/>
        <w:gridCol w:w="3431"/>
      </w:tblGrid>
      <w:tr>
        <w:tblPrEx>
          <w:tblCellMar>
            <w:top w:w="0" w:type="dxa"/>
            <w:left w:w="108" w:type="dxa"/>
            <w:bottom w:w="0" w:type="dxa"/>
            <w:right w:w="108" w:type="dxa"/>
          </w:tblCellMar>
        </w:tblPrEx>
        <w:trPr>
          <w:trHeight w:val="572" w:hRule="atLeast"/>
          <w:jc w:val="center"/>
        </w:trPr>
        <w:tc>
          <w:tcPr>
            <w:tcW w:w="5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b/>
                <w:bCs/>
                <w:color w:val="000000"/>
                <w:kern w:val="0"/>
                <w:sz w:val="16"/>
                <w:szCs w:val="16"/>
              </w:rPr>
            </w:pPr>
            <w:r>
              <w:rPr>
                <w:rFonts w:hint="eastAsia" w:ascii="等线" w:hAnsi="等线" w:eastAsia="等线" w:cs="宋体"/>
                <w:b/>
                <w:bCs/>
                <w:color w:val="000000"/>
                <w:kern w:val="0"/>
                <w:sz w:val="16"/>
                <w:szCs w:val="16"/>
              </w:rPr>
              <w:t>序号</w:t>
            </w:r>
          </w:p>
        </w:tc>
        <w:tc>
          <w:tcPr>
            <w:tcW w:w="1852"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b/>
                <w:bCs/>
                <w:color w:val="000000"/>
                <w:kern w:val="0"/>
                <w:sz w:val="16"/>
                <w:szCs w:val="16"/>
              </w:rPr>
            </w:pPr>
            <w:r>
              <w:rPr>
                <w:rFonts w:hint="eastAsia" w:ascii="等线" w:hAnsi="等线" w:eastAsia="等线" w:cs="宋体"/>
                <w:b/>
                <w:bCs/>
                <w:color w:val="000000"/>
                <w:kern w:val="0"/>
                <w:sz w:val="16"/>
                <w:szCs w:val="16"/>
              </w:rPr>
              <w:t>类别</w:t>
            </w:r>
          </w:p>
        </w:tc>
        <w:tc>
          <w:tcPr>
            <w:tcW w:w="1701"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b/>
                <w:bCs/>
                <w:color w:val="000000"/>
                <w:kern w:val="0"/>
                <w:sz w:val="16"/>
                <w:szCs w:val="16"/>
              </w:rPr>
            </w:pPr>
            <w:r>
              <w:rPr>
                <w:rFonts w:hint="eastAsia" w:ascii="等线" w:hAnsi="等线" w:eastAsia="等线" w:cs="宋体"/>
                <w:b/>
                <w:bCs/>
                <w:color w:val="000000"/>
                <w:kern w:val="0"/>
                <w:sz w:val="16"/>
                <w:szCs w:val="16"/>
              </w:rPr>
              <w:t>指标及要求</w:t>
            </w:r>
          </w:p>
        </w:tc>
        <w:tc>
          <w:tcPr>
            <w:tcW w:w="12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b/>
                <w:bCs/>
                <w:color w:val="000000"/>
                <w:kern w:val="0"/>
                <w:sz w:val="16"/>
                <w:szCs w:val="16"/>
              </w:rPr>
            </w:pPr>
            <w:r>
              <w:rPr>
                <w:rFonts w:hint="eastAsia" w:ascii="等线" w:hAnsi="等线" w:eastAsia="等线" w:cs="宋体"/>
                <w:b/>
                <w:bCs/>
                <w:color w:val="000000"/>
                <w:kern w:val="0"/>
                <w:sz w:val="16"/>
                <w:szCs w:val="16"/>
              </w:rPr>
              <w:t>考核周期</w:t>
            </w:r>
          </w:p>
        </w:tc>
        <w:tc>
          <w:tcPr>
            <w:tcW w:w="3431" w:type="dxa"/>
            <w:tcBorders>
              <w:top w:val="single" w:color="auto" w:sz="4" w:space="0"/>
              <w:left w:val="nil"/>
              <w:bottom w:val="single" w:color="auto" w:sz="4" w:space="0"/>
              <w:right w:val="single" w:color="auto" w:sz="4" w:space="0"/>
            </w:tcBorders>
          </w:tcPr>
          <w:p>
            <w:pPr>
              <w:widowControl/>
              <w:spacing w:line="480" w:lineRule="auto"/>
              <w:jc w:val="center"/>
              <w:rPr>
                <w:rFonts w:ascii="等线" w:hAnsi="等线" w:eastAsia="等线" w:cs="宋体"/>
                <w:b/>
                <w:bCs/>
                <w:color w:val="000000"/>
                <w:kern w:val="0"/>
                <w:sz w:val="16"/>
                <w:szCs w:val="16"/>
              </w:rPr>
            </w:pPr>
            <w:r>
              <w:rPr>
                <w:rFonts w:hint="eastAsia" w:ascii="等线" w:hAnsi="等线" w:eastAsia="等线" w:cs="宋体"/>
                <w:b/>
                <w:bCs/>
                <w:color w:val="000000"/>
                <w:kern w:val="0"/>
                <w:sz w:val="16"/>
                <w:szCs w:val="16"/>
              </w:rPr>
              <w:t>考核内容</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1</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标杆中心库直播</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不少于4场，</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年度</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按照实际执行数量结算未完成部分按照报价进行考核</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2</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常规化直播（实景或绿幕直播间直播）</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不少于20场</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年度</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按照实际执行数量结算未完成部分按照报价进行考核</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3</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直播礼品</w:t>
            </w:r>
          </w:p>
        </w:tc>
        <w:tc>
          <w:tcPr>
            <w:tcW w:w="1701" w:type="dxa"/>
            <w:tcBorders>
              <w:top w:val="nil"/>
              <w:left w:val="nil"/>
              <w:bottom w:val="single" w:color="auto" w:sz="4" w:space="0"/>
              <w:right w:val="single" w:color="auto" w:sz="4" w:space="0"/>
            </w:tcBorders>
            <w:shd w:val="clear" w:color="auto" w:fill="auto"/>
            <w:noWrap/>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直播礼品价值平均不低于</w:t>
            </w:r>
            <w:r>
              <w:rPr>
                <w:rFonts w:ascii="等线" w:hAnsi="等线" w:eastAsia="等线" w:cs="宋体"/>
                <w:color w:val="000000"/>
                <w:kern w:val="0"/>
                <w:sz w:val="16"/>
                <w:szCs w:val="16"/>
              </w:rPr>
              <w:t>1000</w:t>
            </w:r>
            <w:r>
              <w:rPr>
                <w:rFonts w:hint="eastAsia" w:ascii="等线" w:hAnsi="等线" w:eastAsia="等线" w:cs="宋体"/>
                <w:color w:val="000000"/>
                <w:kern w:val="0"/>
                <w:sz w:val="16"/>
                <w:szCs w:val="16"/>
              </w:rPr>
              <w:t>元/场，年度不低于</w:t>
            </w:r>
            <w:r>
              <w:rPr>
                <w:rFonts w:ascii="等线" w:hAnsi="等线" w:eastAsia="等线" w:cs="宋体"/>
                <w:color w:val="000000"/>
                <w:kern w:val="0"/>
                <w:sz w:val="16"/>
                <w:szCs w:val="16"/>
              </w:rPr>
              <w:t>24000</w:t>
            </w:r>
            <w:r>
              <w:rPr>
                <w:rFonts w:hint="eastAsia" w:ascii="等线" w:hAnsi="等线" w:eastAsia="等线" w:cs="宋体"/>
                <w:color w:val="000000"/>
                <w:kern w:val="0"/>
                <w:sz w:val="16"/>
                <w:szCs w:val="16"/>
              </w:rPr>
              <w:t>元</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年度</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价格按《配件资源管理平台》挂网价和实际发票单价为标准，未完成的按实际金额费用结算</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4</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单场直播时长</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不低于</w:t>
            </w:r>
            <w:r>
              <w:rPr>
                <w:rFonts w:ascii="等线" w:hAnsi="等线" w:eastAsia="等线" w:cs="宋体"/>
                <w:color w:val="000000"/>
                <w:kern w:val="0"/>
                <w:sz w:val="16"/>
                <w:szCs w:val="16"/>
              </w:rPr>
              <w:t>50</w:t>
            </w:r>
            <w:r>
              <w:rPr>
                <w:rFonts w:hint="eastAsia" w:ascii="等线" w:hAnsi="等线" w:eastAsia="等线" w:cs="宋体"/>
                <w:color w:val="000000"/>
                <w:kern w:val="0"/>
                <w:sz w:val="16"/>
                <w:szCs w:val="16"/>
              </w:rPr>
              <w:t>分钟</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每出现一次不达标，考核1000元</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5</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直播观看人数</w:t>
            </w:r>
          </w:p>
        </w:tc>
        <w:tc>
          <w:tcPr>
            <w:tcW w:w="1701"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不少于</w:t>
            </w:r>
            <w:r>
              <w:rPr>
                <w:rFonts w:ascii="等线" w:hAnsi="等线" w:eastAsia="等线" w:cs="宋体"/>
                <w:color w:val="000000"/>
                <w:kern w:val="0"/>
                <w:sz w:val="16"/>
                <w:szCs w:val="16"/>
              </w:rPr>
              <w:t>6000</w:t>
            </w:r>
            <w:r>
              <w:rPr>
                <w:rFonts w:hint="eastAsia" w:ascii="等线" w:hAnsi="等线" w:eastAsia="等线" w:cs="宋体"/>
                <w:color w:val="000000"/>
                <w:kern w:val="0"/>
                <w:sz w:val="16"/>
                <w:szCs w:val="16"/>
              </w:rPr>
              <w:t>人次</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每场观看人数每低于</w:t>
            </w:r>
            <w:r>
              <w:rPr>
                <w:rFonts w:ascii="等线" w:hAnsi="等线" w:eastAsia="等线" w:cs="宋体"/>
                <w:color w:val="000000"/>
                <w:kern w:val="0"/>
                <w:sz w:val="16"/>
                <w:szCs w:val="16"/>
              </w:rPr>
              <w:t>1%</w:t>
            </w:r>
            <w:r>
              <w:rPr>
                <w:rFonts w:hint="eastAsia" w:ascii="等线" w:hAnsi="等线" w:eastAsia="等线" w:cs="宋体"/>
                <w:color w:val="000000"/>
                <w:kern w:val="0"/>
                <w:sz w:val="16"/>
                <w:szCs w:val="16"/>
              </w:rPr>
              <w:t>，考核</w:t>
            </w:r>
            <w:r>
              <w:rPr>
                <w:rFonts w:ascii="等线" w:hAnsi="等线" w:eastAsia="等线" w:cs="宋体"/>
                <w:color w:val="000000"/>
                <w:kern w:val="0"/>
                <w:sz w:val="16"/>
                <w:szCs w:val="16"/>
              </w:rPr>
              <w:t>1000</w:t>
            </w:r>
          </w:p>
        </w:tc>
      </w:tr>
      <w:tr>
        <w:tblPrEx>
          <w:tblCellMar>
            <w:top w:w="0" w:type="dxa"/>
            <w:left w:w="108" w:type="dxa"/>
            <w:bottom w:w="0" w:type="dxa"/>
            <w:right w:w="108" w:type="dxa"/>
          </w:tblCellMar>
        </w:tblPrEx>
        <w:trPr>
          <w:trHeight w:val="572" w:hRule="atLeast"/>
          <w:jc w:val="center"/>
        </w:trPr>
        <w:tc>
          <w:tcPr>
            <w:tcW w:w="5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6</w:t>
            </w:r>
          </w:p>
        </w:tc>
        <w:tc>
          <w:tcPr>
            <w:tcW w:w="185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直播内容</w:t>
            </w:r>
          </w:p>
        </w:tc>
        <w:tc>
          <w:tcPr>
            <w:tcW w:w="170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每场观众平均停留时长不低于</w:t>
            </w:r>
            <w:r>
              <w:rPr>
                <w:rFonts w:ascii="等线" w:hAnsi="等线" w:eastAsia="等线" w:cs="宋体"/>
                <w:color w:val="000000"/>
                <w:kern w:val="0"/>
                <w:sz w:val="16"/>
                <w:szCs w:val="16"/>
              </w:rPr>
              <w:t>4min</w:t>
            </w:r>
            <w:r>
              <w:rPr>
                <w:rFonts w:hint="eastAsia" w:ascii="等线" w:hAnsi="等线" w:eastAsia="等线" w:cs="宋体"/>
                <w:color w:val="000000"/>
                <w:kern w:val="0"/>
                <w:sz w:val="16"/>
                <w:szCs w:val="16"/>
              </w:rPr>
              <w:t>，同时直播不得违反广告法等相关法律法规</w:t>
            </w:r>
          </w:p>
        </w:tc>
        <w:tc>
          <w:tcPr>
            <w:tcW w:w="127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single" w:color="auto" w:sz="4" w:space="0"/>
              <w:left w:val="single" w:color="auto" w:sz="4" w:space="0"/>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每场平均停留时长低于</w:t>
            </w:r>
            <w:r>
              <w:rPr>
                <w:rFonts w:ascii="等线" w:hAnsi="等线" w:eastAsia="等线" w:cs="宋体"/>
                <w:color w:val="000000"/>
                <w:kern w:val="0"/>
                <w:sz w:val="16"/>
                <w:szCs w:val="16"/>
              </w:rPr>
              <w:t>4</w:t>
            </w:r>
            <w:r>
              <w:rPr>
                <w:rFonts w:hint="eastAsia" w:ascii="等线" w:hAnsi="等线" w:eastAsia="等线" w:cs="宋体"/>
                <w:color w:val="000000"/>
                <w:kern w:val="0"/>
                <w:sz w:val="16"/>
                <w:szCs w:val="16"/>
              </w:rPr>
              <w:t>m</w:t>
            </w:r>
            <w:r>
              <w:rPr>
                <w:rFonts w:ascii="等线" w:hAnsi="等线" w:eastAsia="等线" w:cs="宋体"/>
                <w:color w:val="000000"/>
                <w:kern w:val="0"/>
                <w:sz w:val="16"/>
                <w:szCs w:val="16"/>
              </w:rPr>
              <w:t>in</w:t>
            </w:r>
            <w:r>
              <w:rPr>
                <w:rFonts w:hint="eastAsia" w:ascii="等线" w:hAnsi="等线" w:eastAsia="等线" w:cs="宋体"/>
                <w:color w:val="000000"/>
                <w:kern w:val="0"/>
                <w:sz w:val="16"/>
                <w:szCs w:val="16"/>
              </w:rPr>
              <w:t>考核5</w:t>
            </w:r>
            <w:r>
              <w:rPr>
                <w:rFonts w:ascii="等线" w:hAnsi="等线" w:eastAsia="等线" w:cs="宋体"/>
                <w:color w:val="000000"/>
                <w:kern w:val="0"/>
                <w:sz w:val="16"/>
                <w:szCs w:val="16"/>
              </w:rPr>
              <w:t>00</w:t>
            </w:r>
            <w:r>
              <w:rPr>
                <w:rFonts w:hint="eastAsia" w:ascii="等线" w:hAnsi="等线" w:eastAsia="等线" w:cs="宋体"/>
                <w:color w:val="000000"/>
                <w:kern w:val="0"/>
                <w:sz w:val="16"/>
                <w:szCs w:val="16"/>
              </w:rPr>
              <w:t>元，违反广告法及相关法规的， 由代运营方负责进行处理及费用承担。</w:t>
            </w:r>
          </w:p>
        </w:tc>
      </w:tr>
      <w:tr>
        <w:tblPrEx>
          <w:tblCellMar>
            <w:top w:w="0" w:type="dxa"/>
            <w:left w:w="108" w:type="dxa"/>
            <w:bottom w:w="0" w:type="dxa"/>
            <w:right w:w="108" w:type="dxa"/>
          </w:tblCellMar>
        </w:tblPrEx>
        <w:trPr>
          <w:trHeight w:val="572" w:hRule="atLeast"/>
          <w:jc w:val="center"/>
        </w:trPr>
        <w:tc>
          <w:tcPr>
            <w:tcW w:w="5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7</w:t>
            </w:r>
          </w:p>
        </w:tc>
        <w:tc>
          <w:tcPr>
            <w:tcW w:w="1852"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宣传海报</w:t>
            </w:r>
          </w:p>
        </w:tc>
        <w:tc>
          <w:tcPr>
            <w:tcW w:w="1701" w:type="dxa"/>
            <w:tcBorders>
              <w:top w:val="single" w:color="auto" w:sz="4" w:space="0"/>
              <w:left w:val="nil"/>
              <w:bottom w:val="single" w:color="auto" w:sz="4" w:space="0"/>
              <w:right w:val="single" w:color="auto" w:sz="4" w:space="0"/>
            </w:tcBorders>
            <w:shd w:val="clear" w:color="000000" w:fill="FFFFFF"/>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每场直播不少于1张，总计不少于24张</w:t>
            </w:r>
          </w:p>
        </w:tc>
        <w:tc>
          <w:tcPr>
            <w:tcW w:w="1276"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single" w:color="auto" w:sz="4" w:space="0"/>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每出现一次不达标，考核300元</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8</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直播间形象设计</w:t>
            </w:r>
          </w:p>
        </w:tc>
        <w:tc>
          <w:tcPr>
            <w:tcW w:w="1701" w:type="dxa"/>
            <w:tcBorders>
              <w:top w:val="nil"/>
              <w:left w:val="nil"/>
              <w:bottom w:val="single" w:color="auto" w:sz="4" w:space="0"/>
              <w:right w:val="single" w:color="auto" w:sz="4" w:space="0"/>
            </w:tcBorders>
            <w:shd w:val="clear" w:color="000000" w:fill="FFFFFF"/>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每场直播不少于1组，总计不少于2</w:t>
            </w:r>
            <w:r>
              <w:rPr>
                <w:rFonts w:ascii="等线" w:hAnsi="等线" w:eastAsia="等线" w:cs="宋体"/>
                <w:color w:val="000000"/>
                <w:kern w:val="0"/>
                <w:sz w:val="16"/>
                <w:szCs w:val="16"/>
              </w:rPr>
              <w:t>0</w:t>
            </w:r>
            <w:r>
              <w:rPr>
                <w:rFonts w:hint="eastAsia" w:ascii="等线" w:hAnsi="等线" w:eastAsia="等线" w:cs="宋体"/>
                <w:color w:val="000000"/>
                <w:kern w:val="0"/>
                <w:sz w:val="16"/>
                <w:szCs w:val="16"/>
              </w:rPr>
              <w:t>张</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每出现一次不达标，考核300元</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ascii="等线" w:hAnsi="等线" w:eastAsia="等线" w:cs="宋体"/>
                <w:color w:val="000000"/>
                <w:kern w:val="0"/>
                <w:sz w:val="16"/>
                <w:szCs w:val="16"/>
              </w:rPr>
              <w:t>9</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海报及直播间形象质量</w:t>
            </w:r>
          </w:p>
        </w:tc>
        <w:tc>
          <w:tcPr>
            <w:tcW w:w="1701" w:type="dxa"/>
            <w:tcBorders>
              <w:top w:val="nil"/>
              <w:left w:val="nil"/>
              <w:bottom w:val="single" w:color="auto" w:sz="4" w:space="0"/>
              <w:right w:val="single" w:color="auto" w:sz="4" w:space="0"/>
            </w:tcBorders>
            <w:shd w:val="clear" w:color="000000" w:fill="FFFFFF"/>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符合重汽后市场视觉调性，内容及画面准确，不得出现错别字、图片等错误，不得违反广告法等相关法律法规</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出现字体侵权、违反广告法及相关法规的， 由代运营方负责进行处理及费用承担。</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10</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负面舆情处理</w:t>
            </w:r>
          </w:p>
        </w:tc>
        <w:tc>
          <w:tcPr>
            <w:tcW w:w="1701" w:type="dxa"/>
            <w:tcBorders>
              <w:top w:val="nil"/>
              <w:left w:val="nil"/>
              <w:bottom w:val="single" w:color="auto" w:sz="4" w:space="0"/>
              <w:right w:val="single" w:color="auto" w:sz="4" w:space="0"/>
            </w:tcBorders>
            <w:shd w:val="clear" w:color="000000" w:fill="FFFFFF"/>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直播中每个负面舆论不超过5min</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每一次超过5min的，考核500元</w:t>
            </w:r>
          </w:p>
        </w:tc>
      </w:tr>
      <w:tr>
        <w:tblPrEx>
          <w:tblCellMar>
            <w:top w:w="0" w:type="dxa"/>
            <w:left w:w="108" w:type="dxa"/>
            <w:bottom w:w="0" w:type="dxa"/>
            <w:right w:w="108" w:type="dxa"/>
          </w:tblCellMar>
        </w:tblPrEx>
        <w:trPr>
          <w:trHeight w:val="572" w:hRule="atLeast"/>
          <w:jc w:val="center"/>
        </w:trPr>
        <w:tc>
          <w:tcPr>
            <w:tcW w:w="553"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11</w:t>
            </w:r>
          </w:p>
        </w:tc>
        <w:tc>
          <w:tcPr>
            <w:tcW w:w="1852"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工作总结</w:t>
            </w:r>
          </w:p>
        </w:tc>
        <w:tc>
          <w:tcPr>
            <w:tcW w:w="1701"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每场直播进行工作总结，总数不少于24次</w:t>
            </w:r>
          </w:p>
        </w:tc>
        <w:tc>
          <w:tcPr>
            <w:tcW w:w="1276" w:type="dxa"/>
            <w:tcBorders>
              <w:top w:val="nil"/>
              <w:left w:val="nil"/>
              <w:bottom w:val="single" w:color="auto" w:sz="4" w:space="0"/>
              <w:right w:val="single" w:color="auto" w:sz="4" w:space="0"/>
            </w:tcBorders>
            <w:shd w:val="clear" w:color="auto" w:fill="auto"/>
            <w:noWrap/>
            <w:vAlign w:val="center"/>
          </w:tcPr>
          <w:p>
            <w:pPr>
              <w:widowControl/>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每场</w:t>
            </w:r>
          </w:p>
        </w:tc>
        <w:tc>
          <w:tcPr>
            <w:tcW w:w="3431" w:type="dxa"/>
            <w:tcBorders>
              <w:top w:val="nil"/>
              <w:left w:val="nil"/>
              <w:bottom w:val="single" w:color="auto" w:sz="4" w:space="0"/>
              <w:right w:val="single" w:color="auto" w:sz="4" w:space="0"/>
            </w:tcBorders>
          </w:tcPr>
          <w:p>
            <w:pPr>
              <w:widowControl/>
              <w:spacing w:line="480" w:lineRule="auto"/>
              <w:jc w:val="center"/>
              <w:rPr>
                <w:rFonts w:ascii="等线" w:hAnsi="等线" w:eastAsia="等线" w:cs="宋体"/>
                <w:color w:val="000000"/>
                <w:kern w:val="0"/>
                <w:sz w:val="16"/>
                <w:szCs w:val="16"/>
              </w:rPr>
            </w:pPr>
            <w:r>
              <w:rPr>
                <w:rFonts w:hint="eastAsia" w:ascii="等线" w:hAnsi="等线" w:eastAsia="等线" w:cs="宋体"/>
                <w:color w:val="000000"/>
                <w:kern w:val="0"/>
                <w:sz w:val="16"/>
                <w:szCs w:val="16"/>
              </w:rPr>
              <w:t>每少一次，考核300元</w:t>
            </w:r>
          </w:p>
        </w:tc>
      </w:tr>
    </w:tbl>
    <w:p>
      <w:pPr>
        <w:pStyle w:val="21"/>
        <w:spacing w:line="360" w:lineRule="auto"/>
        <w:ind w:firstLine="420" w:firstLineChars="200"/>
        <w:rPr>
          <w:bCs/>
        </w:rPr>
      </w:pPr>
      <w:r>
        <w:rPr>
          <w:rFonts w:hint="eastAsia"/>
          <w:bCs/>
        </w:rPr>
        <w:t>6.执行期间，原则上直播内容根据重汽后市场需求交叉方式执行，项目执行期间，不排除因活动时间、地点或其他因素变更，调整执行的可能性，中标人应认可变更并予以配合。</w:t>
      </w:r>
    </w:p>
    <w:p>
      <w:pPr>
        <w:pStyle w:val="21"/>
        <w:spacing w:line="360" w:lineRule="auto"/>
        <w:ind w:firstLine="420" w:firstLineChars="200"/>
        <w:rPr>
          <w:bCs/>
        </w:rPr>
      </w:pPr>
      <w:r>
        <w:rPr>
          <w:rFonts w:hint="eastAsia"/>
          <w:b/>
          <w:bCs/>
        </w:rPr>
        <w:t>注：标杆中心库直播发生的第三方直播工作人员往返搭飞机或者高铁等交通费、餐饮住宿费等实报实销</w:t>
      </w:r>
      <w:r>
        <w:rPr>
          <w:bCs/>
        </w:rPr>
        <w:t xml:space="preserve"> </w:t>
      </w:r>
      <w:r>
        <w:rPr>
          <w:rFonts w:hint="eastAsia"/>
          <w:bCs/>
        </w:rPr>
        <w:t>。</w:t>
      </w:r>
    </w:p>
    <w:p>
      <w:pPr>
        <w:pStyle w:val="21"/>
        <w:spacing w:line="360" w:lineRule="auto"/>
        <w:ind w:firstLine="420" w:firstLineChars="200"/>
        <w:rPr>
          <w:bCs/>
        </w:rPr>
      </w:pPr>
      <w:r>
        <w:rPr>
          <w:rFonts w:hint="eastAsia"/>
          <w:bCs/>
        </w:rPr>
        <w:t>7.项目管理：为更好的进行线上直播，每场至少一次面对面或视频沟通；每月初要对上月传播情况进行总结，并对下周传播内容进行规划；针对重点节日或重要事件，要进行单独的传播规划方案。</w:t>
      </w:r>
    </w:p>
    <w:p>
      <w:pPr>
        <w:pStyle w:val="21"/>
        <w:spacing w:line="360" w:lineRule="auto"/>
        <w:ind w:firstLine="420" w:firstLineChars="200"/>
        <w:rPr>
          <w:bCs/>
        </w:rPr>
      </w:pPr>
      <w:r>
        <w:rPr>
          <w:rFonts w:hint="eastAsia"/>
          <w:bCs/>
        </w:rPr>
        <w:t>8.</w:t>
      </w:r>
      <w:r>
        <w:rPr>
          <w:rFonts w:hint="eastAsia"/>
        </w:rPr>
        <w:t xml:space="preserve"> </w:t>
      </w:r>
      <w:r>
        <w:rPr>
          <w:rFonts w:hint="eastAsia"/>
          <w:bCs/>
        </w:rPr>
        <w:t>乙方在执行项目过程中确保甲方相关账号合理合规运行，严禁出现违反国家法律法规、平台相关规定、账号限流、账号封禁等行为。若出现以上相关违规行为，每次甲方扣除乙方含税服务费用5000元（大写伍仟元整）人民币，且乙方赔偿甲方相关损失。</w:t>
      </w:r>
    </w:p>
    <w:p>
      <w:pPr>
        <w:pStyle w:val="21"/>
        <w:spacing w:line="360" w:lineRule="auto"/>
        <w:ind w:firstLine="420" w:firstLineChars="200"/>
        <w:rPr>
          <w:bCs/>
        </w:rPr>
      </w:pPr>
      <w:r>
        <w:rPr>
          <w:rFonts w:hint="eastAsia"/>
          <w:bCs/>
        </w:rPr>
        <w:t>9.</w:t>
      </w:r>
      <w:r>
        <w:rPr>
          <w:rFonts w:hint="eastAsia"/>
        </w:rPr>
        <w:t xml:space="preserve"> </w:t>
      </w:r>
      <w:r>
        <w:rPr>
          <w:rFonts w:hint="eastAsia"/>
          <w:bCs/>
        </w:rPr>
        <w:t>乙方所制作或提供的策略方案、设计、作品等不得侵犯他人知识产权及其他任何合法权利，因此导致第三人索赔，起诉或其它权利要求的，由乙方独自承担。给甲方造成损失的，乙方必须赔偿。</w:t>
      </w:r>
    </w:p>
    <w:p>
      <w:pPr>
        <w:pStyle w:val="21"/>
        <w:spacing w:line="360" w:lineRule="auto"/>
        <w:ind w:firstLine="420" w:firstLineChars="200"/>
      </w:pPr>
      <w:r>
        <w:rPr>
          <w:rFonts w:hint="eastAsia"/>
          <w:bCs/>
        </w:rPr>
        <w:t>10.</w:t>
      </w:r>
      <w:r>
        <w:rPr>
          <w:rFonts w:hint="eastAsia" w:ascii="仿宋" w:hAnsi="仿宋" w:eastAsia="仿宋"/>
          <w:color w:val="000000"/>
          <w:sz w:val="28"/>
          <w:szCs w:val="28"/>
        </w:rPr>
        <w:t xml:space="preserve"> </w:t>
      </w:r>
      <w:r>
        <w:rPr>
          <w:rFonts w:hint="eastAsia"/>
          <w:bCs/>
        </w:rPr>
        <w:t>项目执行阶段的其它协调事项（具体以投标方案及合同约定为准）。</w:t>
      </w:r>
    </w:p>
    <w:p>
      <w:pPr>
        <w:numPr>
          <w:ilvl w:val="0"/>
          <w:numId w:val="9"/>
        </w:numPr>
        <w:overflowPunct w:val="0"/>
        <w:topLinePunct/>
        <w:spacing w:line="560" w:lineRule="exact"/>
        <w:jc w:val="both"/>
        <w:outlineLvl w:val="1"/>
        <w:rPr>
          <w:rFonts w:hint="eastAsia" w:ascii="黑体" w:eastAsia="黑体"/>
          <w:sz w:val="28"/>
          <w:szCs w:val="28"/>
          <w:lang w:val="en-US" w:eastAsia="zh-CN"/>
        </w:rPr>
      </w:pPr>
      <w:r>
        <w:rPr>
          <w:rFonts w:hint="eastAsia" w:ascii="黑体" w:eastAsia="黑体"/>
          <w:sz w:val="28"/>
          <w:szCs w:val="28"/>
          <w:lang w:val="en-US" w:eastAsia="zh-CN"/>
        </w:rPr>
        <w:t>技术规范与评分标准</w:t>
      </w:r>
    </w:p>
    <w:p>
      <w:pPr>
        <w:pStyle w:val="2"/>
        <w:widowControl/>
        <w:numPr>
          <w:ilvl w:val="0"/>
          <w:numId w:val="0"/>
        </w:numPr>
        <w:jc w:val="left"/>
        <w:rPr>
          <w:rFonts w:hint="default"/>
          <w:lang w:val="en-US" w:eastAsia="zh-CN"/>
        </w:rPr>
      </w:pPr>
    </w:p>
    <w:p>
      <w:pPr>
        <w:pStyle w:val="21"/>
        <w:spacing w:line="360" w:lineRule="auto"/>
        <w:rPr>
          <w:rFonts w:ascii="黑体" w:hAnsi="黑体" w:eastAsia="黑体"/>
          <w:b/>
          <w:sz w:val="28"/>
          <w:szCs w:val="28"/>
        </w:rPr>
      </w:pPr>
      <w:r>
        <w:rPr>
          <w:rFonts w:hint="eastAsia" w:ascii="黑体" w:hAnsi="黑体" w:eastAsia="黑体"/>
          <w:b/>
          <w:sz w:val="28"/>
          <w:szCs w:val="28"/>
        </w:rPr>
        <w:t>一、技术标准</w:t>
      </w:r>
    </w:p>
    <w:p>
      <w:pPr>
        <w:pStyle w:val="21"/>
        <w:spacing w:line="360" w:lineRule="auto"/>
        <w:ind w:firstLine="420" w:firstLineChars="200"/>
        <w:rPr>
          <w:bCs/>
        </w:rPr>
      </w:pPr>
      <w:r>
        <w:rPr>
          <w:rFonts w:hint="eastAsia"/>
          <w:bCs/>
        </w:rPr>
        <w:t>投标人应与招标人指派的答疑人员充分沟通，理解认可并接受相关技术规范及服务要求。</w:t>
      </w:r>
    </w:p>
    <w:p>
      <w:pPr>
        <w:pStyle w:val="21"/>
        <w:spacing w:line="360" w:lineRule="auto"/>
        <w:ind w:firstLine="420" w:firstLineChars="200"/>
        <w:rPr>
          <w:bCs/>
        </w:rPr>
      </w:pPr>
      <w:r>
        <w:rPr>
          <w:rFonts w:hint="eastAsia"/>
          <w:bCs/>
        </w:rPr>
        <w:t>项目标准：详见《短视频平台矩阵建设运营及常态化直播项目KPI》。</w:t>
      </w:r>
    </w:p>
    <w:p>
      <w:pPr>
        <w:pStyle w:val="21"/>
        <w:spacing w:line="360" w:lineRule="auto"/>
        <w:rPr>
          <w:rFonts w:ascii="黑体" w:hAnsi="黑体" w:eastAsia="黑体"/>
          <w:b/>
          <w:bCs/>
          <w:sz w:val="28"/>
          <w:szCs w:val="28"/>
        </w:rPr>
      </w:pPr>
      <w:r>
        <w:rPr>
          <w:rFonts w:hint="eastAsia" w:ascii="黑体" w:hAnsi="黑体" w:eastAsia="黑体"/>
          <w:b/>
          <w:bCs/>
          <w:sz w:val="28"/>
          <w:szCs w:val="28"/>
        </w:rPr>
        <w:t>二、评分标准</w:t>
      </w:r>
    </w:p>
    <w:p>
      <w:pPr>
        <w:pStyle w:val="21"/>
        <w:spacing w:line="360" w:lineRule="auto"/>
        <w:ind w:firstLine="420" w:firstLineChars="200"/>
      </w:pPr>
      <w:r>
        <w:rPr>
          <w:rFonts w:hint="eastAsia"/>
        </w:rPr>
        <w:t>1.招标人将坚持“公开、公平、公正”原则，严格按照国家法律法规及公司规章制度要求，设立专家评审小组进行招标评审。</w:t>
      </w:r>
    </w:p>
    <w:p>
      <w:pPr>
        <w:pStyle w:val="21"/>
        <w:spacing w:line="360" w:lineRule="auto"/>
        <w:ind w:firstLine="420" w:firstLineChars="200"/>
      </w:pPr>
      <w:r>
        <w:rPr>
          <w:rFonts w:hint="eastAsia"/>
        </w:rPr>
        <w:t>2.1评审小组专家成员评标将分为技术评分和价格比价两轮进行评审，评审小组先进行技术评分，根据技术标评审结果，通知未进入商务标评标资格的投标方离场，商务投标书不可带。进入商务标评标的厂家进行商务评标环节。</w:t>
      </w:r>
    </w:p>
    <w:p>
      <w:pPr>
        <w:pStyle w:val="21"/>
        <w:spacing w:line="360" w:lineRule="auto"/>
        <w:ind w:firstLine="420" w:firstLineChars="200"/>
      </w:pPr>
      <w:r>
        <w:rPr>
          <w:rFonts w:hint="eastAsia"/>
        </w:rPr>
        <w:t>2.2</w:t>
      </w:r>
      <w:r>
        <w:t xml:space="preserve"> </w:t>
      </w:r>
      <w:r>
        <w:rPr>
          <w:rFonts w:hint="eastAsia"/>
        </w:rPr>
        <w:t>技术评分标准</w:t>
      </w:r>
    </w:p>
    <w:p>
      <w:pPr>
        <w:pStyle w:val="21"/>
        <w:spacing w:line="360" w:lineRule="auto"/>
        <w:ind w:firstLine="420" w:firstLineChars="200"/>
      </w:pPr>
    </w:p>
    <w:tbl>
      <w:tblPr>
        <w:tblStyle w:val="40"/>
        <w:tblW w:w="9781" w:type="dxa"/>
        <w:tblInd w:w="108" w:type="dxa"/>
        <w:tblLayout w:type="fixed"/>
        <w:tblCellMar>
          <w:top w:w="0" w:type="dxa"/>
          <w:left w:w="108" w:type="dxa"/>
          <w:bottom w:w="0" w:type="dxa"/>
          <w:right w:w="108" w:type="dxa"/>
        </w:tblCellMar>
      </w:tblPr>
      <w:tblGrid>
        <w:gridCol w:w="1418"/>
        <w:gridCol w:w="6548"/>
        <w:gridCol w:w="1815"/>
      </w:tblGrid>
      <w:tr>
        <w:tblPrEx>
          <w:tblCellMar>
            <w:top w:w="0" w:type="dxa"/>
            <w:left w:w="108" w:type="dxa"/>
            <w:bottom w:w="0" w:type="dxa"/>
            <w:right w:w="108" w:type="dxa"/>
          </w:tblCellMar>
        </w:tblPrEx>
        <w:trPr>
          <w:trHeight w:val="510" w:hRule="atLeast"/>
        </w:trPr>
        <w:tc>
          <w:tcPr>
            <w:tcW w:w="9781"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Cs w:val="21"/>
              </w:rPr>
            </w:pPr>
            <w:r>
              <w:rPr>
                <w:rFonts w:hint="eastAsia" w:ascii="宋体" w:hAnsi="宋体" w:cs="宋体"/>
                <w:b/>
                <w:bCs/>
                <w:color w:val="000000"/>
                <w:kern w:val="0"/>
                <w:szCs w:val="21"/>
              </w:rPr>
              <w:t>技术评分标准</w:t>
            </w:r>
          </w:p>
        </w:tc>
      </w:tr>
      <w:tr>
        <w:tblPrEx>
          <w:tblCellMar>
            <w:top w:w="0" w:type="dxa"/>
            <w:left w:w="108" w:type="dxa"/>
            <w:bottom w:w="0" w:type="dxa"/>
            <w:right w:w="108" w:type="dxa"/>
          </w:tblCellMar>
        </w:tblPrEx>
        <w:trPr>
          <w:trHeight w:val="569" w:hRule="atLeast"/>
        </w:trPr>
        <w:tc>
          <w:tcPr>
            <w:tcW w:w="1418"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b/>
                <w:bCs/>
                <w:color w:val="000000"/>
                <w:kern w:val="0"/>
                <w:szCs w:val="21"/>
              </w:rPr>
            </w:pPr>
            <w:r>
              <w:rPr>
                <w:rFonts w:hint="eastAsia" w:ascii="宋体" w:hAnsi="宋体" w:cs="宋体"/>
                <w:b/>
                <w:bCs/>
                <w:color w:val="000000"/>
                <w:kern w:val="0"/>
                <w:szCs w:val="21"/>
              </w:rPr>
              <w:t>项目</w:t>
            </w:r>
          </w:p>
        </w:tc>
        <w:tc>
          <w:tcPr>
            <w:tcW w:w="6548" w:type="dxa"/>
            <w:tcBorders>
              <w:top w:val="nil"/>
              <w:left w:val="nil"/>
              <w:bottom w:val="single" w:color="auto" w:sz="4" w:space="0"/>
              <w:right w:val="single" w:color="auto" w:sz="4" w:space="0"/>
            </w:tcBorders>
            <w:vAlign w:val="center"/>
          </w:tcPr>
          <w:p>
            <w:pPr>
              <w:widowControl/>
              <w:jc w:val="center"/>
              <w:rPr>
                <w:rFonts w:ascii="宋体" w:hAnsi="宋体" w:cs="宋体"/>
                <w:b/>
                <w:bCs/>
                <w:color w:val="000000"/>
                <w:kern w:val="0"/>
                <w:szCs w:val="21"/>
              </w:rPr>
            </w:pPr>
            <w:r>
              <w:rPr>
                <w:rFonts w:hint="eastAsia" w:ascii="宋体" w:hAnsi="宋体" w:cs="宋体"/>
                <w:b/>
                <w:bCs/>
                <w:color w:val="000000"/>
                <w:kern w:val="0"/>
                <w:szCs w:val="21"/>
              </w:rPr>
              <w:t>描　　述</w:t>
            </w:r>
          </w:p>
        </w:tc>
        <w:tc>
          <w:tcPr>
            <w:tcW w:w="1815" w:type="dxa"/>
            <w:tcBorders>
              <w:top w:val="nil"/>
              <w:left w:val="nil"/>
              <w:bottom w:val="single" w:color="auto" w:sz="4" w:space="0"/>
              <w:right w:val="single" w:color="auto" w:sz="4" w:space="0"/>
            </w:tcBorders>
            <w:vAlign w:val="center"/>
          </w:tcPr>
          <w:p>
            <w:pPr>
              <w:widowControl/>
              <w:jc w:val="center"/>
              <w:rPr>
                <w:rFonts w:ascii="宋体" w:hAnsi="宋体" w:cs="宋体"/>
                <w:b/>
                <w:bCs/>
                <w:color w:val="000000"/>
                <w:kern w:val="0"/>
                <w:szCs w:val="21"/>
              </w:rPr>
            </w:pPr>
            <w:r>
              <w:rPr>
                <w:rFonts w:hint="eastAsia" w:ascii="宋体" w:hAnsi="宋体" w:cs="宋体"/>
                <w:b/>
                <w:bCs/>
                <w:color w:val="000000"/>
                <w:kern w:val="0"/>
                <w:szCs w:val="21"/>
              </w:rPr>
              <w:t>分值</w:t>
            </w:r>
          </w:p>
        </w:tc>
      </w:tr>
      <w:tr>
        <w:tblPrEx>
          <w:tblCellMar>
            <w:top w:w="0" w:type="dxa"/>
            <w:left w:w="108" w:type="dxa"/>
            <w:bottom w:w="0" w:type="dxa"/>
            <w:right w:w="108" w:type="dxa"/>
          </w:tblCellMar>
        </w:tblPrEx>
        <w:trPr>
          <w:trHeight w:val="805" w:hRule="atLeast"/>
        </w:trPr>
        <w:tc>
          <w:tcPr>
            <w:tcW w:w="1418"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b/>
                <w:bCs/>
                <w:color w:val="000000"/>
                <w:kern w:val="0"/>
                <w:szCs w:val="21"/>
              </w:rPr>
              <w:t>企业资质及服务业绩</w:t>
            </w:r>
          </w:p>
        </w:tc>
        <w:tc>
          <w:tcPr>
            <w:tcW w:w="6548"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1.投标人成立时间三年以上，每增加2年得2分，本项最高得6分（以证书原件为准）</w:t>
            </w:r>
          </w:p>
        </w:tc>
        <w:tc>
          <w:tcPr>
            <w:tcW w:w="1815"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r>
      <w:tr>
        <w:tblPrEx>
          <w:tblCellMar>
            <w:top w:w="0" w:type="dxa"/>
            <w:left w:w="108" w:type="dxa"/>
            <w:bottom w:w="0" w:type="dxa"/>
            <w:right w:w="108" w:type="dxa"/>
          </w:tblCellMar>
        </w:tblPrEx>
        <w:trPr>
          <w:trHeight w:val="572" w:hRule="atLeast"/>
        </w:trPr>
        <w:tc>
          <w:tcPr>
            <w:tcW w:w="14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Cs w:val="21"/>
              </w:rPr>
            </w:pPr>
          </w:p>
        </w:tc>
        <w:tc>
          <w:tcPr>
            <w:tcW w:w="6548"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2.投标人每获得1项行业内相关荣誉得2分，本项最高得6分</w:t>
            </w:r>
          </w:p>
        </w:tc>
        <w:tc>
          <w:tcPr>
            <w:tcW w:w="1815" w:type="dxa"/>
            <w:vMerge w:val="continue"/>
            <w:tcBorders>
              <w:top w:val="nil"/>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Cs w:val="21"/>
              </w:rPr>
            </w:pPr>
          </w:p>
        </w:tc>
      </w:tr>
      <w:tr>
        <w:tblPrEx>
          <w:tblCellMar>
            <w:top w:w="0" w:type="dxa"/>
            <w:left w:w="108" w:type="dxa"/>
            <w:bottom w:w="0" w:type="dxa"/>
            <w:right w:w="108" w:type="dxa"/>
          </w:tblCellMar>
        </w:tblPrEx>
        <w:trPr>
          <w:trHeight w:val="805" w:hRule="atLeast"/>
        </w:trPr>
        <w:tc>
          <w:tcPr>
            <w:tcW w:w="1418"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Cs w:val="21"/>
              </w:rPr>
            </w:pPr>
          </w:p>
        </w:tc>
        <w:tc>
          <w:tcPr>
            <w:tcW w:w="6548"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3.提供类似汽车行业项目服务业绩，以合同复印件为准，每提供一份得4分，本项最高得8分</w:t>
            </w:r>
          </w:p>
        </w:tc>
        <w:tc>
          <w:tcPr>
            <w:tcW w:w="1815" w:type="dxa"/>
            <w:vMerge w:val="continue"/>
            <w:tcBorders>
              <w:top w:val="nil"/>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Cs w:val="21"/>
              </w:rPr>
            </w:pPr>
          </w:p>
        </w:tc>
      </w:tr>
      <w:tr>
        <w:tblPrEx>
          <w:tblCellMar>
            <w:top w:w="0" w:type="dxa"/>
            <w:left w:w="108" w:type="dxa"/>
            <w:bottom w:w="0" w:type="dxa"/>
            <w:right w:w="108" w:type="dxa"/>
          </w:tblCellMar>
        </w:tblPrEx>
        <w:trPr>
          <w:trHeight w:val="1998" w:hRule="atLeast"/>
        </w:trPr>
        <w:tc>
          <w:tcPr>
            <w:tcW w:w="1418" w:type="dxa"/>
            <w:vMerge w:val="restart"/>
            <w:tcBorders>
              <w:top w:val="nil"/>
              <w:left w:val="single" w:color="auto" w:sz="4" w:space="0"/>
              <w:right w:val="single" w:color="auto" w:sz="4" w:space="0"/>
            </w:tcBorders>
            <w:vAlign w:val="center"/>
          </w:tcPr>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r>
              <w:rPr>
                <w:rFonts w:hint="eastAsia" w:ascii="宋体" w:hAnsi="宋体" w:cs="宋体"/>
                <w:b/>
                <w:bCs/>
                <w:color w:val="000000"/>
                <w:kern w:val="0"/>
                <w:szCs w:val="21"/>
              </w:rPr>
              <w:t>策划及执行规划</w:t>
            </w:r>
          </w:p>
        </w:tc>
        <w:tc>
          <w:tcPr>
            <w:tcW w:w="6548"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b/>
                <w:bCs/>
                <w:color w:val="000000"/>
                <w:kern w:val="0"/>
                <w:szCs w:val="21"/>
              </w:rPr>
              <w:t>1.运营策略及传播规划：</w:t>
            </w:r>
            <w:r>
              <w:rPr>
                <w:rFonts w:hint="eastAsia" w:ascii="宋体" w:hAnsi="宋体" w:cs="宋体"/>
                <w:color w:val="000000"/>
                <w:kern w:val="0"/>
                <w:szCs w:val="21"/>
              </w:rPr>
              <w:t>能够出具年度和阶段性传播方案，内容包含但不仅限于平台账号运营策略、直播规划等，思路清晰、丰富详实，精准契合中国重汽后市场需求并有较强的可实施性得</w:t>
            </w:r>
            <w:r>
              <w:rPr>
                <w:rFonts w:ascii="宋体" w:hAnsi="宋体" w:cs="宋体"/>
                <w:color w:val="000000"/>
                <w:kern w:val="0"/>
                <w:szCs w:val="21"/>
              </w:rPr>
              <w:t>22</w:t>
            </w:r>
            <w:r>
              <w:rPr>
                <w:rFonts w:hint="eastAsia" w:ascii="宋体" w:hAnsi="宋体" w:cs="宋体"/>
                <w:color w:val="000000"/>
                <w:kern w:val="0"/>
                <w:szCs w:val="21"/>
              </w:rPr>
              <w:t>分；方案笼统、借用既有素材过多或不能详细展现实施规划，每有一项扣2分；没有逻辑，规划不合理的不得分，本项最高得</w:t>
            </w:r>
            <w:r>
              <w:rPr>
                <w:rFonts w:ascii="宋体" w:hAnsi="宋体" w:cs="宋体"/>
                <w:color w:val="000000"/>
                <w:kern w:val="0"/>
                <w:szCs w:val="21"/>
              </w:rPr>
              <w:t>22</w:t>
            </w:r>
            <w:r>
              <w:rPr>
                <w:rFonts w:hint="eastAsia" w:ascii="宋体" w:hAnsi="宋体" w:cs="宋体"/>
                <w:color w:val="000000"/>
                <w:kern w:val="0"/>
                <w:szCs w:val="21"/>
              </w:rPr>
              <w:t>分</w:t>
            </w:r>
          </w:p>
        </w:tc>
        <w:tc>
          <w:tcPr>
            <w:tcW w:w="1815" w:type="dxa"/>
            <w:vMerge w:val="restart"/>
            <w:tcBorders>
              <w:top w:val="nil"/>
              <w:left w:val="single" w:color="auto" w:sz="4" w:space="0"/>
              <w:right w:val="single" w:color="auto" w:sz="4" w:space="0"/>
            </w:tcBorders>
            <w:vAlign w:val="center"/>
          </w:tcPr>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p>
          <w:p>
            <w:pPr>
              <w:widowControl/>
              <w:jc w:val="center"/>
              <w:rPr>
                <w:rFonts w:ascii="宋体" w:hAnsi="宋体" w:cs="宋体"/>
                <w:color w:val="000000"/>
                <w:kern w:val="0"/>
                <w:szCs w:val="21"/>
              </w:rPr>
            </w:pPr>
            <w:r>
              <w:rPr>
                <w:rFonts w:hint="eastAsia" w:ascii="宋体" w:hAnsi="宋体" w:cs="宋体"/>
                <w:color w:val="000000"/>
                <w:kern w:val="0"/>
                <w:szCs w:val="21"/>
              </w:rPr>
              <w:t>65</w:t>
            </w:r>
          </w:p>
        </w:tc>
      </w:tr>
      <w:tr>
        <w:tblPrEx>
          <w:tblCellMar>
            <w:top w:w="0" w:type="dxa"/>
            <w:left w:w="108" w:type="dxa"/>
            <w:bottom w:w="0" w:type="dxa"/>
            <w:right w:w="108" w:type="dxa"/>
          </w:tblCellMar>
        </w:tblPrEx>
        <w:trPr>
          <w:trHeight w:val="1998" w:hRule="atLeast"/>
        </w:trPr>
        <w:tc>
          <w:tcPr>
            <w:tcW w:w="1418" w:type="dxa"/>
            <w:vMerge w:val="continue"/>
            <w:tcBorders>
              <w:left w:val="single" w:color="auto" w:sz="4" w:space="0"/>
              <w:right w:val="single" w:color="auto" w:sz="4" w:space="0"/>
            </w:tcBorders>
            <w:vAlign w:val="center"/>
          </w:tcPr>
          <w:p>
            <w:pPr>
              <w:widowControl/>
              <w:jc w:val="left"/>
              <w:rPr>
                <w:rFonts w:ascii="宋体" w:hAnsi="宋体" w:cs="宋体"/>
                <w:color w:val="000000"/>
                <w:kern w:val="0"/>
                <w:szCs w:val="21"/>
              </w:rPr>
            </w:pPr>
          </w:p>
        </w:tc>
        <w:tc>
          <w:tcPr>
            <w:tcW w:w="6548" w:type="dxa"/>
            <w:tcBorders>
              <w:top w:val="nil"/>
              <w:left w:val="nil"/>
              <w:bottom w:val="single" w:color="auto" w:sz="4" w:space="0"/>
              <w:right w:val="single" w:color="auto" w:sz="4" w:space="0"/>
            </w:tcBorders>
            <w:vAlign w:val="center"/>
          </w:tcPr>
          <w:p>
            <w:pPr>
              <w:widowControl/>
              <w:jc w:val="left"/>
              <w:rPr>
                <w:rFonts w:ascii="宋体" w:hAnsi="宋体" w:cs="宋体"/>
                <w:color w:val="000000"/>
                <w:kern w:val="0"/>
                <w:szCs w:val="21"/>
              </w:rPr>
            </w:pPr>
            <w:r>
              <w:rPr>
                <w:rFonts w:ascii="宋体" w:hAnsi="宋体" w:cs="宋体"/>
                <w:b/>
                <w:bCs/>
                <w:color w:val="000000"/>
                <w:kern w:val="0"/>
                <w:szCs w:val="21"/>
              </w:rPr>
              <w:t>2</w:t>
            </w:r>
            <w:r>
              <w:rPr>
                <w:rFonts w:hint="eastAsia" w:ascii="宋体" w:hAnsi="宋体" w:cs="宋体"/>
                <w:b/>
                <w:bCs/>
                <w:color w:val="000000"/>
                <w:kern w:val="0"/>
                <w:szCs w:val="21"/>
              </w:rPr>
              <w:t>.直播执行：</w:t>
            </w:r>
            <w:r>
              <w:rPr>
                <w:rFonts w:hint="eastAsia" w:ascii="宋体" w:hAnsi="宋体" w:cs="宋体"/>
                <w:color w:val="000000"/>
                <w:kern w:val="0"/>
                <w:szCs w:val="21"/>
              </w:rPr>
              <w:t>满足项目KPI的前提下，能够充分考虑平台特性及市场、行业动向，清晰规划日常直播执行方案，利用技术手段提升直播间观感，体现直播间搭建规划和引流措施的，得</w:t>
            </w:r>
            <w:r>
              <w:rPr>
                <w:rFonts w:ascii="宋体" w:hAnsi="宋体" w:cs="宋体"/>
                <w:color w:val="000000"/>
                <w:kern w:val="0"/>
                <w:szCs w:val="21"/>
              </w:rPr>
              <w:t>22</w:t>
            </w:r>
            <w:r>
              <w:rPr>
                <w:rFonts w:hint="eastAsia" w:ascii="宋体" w:hAnsi="宋体" w:cs="宋体"/>
                <w:color w:val="000000"/>
                <w:kern w:val="0"/>
                <w:szCs w:val="21"/>
              </w:rPr>
              <w:t>分；对于直播规划不清晰，执行方案不合理、不完善、无针对性每有一处扣2分。本项最高得</w:t>
            </w:r>
            <w:r>
              <w:rPr>
                <w:rFonts w:ascii="宋体" w:hAnsi="宋体" w:cs="宋体"/>
                <w:color w:val="000000"/>
                <w:kern w:val="0"/>
                <w:szCs w:val="21"/>
              </w:rPr>
              <w:t>22</w:t>
            </w:r>
            <w:r>
              <w:rPr>
                <w:rFonts w:hint="eastAsia" w:ascii="宋体" w:hAnsi="宋体" w:cs="宋体"/>
                <w:color w:val="000000"/>
                <w:kern w:val="0"/>
                <w:szCs w:val="21"/>
              </w:rPr>
              <w:t>分</w:t>
            </w:r>
          </w:p>
        </w:tc>
        <w:tc>
          <w:tcPr>
            <w:tcW w:w="1815" w:type="dxa"/>
            <w:vMerge w:val="continue"/>
            <w:tcBorders>
              <w:left w:val="single" w:color="auto" w:sz="4" w:space="0"/>
              <w:right w:val="single" w:color="auto" w:sz="4" w:space="0"/>
            </w:tcBorders>
            <w:vAlign w:val="center"/>
          </w:tcPr>
          <w:p>
            <w:pPr>
              <w:widowControl/>
              <w:jc w:val="center"/>
              <w:rPr>
                <w:rFonts w:ascii="宋体" w:hAnsi="宋体" w:cs="宋体"/>
                <w:color w:val="000000"/>
                <w:kern w:val="0"/>
                <w:szCs w:val="21"/>
              </w:rPr>
            </w:pPr>
          </w:p>
        </w:tc>
      </w:tr>
      <w:tr>
        <w:tblPrEx>
          <w:tblCellMar>
            <w:top w:w="0" w:type="dxa"/>
            <w:left w:w="108" w:type="dxa"/>
            <w:bottom w:w="0" w:type="dxa"/>
            <w:right w:w="108" w:type="dxa"/>
          </w:tblCellMar>
        </w:tblPrEx>
        <w:trPr>
          <w:trHeight w:val="2395" w:hRule="atLeast"/>
        </w:trPr>
        <w:tc>
          <w:tcPr>
            <w:tcW w:w="1418" w:type="dxa"/>
            <w:vMerge w:val="continue"/>
            <w:tcBorders>
              <w:left w:val="single" w:color="auto" w:sz="4" w:space="0"/>
              <w:right w:val="single" w:color="auto" w:sz="4" w:space="0"/>
            </w:tcBorders>
            <w:vAlign w:val="center"/>
          </w:tcPr>
          <w:p>
            <w:pPr>
              <w:widowControl/>
              <w:jc w:val="left"/>
              <w:rPr>
                <w:rFonts w:ascii="宋体" w:hAnsi="宋体" w:cs="宋体"/>
                <w:color w:val="000000"/>
                <w:kern w:val="0"/>
                <w:szCs w:val="21"/>
              </w:rPr>
            </w:pPr>
          </w:p>
        </w:tc>
        <w:tc>
          <w:tcPr>
            <w:tcW w:w="6548" w:type="dxa"/>
            <w:tcBorders>
              <w:top w:val="nil"/>
              <w:left w:val="nil"/>
              <w:bottom w:val="single" w:color="auto" w:sz="4" w:space="0"/>
              <w:right w:val="single" w:color="auto" w:sz="4" w:space="0"/>
            </w:tcBorders>
            <w:vAlign w:val="center"/>
          </w:tcPr>
          <w:p>
            <w:pPr>
              <w:widowControl/>
              <w:jc w:val="left"/>
              <w:rPr>
                <w:rFonts w:ascii="宋体" w:hAnsi="宋体" w:cs="宋体"/>
                <w:b/>
                <w:bCs/>
                <w:color w:val="000000"/>
                <w:kern w:val="0"/>
                <w:szCs w:val="21"/>
              </w:rPr>
            </w:pPr>
            <w:r>
              <w:rPr>
                <w:rFonts w:ascii="宋体" w:hAnsi="宋体" w:cs="宋体"/>
                <w:b/>
                <w:bCs/>
                <w:color w:val="000000"/>
                <w:kern w:val="0"/>
                <w:szCs w:val="21"/>
              </w:rPr>
              <w:t>3</w:t>
            </w:r>
            <w:r>
              <w:rPr>
                <w:rFonts w:hint="eastAsia" w:ascii="宋体" w:hAnsi="宋体" w:cs="宋体"/>
                <w:b/>
                <w:bCs/>
                <w:color w:val="000000"/>
                <w:kern w:val="0"/>
                <w:szCs w:val="21"/>
              </w:rPr>
              <w:t>.复盘与分析：</w:t>
            </w:r>
            <w:r>
              <w:rPr>
                <w:rFonts w:hint="eastAsia" w:ascii="宋体" w:hAnsi="宋体" w:cs="宋体"/>
                <w:color w:val="000000"/>
                <w:kern w:val="0"/>
                <w:szCs w:val="21"/>
              </w:rPr>
              <w:t>较强的日常数据记录、整合和分析能力，对执行情况进行复盘，可以提供全面的账号运营总结框架且分析维度合理，拥有科学的数据获取途径，掌握竞品和汽车行业账号情况，为后续提升提供有利的参考，能够全部满足需求，得1</w:t>
            </w:r>
            <w:r>
              <w:rPr>
                <w:rFonts w:ascii="宋体" w:hAnsi="宋体" w:cs="宋体"/>
                <w:color w:val="000000"/>
                <w:kern w:val="0"/>
                <w:szCs w:val="21"/>
              </w:rPr>
              <w:t>2</w:t>
            </w:r>
            <w:r>
              <w:rPr>
                <w:rFonts w:hint="eastAsia" w:ascii="宋体" w:hAnsi="宋体" w:cs="宋体"/>
                <w:color w:val="000000"/>
                <w:kern w:val="0"/>
                <w:szCs w:val="21"/>
              </w:rPr>
              <w:t>分；对于复盘规划不清晰，不合理，数据获取途径不明确的每有一处扣2分。本项最高得1</w:t>
            </w:r>
            <w:r>
              <w:rPr>
                <w:rFonts w:ascii="宋体" w:hAnsi="宋体" w:cs="宋体"/>
                <w:color w:val="000000"/>
                <w:kern w:val="0"/>
                <w:szCs w:val="21"/>
              </w:rPr>
              <w:t>2</w:t>
            </w:r>
            <w:r>
              <w:rPr>
                <w:rFonts w:hint="eastAsia" w:ascii="宋体" w:hAnsi="宋体" w:cs="宋体"/>
                <w:color w:val="000000"/>
                <w:kern w:val="0"/>
                <w:szCs w:val="21"/>
              </w:rPr>
              <w:t>分</w:t>
            </w:r>
          </w:p>
        </w:tc>
        <w:tc>
          <w:tcPr>
            <w:tcW w:w="1815" w:type="dxa"/>
            <w:vMerge w:val="continue"/>
            <w:tcBorders>
              <w:left w:val="single" w:color="auto" w:sz="4" w:space="0"/>
              <w:right w:val="single" w:color="auto" w:sz="4" w:space="0"/>
            </w:tcBorders>
            <w:vAlign w:val="center"/>
          </w:tcPr>
          <w:p>
            <w:pPr>
              <w:widowControl/>
              <w:jc w:val="center"/>
              <w:rPr>
                <w:rFonts w:ascii="宋体" w:hAnsi="宋体" w:cs="宋体"/>
                <w:color w:val="000000"/>
                <w:kern w:val="0"/>
                <w:szCs w:val="21"/>
              </w:rPr>
            </w:pPr>
          </w:p>
        </w:tc>
      </w:tr>
      <w:tr>
        <w:tblPrEx>
          <w:tblCellMar>
            <w:top w:w="0" w:type="dxa"/>
            <w:left w:w="108" w:type="dxa"/>
            <w:bottom w:w="0" w:type="dxa"/>
            <w:right w:w="108" w:type="dxa"/>
          </w:tblCellMar>
        </w:tblPrEx>
        <w:trPr>
          <w:trHeight w:val="1998" w:hRule="atLeast"/>
        </w:trPr>
        <w:tc>
          <w:tcPr>
            <w:tcW w:w="1418" w:type="dxa"/>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p>
        </w:tc>
        <w:tc>
          <w:tcPr>
            <w:tcW w:w="6548" w:type="dxa"/>
            <w:tcBorders>
              <w:top w:val="nil"/>
              <w:left w:val="nil"/>
              <w:bottom w:val="single" w:color="auto" w:sz="4" w:space="0"/>
              <w:right w:val="single" w:color="auto" w:sz="4" w:space="0"/>
            </w:tcBorders>
            <w:vAlign w:val="center"/>
          </w:tcPr>
          <w:p>
            <w:pPr>
              <w:widowControl/>
              <w:jc w:val="left"/>
              <w:rPr>
                <w:rFonts w:ascii="宋体" w:hAnsi="宋体" w:cs="宋体"/>
                <w:b/>
                <w:bCs/>
                <w:color w:val="000000"/>
                <w:kern w:val="0"/>
                <w:szCs w:val="21"/>
              </w:rPr>
            </w:pPr>
            <w:r>
              <w:rPr>
                <w:rFonts w:ascii="宋体" w:hAnsi="宋体" w:cs="宋体"/>
                <w:b/>
                <w:bCs/>
                <w:color w:val="000000"/>
                <w:kern w:val="0"/>
                <w:szCs w:val="21"/>
              </w:rPr>
              <w:t>4</w:t>
            </w:r>
            <w:r>
              <w:rPr>
                <w:rFonts w:hint="eastAsia" w:ascii="宋体" w:hAnsi="宋体" w:cs="宋体"/>
                <w:b/>
                <w:bCs/>
                <w:color w:val="000000"/>
                <w:kern w:val="0"/>
                <w:szCs w:val="21"/>
              </w:rPr>
              <w:t>、平台洞察：</w:t>
            </w:r>
            <w:r>
              <w:rPr>
                <w:rFonts w:hint="eastAsia" w:ascii="宋体" w:hAnsi="宋体" w:cs="宋体"/>
                <w:color w:val="000000"/>
                <w:kern w:val="0"/>
                <w:szCs w:val="21"/>
              </w:rPr>
              <w:t>通过科学的途径，及时了解运营平台规则的更新、组件功能的调整、实时热度话题等，为运营提供有针对性的指导，能够满足需求得</w:t>
            </w:r>
            <w:r>
              <w:rPr>
                <w:rFonts w:ascii="宋体" w:hAnsi="宋体" w:cs="宋体"/>
                <w:color w:val="000000"/>
                <w:kern w:val="0"/>
                <w:szCs w:val="21"/>
              </w:rPr>
              <w:t>9</w:t>
            </w:r>
            <w:r>
              <w:rPr>
                <w:rFonts w:hint="eastAsia" w:ascii="宋体" w:hAnsi="宋体" w:cs="宋体"/>
                <w:color w:val="000000"/>
                <w:kern w:val="0"/>
                <w:szCs w:val="21"/>
              </w:rPr>
              <w:t>分；无法及时把握所运营平台的更新和调整，对热度话题不敏感，无法提出有针对性的执行指导每有一处扣3分。本项最高得</w:t>
            </w:r>
            <w:r>
              <w:rPr>
                <w:rFonts w:ascii="宋体" w:hAnsi="宋体" w:cs="宋体"/>
                <w:color w:val="000000"/>
                <w:kern w:val="0"/>
                <w:szCs w:val="21"/>
              </w:rPr>
              <w:t>9</w:t>
            </w:r>
            <w:r>
              <w:rPr>
                <w:rFonts w:hint="eastAsia" w:ascii="宋体" w:hAnsi="宋体" w:cs="宋体"/>
                <w:color w:val="000000"/>
                <w:kern w:val="0"/>
                <w:szCs w:val="21"/>
              </w:rPr>
              <w:t>分</w:t>
            </w:r>
          </w:p>
        </w:tc>
        <w:tc>
          <w:tcPr>
            <w:tcW w:w="1815" w:type="dxa"/>
            <w:vMerge w:val="continue"/>
            <w:tcBorders>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p>
        </w:tc>
      </w:tr>
      <w:tr>
        <w:tblPrEx>
          <w:tblCellMar>
            <w:top w:w="0" w:type="dxa"/>
            <w:left w:w="108" w:type="dxa"/>
            <w:bottom w:w="0" w:type="dxa"/>
            <w:right w:w="108" w:type="dxa"/>
          </w:tblCellMar>
        </w:tblPrEx>
        <w:trPr>
          <w:trHeight w:val="1202" w:hRule="atLeast"/>
        </w:trPr>
        <w:tc>
          <w:tcPr>
            <w:tcW w:w="1418" w:type="dxa"/>
            <w:vMerge w:val="restart"/>
            <w:tcBorders>
              <w:top w:val="single" w:color="auto" w:sz="4" w:space="0"/>
              <w:left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b/>
                <w:bCs/>
                <w:color w:val="000000"/>
                <w:kern w:val="0"/>
                <w:szCs w:val="21"/>
              </w:rPr>
              <w:t>服务保障</w:t>
            </w:r>
          </w:p>
        </w:tc>
        <w:tc>
          <w:tcPr>
            <w:tcW w:w="6548"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b/>
                <w:bCs/>
                <w:color w:val="000000"/>
                <w:kern w:val="0"/>
                <w:szCs w:val="21"/>
              </w:rPr>
              <w:t>1.项目执行经理：</w:t>
            </w:r>
            <w:r>
              <w:rPr>
                <w:rFonts w:hint="eastAsia" w:ascii="宋体" w:hAnsi="宋体" w:cs="宋体"/>
                <w:color w:val="000000"/>
                <w:kern w:val="0"/>
                <w:szCs w:val="21"/>
              </w:rPr>
              <w:t>提供完备的服务保障方案，其中项目执行经理具有类似汽车行业项目服务经验且熟悉平台运营规则，能够全面掌控整体项目运营得3分，无类似经验得0分</w:t>
            </w:r>
          </w:p>
        </w:tc>
        <w:tc>
          <w:tcPr>
            <w:tcW w:w="1815" w:type="dxa"/>
            <w:vMerge w:val="restart"/>
            <w:tcBorders>
              <w:top w:val="single" w:color="auto" w:sz="4" w:space="0"/>
              <w:left w:val="single" w:color="auto" w:sz="4" w:space="0"/>
              <w:right w:val="single" w:color="auto" w:sz="4" w:space="0"/>
            </w:tcBorders>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15</w:t>
            </w:r>
          </w:p>
        </w:tc>
      </w:tr>
      <w:tr>
        <w:tblPrEx>
          <w:tblCellMar>
            <w:top w:w="0" w:type="dxa"/>
            <w:left w:w="108" w:type="dxa"/>
            <w:bottom w:w="0" w:type="dxa"/>
            <w:right w:w="108" w:type="dxa"/>
          </w:tblCellMar>
        </w:tblPrEx>
        <w:trPr>
          <w:trHeight w:val="2008" w:hRule="atLeast"/>
        </w:trPr>
        <w:tc>
          <w:tcPr>
            <w:tcW w:w="1418" w:type="dxa"/>
            <w:vMerge w:val="continue"/>
            <w:tcBorders>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rPr>
            </w:pPr>
          </w:p>
        </w:tc>
        <w:tc>
          <w:tcPr>
            <w:tcW w:w="6548"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color w:val="000000"/>
                <w:kern w:val="0"/>
                <w:szCs w:val="21"/>
              </w:rPr>
            </w:pPr>
            <w:r>
              <w:rPr>
                <w:rFonts w:hint="eastAsia" w:ascii="宋体" w:hAnsi="宋体" w:cs="宋体"/>
                <w:b/>
                <w:bCs/>
                <w:color w:val="000000"/>
                <w:kern w:val="0"/>
                <w:szCs w:val="21"/>
              </w:rPr>
              <w:t>2.团队分工：</w:t>
            </w:r>
            <w:r>
              <w:rPr>
                <w:rFonts w:hint="eastAsia" w:ascii="宋体" w:hAnsi="宋体" w:cs="宋体"/>
                <w:color w:val="000000"/>
                <w:kern w:val="0"/>
                <w:szCs w:val="21"/>
              </w:rPr>
              <w:t>提供完备的服务保障方案，责任分工明确且合理，其中团队提供服务人员满足业务开展要求（标明专职或非专职），团队人员具备相应的专业经验，能够响应项目需求得12分；团队人员分工不合理或分工不明确，无法响应项目需求每有一项扣3分。本项最高得12分。</w:t>
            </w:r>
          </w:p>
        </w:tc>
        <w:tc>
          <w:tcPr>
            <w:tcW w:w="1815" w:type="dxa"/>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Cs w:val="21"/>
              </w:rPr>
            </w:pPr>
          </w:p>
        </w:tc>
      </w:tr>
    </w:tbl>
    <w:p>
      <w:pPr>
        <w:pStyle w:val="21"/>
        <w:spacing w:line="360" w:lineRule="auto"/>
        <w:ind w:firstLine="585"/>
      </w:pPr>
      <w:r>
        <w:rPr>
          <w:rFonts w:hint="eastAsia"/>
        </w:rPr>
        <w:t>按照约定时间，商务标专家组进行商务评标，商务标专家组和技术入围投标人展开多轮商务谈判，期间可对商务谈判内容进行澄清，原则上按照评标合理最低价选择中标人。</w:t>
      </w:r>
    </w:p>
    <w:p>
      <w:pPr>
        <w:pStyle w:val="2"/>
        <w:widowControl/>
        <w:numPr>
          <w:ilvl w:val="0"/>
          <w:numId w:val="0"/>
        </w:numPr>
        <w:jc w:val="left"/>
        <w:rPr>
          <w:rFonts w:hint="default"/>
          <w:lang w:val="en-US" w:eastAsia="zh-CN"/>
        </w:rPr>
        <w:sectPr>
          <w:headerReference r:id="rId9" w:type="default"/>
          <w:footerReference r:id="rId10" w:type="even"/>
          <w:pgSz w:w="11907" w:h="16840"/>
          <w:pgMar w:top="1418" w:right="1474" w:bottom="1418" w:left="1474" w:header="851" w:footer="992" w:gutter="0"/>
          <w:cols w:space="720" w:num="1"/>
          <w:docGrid w:type="lines" w:linePitch="318" w:charSpace="0"/>
        </w:sectPr>
      </w:pPr>
    </w:p>
    <w:p>
      <w:pPr>
        <w:pStyle w:val="146"/>
        <w:widowControl/>
        <w:numPr>
          <w:ilvl w:val="0"/>
          <w:numId w:val="10"/>
        </w:numPr>
        <w:spacing w:line="240" w:lineRule="auto"/>
        <w:ind w:left="480" w:leftChars="0"/>
        <w:jc w:val="center"/>
        <w:outlineLvl w:val="0"/>
        <w:rPr>
          <w:rFonts w:hint="eastAsia" w:ascii="Calibri" w:hAnsi="Calibri" w:eastAsia="宋体" w:cs="Times New Roman"/>
          <w:b/>
          <w:bCs/>
          <w:kern w:val="44"/>
          <w:sz w:val="36"/>
          <w:szCs w:val="44"/>
          <w:lang w:val="en-US" w:eastAsia="zh-CN" w:bidi="ar-SA"/>
        </w:rPr>
      </w:pPr>
      <w:r>
        <w:rPr>
          <w:rFonts w:hint="eastAsia" w:ascii="Calibri" w:hAnsi="Calibri" w:cs="Times New Roman"/>
          <w:b/>
          <w:bCs/>
          <w:kern w:val="44"/>
          <w:sz w:val="36"/>
          <w:szCs w:val="44"/>
          <w:lang w:val="en-US" w:eastAsia="zh-CN" w:bidi="ar-SA"/>
        </w:rPr>
        <w:t xml:space="preserve"> </w:t>
      </w:r>
      <w:r>
        <w:rPr>
          <w:rFonts w:hint="eastAsia" w:ascii="Calibri" w:hAnsi="Calibri" w:eastAsia="宋体" w:cs="Times New Roman"/>
          <w:b/>
          <w:bCs/>
          <w:kern w:val="44"/>
          <w:sz w:val="36"/>
          <w:szCs w:val="44"/>
          <w:lang w:val="en-US" w:eastAsia="zh-CN" w:bidi="ar-SA"/>
        </w:rPr>
        <w:t>招标文件编制</w:t>
      </w:r>
    </w:p>
    <w:p>
      <w:pPr>
        <w:pStyle w:val="21"/>
        <w:spacing w:line="360" w:lineRule="auto"/>
        <w:outlineLvl w:val="1"/>
        <w:rPr>
          <w:rFonts w:ascii="黑体" w:hAnsi="黑体" w:eastAsia="黑体"/>
          <w:b/>
          <w:bCs/>
          <w:sz w:val="28"/>
          <w:szCs w:val="28"/>
        </w:rPr>
      </w:pPr>
      <w:r>
        <w:rPr>
          <w:rFonts w:hint="eastAsia" w:ascii="黑体" w:hAnsi="黑体" w:eastAsia="黑体"/>
          <w:b/>
          <w:bCs/>
          <w:sz w:val="28"/>
          <w:szCs w:val="28"/>
        </w:rPr>
        <w:t>一、投标文件签署</w:t>
      </w:r>
    </w:p>
    <w:p>
      <w:pPr>
        <w:pStyle w:val="21"/>
        <w:spacing w:line="360" w:lineRule="auto"/>
        <w:ind w:firstLine="420" w:firstLineChars="200"/>
        <w:rPr>
          <w:rFonts w:hAnsi="宋体"/>
        </w:rPr>
      </w:pPr>
      <w:r>
        <w:rPr>
          <w:rFonts w:hint="eastAsia" w:hAnsi="宋体"/>
        </w:rPr>
        <w:t>法定代表人或投标人授权代表必须按招标文件的规定在投标文件（正本、副本及各附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21"/>
        <w:spacing w:line="360" w:lineRule="auto"/>
        <w:outlineLvl w:val="1"/>
        <w:rPr>
          <w:rFonts w:ascii="黑体" w:hAnsi="黑体" w:eastAsia="黑体"/>
          <w:b/>
          <w:bCs/>
          <w:sz w:val="28"/>
          <w:szCs w:val="28"/>
        </w:rPr>
      </w:pPr>
      <w:r>
        <w:rPr>
          <w:rFonts w:hint="eastAsia" w:ascii="黑体" w:hAnsi="黑体" w:eastAsia="黑体"/>
          <w:b/>
          <w:bCs/>
          <w:sz w:val="28"/>
          <w:szCs w:val="28"/>
        </w:rPr>
        <w:t>二、投标文件的密封和标记</w:t>
      </w:r>
    </w:p>
    <w:p>
      <w:pPr>
        <w:pStyle w:val="21"/>
        <w:numPr>
          <w:ilvl w:val="0"/>
          <w:numId w:val="11"/>
        </w:numPr>
        <w:spacing w:line="360" w:lineRule="auto"/>
        <w:ind w:left="0" w:firstLine="420"/>
        <w:rPr>
          <w:rFonts w:hAnsi="宋体" w:cs="宋体"/>
          <w:szCs w:val="21"/>
        </w:rPr>
      </w:pPr>
      <w:r>
        <w:rPr>
          <w:rFonts w:hint="eastAsia" w:hAnsi="宋体" w:cs="宋体"/>
          <w:szCs w:val="21"/>
        </w:rPr>
        <w:t>投标人应将投标文件正本一份、副本三份及U盘电子版一份分别单独密封送达，并在封面明显处注明以下内容：</w:t>
      </w:r>
    </w:p>
    <w:p>
      <w:pPr>
        <w:ind w:right="280" w:firstLine="420" w:firstLineChars="200"/>
      </w:pPr>
      <w:r>
        <w:rPr>
          <w:rFonts w:hint="eastAsia" w:ascii="宋体" w:hAnsi="宋体" w:cs="宋体"/>
          <w:szCs w:val="21"/>
        </w:rPr>
        <w:t>项目名称：</w:t>
      </w:r>
      <w:r>
        <w:rPr>
          <w:rFonts w:hint="eastAsia"/>
        </w:rPr>
        <w:t>“重汽后市场”直播平台矩阵建设运营及常态化直播项目</w:t>
      </w:r>
    </w:p>
    <w:p>
      <w:pPr>
        <w:ind w:right="280" w:firstLine="420" w:firstLineChars="200"/>
        <w:rPr>
          <w:rFonts w:hAnsi="宋体" w:cs="宋体"/>
          <w:szCs w:val="21"/>
        </w:rPr>
      </w:pPr>
      <w:r>
        <w:rPr>
          <w:rFonts w:hint="eastAsia" w:hAnsi="宋体" w:cs="宋体"/>
          <w:szCs w:val="21"/>
        </w:rPr>
        <w:t>投标人名称（加盖公章）、地址、邮编、电话，每一密封文件在封口处黏贴封条并加盖投标人公章；</w:t>
      </w:r>
    </w:p>
    <w:p>
      <w:pPr>
        <w:pStyle w:val="21"/>
        <w:numPr>
          <w:ilvl w:val="0"/>
          <w:numId w:val="12"/>
        </w:numPr>
        <w:spacing w:line="360" w:lineRule="auto"/>
        <w:ind w:firstLine="420" w:firstLineChars="200"/>
        <w:rPr>
          <w:rFonts w:hAnsi="宋体" w:cs="宋体"/>
          <w:szCs w:val="21"/>
        </w:rPr>
      </w:pPr>
      <w:r>
        <w:rPr>
          <w:rFonts w:hint="eastAsia" w:hAnsi="宋体" w:cs="宋体"/>
          <w:szCs w:val="21"/>
        </w:rPr>
        <w:t>如果投标人未按上述要求对投标文件密封及加写标记，招标人对投标人提前启封概不负责。对由此造成提前开封的投标文件，招标人有权予以拒绝，并退回投标人取消其投标资格。招标结束后，无论投标人中标是否，投标人递交的投标资料一律不予退回。</w:t>
      </w:r>
    </w:p>
    <w:p>
      <w:pPr>
        <w:pStyle w:val="21"/>
        <w:numPr>
          <w:ilvl w:val="0"/>
          <w:numId w:val="11"/>
        </w:numPr>
        <w:spacing w:line="360" w:lineRule="auto"/>
        <w:ind w:left="0" w:firstLine="420"/>
        <w:rPr>
          <w:rFonts w:hAnsi="宋体" w:cs="宋体"/>
          <w:szCs w:val="21"/>
        </w:rPr>
      </w:pPr>
      <w:r>
        <w:rPr>
          <w:rFonts w:hint="eastAsia" w:hAnsi="宋体" w:cs="宋体"/>
          <w:szCs w:val="21"/>
        </w:rPr>
        <w:t>投标文件由投标人在开标日自行带到开标现场，在开标时当场交与招标负责人。如根据实际情况，招标形式为线上，需根据招标负责人的通知进行邮寄。</w:t>
      </w:r>
    </w:p>
    <w:p>
      <w:pPr>
        <w:pStyle w:val="21"/>
        <w:numPr>
          <w:ilvl w:val="0"/>
          <w:numId w:val="13"/>
        </w:numPr>
        <w:spacing w:line="360" w:lineRule="auto"/>
        <w:outlineLvl w:val="1"/>
        <w:rPr>
          <w:rFonts w:ascii="黑体" w:hAnsi="黑体" w:eastAsia="黑体"/>
          <w:b/>
          <w:bCs/>
          <w:sz w:val="28"/>
        </w:rPr>
      </w:pPr>
      <w:r>
        <w:rPr>
          <w:rFonts w:hint="eastAsia" w:ascii="黑体" w:hAnsi="黑体" w:eastAsia="黑体"/>
          <w:b/>
          <w:bCs/>
          <w:sz w:val="28"/>
        </w:rPr>
        <w:t>开标时需提交的材料：</w:t>
      </w:r>
    </w:p>
    <w:p>
      <w:pPr>
        <w:pStyle w:val="147"/>
        <w:keepNext w:val="0"/>
        <w:widowControl/>
        <w:numPr>
          <w:ilvl w:val="0"/>
          <w:numId w:val="14"/>
        </w:numPr>
        <w:tabs>
          <w:tab w:val="clear" w:pos="1275"/>
        </w:tabs>
        <w:rPr>
          <w:rFonts w:ascii="宋体" w:hAnsi="宋体" w:cs="宋体"/>
          <w:sz w:val="21"/>
          <w:szCs w:val="21"/>
        </w:rPr>
      </w:pPr>
      <w:r>
        <w:rPr>
          <w:rFonts w:hint="eastAsia" w:ascii="宋体" w:hAnsi="宋体" w:cs="宋体"/>
          <w:sz w:val="21"/>
          <w:szCs w:val="21"/>
        </w:rPr>
        <w:t>投标文件计量单位</w:t>
      </w:r>
    </w:p>
    <w:p>
      <w:pPr>
        <w:pStyle w:val="146"/>
        <w:widowControl/>
        <w:ind w:firstLine="0" w:firstLineChars="0"/>
        <w:rPr>
          <w:rFonts w:ascii="宋体" w:hAnsi="宋体" w:cs="宋体"/>
          <w:sz w:val="21"/>
          <w:szCs w:val="21"/>
        </w:rPr>
      </w:pPr>
      <w:r>
        <w:rPr>
          <w:rFonts w:hint="eastAsia" w:ascii="宋体" w:hAnsi="宋体" w:cs="宋体"/>
          <w:sz w:val="21"/>
          <w:szCs w:val="21"/>
        </w:rPr>
        <w:t>投标文件中所使用的计量单位，除招标文件中有特殊要求外，应采用国家法定计量单位。</w:t>
      </w:r>
    </w:p>
    <w:p>
      <w:pPr>
        <w:pStyle w:val="147"/>
        <w:keepNext w:val="0"/>
        <w:widowControl/>
        <w:numPr>
          <w:ilvl w:val="0"/>
          <w:numId w:val="14"/>
        </w:numPr>
        <w:tabs>
          <w:tab w:val="clear" w:pos="1275"/>
        </w:tabs>
        <w:rPr>
          <w:rFonts w:ascii="宋体" w:hAnsi="宋体" w:cs="宋体"/>
          <w:b w:val="0"/>
          <w:bCs w:val="0"/>
          <w:sz w:val="21"/>
          <w:szCs w:val="21"/>
        </w:rPr>
      </w:pPr>
      <w:bookmarkStart w:id="10" w:name="_Toc50742898"/>
      <w:r>
        <w:rPr>
          <w:rFonts w:hint="eastAsia" w:ascii="宋体" w:hAnsi="宋体" w:cs="宋体"/>
          <w:b w:val="0"/>
          <w:bCs w:val="0"/>
          <w:sz w:val="21"/>
          <w:szCs w:val="21"/>
        </w:rPr>
        <w:t>投标文件</w:t>
      </w:r>
      <w:bookmarkEnd w:id="10"/>
      <w:r>
        <w:rPr>
          <w:rFonts w:hint="eastAsia" w:ascii="宋体" w:hAnsi="宋体" w:cs="宋体"/>
          <w:b w:val="0"/>
          <w:bCs w:val="0"/>
          <w:sz w:val="21"/>
          <w:szCs w:val="21"/>
        </w:rPr>
        <w:t>需提交</w:t>
      </w:r>
      <w:r>
        <w:rPr>
          <w:rFonts w:hint="eastAsia" w:ascii="宋体" w:hAnsi="宋体" w:cs="宋体"/>
          <w:sz w:val="21"/>
          <w:szCs w:val="21"/>
        </w:rPr>
        <w:t>纸质版文件</w:t>
      </w:r>
      <w:r>
        <w:rPr>
          <w:rFonts w:hint="eastAsia" w:ascii="宋体" w:hAnsi="宋体" w:cs="宋体"/>
          <w:b w:val="0"/>
          <w:bCs w:val="0"/>
          <w:sz w:val="21"/>
          <w:szCs w:val="21"/>
        </w:rPr>
        <w:t>和</w:t>
      </w:r>
      <w:r>
        <w:rPr>
          <w:rFonts w:hint="eastAsia" w:ascii="宋体" w:hAnsi="宋体" w:cs="宋体"/>
          <w:sz w:val="21"/>
          <w:szCs w:val="21"/>
        </w:rPr>
        <w:t>电子版文件</w:t>
      </w:r>
      <w:r>
        <w:rPr>
          <w:rFonts w:hint="eastAsia" w:ascii="宋体" w:hAnsi="宋体" w:cs="宋体"/>
          <w:b w:val="0"/>
          <w:bCs w:val="0"/>
          <w:sz w:val="21"/>
          <w:szCs w:val="21"/>
        </w:rPr>
        <w:t>两种，均需包含</w:t>
      </w:r>
      <w:r>
        <w:rPr>
          <w:rFonts w:hint="eastAsia" w:ascii="宋体" w:hAnsi="宋体" w:cs="宋体"/>
          <w:sz w:val="21"/>
          <w:szCs w:val="21"/>
        </w:rPr>
        <w:t>资质文件、技术标文件、商务标文件三部分</w:t>
      </w:r>
      <w:r>
        <w:rPr>
          <w:rFonts w:hint="eastAsia" w:ascii="宋体" w:hAnsi="宋体" w:cs="宋体"/>
          <w:b w:val="0"/>
          <w:bCs w:val="0"/>
          <w:sz w:val="21"/>
          <w:szCs w:val="21"/>
        </w:rPr>
        <w:t>提交，纸质版以实物形式提交，电子版以存入U盘形式提交。</w:t>
      </w:r>
    </w:p>
    <w:p>
      <w:pPr>
        <w:pStyle w:val="146"/>
        <w:widowControl/>
        <w:numPr>
          <w:ilvl w:val="0"/>
          <w:numId w:val="14"/>
        </w:numPr>
        <w:ind w:firstLineChars="0"/>
        <w:rPr>
          <w:rFonts w:ascii="宋体" w:hAnsi="宋体" w:cs="宋体"/>
          <w:b/>
          <w:bCs/>
          <w:sz w:val="21"/>
          <w:szCs w:val="21"/>
        </w:rPr>
      </w:pPr>
      <w:r>
        <w:rPr>
          <w:rFonts w:hint="eastAsia" w:ascii="宋体" w:hAnsi="宋体" w:cs="宋体"/>
          <w:b/>
          <w:bCs/>
          <w:sz w:val="21"/>
          <w:szCs w:val="21"/>
        </w:rPr>
        <w:t>纸质版文件</w:t>
      </w:r>
    </w:p>
    <w:p>
      <w:pPr>
        <w:pStyle w:val="146"/>
        <w:widowControl/>
        <w:numPr>
          <w:ilvl w:val="0"/>
          <w:numId w:val="15"/>
        </w:numPr>
        <w:ind w:firstLineChars="0"/>
        <w:rPr>
          <w:rFonts w:ascii="宋体" w:hAnsi="宋体" w:cs="宋体"/>
          <w:b/>
          <w:bCs/>
          <w:sz w:val="21"/>
          <w:szCs w:val="21"/>
        </w:rPr>
      </w:pPr>
      <w:r>
        <w:rPr>
          <w:rFonts w:hint="eastAsia" w:ascii="宋体" w:hAnsi="宋体" w:cs="宋体"/>
          <w:b/>
          <w:bCs/>
          <w:sz w:val="21"/>
          <w:szCs w:val="21"/>
        </w:rPr>
        <w:t>资质文件（独立封装在一个档案袋，一式三份）</w:t>
      </w:r>
    </w:p>
    <w:p>
      <w:pPr>
        <w:pStyle w:val="60"/>
        <w:numPr>
          <w:ilvl w:val="0"/>
          <w:numId w:val="16"/>
        </w:numPr>
        <w:spacing w:line="360" w:lineRule="auto"/>
        <w:rPr>
          <w:rFonts w:ascii="宋体" w:hAnsi="宋体" w:cs="宋体"/>
          <w:szCs w:val="21"/>
        </w:rPr>
      </w:pPr>
      <w:r>
        <w:rPr>
          <w:rFonts w:hint="eastAsia" w:ascii="宋体" w:hAnsi="宋体" w:cs="宋体"/>
          <w:szCs w:val="21"/>
        </w:rPr>
        <w:t>投标公司单位简介（包含但不仅限于公司名称、成立时间、注册资本、公司在册员工人数（缴纳社保人员）、地址、主营业务介绍等）；</w:t>
      </w:r>
    </w:p>
    <w:p>
      <w:pPr>
        <w:pStyle w:val="60"/>
        <w:numPr>
          <w:ilvl w:val="0"/>
          <w:numId w:val="16"/>
        </w:numPr>
        <w:spacing w:line="360" w:lineRule="auto"/>
        <w:rPr>
          <w:rFonts w:ascii="宋体" w:hAnsi="宋体" w:cs="宋体"/>
          <w:szCs w:val="21"/>
        </w:rPr>
      </w:pPr>
      <w:r>
        <w:rPr>
          <w:rFonts w:hint="eastAsia" w:ascii="宋体" w:hAnsi="宋体" w:cs="宋体"/>
          <w:szCs w:val="21"/>
        </w:rPr>
        <w:t>提供企业缴纳社保证明复印件（加盖公章），原件备查；</w:t>
      </w:r>
    </w:p>
    <w:p>
      <w:pPr>
        <w:pStyle w:val="60"/>
        <w:spacing w:line="360" w:lineRule="auto"/>
        <w:rPr>
          <w:rFonts w:ascii="宋体" w:hAnsi="宋体" w:cs="宋体"/>
          <w:szCs w:val="21"/>
        </w:rPr>
      </w:pPr>
      <w:r>
        <w:rPr>
          <w:rFonts w:hint="eastAsia" w:ascii="宋体" w:hAnsi="宋体" w:cs="宋体"/>
          <w:szCs w:val="21"/>
        </w:rPr>
        <w:t>（3）投标函（格式见附件）；</w:t>
      </w:r>
    </w:p>
    <w:p>
      <w:pPr>
        <w:pStyle w:val="60"/>
        <w:spacing w:line="360" w:lineRule="auto"/>
        <w:rPr>
          <w:rFonts w:ascii="宋体" w:hAnsi="宋体" w:cs="宋体"/>
          <w:szCs w:val="21"/>
        </w:rPr>
      </w:pPr>
      <w:r>
        <w:rPr>
          <w:rFonts w:hint="eastAsia" w:ascii="宋体" w:hAnsi="宋体" w:cs="宋体"/>
          <w:szCs w:val="21"/>
        </w:rPr>
        <w:t>（4）投标人基本情况表，附带投标人三证合一的营业执照副本复印件（加盖公章），原件备查；</w:t>
      </w:r>
    </w:p>
    <w:p>
      <w:pPr>
        <w:pStyle w:val="60"/>
        <w:spacing w:line="360" w:lineRule="auto"/>
        <w:rPr>
          <w:rFonts w:ascii="宋体" w:hAnsi="宋体" w:cs="宋体"/>
          <w:szCs w:val="21"/>
        </w:rPr>
      </w:pPr>
      <w:r>
        <w:rPr>
          <w:rFonts w:hint="eastAsia" w:ascii="宋体" w:hAnsi="宋体" w:cs="宋体"/>
          <w:szCs w:val="21"/>
        </w:rPr>
        <w:t>（5）若是法定代表人参加，需有法定代表人身份证复印件（加盖公章），原件备查。若不是法定代表人参加，需有法定代表人授权委托书原件、法定代表人身份证及被委托人身份证复印件（均加盖公章），投标人或被委托人应提供授权委托书原件（格式见附件）、身份证原件备查；</w:t>
      </w:r>
    </w:p>
    <w:p>
      <w:pPr>
        <w:spacing w:line="360" w:lineRule="auto"/>
        <w:ind w:firstLine="420" w:firstLineChars="200"/>
        <w:rPr>
          <w:rFonts w:ascii="宋体" w:hAnsi="宋体" w:cs="宋体"/>
          <w:color w:val="000000"/>
          <w:szCs w:val="21"/>
        </w:rPr>
      </w:pPr>
      <w:r>
        <w:rPr>
          <w:rFonts w:hint="eastAsia" w:ascii="宋体" w:hAnsi="宋体" w:cs="宋体"/>
          <w:color w:val="000000"/>
          <w:szCs w:val="21"/>
        </w:rPr>
        <w:t>（6）投标人提供经会计师事务所审计且出具无保留意见的近三年的财务审计报告复印件并加盖公章，包括但不限于报告页、经审计的资产负债表、利润表、现金流量表及报表附注，原件备查；</w:t>
      </w:r>
    </w:p>
    <w:p>
      <w:pPr>
        <w:spacing w:line="360" w:lineRule="auto"/>
        <w:ind w:firstLine="420" w:firstLineChars="200"/>
        <w:rPr>
          <w:rFonts w:ascii="宋体" w:hAnsi="宋体" w:cs="宋体"/>
          <w:color w:val="000000"/>
          <w:szCs w:val="21"/>
        </w:rPr>
      </w:pPr>
      <w:r>
        <w:rPr>
          <w:rFonts w:hint="eastAsia" w:ascii="宋体" w:hAnsi="宋体" w:cs="宋体"/>
          <w:color w:val="000000"/>
          <w:szCs w:val="21"/>
        </w:rPr>
        <w:t xml:space="preserve">如投标人公司没有经审计的财务报告，可提供投标人近三年的公司财务报表（包含但不仅限于资产负债表、损益表、现金流量表等）复印件并加盖公章，原件备查；应提供中文版本的审计报告或财务报表； </w:t>
      </w:r>
    </w:p>
    <w:p>
      <w:pPr>
        <w:spacing w:line="360" w:lineRule="auto"/>
        <w:ind w:firstLine="420" w:firstLineChars="200"/>
        <w:rPr>
          <w:rFonts w:ascii="宋体" w:hAnsi="宋体" w:cs="宋体"/>
          <w:color w:val="000000"/>
          <w:szCs w:val="21"/>
        </w:rPr>
      </w:pPr>
      <w:r>
        <w:rPr>
          <w:rFonts w:hint="eastAsia" w:ascii="宋体" w:hAnsi="宋体" w:cs="宋体"/>
          <w:color w:val="000000"/>
          <w:szCs w:val="21"/>
        </w:rPr>
        <w:t>（7）企业最近半年完税证明、信用证明材料（中国人民银行信用代码证+征信报告），</w:t>
      </w:r>
      <w:r>
        <w:rPr>
          <w:rFonts w:hint="eastAsia" w:ascii="宋体" w:hAnsi="宋体" w:cs="宋体"/>
          <w:szCs w:val="21"/>
        </w:rPr>
        <w:t>加盖公章，</w:t>
      </w:r>
      <w:r>
        <w:rPr>
          <w:rFonts w:hint="eastAsia" w:ascii="宋体" w:hAnsi="宋体" w:cs="宋体"/>
          <w:color w:val="000000"/>
          <w:szCs w:val="21"/>
        </w:rPr>
        <w:t>原件备查；</w:t>
      </w:r>
    </w:p>
    <w:p>
      <w:pPr>
        <w:spacing w:line="360" w:lineRule="auto"/>
        <w:ind w:firstLine="420" w:firstLineChars="200"/>
        <w:rPr>
          <w:rFonts w:ascii="宋体" w:hAnsi="宋体" w:cs="宋体"/>
          <w:color w:val="000000"/>
          <w:szCs w:val="21"/>
        </w:rPr>
      </w:pPr>
      <w:r>
        <w:rPr>
          <w:rFonts w:hint="eastAsia" w:ascii="宋体" w:hAnsi="宋体" w:cs="宋体"/>
          <w:color w:val="000000"/>
          <w:szCs w:val="21"/>
        </w:rPr>
        <w:t>（8）年度纳税信用评价信息（可从电子税务局查询截图，需加盖公章），原件备查；</w:t>
      </w:r>
    </w:p>
    <w:p>
      <w:pPr>
        <w:spacing w:line="360" w:lineRule="auto"/>
        <w:ind w:firstLine="420" w:firstLineChars="200"/>
        <w:rPr>
          <w:rFonts w:ascii="宋体" w:hAnsi="宋体" w:cs="宋体"/>
          <w:color w:val="000000"/>
          <w:szCs w:val="21"/>
        </w:rPr>
      </w:pPr>
      <w:r>
        <w:rPr>
          <w:rFonts w:hint="eastAsia" w:ascii="宋体" w:hAnsi="宋体" w:cs="宋体"/>
          <w:color w:val="000000"/>
          <w:szCs w:val="21"/>
        </w:rPr>
        <w:t xml:space="preserve">（9）企业对外担保说明（写明贵单位对外有无对外担保和质押业务，需加盖公章），原件备查； </w:t>
      </w:r>
    </w:p>
    <w:p>
      <w:pPr>
        <w:spacing w:line="360" w:lineRule="auto"/>
        <w:ind w:firstLine="420" w:firstLineChars="200"/>
        <w:rPr>
          <w:rFonts w:ascii="宋体" w:hAnsi="宋体" w:cs="宋体"/>
          <w:szCs w:val="21"/>
        </w:rPr>
      </w:pPr>
      <w:r>
        <w:rPr>
          <w:rFonts w:hint="eastAsia" w:ascii="宋体" w:hAnsi="宋体" w:cs="宋体"/>
          <w:color w:val="000000"/>
          <w:szCs w:val="21"/>
        </w:rPr>
        <w:t>（10）证明投标人资格条件的其他资质（短视频和直播服务或类似广告服务资质证明）、等级证书、行业内相关荣誉（如有）；</w:t>
      </w:r>
    </w:p>
    <w:p>
      <w:pPr>
        <w:pStyle w:val="60"/>
        <w:spacing w:line="360" w:lineRule="auto"/>
        <w:rPr>
          <w:rFonts w:ascii="宋体" w:hAnsi="宋体" w:cs="宋体"/>
          <w:szCs w:val="21"/>
        </w:rPr>
      </w:pPr>
      <w:r>
        <w:rPr>
          <w:rFonts w:hint="eastAsia" w:ascii="宋体" w:hAnsi="宋体" w:cs="宋体"/>
          <w:szCs w:val="21"/>
        </w:rPr>
        <w:t>（11）企业服务业绩：列举与此招标项目类似的服务业绩，包括项目实施时间、单位、应用范围、投标人参与的核心成员及合同复印件等，合同原件现场携带备查。</w:t>
      </w:r>
    </w:p>
    <w:p>
      <w:pPr>
        <w:pStyle w:val="146"/>
        <w:widowControl/>
        <w:numPr>
          <w:ilvl w:val="0"/>
          <w:numId w:val="17"/>
        </w:numPr>
        <w:ind w:firstLineChars="0"/>
        <w:rPr>
          <w:rFonts w:ascii="宋体" w:hAnsi="宋体" w:cs="宋体"/>
          <w:b/>
          <w:bCs/>
          <w:sz w:val="21"/>
          <w:szCs w:val="21"/>
        </w:rPr>
      </w:pPr>
      <w:r>
        <w:rPr>
          <w:rFonts w:hint="eastAsia" w:ascii="宋体" w:hAnsi="宋体" w:cs="宋体"/>
          <w:b/>
          <w:bCs/>
          <w:sz w:val="21"/>
          <w:szCs w:val="21"/>
        </w:rPr>
        <w:t>技术标文件（独立封装在一个档案袋，其中正本一份，副本三份）：</w:t>
      </w:r>
    </w:p>
    <w:p>
      <w:pPr>
        <w:pStyle w:val="148"/>
        <w:widowControl/>
        <w:numPr>
          <w:ilvl w:val="0"/>
          <w:numId w:val="18"/>
        </w:numPr>
        <w:tabs>
          <w:tab w:val="left" w:pos="420"/>
        </w:tabs>
        <w:adjustRightInd w:val="0"/>
        <w:snapToGrid w:val="0"/>
        <w:ind w:left="0" w:firstLine="420"/>
        <w:rPr>
          <w:rFonts w:ascii="宋体" w:hAnsi="宋体" w:cs="宋体"/>
          <w:sz w:val="21"/>
          <w:szCs w:val="21"/>
        </w:rPr>
      </w:pPr>
      <w:r>
        <w:rPr>
          <w:rFonts w:hint="eastAsia" w:ascii="宋体" w:hAnsi="宋体" w:cs="宋体"/>
          <w:sz w:val="21"/>
          <w:szCs w:val="21"/>
        </w:rPr>
        <w:t>项目方案：满足项目KPI前提下（《“重汽后市场”直播平台矩阵建设运营及常态化直播项目KPI》见附表），明确项目总体规划及具体实施方案等；</w:t>
      </w:r>
    </w:p>
    <w:p>
      <w:pPr>
        <w:pStyle w:val="148"/>
        <w:widowControl/>
        <w:numPr>
          <w:ilvl w:val="0"/>
          <w:numId w:val="18"/>
        </w:numPr>
        <w:tabs>
          <w:tab w:val="left" w:pos="420"/>
        </w:tabs>
        <w:adjustRightInd w:val="0"/>
        <w:snapToGrid w:val="0"/>
        <w:rPr>
          <w:rFonts w:ascii="宋体" w:hAnsi="宋体" w:cs="宋体"/>
          <w:sz w:val="21"/>
          <w:szCs w:val="21"/>
        </w:rPr>
      </w:pPr>
      <w:r>
        <w:rPr>
          <w:rFonts w:hint="eastAsia" w:ascii="宋体" w:hAnsi="宋体" w:cs="宋体"/>
          <w:sz w:val="21"/>
          <w:szCs w:val="21"/>
        </w:rPr>
        <w:t>项目团队：列示拟参与项目的团队成员及工作简历、项目分工等；</w:t>
      </w:r>
    </w:p>
    <w:p>
      <w:pPr>
        <w:pStyle w:val="148"/>
        <w:widowControl/>
        <w:numPr>
          <w:ilvl w:val="0"/>
          <w:numId w:val="18"/>
        </w:numPr>
        <w:tabs>
          <w:tab w:val="left" w:pos="420"/>
        </w:tabs>
        <w:adjustRightInd w:val="0"/>
        <w:snapToGrid w:val="0"/>
        <w:jc w:val="left"/>
        <w:rPr>
          <w:rFonts w:ascii="宋体" w:hAnsi="宋体" w:cs="宋体"/>
          <w:sz w:val="21"/>
          <w:szCs w:val="21"/>
        </w:rPr>
      </w:pPr>
      <w:r>
        <w:rPr>
          <w:rFonts w:hint="eastAsia" w:ascii="宋体" w:hAnsi="宋体" w:cs="宋体"/>
          <w:sz w:val="21"/>
          <w:szCs w:val="21"/>
        </w:rPr>
        <w:t>项目团队服务保障及其他综合说明。</w:t>
      </w:r>
    </w:p>
    <w:p>
      <w:pPr>
        <w:pStyle w:val="148"/>
        <w:widowControl/>
        <w:numPr>
          <w:ilvl w:val="0"/>
          <w:numId w:val="0"/>
        </w:numPr>
        <w:tabs>
          <w:tab w:val="left" w:pos="420"/>
        </w:tabs>
        <w:adjustRightInd w:val="0"/>
        <w:snapToGrid w:val="0"/>
        <w:ind w:left="420"/>
        <w:jc w:val="left"/>
        <w:rPr>
          <w:rFonts w:ascii="宋体" w:hAnsi="宋体" w:cs="宋体"/>
          <w:sz w:val="21"/>
          <w:szCs w:val="21"/>
        </w:rPr>
      </w:pPr>
      <w:r>
        <w:rPr>
          <w:rFonts w:hint="eastAsia" w:ascii="宋体" w:hAnsi="宋体" w:cs="宋体"/>
          <w:sz w:val="21"/>
          <w:szCs w:val="21"/>
        </w:rPr>
        <w:t>以上技术标文件需提供纸质版，盖章视为有效。</w:t>
      </w:r>
    </w:p>
    <w:p>
      <w:pPr>
        <w:pStyle w:val="148"/>
        <w:widowControl/>
        <w:numPr>
          <w:ilvl w:val="0"/>
          <w:numId w:val="19"/>
        </w:numPr>
        <w:adjustRightInd w:val="0"/>
        <w:snapToGrid w:val="0"/>
        <w:rPr>
          <w:rFonts w:ascii="宋体" w:hAnsi="宋体" w:cs="宋体"/>
          <w:b/>
          <w:bCs/>
          <w:color w:val="000000"/>
          <w:sz w:val="21"/>
          <w:szCs w:val="21"/>
        </w:rPr>
      </w:pPr>
      <w:r>
        <w:rPr>
          <w:rFonts w:hint="eastAsia" w:ascii="宋体" w:hAnsi="宋体" w:cs="宋体"/>
          <w:b/>
          <w:bCs/>
          <w:color w:val="000000"/>
          <w:sz w:val="21"/>
          <w:szCs w:val="21"/>
        </w:rPr>
        <w:t>商务标文件（独立封装在一个档案袋，其中正本一份，副本三份）：</w:t>
      </w:r>
    </w:p>
    <w:p>
      <w:pPr>
        <w:pStyle w:val="21"/>
        <w:numPr>
          <w:ilvl w:val="0"/>
          <w:numId w:val="20"/>
        </w:numPr>
        <w:spacing w:line="360" w:lineRule="auto"/>
        <w:ind w:left="0" w:firstLine="420"/>
      </w:pPr>
      <w:r>
        <w:rPr>
          <w:rFonts w:hint="eastAsia"/>
        </w:rPr>
        <w:t>填写并提交《“重汽后市场”直播平台矩阵建设运营及常态化直播项目项目报价表》（以下简称“《报价表》”，格式单独见附表），《报价表》文件格式均为Excel表格，且不允许修改项目，若不按此格式进行报价，则视为无效报价；</w:t>
      </w:r>
    </w:p>
    <w:p>
      <w:pPr>
        <w:pStyle w:val="21"/>
        <w:numPr>
          <w:ilvl w:val="0"/>
          <w:numId w:val="20"/>
        </w:numPr>
        <w:spacing w:line="360" w:lineRule="auto"/>
        <w:ind w:left="0" w:firstLine="420"/>
      </w:pPr>
      <w:r>
        <w:rPr>
          <w:rFonts w:hint="eastAsia"/>
        </w:rPr>
        <w:t>《报价表》中条目不允许改动、隐藏，若有则视为无效报价（允许补充填写的部分除外），其中备注栏可补充解释说明；</w:t>
      </w:r>
    </w:p>
    <w:p>
      <w:pPr>
        <w:pStyle w:val="21"/>
        <w:numPr>
          <w:ilvl w:val="0"/>
          <w:numId w:val="20"/>
        </w:numPr>
        <w:spacing w:line="360" w:lineRule="auto"/>
        <w:ind w:left="0" w:firstLine="420"/>
        <w:rPr>
          <w:rFonts w:hAnsi="宋体" w:cs="宋体"/>
          <w:color w:val="000000"/>
          <w:szCs w:val="21"/>
        </w:rPr>
      </w:pPr>
      <w:r>
        <w:rPr>
          <w:rFonts w:hint="eastAsia"/>
        </w:rPr>
        <w:t>《报价表》中</w:t>
      </w:r>
      <w:r>
        <w:rPr>
          <w:rFonts w:hint="eastAsia" w:hAnsi="宋体" w:cs="宋体"/>
          <w:color w:val="000000"/>
          <w:szCs w:val="21"/>
        </w:rPr>
        <w:t>所有报价均采用人民币报价，并注明含税和未税价格、税率；</w:t>
      </w:r>
    </w:p>
    <w:p>
      <w:pPr>
        <w:pStyle w:val="21"/>
        <w:numPr>
          <w:ilvl w:val="0"/>
          <w:numId w:val="20"/>
        </w:numPr>
        <w:spacing w:line="360" w:lineRule="auto"/>
        <w:ind w:left="0" w:firstLine="420"/>
        <w:rPr>
          <w:rFonts w:hAnsi="宋体" w:cs="宋体"/>
          <w:color w:val="000000"/>
          <w:szCs w:val="21"/>
        </w:rPr>
      </w:pPr>
      <w:r>
        <w:rPr>
          <w:rFonts w:hint="eastAsia" w:hAnsi="宋体" w:cs="宋体"/>
          <w:color w:val="000000"/>
          <w:szCs w:val="21"/>
        </w:rPr>
        <w:t>《报价表》打印并盖章，视为有效。</w:t>
      </w:r>
    </w:p>
    <w:p>
      <w:pPr>
        <w:pStyle w:val="146"/>
        <w:widowControl/>
        <w:numPr>
          <w:ilvl w:val="0"/>
          <w:numId w:val="21"/>
        </w:numPr>
        <w:ind w:firstLineChars="0"/>
        <w:rPr>
          <w:rFonts w:ascii="宋体" w:hAnsi="宋体" w:cs="宋体"/>
          <w:b/>
          <w:bCs/>
          <w:sz w:val="21"/>
          <w:szCs w:val="21"/>
        </w:rPr>
      </w:pPr>
      <w:r>
        <w:rPr>
          <w:rFonts w:hint="eastAsia" w:ascii="宋体" w:hAnsi="宋体" w:cs="宋体"/>
          <w:b/>
          <w:bCs/>
          <w:sz w:val="21"/>
          <w:szCs w:val="21"/>
        </w:rPr>
        <w:t>电子版文件</w:t>
      </w:r>
    </w:p>
    <w:p>
      <w:pPr>
        <w:pStyle w:val="21"/>
        <w:numPr>
          <w:ilvl w:val="0"/>
          <w:numId w:val="22"/>
        </w:numPr>
        <w:spacing w:line="360" w:lineRule="auto"/>
        <w:ind w:left="5" w:firstLine="415"/>
        <w:rPr>
          <w:rFonts w:hAnsi="宋体" w:cs="宋体"/>
          <w:szCs w:val="21"/>
        </w:rPr>
      </w:pPr>
      <w:r>
        <w:rPr>
          <w:rFonts w:hint="eastAsia" w:hAnsi="宋体" w:cs="宋体"/>
          <w:szCs w:val="21"/>
        </w:rPr>
        <w:t>请在U盘中分别建立资质标文件、技术标文件、商务标文件三个文件夹放入投标相关资料，U盘总文件名称为投标单位全称，U盘上交存档，不返还。</w:t>
      </w:r>
    </w:p>
    <w:p>
      <w:pPr>
        <w:pStyle w:val="21"/>
        <w:numPr>
          <w:ilvl w:val="0"/>
          <w:numId w:val="22"/>
        </w:numPr>
        <w:spacing w:line="360" w:lineRule="auto"/>
        <w:ind w:left="5" w:firstLine="415"/>
        <w:rPr>
          <w:rFonts w:hAnsi="宋体" w:cs="宋体"/>
          <w:szCs w:val="21"/>
        </w:rPr>
      </w:pPr>
      <w:r>
        <w:rPr>
          <w:rFonts w:hint="eastAsia" w:hAnsi="宋体" w:cs="宋体"/>
          <w:szCs w:val="21"/>
        </w:rPr>
        <w:t>包含资质标文件、技术标文件、商务标文件等所有内容，将文件扫描后存为pdf格式提交。</w:t>
      </w:r>
    </w:p>
    <w:bookmarkEnd w:id="8"/>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五</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附件</w:t>
      </w:r>
    </w:p>
    <w:p>
      <w:pPr>
        <w:keepNext/>
        <w:keepLines/>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1"/>
        <w:rPr>
          <w:rFonts w:ascii="Times New Roman" w:hAnsi="Times New Roman" w:eastAsia="宋体" w:cs="Times New Roman"/>
          <w:b/>
          <w:bCs/>
          <w:color w:val="000000"/>
          <w:sz w:val="24"/>
          <w:szCs w:val="24"/>
        </w:rPr>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1" w:name="_Toc353881012"/>
      <w:bookmarkStart w:id="12" w:name="_Toc639004"/>
      <w:bookmarkStart w:id="13" w:name="_Toc212369550"/>
      <w:bookmarkStart w:id="14"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1"/>
      <w:bookmarkEnd w:id="12"/>
      <w:bookmarkEnd w:id="13"/>
      <w:bookmarkEnd w:id="14"/>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u w:val="single"/>
          <w:lang w:val="en-US" w:eastAsia="zh-CN"/>
        </w:rPr>
        <w:t xml:space="preserve">                   </w:t>
      </w:r>
      <w:r>
        <w:rPr>
          <w:rFonts w:hint="eastAsia" w:ascii="宋体" w:hAnsi="宋体" w:eastAsia="宋体" w:cs="宋体"/>
          <w:b/>
          <w:bCs/>
          <w:sz w:val="24"/>
          <w:szCs w:val="24"/>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提交纸质投标文件：资质证明文件、商务文件和技术文件正本一份；电子版投标文件一份。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highlight w:val="yellow"/>
          <w:u w:val="single"/>
          <w:lang w:val="en-US" w:eastAsia="zh-CN"/>
        </w:rPr>
        <w:t xml:space="preserve">                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1"/>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1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4"/>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4"/>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4"/>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4"/>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4"/>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4"/>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4"/>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4"/>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4"/>
              <w:spacing w:before="114"/>
              <w:ind w:left="720"/>
              <w:rPr>
                <w:rFonts w:hint="eastAsia"/>
              </w:rPr>
            </w:pPr>
            <w:r>
              <w:t xml:space="preserve">品牌区分 </w:t>
            </w:r>
          </w:p>
        </w:tc>
        <w:tc>
          <w:tcPr>
            <w:tcW w:w="7500" w:type="dxa"/>
            <w:gridSpan w:val="6"/>
          </w:tcPr>
          <w:p>
            <w:pPr>
              <w:pStyle w:val="134"/>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4"/>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4"/>
              <w:spacing w:before="15"/>
              <w:ind w:left="279"/>
              <w:rPr>
                <w:rFonts w:hint="eastAsia"/>
              </w:rPr>
            </w:pPr>
            <w:r>
              <w:rPr>
                <w:spacing w:val="-2"/>
              </w:rPr>
              <w:t>质量</w:t>
            </w:r>
            <w:r>
              <w:t xml:space="preserve"> </w:t>
            </w:r>
          </w:p>
          <w:p>
            <w:pPr>
              <w:pStyle w:val="134"/>
              <w:spacing w:before="30" w:line="277" w:lineRule="exact"/>
              <w:ind w:left="279"/>
              <w:rPr>
                <w:rFonts w:hint="eastAsia"/>
              </w:rPr>
            </w:pPr>
            <w:r>
              <w:rPr>
                <w:rFonts w:hint="eastAsia"/>
              </w:rPr>
              <w:t>体系</w:t>
            </w:r>
          </w:p>
        </w:tc>
        <w:tc>
          <w:tcPr>
            <w:tcW w:w="2820" w:type="dxa"/>
            <w:gridSpan w:val="2"/>
          </w:tcPr>
          <w:p>
            <w:pPr>
              <w:pStyle w:val="134"/>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4"/>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pStyle w:val="21"/>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val="en-US" w:eastAsia="zh-CN"/>
        </w:rPr>
        <w:t xml:space="preserve">                     </w:t>
      </w:r>
      <w:r>
        <w:rPr>
          <w:rFonts w:ascii="宋体" w:hAnsi="宋体" w:eastAsia="宋体" w:cs="Times New Roman"/>
          <w:color w:val="000000"/>
          <w:sz w:val="24"/>
          <w:szCs w:val="24"/>
        </w:rPr>
        <w:t xml:space="preserve">                                                        </w:t>
      </w:r>
    </w:p>
    <w:tbl>
      <w:tblPr>
        <w:tblStyle w:val="4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2"/>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471"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72"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pPr>
              <w:spacing w:before="98" w:line="185" w:lineRule="auto"/>
              <w:ind w:left="51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pPr>
              <w:spacing w:before="100" w:line="182" w:lineRule="auto"/>
              <w:ind w:left="798"/>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pPr>
              <w:spacing w:before="100" w:line="182" w:lineRule="auto"/>
              <w:ind w:left="1007"/>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496" w:type="dxa"/>
          </w:tcPr>
          <w:p>
            <w:pPr>
              <w:spacing w:before="99" w:line="183"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7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01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608"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49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471"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472" w:type="dxa"/>
          </w:tcPr>
          <w:p>
            <w:pPr>
              <w:rPr>
                <w:rFonts w:hint="eastAsia" w:ascii="Arial"/>
              </w:rPr>
            </w:pPr>
          </w:p>
        </w:tc>
        <w:tc>
          <w:tcPr>
            <w:tcW w:w="1474" w:type="dxa"/>
          </w:tcPr>
          <w:p>
            <w:pPr>
              <w:rPr>
                <w:rFonts w:hint="eastAsia" w:ascii="Arial"/>
              </w:rPr>
            </w:pPr>
          </w:p>
        </w:tc>
        <w:tc>
          <w:tcPr>
            <w:tcW w:w="2014" w:type="dxa"/>
          </w:tcPr>
          <w:p>
            <w:pPr>
              <w:rPr>
                <w:rFonts w:hint="eastAsia" w:ascii="Arial"/>
              </w:rPr>
            </w:pPr>
          </w:p>
        </w:tc>
        <w:tc>
          <w:tcPr>
            <w:tcW w:w="2608" w:type="dxa"/>
            <w:tcBorders>
              <w:left w:val="single" w:color="000000" w:sz="4" w:space="0"/>
            </w:tcBorders>
          </w:tcPr>
          <w:p>
            <w:pPr>
              <w:rPr>
                <w:rFonts w:hint="eastAsia" w:ascii="Arial"/>
              </w:rPr>
            </w:pPr>
          </w:p>
        </w:tc>
        <w:tc>
          <w:tcPr>
            <w:tcW w:w="1496"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105" w:lineRule="exact"/>
        <w:rPr>
          <w:rFonts w:hint="eastAsia"/>
        </w:rPr>
      </w:pPr>
    </w:p>
    <w:p>
      <w:pPr>
        <w:rPr>
          <w:rFonts w:hint="eastAsia" w:eastAsia="宋体"/>
        </w:rPr>
        <w:sectPr>
          <w:footerReference r:id="rId20"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附件5-3</w:t>
      </w:r>
      <w:r>
        <w:rPr>
          <w:rFonts w:ascii="Times New Roman" w:hAnsi="Times New Roman" w:eastAsia="宋体" w:cs="宋体"/>
          <w:b/>
          <w:bCs/>
          <w:color w:val="000000"/>
          <w:sz w:val="24"/>
          <w:szCs w:val="24"/>
        </w:rPr>
        <w:t xml:space="preserve"> </w:t>
      </w:r>
      <w:r>
        <w:rPr>
          <w:rFonts w:hint="eastAsia" w:ascii="Times New Roman" w:hAnsi="Times New Roman" w:eastAsia="宋体" w:cs="宋体"/>
          <w:b/>
          <w:bCs/>
          <w:color w:val="000000"/>
          <w:sz w:val="24"/>
          <w:szCs w:val="24"/>
        </w:rPr>
        <w:t>本项目全生命周期内备品备件、易损件和专用耗材明细表</w:t>
      </w:r>
    </w:p>
    <w:p>
      <w:pPr>
        <w:adjustRightInd w:val="0"/>
        <w:snapToGrid w:val="0"/>
        <w:spacing w:line="360" w:lineRule="auto"/>
        <w:rPr>
          <w:rFonts w:hint="eastAsia" w:ascii="宋体" w:hAnsi="宋体" w:eastAsia="宋体" w:cs="宋体"/>
          <w:b/>
          <w:bCs/>
          <w:sz w:val="24"/>
          <w:szCs w:val="24"/>
          <w:highlight w:val="yellow"/>
        </w:rPr>
      </w:pPr>
    </w:p>
    <w:p>
      <w:pPr>
        <w:adjustRightInd w:val="0"/>
        <w:snapToGrid w:val="0"/>
        <w:spacing w:line="420" w:lineRule="exact"/>
        <w:ind w:firstLine="1890" w:firstLineChars="900"/>
        <w:rPr>
          <w:rFonts w:hint="eastAsia"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40"/>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1518"/>
        <w:gridCol w:w="899"/>
        <w:gridCol w:w="1387"/>
        <w:gridCol w:w="706"/>
        <w:gridCol w:w="847"/>
        <w:gridCol w:w="1646"/>
        <w:gridCol w:w="1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7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51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8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品牌</w:t>
            </w:r>
          </w:p>
        </w:tc>
        <w:tc>
          <w:tcPr>
            <w:tcW w:w="138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0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84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市场价</w:t>
            </w:r>
          </w:p>
        </w:tc>
        <w:tc>
          <w:tcPr>
            <w:tcW w:w="164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重汽折扣价</w:t>
            </w:r>
          </w:p>
        </w:tc>
        <w:tc>
          <w:tcPr>
            <w:tcW w:w="197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bl>
    <w:p>
      <w:pPr>
        <w:spacing w:before="78" w:line="219" w:lineRule="auto"/>
        <w:ind w:left="431"/>
        <w:rPr>
          <w:rFonts w:hint="eastAsia" w:ascii="宋体" w:hAnsi="宋体" w:eastAsia="宋体" w:cs="宋体"/>
          <w:spacing w:val="-6"/>
          <w:szCs w:val="21"/>
        </w:rPr>
      </w:pPr>
    </w:p>
    <w:p>
      <w:pPr>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注：必须提供本项目生命周期内所涉及到所有备品备件、易损件和专用耗材明细表，以便于质保期外，招标人能够根据清单快速找到同规格产品。</w:t>
      </w:r>
    </w:p>
    <w:p>
      <w:pPr>
        <w:spacing w:line="660" w:lineRule="exact"/>
        <w:rPr>
          <w:rFonts w:hint="eastAsia" w:ascii="宋体" w:hAnsi="宋体"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pPr>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lang w:val="en-US" w:eastAsia="zh-CN"/>
        </w:rPr>
        <w:t xml:space="preserve"> </w:t>
      </w:r>
      <w:r>
        <w:rPr>
          <w:rFonts w:ascii="宋体" w:hAnsi="宋体" w:eastAsia="宋体" w:cs="Times New Roman"/>
          <w:color w:val="000000"/>
          <w:sz w:val="24"/>
          <w:szCs w:val="24"/>
        </w:rPr>
        <w:t xml:space="preserve">                                                          </w:t>
      </w:r>
    </w:p>
    <w:tbl>
      <w:tblPr>
        <w:tblStyle w:val="4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jc w:val="center"/>
              <w:rPr>
                <w:rFonts w:hint="eastAsia" w:ascii="宋体" w:hAnsi="宋体" w:eastAsia="宋体" w:cs="宋体"/>
                <w:spacing w:val="-1"/>
                <w:sz w:val="24"/>
                <w:szCs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bCs/>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业绩合同总额汇总（必填</w:t>
            </w:r>
            <w:r>
              <w:rPr>
                <w:rFonts w:hint="eastAsia" w:ascii="宋体" w:hAnsi="宋体" w:eastAsia="宋体" w:cs="宋体"/>
                <w:sz w:val="24"/>
                <w:szCs w:val="24"/>
                <w:highlight w:val="yellow"/>
              </w:rPr>
              <w:t>）</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b/>
          <w:bCs/>
          <w:sz w:val="24"/>
          <w:szCs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val="en-US" w:eastAsia="zh-CN"/>
        </w:rPr>
        <w:t xml:space="preserve">                    </w:t>
      </w:r>
      <w:r>
        <w:rPr>
          <w:rFonts w:ascii="宋体" w:hAnsi="宋体" w:eastAsia="宋体" w:cs="Times New Roman"/>
          <w:color w:val="000000"/>
          <w:sz w:val="24"/>
          <w:szCs w:val="24"/>
        </w:rPr>
        <w:t xml:space="preserve">                                                        </w:t>
      </w:r>
    </w:p>
    <w:tbl>
      <w:tblPr>
        <w:tblStyle w:val="4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7"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1"/>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1"/>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2"/>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120"/>
        <w:gridCol w:w="1682"/>
        <w:gridCol w:w="2519"/>
        <w:gridCol w:w="2435"/>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tcPr>
          <w:p>
            <w:pPr>
              <w:spacing w:before="98" w:line="185"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tcPr>
          <w:p>
            <w:pPr>
              <w:spacing w:before="100"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069" w:type="dxa"/>
          </w:tcPr>
          <w:p>
            <w:pPr>
              <w:spacing w:before="99" w:line="183" w:lineRule="auto"/>
              <w:ind w:firstLine="422" w:firstLineChars="200"/>
              <w:rPr>
                <w:rFonts w:hint="eastAsia" w:ascii="宋体" w:hAnsi="宋体" w:eastAsia="宋体" w:cs="宋体"/>
                <w:szCs w:val="21"/>
              </w:rPr>
            </w:pPr>
            <w:r>
              <w:rPr>
                <w:rFonts w:hint="eastAsia" w:ascii="宋体" w:hAnsi="宋体" w:eastAsia="宋体" w:cs="宋体"/>
                <w:b/>
                <w:bCs/>
                <w:szCs w:val="21"/>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总价[5×8]（不含税）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pStyle w:val="129"/>
              <w:spacing w:before="60" w:after="60" w:line="240" w:lineRule="auto"/>
              <w:jc w:val="center"/>
              <w:rPr>
                <w:rFonts w:hint="eastAsia" w:ascii="宋体" w:hAnsi="宋体" w:eastAsia="宋体" w:cs="宋体"/>
                <w:b/>
                <w:bCs/>
                <w:sz w:val="24"/>
              </w:rPr>
            </w:pPr>
          </w:p>
        </w:tc>
        <w:tc>
          <w:tcPr>
            <w:tcW w:w="2238" w:type="dxa"/>
          </w:tcPr>
          <w:p>
            <w:pPr>
              <w:widowControl/>
              <w:jc w:val="center"/>
              <w:textAlignment w:val="center"/>
              <w:rPr>
                <w:rFonts w:hint="eastAsia" w:ascii="宋体" w:hAnsi="宋体" w:eastAsia="宋体" w:cs="宋体"/>
                <w:b/>
                <w:bCs/>
                <w:sz w:val="24"/>
                <w:szCs w:val="24"/>
              </w:rPr>
            </w:pPr>
          </w:p>
        </w:tc>
        <w:tc>
          <w:tcPr>
            <w:tcW w:w="2239" w:type="dxa"/>
          </w:tcPr>
          <w:p>
            <w:pPr>
              <w:rPr>
                <w:rFonts w:hint="eastAsia" w:ascii="宋体" w:hAnsi="宋体" w:eastAsia="宋体" w:cs="宋体"/>
                <w:b/>
                <w:bCs/>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b/>
                <w:bCs/>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238"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590" w:type="dxa"/>
            <w:gridSpan w:val="7"/>
            <w:tcBorders>
              <w:right w:val="single" w:color="000000" w:sz="4" w:space="0"/>
            </w:tcBorders>
          </w:tcPr>
          <w:p>
            <w:pPr>
              <w:jc w:val="center"/>
              <w:rPr>
                <w:rFonts w:hint="eastAsia"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rPr>
          <w:rFonts w:hint="eastAsia"/>
        </w:rPr>
      </w:pPr>
    </w:p>
    <w:p>
      <w:pPr>
        <w:rPr>
          <w:rFonts w:hint="eastAsia"/>
        </w:rPr>
        <w:sectPr>
          <w:footerReference r:id="rId23"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2"/>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4"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2"/>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2</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tcPr>
          <w:p>
            <w:pPr>
              <w:spacing w:before="266" w:line="221" w:lineRule="auto"/>
              <w:jc w:val="center"/>
              <w:rPr>
                <w:rFonts w:hint="eastAsia" w:ascii="宋体" w:hAnsi="宋体" w:eastAsia="宋体" w:cs="宋体"/>
                <w:sz w:val="24"/>
                <w:szCs w:val="24"/>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5</w:t>
            </w:r>
          </w:p>
        </w:tc>
        <w:tc>
          <w:tcPr>
            <w:tcW w:w="3625" w:type="dxa"/>
          </w:tcPr>
          <w:p>
            <w:pPr>
              <w:spacing w:before="266" w:line="221" w:lineRule="auto"/>
              <w:jc w:val="center"/>
              <w:rPr>
                <w:rFonts w:hint="eastAsia" w:ascii="宋体" w:hAnsi="宋体" w:eastAsia="宋体" w:cs="宋体"/>
                <w:sz w:val="24"/>
                <w:szCs w:val="24"/>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6</w:t>
            </w:r>
          </w:p>
        </w:tc>
        <w:tc>
          <w:tcPr>
            <w:tcW w:w="3625" w:type="dxa"/>
          </w:tcPr>
          <w:p>
            <w:pPr>
              <w:spacing w:before="266" w:line="221" w:lineRule="auto"/>
              <w:jc w:val="center"/>
              <w:rPr>
                <w:rFonts w:hint="eastAsia" w:ascii="宋体" w:hAnsi="宋体" w:eastAsia="宋体" w:cs="宋体"/>
                <w:spacing w:val="-2"/>
                <w:szCs w:val="21"/>
                <w:highlight w:val="yellow"/>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1"/>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5"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2"/>
        <w:tblW w:w="1467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840" w:type="dxa"/>
          </w:tcPr>
          <w:p>
            <w:pPr>
              <w:spacing w:before="101" w:line="185" w:lineRule="auto"/>
              <w:ind w:left="371"/>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2239" w:type="dxa"/>
          </w:tcPr>
          <w:p>
            <w:pPr>
              <w:spacing w:before="103" w:line="182" w:lineRule="auto"/>
              <w:ind w:left="107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1498" w:type="dxa"/>
          </w:tcPr>
          <w:p>
            <w:pPr>
              <w:spacing w:before="102" w:line="183" w:lineRule="auto"/>
              <w:ind w:left="58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1861" w:type="dxa"/>
          </w:tcPr>
          <w:p>
            <w:pPr>
              <w:spacing w:before="103" w:line="182" w:lineRule="auto"/>
              <w:ind w:left="1010"/>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120" w:type="dxa"/>
          </w:tcPr>
          <w:p>
            <w:pPr>
              <w:spacing w:before="102" w:line="183" w:lineRule="auto"/>
              <w:ind w:left="516"/>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1125" w:type="dxa"/>
          </w:tcPr>
          <w:p>
            <w:pPr>
              <w:spacing w:before="102" w:line="183" w:lineRule="auto"/>
              <w:ind w:left="51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10569" w:type="dxa"/>
            <w:gridSpan w:val="7"/>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253" w:line="224" w:lineRule="auto"/>
        <w:ind w:left="6488"/>
        <w:rPr>
          <w:rFonts w:hint="eastAsia" w:ascii="宋体" w:hAnsi="宋体" w:eastAsia="宋体" w:cs="宋体"/>
          <w:spacing w:val="9"/>
          <w:sz w:val="24"/>
          <w:szCs w:val="24"/>
          <w14:textOutline w14:w="5791" w14:cap="flat" w14:cmpd="sng" w14:algn="ctr">
            <w14:solidFill>
              <w14:srgbClr w14:val="000000"/>
            </w14:solidFill>
            <w14:prstDash w14:val="solid"/>
            <w14:miter w14:val="0"/>
          </w14:textOutline>
        </w:r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2"/>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1</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9-1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2</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9-2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3</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9-3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4</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9-4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5</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1"/>
      </w:pPr>
    </w:p>
    <w:p>
      <w:pPr>
        <w:pStyle w:val="21"/>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4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pStyle w:val="21"/>
        <w:rPr>
          <w:rFonts w:hint="eastAsia" w:hAnsi="宋体" w:eastAsia="宋体" w:cs="宋体"/>
          <w:sz w:val="24"/>
          <w:szCs w:val="24"/>
        </w:rPr>
      </w:pPr>
    </w:p>
    <w:p>
      <w:pPr>
        <w:pStyle w:val="21"/>
        <w:rPr>
          <w:rFonts w:hint="eastAsia" w:hAnsi="宋体" w:eastAsia="宋体" w:cs="宋体"/>
          <w:sz w:val="24"/>
          <w:szCs w:val="24"/>
        </w:rPr>
      </w:pPr>
    </w:p>
    <w:p>
      <w:pPr>
        <w:spacing w:line="36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21"/>
        <w:rPr>
          <w:rFonts w:hint="eastAsia" w:hAnsi="宋体" w:eastAsia="宋体" w:cs="宋体"/>
          <w:sz w:val="24"/>
          <w:szCs w:val="24"/>
        </w:rPr>
        <w:sectPr>
          <w:footerReference r:id="rId27"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1"/>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1"/>
      </w:pPr>
    </w:p>
    <w:p>
      <w:pPr>
        <w:jc w:val="right"/>
        <w:rPr>
          <w:rFonts w:hint="eastAsia"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pPr>
        <w:pStyle w:val="21"/>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pPr>
        <w:rPr>
          <w:rFonts w:hint="eastAsia" w:ascii="宋体" w:hAnsi="宋体" w:eastAsia="宋体" w:cs="宋体"/>
          <w:color w:val="000000"/>
        </w:rPr>
      </w:pPr>
    </w:p>
    <w:p>
      <w:pPr>
        <w:rPr>
          <w:rFonts w:hint="eastAsia"/>
        </w:rPr>
      </w:pPr>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8"/>
                    <a:stretch>
                      <a:fillRect/>
                    </a:stretch>
                  </pic:blipFill>
                  <pic:spPr>
                    <a:xfrm>
                      <a:off x="0" y="0"/>
                      <a:ext cx="5760085" cy="2810122"/>
                    </a:xfrm>
                    <a:prstGeom prst="rect">
                      <a:avLst/>
                    </a:prstGeom>
                  </pic:spPr>
                </pic:pic>
              </a:graphicData>
            </a:graphic>
          </wp:inline>
        </w:drawing>
      </w:r>
    </w:p>
    <w:p>
      <w:pPr>
        <w:pStyle w:val="21"/>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9"/>
                    <a:stretch>
                      <a:fillRect/>
                    </a:stretch>
                  </pic:blipFill>
                  <pic:spPr>
                    <a:xfrm>
                      <a:off x="0" y="0"/>
                      <a:ext cx="5760085" cy="2820042"/>
                    </a:xfrm>
                    <a:prstGeom prst="rect">
                      <a:avLst/>
                    </a:prstGeom>
                  </pic:spPr>
                </pic:pic>
              </a:graphicData>
            </a:graphic>
          </wp:inline>
        </w:drawing>
      </w:r>
    </w:p>
    <w:p>
      <w:pPr>
        <w:pStyle w:val="21"/>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1"/>
      </w:pPr>
      <w:r>
        <w:rPr>
          <w:rFonts w:hint="eastAsia" w:hAnsi="宋体" w:eastAsia="宋体" w:cs="宋体"/>
          <w:b/>
          <w:bCs/>
          <w:color w:val="000000"/>
          <w:sz w:val="24"/>
          <w:szCs w:val="28"/>
          <w:highlight w:val="yellow"/>
        </w:rPr>
        <w:t>2.配套能力“供货类别”选“非生产招标→研发试验设备→产品试验检测中心”，业务主管部门为“产品试验检测中心”。</w:t>
      </w:r>
    </w:p>
    <w:p>
      <w:pPr>
        <w:pStyle w:val="21"/>
        <w:sectPr>
          <w:footerReference r:id="rId28" w:type="default"/>
          <w:pgSz w:w="11906" w:h="16838"/>
          <w:pgMar w:top="1588" w:right="1418" w:bottom="1134" w:left="1418" w:header="851" w:footer="992" w:gutter="0"/>
          <w:cols w:space="720" w:num="1"/>
          <w:titlePg/>
          <w:docGrid w:type="lines" w:linePitch="312" w:charSpace="0"/>
        </w:sectPr>
      </w:pPr>
    </w:p>
    <w:p>
      <w:pPr>
        <w:pStyle w:val="21"/>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8"/>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8"/>
          <w:rFonts w:hint="eastAsia" w:ascii="宋体" w:hAnsi="宋体" w:eastAsia="宋体" w:cs="宋体"/>
          <w:sz w:val="24"/>
          <w:szCs w:val="24"/>
        </w:rPr>
        <w:t>https://ecaitong.sinotruk.com:8012/</w:t>
      </w:r>
      <w:r>
        <w:rPr>
          <w:rStyle w:val="48"/>
          <w:rFonts w:hint="eastAsia" w:ascii="宋体" w:hAnsi="宋体" w:eastAsia="宋体" w:cs="宋体"/>
          <w:sz w:val="24"/>
          <w:szCs w:val="24"/>
        </w:rPr>
        <w:fldChar w:fldCharType="end"/>
      </w:r>
      <w:r>
        <w:rPr>
          <w:rStyle w:val="48"/>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rPr>
      </w:pPr>
      <w:r>
        <mc:AlternateContent>
          <mc:Choice Requires="wps">
            <w:drawing>
              <wp:anchor distT="0" distB="0" distL="114300" distR="114300" simplePos="0" relativeHeight="251675648"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5648;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0"/>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1"/>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2"/>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1"/>
      </w:pPr>
      <w:r>
        <w:rPr>
          <w:rFonts w:hint="eastAsia" w:hAnsi="宋体" w:eastAsia="宋体" w:cs="宋体"/>
          <w:b/>
          <w:bCs/>
          <w:color w:val="000000"/>
          <w:sz w:val="24"/>
          <w:szCs w:val="28"/>
          <w:highlight w:val="yellow"/>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3"/>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4"/>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5"/>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6"/>
                    <a:stretch>
                      <a:fillRect/>
                    </a:stretch>
                  </pic:blipFill>
                  <pic:spPr>
                    <a:xfrm>
                      <a:off x="0" y="0"/>
                      <a:ext cx="5760085" cy="1956600"/>
                    </a:xfrm>
                    <a:prstGeom prst="rect">
                      <a:avLst/>
                    </a:prstGeom>
                  </pic:spPr>
                </pic:pic>
              </a:graphicData>
            </a:graphic>
          </wp:inline>
        </w:drawing>
      </w:r>
    </w:p>
    <w:p>
      <w:pPr>
        <w:rPr>
          <w:rFonts w:hint="eastAsia"/>
        </w:rPr>
      </w:pPr>
    </w:p>
    <w:p>
      <w:pPr>
        <w:rPr>
          <w:rFonts w:hint="eastAsia"/>
        </w:rPr>
      </w:pPr>
    </w:p>
    <w:sectPr>
      <w:headerReference r:id="rId30" w:type="first"/>
      <w:footerReference r:id="rId32" w:type="first"/>
      <w:headerReference r:id="rId29" w:type="default"/>
      <w:footerReference r:id="rId31"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tabs>
        <w:tab w:val="clear" w:pos="4153"/>
      </w:tabs>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right" w:y="1"/>
      <w:rPr>
        <w:rStyle w:val="44"/>
        <w:sz w:val="20"/>
      </w:rPr>
    </w:pPr>
    <w:r>
      <w:rPr>
        <w:sz w:val="20"/>
      </w:rPr>
      <w:fldChar w:fldCharType="begin"/>
    </w:r>
    <w:r>
      <w:rPr>
        <w:rStyle w:val="44"/>
        <w:sz w:val="20"/>
      </w:rPr>
      <w:instrText xml:space="preserve">PAGE  </w:instrText>
    </w:r>
    <w:r>
      <w:rPr>
        <w:sz w:val="20"/>
      </w:rPr>
      <w:fldChar w:fldCharType="end"/>
    </w:r>
  </w:p>
  <w:p>
    <w:pPr>
      <w:pStyle w:val="26"/>
      <w:ind w:right="360"/>
      <w:rPr>
        <w:sz w:val="2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p>
    <w:pPr>
      <w:pStyle w:val="27"/>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DC667B"/>
    <w:multiLevelType w:val="singleLevel"/>
    <w:tmpl w:val="86DC667B"/>
    <w:lvl w:ilvl="0" w:tentative="0">
      <w:start w:val="3"/>
      <w:numFmt w:val="decimal"/>
      <w:lvlText w:val="%1)"/>
      <w:lvlJc w:val="left"/>
      <w:pPr>
        <w:tabs>
          <w:tab w:val="left" w:pos="420"/>
        </w:tabs>
        <w:ind w:left="425" w:hanging="425"/>
      </w:pPr>
      <w:rPr>
        <w:rFonts w:hint="default"/>
      </w:rPr>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B4A5AD7B"/>
    <w:multiLevelType w:val="singleLevel"/>
    <w:tmpl w:val="B4A5AD7B"/>
    <w:lvl w:ilvl="0" w:tentative="0">
      <w:start w:val="9"/>
      <w:numFmt w:val="chineseCounting"/>
      <w:suff w:val="nothing"/>
      <w:lvlText w:val="%1、"/>
      <w:lvlJc w:val="left"/>
      <w:rPr>
        <w:rFonts w:hint="eastAsia"/>
      </w:rPr>
    </w:lvl>
  </w:abstractNum>
  <w:abstractNum w:abstractNumId="3">
    <w:nsid w:val="C1C89038"/>
    <w:multiLevelType w:val="singleLevel"/>
    <w:tmpl w:val="C1C89038"/>
    <w:lvl w:ilvl="0" w:tentative="0">
      <w:start w:val="2"/>
      <w:numFmt w:val="chineseCounting"/>
      <w:suff w:val="nothing"/>
      <w:lvlText w:val="%1、"/>
      <w:lvlJc w:val="left"/>
      <w:rPr>
        <w:rFonts w:hint="eastAsia"/>
      </w:rPr>
    </w:lvl>
  </w:abstractNum>
  <w:abstractNum w:abstractNumId="4">
    <w:nsid w:val="E8726271"/>
    <w:multiLevelType w:val="singleLevel"/>
    <w:tmpl w:val="E8726271"/>
    <w:lvl w:ilvl="0" w:tentative="0">
      <w:start w:val="1"/>
      <w:numFmt w:val="decimalEnclosedCircleChinese"/>
      <w:suff w:val="nothing"/>
      <w:lvlText w:val="%1　"/>
      <w:lvlJc w:val="left"/>
      <w:pPr>
        <w:ind w:left="0" w:firstLine="400"/>
      </w:pPr>
      <w:rPr>
        <w:rFonts w:hint="eastAsia"/>
      </w:rPr>
    </w:lvl>
  </w:abstractNum>
  <w:abstractNum w:abstractNumId="5">
    <w:nsid w:val="F2BF6B68"/>
    <w:multiLevelType w:val="singleLevel"/>
    <w:tmpl w:val="F2BF6B68"/>
    <w:lvl w:ilvl="0" w:tentative="0">
      <w:start w:val="2"/>
      <w:numFmt w:val="decimal"/>
      <w:lvlText w:val="%1)"/>
      <w:lvlJc w:val="left"/>
      <w:pPr>
        <w:tabs>
          <w:tab w:val="left" w:pos="420"/>
        </w:tabs>
        <w:ind w:left="425" w:hanging="425"/>
      </w:pPr>
      <w:rPr>
        <w:rFonts w:hint="default"/>
      </w:rPr>
    </w:lvl>
  </w:abstractNum>
  <w:abstractNum w:abstractNumId="6">
    <w:nsid w:val="F9502771"/>
    <w:multiLevelType w:val="singleLevel"/>
    <w:tmpl w:val="F9502771"/>
    <w:lvl w:ilvl="0" w:tentative="0">
      <w:start w:val="10"/>
      <w:numFmt w:val="decimal"/>
      <w:lvlText w:val="%1."/>
      <w:lvlJc w:val="left"/>
      <w:pPr>
        <w:tabs>
          <w:tab w:val="left" w:pos="312"/>
        </w:tabs>
      </w:pPr>
    </w:lvl>
  </w:abstractNum>
  <w:abstractNum w:abstractNumId="7">
    <w:nsid w:val="165C79E3"/>
    <w:multiLevelType w:val="singleLevel"/>
    <w:tmpl w:val="165C79E3"/>
    <w:lvl w:ilvl="0" w:tentative="0">
      <w:start w:val="1"/>
      <w:numFmt w:val="decimal"/>
      <w:lvlText w:val="(%1)"/>
      <w:lvlJc w:val="left"/>
      <w:pPr>
        <w:ind w:left="425" w:hanging="425"/>
      </w:pPr>
      <w:rPr>
        <w:rFonts w:hint="default"/>
      </w:rPr>
    </w:lvl>
  </w:abstractNum>
  <w:abstractNum w:abstractNumId="8">
    <w:nsid w:val="201F4971"/>
    <w:multiLevelType w:val="multilevel"/>
    <w:tmpl w:val="201F4971"/>
    <w:lvl w:ilvl="0" w:tentative="0">
      <w:start w:val="1"/>
      <w:numFmt w:val="decimal"/>
      <w:pStyle w:val="148"/>
      <w:lvlText w:val="%1）"/>
      <w:lvlJc w:val="left"/>
      <w:pPr>
        <w:ind w:left="420" w:hanging="420"/>
      </w:pPr>
      <w:rPr>
        <w:rFonts w:hint="eastAsia" w:ascii="Times New Roman" w:hAnsi="Times New Roman" w:eastAsia="宋体" w:cs="Times New Roman"/>
        <w:b w:val="0"/>
        <w:bCs/>
      </w:rPr>
    </w:lvl>
    <w:lvl w:ilvl="1" w:tentative="0">
      <w:start w:val="1"/>
      <w:numFmt w:val="decimal"/>
      <w:lvlText w:val="%2)"/>
      <w:lvlJc w:val="left"/>
      <w:pPr>
        <w:tabs>
          <w:tab w:val="left" w:pos="693"/>
        </w:tabs>
        <w:ind w:left="693" w:hanging="420"/>
      </w:pPr>
    </w:lvl>
    <w:lvl w:ilvl="2" w:tentative="0">
      <w:start w:val="1"/>
      <w:numFmt w:val="lowerRoman"/>
      <w:lvlText w:val="%3."/>
      <w:lvlJc w:val="right"/>
      <w:pPr>
        <w:ind w:left="1113" w:hanging="420"/>
      </w:pPr>
    </w:lvl>
    <w:lvl w:ilvl="3" w:tentative="0">
      <w:start w:val="1"/>
      <w:numFmt w:val="decimal"/>
      <w:lvlText w:val="%4."/>
      <w:lvlJc w:val="left"/>
      <w:pPr>
        <w:ind w:left="1533" w:hanging="420"/>
      </w:pPr>
    </w:lvl>
    <w:lvl w:ilvl="4" w:tentative="0">
      <w:start w:val="1"/>
      <w:numFmt w:val="lowerLetter"/>
      <w:lvlText w:val="%5)"/>
      <w:lvlJc w:val="left"/>
      <w:pPr>
        <w:ind w:left="1953" w:hanging="420"/>
      </w:pPr>
    </w:lvl>
    <w:lvl w:ilvl="5" w:tentative="0">
      <w:start w:val="1"/>
      <w:numFmt w:val="lowerRoman"/>
      <w:lvlText w:val="%6."/>
      <w:lvlJc w:val="right"/>
      <w:pPr>
        <w:ind w:left="2373" w:hanging="420"/>
      </w:pPr>
    </w:lvl>
    <w:lvl w:ilvl="6" w:tentative="0">
      <w:start w:val="1"/>
      <w:numFmt w:val="decimal"/>
      <w:lvlText w:val="%7."/>
      <w:lvlJc w:val="left"/>
      <w:pPr>
        <w:ind w:left="2793" w:hanging="420"/>
      </w:pPr>
    </w:lvl>
    <w:lvl w:ilvl="7" w:tentative="0">
      <w:start w:val="1"/>
      <w:numFmt w:val="lowerLetter"/>
      <w:lvlText w:val="%8)"/>
      <w:lvlJc w:val="left"/>
      <w:pPr>
        <w:ind w:left="3213" w:hanging="420"/>
      </w:pPr>
    </w:lvl>
    <w:lvl w:ilvl="8" w:tentative="0">
      <w:start w:val="1"/>
      <w:numFmt w:val="lowerRoman"/>
      <w:lvlText w:val="%9."/>
      <w:lvlJc w:val="right"/>
      <w:pPr>
        <w:ind w:left="3633" w:hanging="420"/>
      </w:pPr>
    </w:lvl>
  </w:abstractNum>
  <w:abstractNum w:abstractNumId="9">
    <w:nsid w:val="222DA98A"/>
    <w:multiLevelType w:val="singleLevel"/>
    <w:tmpl w:val="222DA98A"/>
    <w:lvl w:ilvl="0" w:tentative="0">
      <w:start w:val="1"/>
      <w:numFmt w:val="decimal"/>
      <w:lvlText w:val="%1)"/>
      <w:lvlJc w:val="left"/>
      <w:pPr>
        <w:ind w:left="425" w:hanging="425"/>
      </w:pPr>
      <w:rPr>
        <w:rFonts w:hint="default"/>
      </w:rPr>
    </w:lvl>
  </w:abstractNum>
  <w:abstractNum w:abstractNumId="10">
    <w:nsid w:val="26BBA256"/>
    <w:multiLevelType w:val="singleLevel"/>
    <w:tmpl w:val="26BBA256"/>
    <w:lvl w:ilvl="0" w:tentative="0">
      <w:start w:val="1"/>
      <w:numFmt w:val="decimal"/>
      <w:lvlText w:val="%1."/>
      <w:lvlJc w:val="left"/>
      <w:pPr>
        <w:ind w:left="425" w:hanging="425"/>
      </w:pPr>
      <w:rPr>
        <w:rFonts w:hint="default"/>
      </w:rPr>
    </w:lvl>
  </w:abstractNum>
  <w:abstractNum w:abstractNumId="11">
    <w:nsid w:val="2F5711B6"/>
    <w:multiLevelType w:val="singleLevel"/>
    <w:tmpl w:val="2F5711B6"/>
    <w:lvl w:ilvl="0" w:tentative="0">
      <w:start w:val="1"/>
      <w:numFmt w:val="decimal"/>
      <w:lvlText w:val="%1."/>
      <w:lvlJc w:val="left"/>
      <w:pPr>
        <w:ind w:left="425" w:hanging="425"/>
      </w:pPr>
      <w:rPr>
        <w:rFonts w:hint="default"/>
      </w:rPr>
    </w:lvl>
  </w:abstractNum>
  <w:abstractNum w:abstractNumId="12">
    <w:nsid w:val="3295D6C8"/>
    <w:multiLevelType w:val="singleLevel"/>
    <w:tmpl w:val="3295D6C8"/>
    <w:lvl w:ilvl="0" w:tentative="0">
      <w:start w:val="3"/>
      <w:numFmt w:val="chineseCounting"/>
      <w:suff w:val="space"/>
      <w:lvlText w:val="%1、"/>
      <w:lvlJc w:val="left"/>
      <w:rPr>
        <w:rFonts w:hint="eastAsia"/>
      </w:rPr>
    </w:lvl>
  </w:abstractNum>
  <w:abstractNum w:abstractNumId="13">
    <w:nsid w:val="377EA9E6"/>
    <w:multiLevelType w:val="singleLevel"/>
    <w:tmpl w:val="377EA9E6"/>
    <w:lvl w:ilvl="0" w:tentative="0">
      <w:start w:val="4"/>
      <w:numFmt w:val="chineseCounting"/>
      <w:suff w:val="space"/>
      <w:lvlText w:val="第%1部分"/>
      <w:lvlJc w:val="left"/>
      <w:rPr>
        <w:rFonts w:hint="eastAsia"/>
      </w:rPr>
    </w:lvl>
  </w:abstractNum>
  <w:abstractNum w:abstractNumId="14">
    <w:nsid w:val="405248CF"/>
    <w:multiLevelType w:val="singleLevel"/>
    <w:tmpl w:val="405248CF"/>
    <w:lvl w:ilvl="0" w:tentative="0">
      <w:start w:val="1"/>
      <w:numFmt w:val="decimal"/>
      <w:lvlText w:val="(%1)"/>
      <w:lvlJc w:val="left"/>
      <w:pPr>
        <w:ind w:left="425" w:hanging="425"/>
      </w:pPr>
      <w:rPr>
        <w:rFonts w:hint="default"/>
      </w:rPr>
    </w:lvl>
  </w:abstractNum>
  <w:abstractNum w:abstractNumId="15">
    <w:nsid w:val="5A29D1C2"/>
    <w:multiLevelType w:val="multilevel"/>
    <w:tmpl w:val="5A29D1C2"/>
    <w:lvl w:ilvl="0" w:tentative="0">
      <w:start w:val="1"/>
      <w:numFmt w:val="decimal"/>
      <w:isLgl/>
      <w:suff w:val="space"/>
      <w:lvlText w:val="%1"/>
      <w:lvlJc w:val="left"/>
      <w:pPr>
        <w:ind w:left="0" w:firstLine="0"/>
      </w:pPr>
    </w:lvl>
    <w:lvl w:ilvl="1" w:tentative="0">
      <w:start w:val="1"/>
      <w:numFmt w:val="decimal"/>
      <w:pStyle w:val="147"/>
      <w:isLgl/>
      <w:suff w:val="space"/>
      <w:lvlText w:val="%1.%2"/>
      <w:lvlJc w:val="left"/>
      <w:pPr>
        <w:ind w:left="1134" w:firstLine="0"/>
      </w:pPr>
    </w:lvl>
    <w:lvl w:ilvl="2" w:tentative="0">
      <w:start w:val="1"/>
      <w:numFmt w:val="decimal"/>
      <w:isLgl/>
      <w:suff w:val="space"/>
      <w:lvlText w:val="%1.%2.%3"/>
      <w:lvlJc w:val="left"/>
      <w:pPr>
        <w:ind w:left="0" w:firstLine="0"/>
      </w:pPr>
    </w:lvl>
    <w:lvl w:ilvl="3" w:tentative="0">
      <w:start w:val="1"/>
      <w:numFmt w:val="decimal"/>
      <w:isLgl/>
      <w:suff w:val="space"/>
      <w:lvlText w:val="%1.%2.%3.%4"/>
      <w:lvlJc w:val="left"/>
      <w:pPr>
        <w:ind w:left="0" w:firstLine="0"/>
      </w:pPr>
    </w:lvl>
    <w:lvl w:ilvl="4" w:tentative="0">
      <w:start w:val="1"/>
      <w:numFmt w:val="decimal"/>
      <w:isLgl/>
      <w:suff w:val="space"/>
      <w:lvlText w:val="%1.%2.%3.%4.%5"/>
      <w:lvlJc w:val="left"/>
      <w:pPr>
        <w:ind w:left="0" w:firstLine="0"/>
      </w:pPr>
    </w:lvl>
    <w:lvl w:ilvl="5" w:tentative="0">
      <w:start w:val="1"/>
      <w:numFmt w:val="decimal"/>
      <w:suff w:val="space"/>
      <w:lvlText w:val="%1.%2.%3.%4.%5.%6"/>
      <w:lvlJc w:val="left"/>
      <w:pPr>
        <w:ind w:left="0" w:firstLine="0"/>
      </w:pPr>
    </w:lvl>
    <w:lvl w:ilvl="6" w:tentative="0">
      <w:start w:val="1"/>
      <w:numFmt w:val="decimal"/>
      <w:isLgl/>
      <w:suff w:val="space"/>
      <w:lvlText w:val="%1.%2.%3.%4.%5.%6.%7"/>
      <w:lvlJc w:val="left"/>
      <w:pPr>
        <w:ind w:left="0" w:firstLine="0"/>
      </w:pPr>
    </w:lvl>
    <w:lvl w:ilvl="7" w:tentative="0">
      <w:start w:val="1"/>
      <w:numFmt w:val="decimal"/>
      <w:isLgl/>
      <w:suff w:val="space"/>
      <w:lvlText w:val="图%1"/>
      <w:lvlJc w:val="center"/>
      <w:pPr>
        <w:ind w:left="0" w:firstLine="0"/>
      </w:pPr>
    </w:lvl>
    <w:lvl w:ilvl="8" w:tentative="0">
      <w:start w:val="1"/>
      <w:numFmt w:val="decimal"/>
      <w:isLgl/>
      <w:suff w:val="space"/>
      <w:lvlText w:val="表%1"/>
      <w:lvlJc w:val="center"/>
      <w:pPr>
        <w:ind w:left="0" w:firstLine="0"/>
      </w:pPr>
    </w:lvl>
  </w:abstractNum>
  <w:abstractNum w:abstractNumId="16">
    <w:nsid w:val="646260FA"/>
    <w:multiLevelType w:val="multilevel"/>
    <w:tmpl w:val="646260FA"/>
    <w:lvl w:ilvl="0" w:tentative="0">
      <w:start w:val="1"/>
      <w:numFmt w:val="decimal"/>
      <w:pStyle w:val="139"/>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7">
    <w:nsid w:val="6E8C6948"/>
    <w:multiLevelType w:val="singleLevel"/>
    <w:tmpl w:val="6E8C6948"/>
    <w:lvl w:ilvl="0" w:tentative="0">
      <w:start w:val="1"/>
      <w:numFmt w:val="chineseCounting"/>
      <w:suff w:val="space"/>
      <w:lvlText w:val="第%1部分"/>
      <w:lvlJc w:val="left"/>
      <w:rPr>
        <w:rFonts w:hint="eastAsia"/>
      </w:rPr>
    </w:lvl>
  </w:abstractNum>
  <w:abstractNum w:abstractNumId="18">
    <w:nsid w:val="7502E953"/>
    <w:multiLevelType w:val="singleLevel"/>
    <w:tmpl w:val="7502E953"/>
    <w:lvl w:ilvl="0" w:tentative="0">
      <w:start w:val="1"/>
      <w:numFmt w:val="decimal"/>
      <w:suff w:val="nothing"/>
      <w:lvlText w:val="（%1）"/>
      <w:lvlJc w:val="left"/>
    </w:lvl>
  </w:abstractNum>
  <w:abstractNum w:abstractNumId="19">
    <w:nsid w:val="766D0D39"/>
    <w:multiLevelType w:val="singleLevel"/>
    <w:tmpl w:val="766D0D39"/>
    <w:lvl w:ilvl="0" w:tentative="0">
      <w:start w:val="4"/>
      <w:numFmt w:val="decimal"/>
      <w:lvlText w:val="%1."/>
      <w:lvlJc w:val="left"/>
      <w:pPr>
        <w:tabs>
          <w:tab w:val="left" w:pos="420"/>
        </w:tabs>
        <w:ind w:left="425" w:hanging="425"/>
      </w:pPr>
      <w:rPr>
        <w:rFonts w:hint="default"/>
      </w:rPr>
    </w:lvl>
  </w:abstractNum>
  <w:abstractNum w:abstractNumId="20">
    <w:nsid w:val="7863B03C"/>
    <w:multiLevelType w:val="singleLevel"/>
    <w:tmpl w:val="7863B03C"/>
    <w:lvl w:ilvl="0" w:tentative="0">
      <w:start w:val="1"/>
      <w:numFmt w:val="decimal"/>
      <w:lvlText w:val="(%1)"/>
      <w:lvlJc w:val="left"/>
      <w:pPr>
        <w:ind w:left="845" w:hanging="425"/>
      </w:pPr>
      <w:rPr>
        <w:rFonts w:hint="default"/>
      </w:rPr>
    </w:lvl>
  </w:abstractNum>
  <w:abstractNum w:abstractNumId="21">
    <w:nsid w:val="7A612DE2"/>
    <w:multiLevelType w:val="singleLevel"/>
    <w:tmpl w:val="7A612DE2"/>
    <w:lvl w:ilvl="0" w:tentative="0">
      <w:start w:val="2"/>
      <w:numFmt w:val="decimal"/>
      <w:lvlText w:val="%1."/>
      <w:lvlJc w:val="left"/>
      <w:pPr>
        <w:tabs>
          <w:tab w:val="left" w:pos="312"/>
        </w:tabs>
      </w:pPr>
    </w:lvl>
  </w:abstractNum>
  <w:num w:numId="1">
    <w:abstractNumId w:val="16"/>
  </w:num>
  <w:num w:numId="2">
    <w:abstractNumId w:val="15"/>
  </w:num>
  <w:num w:numId="3">
    <w:abstractNumId w:val="8"/>
  </w:num>
  <w:num w:numId="4">
    <w:abstractNumId w:val="17"/>
  </w:num>
  <w:num w:numId="5">
    <w:abstractNumId w:val="1"/>
  </w:num>
  <w:num w:numId="6">
    <w:abstractNumId w:val="21"/>
  </w:num>
  <w:num w:numId="7">
    <w:abstractNumId w:val="6"/>
  </w:num>
  <w:num w:numId="8">
    <w:abstractNumId w:val="2"/>
  </w:num>
  <w:num w:numId="9">
    <w:abstractNumId w:val="3"/>
  </w:num>
  <w:num w:numId="10">
    <w:abstractNumId w:val="13"/>
  </w:num>
  <w:num w:numId="11">
    <w:abstractNumId w:val="10"/>
  </w:num>
  <w:num w:numId="12">
    <w:abstractNumId w:val="4"/>
  </w:num>
  <w:num w:numId="13">
    <w:abstractNumId w:val="12"/>
  </w:num>
  <w:num w:numId="14">
    <w:abstractNumId w:val="11"/>
  </w:num>
  <w:num w:numId="15">
    <w:abstractNumId w:val="9"/>
  </w:num>
  <w:num w:numId="16">
    <w:abstractNumId w:val="18"/>
  </w:num>
  <w:num w:numId="17">
    <w:abstractNumId w:val="5"/>
  </w:num>
  <w:num w:numId="18">
    <w:abstractNumId w:val="20"/>
  </w:num>
  <w:num w:numId="19">
    <w:abstractNumId w:val="0"/>
  </w:num>
  <w:num w:numId="20">
    <w:abstractNumId w:val="7"/>
  </w:num>
  <w:num w:numId="21">
    <w:abstractNumId w:val="19"/>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5D1"/>
    <w:rsid w:val="00022B06"/>
    <w:rsid w:val="00036836"/>
    <w:rsid w:val="0005777A"/>
    <w:rsid w:val="00065382"/>
    <w:rsid w:val="00080223"/>
    <w:rsid w:val="000A5309"/>
    <w:rsid w:val="000D6A51"/>
    <w:rsid w:val="000F45A3"/>
    <w:rsid w:val="001076E5"/>
    <w:rsid w:val="001C1EE3"/>
    <w:rsid w:val="001C713C"/>
    <w:rsid w:val="001D75B9"/>
    <w:rsid w:val="00200F05"/>
    <w:rsid w:val="00220056"/>
    <w:rsid w:val="002626ED"/>
    <w:rsid w:val="00265A40"/>
    <w:rsid w:val="00282FDE"/>
    <w:rsid w:val="0028615B"/>
    <w:rsid w:val="0029130A"/>
    <w:rsid w:val="002F49D4"/>
    <w:rsid w:val="00304629"/>
    <w:rsid w:val="00306AB3"/>
    <w:rsid w:val="003A4540"/>
    <w:rsid w:val="003B4D7D"/>
    <w:rsid w:val="003E0AB3"/>
    <w:rsid w:val="00401C42"/>
    <w:rsid w:val="004076DE"/>
    <w:rsid w:val="00460AFB"/>
    <w:rsid w:val="00470130"/>
    <w:rsid w:val="00483B0A"/>
    <w:rsid w:val="0048779A"/>
    <w:rsid w:val="00495476"/>
    <w:rsid w:val="004B5126"/>
    <w:rsid w:val="004D0330"/>
    <w:rsid w:val="004D0838"/>
    <w:rsid w:val="004F7838"/>
    <w:rsid w:val="004F7F0F"/>
    <w:rsid w:val="00503391"/>
    <w:rsid w:val="00552960"/>
    <w:rsid w:val="00553B27"/>
    <w:rsid w:val="0056018A"/>
    <w:rsid w:val="00567344"/>
    <w:rsid w:val="005829DC"/>
    <w:rsid w:val="005B1856"/>
    <w:rsid w:val="005C0B4E"/>
    <w:rsid w:val="005C421F"/>
    <w:rsid w:val="005D3BBC"/>
    <w:rsid w:val="005F16F0"/>
    <w:rsid w:val="006505D3"/>
    <w:rsid w:val="0065185D"/>
    <w:rsid w:val="00680629"/>
    <w:rsid w:val="00686C52"/>
    <w:rsid w:val="006D6075"/>
    <w:rsid w:val="006F1414"/>
    <w:rsid w:val="006F15E0"/>
    <w:rsid w:val="007432BF"/>
    <w:rsid w:val="007525BF"/>
    <w:rsid w:val="0077033B"/>
    <w:rsid w:val="007800DC"/>
    <w:rsid w:val="007838AA"/>
    <w:rsid w:val="00783D5E"/>
    <w:rsid w:val="00785FD6"/>
    <w:rsid w:val="007B212D"/>
    <w:rsid w:val="007F4254"/>
    <w:rsid w:val="00806A61"/>
    <w:rsid w:val="008153DE"/>
    <w:rsid w:val="00824BFD"/>
    <w:rsid w:val="008453B3"/>
    <w:rsid w:val="00866678"/>
    <w:rsid w:val="008D3B56"/>
    <w:rsid w:val="008D5CEF"/>
    <w:rsid w:val="008F16FB"/>
    <w:rsid w:val="00927F74"/>
    <w:rsid w:val="009360F9"/>
    <w:rsid w:val="00964F00"/>
    <w:rsid w:val="0097676D"/>
    <w:rsid w:val="009B511E"/>
    <w:rsid w:val="009E0F5E"/>
    <w:rsid w:val="009E321E"/>
    <w:rsid w:val="00A03FB0"/>
    <w:rsid w:val="00A21EB2"/>
    <w:rsid w:val="00A31561"/>
    <w:rsid w:val="00A54E95"/>
    <w:rsid w:val="00A80564"/>
    <w:rsid w:val="00A960B2"/>
    <w:rsid w:val="00AE6633"/>
    <w:rsid w:val="00B01FF1"/>
    <w:rsid w:val="00B12C29"/>
    <w:rsid w:val="00B4611C"/>
    <w:rsid w:val="00B72516"/>
    <w:rsid w:val="00B92C97"/>
    <w:rsid w:val="00BA3C70"/>
    <w:rsid w:val="00BB4E42"/>
    <w:rsid w:val="00C01073"/>
    <w:rsid w:val="00C32A8D"/>
    <w:rsid w:val="00C855F6"/>
    <w:rsid w:val="00C92F53"/>
    <w:rsid w:val="00CD5223"/>
    <w:rsid w:val="00CE5010"/>
    <w:rsid w:val="00CE6E17"/>
    <w:rsid w:val="00D0528A"/>
    <w:rsid w:val="00D11B37"/>
    <w:rsid w:val="00D408EF"/>
    <w:rsid w:val="00D5145C"/>
    <w:rsid w:val="00D535A8"/>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4832F2"/>
    <w:rsid w:val="014D51C1"/>
    <w:rsid w:val="01714809"/>
    <w:rsid w:val="01C52478"/>
    <w:rsid w:val="02184C85"/>
    <w:rsid w:val="027408EE"/>
    <w:rsid w:val="02963F39"/>
    <w:rsid w:val="02BA7274"/>
    <w:rsid w:val="03251978"/>
    <w:rsid w:val="0325718A"/>
    <w:rsid w:val="039E25ED"/>
    <w:rsid w:val="03A10C87"/>
    <w:rsid w:val="042921B6"/>
    <w:rsid w:val="04AD02B8"/>
    <w:rsid w:val="04DF17D4"/>
    <w:rsid w:val="05151950"/>
    <w:rsid w:val="05412745"/>
    <w:rsid w:val="05491761"/>
    <w:rsid w:val="05A351AD"/>
    <w:rsid w:val="05C234EE"/>
    <w:rsid w:val="05D95918"/>
    <w:rsid w:val="05DF009E"/>
    <w:rsid w:val="05E327F4"/>
    <w:rsid w:val="05F9748A"/>
    <w:rsid w:val="06032214"/>
    <w:rsid w:val="060B4B7B"/>
    <w:rsid w:val="06132F28"/>
    <w:rsid w:val="06160D68"/>
    <w:rsid w:val="06266F78"/>
    <w:rsid w:val="063E7B7A"/>
    <w:rsid w:val="06582413"/>
    <w:rsid w:val="067E33B8"/>
    <w:rsid w:val="069C2954"/>
    <w:rsid w:val="06C11211"/>
    <w:rsid w:val="06E82FCB"/>
    <w:rsid w:val="06F34B95"/>
    <w:rsid w:val="06F7064A"/>
    <w:rsid w:val="07571DAC"/>
    <w:rsid w:val="078A0D17"/>
    <w:rsid w:val="08000695"/>
    <w:rsid w:val="08332819"/>
    <w:rsid w:val="0859260D"/>
    <w:rsid w:val="08A24774"/>
    <w:rsid w:val="08A33F77"/>
    <w:rsid w:val="08E64121"/>
    <w:rsid w:val="090D5816"/>
    <w:rsid w:val="0942017F"/>
    <w:rsid w:val="09BA1FBB"/>
    <w:rsid w:val="09CB139F"/>
    <w:rsid w:val="09D73678"/>
    <w:rsid w:val="0A0106F5"/>
    <w:rsid w:val="0A112AB7"/>
    <w:rsid w:val="0A2A0685"/>
    <w:rsid w:val="0A447F32"/>
    <w:rsid w:val="0AD71BC7"/>
    <w:rsid w:val="0ADB7197"/>
    <w:rsid w:val="0AF420EB"/>
    <w:rsid w:val="0B2B2BF5"/>
    <w:rsid w:val="0B2E55BC"/>
    <w:rsid w:val="0B2F3908"/>
    <w:rsid w:val="0B3F6206"/>
    <w:rsid w:val="0B932DA7"/>
    <w:rsid w:val="0B9C1007"/>
    <w:rsid w:val="0BD848FB"/>
    <w:rsid w:val="0BDB06E0"/>
    <w:rsid w:val="0BE12DB6"/>
    <w:rsid w:val="0C345AD1"/>
    <w:rsid w:val="0C626CE4"/>
    <w:rsid w:val="0D0C2B7B"/>
    <w:rsid w:val="0D9308F8"/>
    <w:rsid w:val="0E1A1D85"/>
    <w:rsid w:val="0E2350DD"/>
    <w:rsid w:val="0E696120"/>
    <w:rsid w:val="0E750568"/>
    <w:rsid w:val="0EB93A32"/>
    <w:rsid w:val="0F2D7A80"/>
    <w:rsid w:val="0F4277E5"/>
    <w:rsid w:val="0F6B7381"/>
    <w:rsid w:val="0FA545F8"/>
    <w:rsid w:val="0FA75561"/>
    <w:rsid w:val="0FB83603"/>
    <w:rsid w:val="0FCA77F1"/>
    <w:rsid w:val="0FCD5DCC"/>
    <w:rsid w:val="10270545"/>
    <w:rsid w:val="108A1D4B"/>
    <w:rsid w:val="10A10111"/>
    <w:rsid w:val="10BE093E"/>
    <w:rsid w:val="110F6D60"/>
    <w:rsid w:val="111B0FE9"/>
    <w:rsid w:val="115F67A8"/>
    <w:rsid w:val="119A7465"/>
    <w:rsid w:val="11C07DA5"/>
    <w:rsid w:val="12491386"/>
    <w:rsid w:val="12746E74"/>
    <w:rsid w:val="12E60579"/>
    <w:rsid w:val="13695B36"/>
    <w:rsid w:val="1372609F"/>
    <w:rsid w:val="13CE1569"/>
    <w:rsid w:val="13DF3855"/>
    <w:rsid w:val="14092DB2"/>
    <w:rsid w:val="145A6A37"/>
    <w:rsid w:val="1467440F"/>
    <w:rsid w:val="148D59E6"/>
    <w:rsid w:val="14F73019"/>
    <w:rsid w:val="15433A9B"/>
    <w:rsid w:val="15D13671"/>
    <w:rsid w:val="15FC2F04"/>
    <w:rsid w:val="15FD3709"/>
    <w:rsid w:val="16181FAC"/>
    <w:rsid w:val="166050EB"/>
    <w:rsid w:val="168756A0"/>
    <w:rsid w:val="168A1577"/>
    <w:rsid w:val="16F94849"/>
    <w:rsid w:val="17001571"/>
    <w:rsid w:val="17045E51"/>
    <w:rsid w:val="172011D4"/>
    <w:rsid w:val="17252C3B"/>
    <w:rsid w:val="173F0A2E"/>
    <w:rsid w:val="17770BC2"/>
    <w:rsid w:val="17860E2F"/>
    <w:rsid w:val="17A119AA"/>
    <w:rsid w:val="17AF1095"/>
    <w:rsid w:val="17C55E7C"/>
    <w:rsid w:val="18586F2B"/>
    <w:rsid w:val="192F3CC4"/>
    <w:rsid w:val="1935690C"/>
    <w:rsid w:val="19516138"/>
    <w:rsid w:val="19A766B9"/>
    <w:rsid w:val="19BE4F9F"/>
    <w:rsid w:val="19CE76BA"/>
    <w:rsid w:val="19F26070"/>
    <w:rsid w:val="19F97C8B"/>
    <w:rsid w:val="1A1523CE"/>
    <w:rsid w:val="1A21343D"/>
    <w:rsid w:val="1AA730BD"/>
    <w:rsid w:val="1ABD4410"/>
    <w:rsid w:val="1B333D5D"/>
    <w:rsid w:val="1B587618"/>
    <w:rsid w:val="1B5F19C7"/>
    <w:rsid w:val="1BDA1B03"/>
    <w:rsid w:val="1C0457E4"/>
    <w:rsid w:val="1C1C709B"/>
    <w:rsid w:val="1C9F6814"/>
    <w:rsid w:val="1D5C514E"/>
    <w:rsid w:val="1D834723"/>
    <w:rsid w:val="1D85395E"/>
    <w:rsid w:val="1D865D14"/>
    <w:rsid w:val="1D8705EC"/>
    <w:rsid w:val="1E43150B"/>
    <w:rsid w:val="1EA93E80"/>
    <w:rsid w:val="1EC024D4"/>
    <w:rsid w:val="1ED33FB6"/>
    <w:rsid w:val="1EE81332"/>
    <w:rsid w:val="1EED2D98"/>
    <w:rsid w:val="1F32415A"/>
    <w:rsid w:val="1F5A4199"/>
    <w:rsid w:val="1F7E2174"/>
    <w:rsid w:val="1FC32513"/>
    <w:rsid w:val="20107567"/>
    <w:rsid w:val="207870A4"/>
    <w:rsid w:val="208672CF"/>
    <w:rsid w:val="208717DB"/>
    <w:rsid w:val="20AB56C6"/>
    <w:rsid w:val="2176507C"/>
    <w:rsid w:val="21BA10C4"/>
    <w:rsid w:val="21BE35AF"/>
    <w:rsid w:val="21C11174"/>
    <w:rsid w:val="221C6506"/>
    <w:rsid w:val="22244B28"/>
    <w:rsid w:val="22467FD4"/>
    <w:rsid w:val="22784511"/>
    <w:rsid w:val="229451FD"/>
    <w:rsid w:val="22A12DB6"/>
    <w:rsid w:val="234E7F91"/>
    <w:rsid w:val="236356D1"/>
    <w:rsid w:val="23A91C83"/>
    <w:rsid w:val="23C962E8"/>
    <w:rsid w:val="247E4FED"/>
    <w:rsid w:val="24B30BE8"/>
    <w:rsid w:val="24C6643F"/>
    <w:rsid w:val="24E34060"/>
    <w:rsid w:val="24EF2718"/>
    <w:rsid w:val="253A0491"/>
    <w:rsid w:val="253D4C0F"/>
    <w:rsid w:val="25B65524"/>
    <w:rsid w:val="25CF2B74"/>
    <w:rsid w:val="25E036B2"/>
    <w:rsid w:val="25E9082A"/>
    <w:rsid w:val="25F42473"/>
    <w:rsid w:val="26AF2D79"/>
    <w:rsid w:val="26B34B91"/>
    <w:rsid w:val="270D66E8"/>
    <w:rsid w:val="27514612"/>
    <w:rsid w:val="27597388"/>
    <w:rsid w:val="278B0DAB"/>
    <w:rsid w:val="279C6B0E"/>
    <w:rsid w:val="27A64735"/>
    <w:rsid w:val="27CC4DF2"/>
    <w:rsid w:val="281864F2"/>
    <w:rsid w:val="28316337"/>
    <w:rsid w:val="286903EF"/>
    <w:rsid w:val="287F5DD3"/>
    <w:rsid w:val="288047CB"/>
    <w:rsid w:val="289E62FA"/>
    <w:rsid w:val="291E2CA6"/>
    <w:rsid w:val="29331862"/>
    <w:rsid w:val="299E147F"/>
    <w:rsid w:val="29C32A87"/>
    <w:rsid w:val="29CF26DC"/>
    <w:rsid w:val="2A152A91"/>
    <w:rsid w:val="2A1C5DA0"/>
    <w:rsid w:val="2A200D39"/>
    <w:rsid w:val="2A507EFF"/>
    <w:rsid w:val="2ADC05A4"/>
    <w:rsid w:val="2B0423C1"/>
    <w:rsid w:val="2B6F0D7F"/>
    <w:rsid w:val="2B797443"/>
    <w:rsid w:val="2B8716BD"/>
    <w:rsid w:val="2B8B76FF"/>
    <w:rsid w:val="2BC22DD1"/>
    <w:rsid w:val="2BD5034F"/>
    <w:rsid w:val="2C0B6845"/>
    <w:rsid w:val="2C9E432B"/>
    <w:rsid w:val="2CAC08A7"/>
    <w:rsid w:val="2D025012"/>
    <w:rsid w:val="2D4178F0"/>
    <w:rsid w:val="2DA535EC"/>
    <w:rsid w:val="2DAE631A"/>
    <w:rsid w:val="2DD877E0"/>
    <w:rsid w:val="2DE616C9"/>
    <w:rsid w:val="2DFC2451"/>
    <w:rsid w:val="2E3422F8"/>
    <w:rsid w:val="2E392F37"/>
    <w:rsid w:val="2E6D31FB"/>
    <w:rsid w:val="2E6E566D"/>
    <w:rsid w:val="2E7F188E"/>
    <w:rsid w:val="2E904053"/>
    <w:rsid w:val="2EBC0905"/>
    <w:rsid w:val="2EC73739"/>
    <w:rsid w:val="2EFB1B0E"/>
    <w:rsid w:val="2F5C684F"/>
    <w:rsid w:val="2FD33BF2"/>
    <w:rsid w:val="2FE82C1E"/>
    <w:rsid w:val="303A20E7"/>
    <w:rsid w:val="307776D1"/>
    <w:rsid w:val="30862574"/>
    <w:rsid w:val="30B631E1"/>
    <w:rsid w:val="311933AA"/>
    <w:rsid w:val="317D15BB"/>
    <w:rsid w:val="31A67308"/>
    <w:rsid w:val="31D07E6C"/>
    <w:rsid w:val="31DF0B90"/>
    <w:rsid w:val="323F65DA"/>
    <w:rsid w:val="32412074"/>
    <w:rsid w:val="325B63D6"/>
    <w:rsid w:val="32A0644D"/>
    <w:rsid w:val="32DE0199"/>
    <w:rsid w:val="32E26B1D"/>
    <w:rsid w:val="335B2774"/>
    <w:rsid w:val="33A4642E"/>
    <w:rsid w:val="33A877AB"/>
    <w:rsid w:val="33D4039C"/>
    <w:rsid w:val="33D47E05"/>
    <w:rsid w:val="340017FF"/>
    <w:rsid w:val="3413677D"/>
    <w:rsid w:val="342B544B"/>
    <w:rsid w:val="343839A4"/>
    <w:rsid w:val="345E036E"/>
    <w:rsid w:val="34DE1E4F"/>
    <w:rsid w:val="34F07DB1"/>
    <w:rsid w:val="358D07D1"/>
    <w:rsid w:val="35B0692A"/>
    <w:rsid w:val="35D354B8"/>
    <w:rsid w:val="35D4025C"/>
    <w:rsid w:val="35F516ED"/>
    <w:rsid w:val="35FC2392"/>
    <w:rsid w:val="362666BC"/>
    <w:rsid w:val="363E0457"/>
    <w:rsid w:val="368A6B11"/>
    <w:rsid w:val="36A77DAA"/>
    <w:rsid w:val="37085B1F"/>
    <w:rsid w:val="372E04CB"/>
    <w:rsid w:val="37742729"/>
    <w:rsid w:val="37C85FF9"/>
    <w:rsid w:val="380D3B5E"/>
    <w:rsid w:val="383557ED"/>
    <w:rsid w:val="38D55634"/>
    <w:rsid w:val="38E070F2"/>
    <w:rsid w:val="390B0AC4"/>
    <w:rsid w:val="390D33AB"/>
    <w:rsid w:val="391E6D06"/>
    <w:rsid w:val="396D6DE6"/>
    <w:rsid w:val="39CE5179"/>
    <w:rsid w:val="3A074847"/>
    <w:rsid w:val="3AA90FE6"/>
    <w:rsid w:val="3AA9318F"/>
    <w:rsid w:val="3AB62DA0"/>
    <w:rsid w:val="3AC61BD3"/>
    <w:rsid w:val="3B273268"/>
    <w:rsid w:val="3B7D3FD5"/>
    <w:rsid w:val="3B823DDF"/>
    <w:rsid w:val="3BE4369A"/>
    <w:rsid w:val="3C084B3D"/>
    <w:rsid w:val="3C237ED3"/>
    <w:rsid w:val="3C91192E"/>
    <w:rsid w:val="3CAA596A"/>
    <w:rsid w:val="3CB1587B"/>
    <w:rsid w:val="3CB735F2"/>
    <w:rsid w:val="3D186684"/>
    <w:rsid w:val="3D363C36"/>
    <w:rsid w:val="3D4C7C96"/>
    <w:rsid w:val="3D8B2178"/>
    <w:rsid w:val="3DB34909"/>
    <w:rsid w:val="3DD115F5"/>
    <w:rsid w:val="3DE435F0"/>
    <w:rsid w:val="3DE5122C"/>
    <w:rsid w:val="3DF37E53"/>
    <w:rsid w:val="3E3761F9"/>
    <w:rsid w:val="3E3A1504"/>
    <w:rsid w:val="3E401B6A"/>
    <w:rsid w:val="3ED26DE9"/>
    <w:rsid w:val="3EED17D0"/>
    <w:rsid w:val="3F0C0304"/>
    <w:rsid w:val="3FE25AA0"/>
    <w:rsid w:val="3FEC147E"/>
    <w:rsid w:val="4024153A"/>
    <w:rsid w:val="403703F1"/>
    <w:rsid w:val="40376375"/>
    <w:rsid w:val="40586E6A"/>
    <w:rsid w:val="40EF47EC"/>
    <w:rsid w:val="412732B7"/>
    <w:rsid w:val="4127791F"/>
    <w:rsid w:val="41281794"/>
    <w:rsid w:val="413C1FDF"/>
    <w:rsid w:val="41806A69"/>
    <w:rsid w:val="41B0259C"/>
    <w:rsid w:val="41BC6F1C"/>
    <w:rsid w:val="41EF2363"/>
    <w:rsid w:val="41F77860"/>
    <w:rsid w:val="424A4B98"/>
    <w:rsid w:val="42581D3A"/>
    <w:rsid w:val="4262787F"/>
    <w:rsid w:val="42B90260"/>
    <w:rsid w:val="42FE0080"/>
    <w:rsid w:val="43315D2E"/>
    <w:rsid w:val="43824A1C"/>
    <w:rsid w:val="4390486D"/>
    <w:rsid w:val="43D110E1"/>
    <w:rsid w:val="43E873C9"/>
    <w:rsid w:val="441540A8"/>
    <w:rsid w:val="44250817"/>
    <w:rsid w:val="445E7E37"/>
    <w:rsid w:val="44905B1F"/>
    <w:rsid w:val="45007767"/>
    <w:rsid w:val="45316885"/>
    <w:rsid w:val="4567010B"/>
    <w:rsid w:val="4577147D"/>
    <w:rsid w:val="45A95EE9"/>
    <w:rsid w:val="45FB0F21"/>
    <w:rsid w:val="46167166"/>
    <w:rsid w:val="461A1E38"/>
    <w:rsid w:val="461A2194"/>
    <w:rsid w:val="465E515F"/>
    <w:rsid w:val="46AE7548"/>
    <w:rsid w:val="47200EE3"/>
    <w:rsid w:val="47435AC2"/>
    <w:rsid w:val="47544B78"/>
    <w:rsid w:val="47587AF7"/>
    <w:rsid w:val="47745A86"/>
    <w:rsid w:val="47E239AC"/>
    <w:rsid w:val="480C3F11"/>
    <w:rsid w:val="480F4B73"/>
    <w:rsid w:val="482F564F"/>
    <w:rsid w:val="48334AEC"/>
    <w:rsid w:val="48380650"/>
    <w:rsid w:val="48422874"/>
    <w:rsid w:val="48DB38E3"/>
    <w:rsid w:val="49001B5E"/>
    <w:rsid w:val="490552B7"/>
    <w:rsid w:val="49376DB0"/>
    <w:rsid w:val="49804BB7"/>
    <w:rsid w:val="49826DCB"/>
    <w:rsid w:val="499013E7"/>
    <w:rsid w:val="49C8088A"/>
    <w:rsid w:val="49CB3D06"/>
    <w:rsid w:val="4A301C93"/>
    <w:rsid w:val="4A3302AB"/>
    <w:rsid w:val="4A7F3A12"/>
    <w:rsid w:val="4AC85D49"/>
    <w:rsid w:val="4AE308A9"/>
    <w:rsid w:val="4B294DDA"/>
    <w:rsid w:val="4B9A1456"/>
    <w:rsid w:val="4BA32C82"/>
    <w:rsid w:val="4BB072A9"/>
    <w:rsid w:val="4BC62B76"/>
    <w:rsid w:val="4BD73978"/>
    <w:rsid w:val="4BE70627"/>
    <w:rsid w:val="4BED4059"/>
    <w:rsid w:val="4C0A5AE1"/>
    <w:rsid w:val="4C130AB8"/>
    <w:rsid w:val="4C391ADB"/>
    <w:rsid w:val="4C5A284D"/>
    <w:rsid w:val="4C63431C"/>
    <w:rsid w:val="4CB96B43"/>
    <w:rsid w:val="4CC75FCC"/>
    <w:rsid w:val="4CD63947"/>
    <w:rsid w:val="4CFC49F4"/>
    <w:rsid w:val="4D073D73"/>
    <w:rsid w:val="4D1E27BA"/>
    <w:rsid w:val="4D23574A"/>
    <w:rsid w:val="4D4C4DB0"/>
    <w:rsid w:val="4D6238ED"/>
    <w:rsid w:val="4D7322D5"/>
    <w:rsid w:val="4DD7034C"/>
    <w:rsid w:val="4DE312CB"/>
    <w:rsid w:val="4DF5318E"/>
    <w:rsid w:val="4E1F4862"/>
    <w:rsid w:val="4E2E4393"/>
    <w:rsid w:val="4E535EF2"/>
    <w:rsid w:val="4EF11A75"/>
    <w:rsid w:val="4F08773C"/>
    <w:rsid w:val="4F31409F"/>
    <w:rsid w:val="4F5E670E"/>
    <w:rsid w:val="4F846A83"/>
    <w:rsid w:val="50070E2C"/>
    <w:rsid w:val="504B57F2"/>
    <w:rsid w:val="508229B7"/>
    <w:rsid w:val="509A4341"/>
    <w:rsid w:val="50A04944"/>
    <w:rsid w:val="50C62BC7"/>
    <w:rsid w:val="50F72A66"/>
    <w:rsid w:val="5123368C"/>
    <w:rsid w:val="5130747C"/>
    <w:rsid w:val="515C765A"/>
    <w:rsid w:val="516610D8"/>
    <w:rsid w:val="518A1B56"/>
    <w:rsid w:val="51905BB3"/>
    <w:rsid w:val="51946FCB"/>
    <w:rsid w:val="51DD796B"/>
    <w:rsid w:val="51DF373B"/>
    <w:rsid w:val="52EF4CB5"/>
    <w:rsid w:val="52F959F0"/>
    <w:rsid w:val="5302488E"/>
    <w:rsid w:val="53136173"/>
    <w:rsid w:val="539A4AC7"/>
    <w:rsid w:val="53A454FB"/>
    <w:rsid w:val="53D004E8"/>
    <w:rsid w:val="542631B6"/>
    <w:rsid w:val="545F0C78"/>
    <w:rsid w:val="54647343"/>
    <w:rsid w:val="54A61722"/>
    <w:rsid w:val="54B31FAF"/>
    <w:rsid w:val="54E26C0B"/>
    <w:rsid w:val="54FB4092"/>
    <w:rsid w:val="55326D63"/>
    <w:rsid w:val="555D1A10"/>
    <w:rsid w:val="55CE2B4A"/>
    <w:rsid w:val="56AC4A78"/>
    <w:rsid w:val="56DB16B9"/>
    <w:rsid w:val="574436DA"/>
    <w:rsid w:val="57772F69"/>
    <w:rsid w:val="577A3463"/>
    <w:rsid w:val="57F967AD"/>
    <w:rsid w:val="58052975"/>
    <w:rsid w:val="5895693C"/>
    <w:rsid w:val="58E525CA"/>
    <w:rsid w:val="58FD43FD"/>
    <w:rsid w:val="59080439"/>
    <w:rsid w:val="593D045A"/>
    <w:rsid w:val="5960739E"/>
    <w:rsid w:val="597E61C3"/>
    <w:rsid w:val="59896D0A"/>
    <w:rsid w:val="59B72684"/>
    <w:rsid w:val="59CC6E29"/>
    <w:rsid w:val="59CE7D0B"/>
    <w:rsid w:val="59DC5A85"/>
    <w:rsid w:val="5A082249"/>
    <w:rsid w:val="5A9579AE"/>
    <w:rsid w:val="5AC468CD"/>
    <w:rsid w:val="5AD813C2"/>
    <w:rsid w:val="5AE25B34"/>
    <w:rsid w:val="5AEE6358"/>
    <w:rsid w:val="5B342B9A"/>
    <w:rsid w:val="5B5953B0"/>
    <w:rsid w:val="5B5B1AB4"/>
    <w:rsid w:val="5B630802"/>
    <w:rsid w:val="5B807F68"/>
    <w:rsid w:val="5B9F5D96"/>
    <w:rsid w:val="5BFB631F"/>
    <w:rsid w:val="5C034D53"/>
    <w:rsid w:val="5C903B7A"/>
    <w:rsid w:val="5D7C6E06"/>
    <w:rsid w:val="5E1D6F56"/>
    <w:rsid w:val="5E52187F"/>
    <w:rsid w:val="5E6A13CD"/>
    <w:rsid w:val="5E705D15"/>
    <w:rsid w:val="5E92274E"/>
    <w:rsid w:val="5E93326C"/>
    <w:rsid w:val="5E9F1A7A"/>
    <w:rsid w:val="5EAA6F51"/>
    <w:rsid w:val="5EFB4BA4"/>
    <w:rsid w:val="5F306109"/>
    <w:rsid w:val="5F5E0464"/>
    <w:rsid w:val="5F5F46B5"/>
    <w:rsid w:val="5F895CFD"/>
    <w:rsid w:val="5FB25360"/>
    <w:rsid w:val="5FBA3CC0"/>
    <w:rsid w:val="5FD90D61"/>
    <w:rsid w:val="60177697"/>
    <w:rsid w:val="602329DB"/>
    <w:rsid w:val="602C13CC"/>
    <w:rsid w:val="607777D6"/>
    <w:rsid w:val="60911000"/>
    <w:rsid w:val="60BC76A1"/>
    <w:rsid w:val="610B7637"/>
    <w:rsid w:val="615F5624"/>
    <w:rsid w:val="61847970"/>
    <w:rsid w:val="61BE4076"/>
    <w:rsid w:val="61D215CF"/>
    <w:rsid w:val="622C5484"/>
    <w:rsid w:val="625C563D"/>
    <w:rsid w:val="626A1704"/>
    <w:rsid w:val="62AD7E76"/>
    <w:rsid w:val="62B362C8"/>
    <w:rsid w:val="62C1330E"/>
    <w:rsid w:val="630C5A29"/>
    <w:rsid w:val="6342085E"/>
    <w:rsid w:val="636F415C"/>
    <w:rsid w:val="64785A9C"/>
    <w:rsid w:val="64917820"/>
    <w:rsid w:val="64AA1CC5"/>
    <w:rsid w:val="651D5BE5"/>
    <w:rsid w:val="655F1E1A"/>
    <w:rsid w:val="656B2909"/>
    <w:rsid w:val="65914A0B"/>
    <w:rsid w:val="65A3045D"/>
    <w:rsid w:val="65D97752"/>
    <w:rsid w:val="65E25E59"/>
    <w:rsid w:val="661047DD"/>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936CBD"/>
    <w:rsid w:val="68011379"/>
    <w:rsid w:val="68252C37"/>
    <w:rsid w:val="68817BAC"/>
    <w:rsid w:val="689A5E59"/>
    <w:rsid w:val="68E91861"/>
    <w:rsid w:val="68EE72DF"/>
    <w:rsid w:val="690F0B4D"/>
    <w:rsid w:val="692E2EB0"/>
    <w:rsid w:val="69485FEA"/>
    <w:rsid w:val="694C7BCA"/>
    <w:rsid w:val="69677DC0"/>
    <w:rsid w:val="69937EC7"/>
    <w:rsid w:val="69D64558"/>
    <w:rsid w:val="6A042548"/>
    <w:rsid w:val="6A471EFD"/>
    <w:rsid w:val="6A7F64C7"/>
    <w:rsid w:val="6A90616B"/>
    <w:rsid w:val="6AB51A05"/>
    <w:rsid w:val="6AB57116"/>
    <w:rsid w:val="6ADC6652"/>
    <w:rsid w:val="6AE73176"/>
    <w:rsid w:val="6B17424A"/>
    <w:rsid w:val="6B2218FA"/>
    <w:rsid w:val="6B691672"/>
    <w:rsid w:val="6BC8641A"/>
    <w:rsid w:val="6BE97F42"/>
    <w:rsid w:val="6BEF3E88"/>
    <w:rsid w:val="6C296590"/>
    <w:rsid w:val="6C5E6A51"/>
    <w:rsid w:val="6C65048B"/>
    <w:rsid w:val="6C6513C3"/>
    <w:rsid w:val="6C744268"/>
    <w:rsid w:val="6CD62D03"/>
    <w:rsid w:val="6CD97FB6"/>
    <w:rsid w:val="6D4B22B8"/>
    <w:rsid w:val="6D4F2026"/>
    <w:rsid w:val="6D930013"/>
    <w:rsid w:val="6DDA16D9"/>
    <w:rsid w:val="6E1A1656"/>
    <w:rsid w:val="6E231DD6"/>
    <w:rsid w:val="6E5A5288"/>
    <w:rsid w:val="6E5D2F46"/>
    <w:rsid w:val="6EE013EE"/>
    <w:rsid w:val="6EE079F1"/>
    <w:rsid w:val="6EE42C42"/>
    <w:rsid w:val="6F7F7CB0"/>
    <w:rsid w:val="6FC266A9"/>
    <w:rsid w:val="6FE0165C"/>
    <w:rsid w:val="6FE6309C"/>
    <w:rsid w:val="6FF0551E"/>
    <w:rsid w:val="70222744"/>
    <w:rsid w:val="706D2B21"/>
    <w:rsid w:val="707B1384"/>
    <w:rsid w:val="70857A34"/>
    <w:rsid w:val="70985D3C"/>
    <w:rsid w:val="70F40FA1"/>
    <w:rsid w:val="71047C73"/>
    <w:rsid w:val="7109004F"/>
    <w:rsid w:val="71103167"/>
    <w:rsid w:val="712E56F7"/>
    <w:rsid w:val="71642194"/>
    <w:rsid w:val="71691ABB"/>
    <w:rsid w:val="7169386A"/>
    <w:rsid w:val="71AE1AEA"/>
    <w:rsid w:val="71CF3B6C"/>
    <w:rsid w:val="71F80F33"/>
    <w:rsid w:val="722013F6"/>
    <w:rsid w:val="722922C6"/>
    <w:rsid w:val="722A49B5"/>
    <w:rsid w:val="728121EC"/>
    <w:rsid w:val="732D4B5D"/>
    <w:rsid w:val="73393C88"/>
    <w:rsid w:val="7362513F"/>
    <w:rsid w:val="7372081D"/>
    <w:rsid w:val="73740A39"/>
    <w:rsid w:val="73771D49"/>
    <w:rsid w:val="73A1354E"/>
    <w:rsid w:val="73C76977"/>
    <w:rsid w:val="74A11E7D"/>
    <w:rsid w:val="74B25745"/>
    <w:rsid w:val="74C12F49"/>
    <w:rsid w:val="74F97739"/>
    <w:rsid w:val="750E2D70"/>
    <w:rsid w:val="75590B0A"/>
    <w:rsid w:val="755E0C45"/>
    <w:rsid w:val="7582279F"/>
    <w:rsid w:val="75843EB5"/>
    <w:rsid w:val="75BB71AF"/>
    <w:rsid w:val="75F01962"/>
    <w:rsid w:val="75F86E00"/>
    <w:rsid w:val="75FC2261"/>
    <w:rsid w:val="76037E52"/>
    <w:rsid w:val="760E19DF"/>
    <w:rsid w:val="761B75CE"/>
    <w:rsid w:val="76676A53"/>
    <w:rsid w:val="76B620A1"/>
    <w:rsid w:val="76F20814"/>
    <w:rsid w:val="77462524"/>
    <w:rsid w:val="7754544E"/>
    <w:rsid w:val="77A21064"/>
    <w:rsid w:val="77E34EB2"/>
    <w:rsid w:val="781564B8"/>
    <w:rsid w:val="78224ACF"/>
    <w:rsid w:val="783D4D66"/>
    <w:rsid w:val="788A2AAC"/>
    <w:rsid w:val="789645EE"/>
    <w:rsid w:val="78CD6DCC"/>
    <w:rsid w:val="78D07CAF"/>
    <w:rsid w:val="78DE12D7"/>
    <w:rsid w:val="78FC2038"/>
    <w:rsid w:val="78FC33D7"/>
    <w:rsid w:val="79210683"/>
    <w:rsid w:val="792417A2"/>
    <w:rsid w:val="798810B6"/>
    <w:rsid w:val="799C3465"/>
    <w:rsid w:val="79B14EC4"/>
    <w:rsid w:val="79BE1ECC"/>
    <w:rsid w:val="79C95345"/>
    <w:rsid w:val="7A2A6B4A"/>
    <w:rsid w:val="7A681070"/>
    <w:rsid w:val="7A860C7C"/>
    <w:rsid w:val="7AAD79E7"/>
    <w:rsid w:val="7AB879FE"/>
    <w:rsid w:val="7B3264DD"/>
    <w:rsid w:val="7B7374F2"/>
    <w:rsid w:val="7B81188A"/>
    <w:rsid w:val="7B9E2902"/>
    <w:rsid w:val="7BA434D7"/>
    <w:rsid w:val="7BC854E2"/>
    <w:rsid w:val="7C0562EC"/>
    <w:rsid w:val="7C27683F"/>
    <w:rsid w:val="7C8B6DF3"/>
    <w:rsid w:val="7CB14B4D"/>
    <w:rsid w:val="7CF26969"/>
    <w:rsid w:val="7D25523C"/>
    <w:rsid w:val="7DB23041"/>
    <w:rsid w:val="7DFE3170"/>
    <w:rsid w:val="7E5F7809"/>
    <w:rsid w:val="7E885398"/>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0"/>
    <w:qFormat/>
    <w:uiPriority w:val="0"/>
    <w:pPr>
      <w:keepNext/>
      <w:keepLines/>
      <w:jc w:val="center"/>
      <w:outlineLvl w:val="0"/>
    </w:pPr>
    <w:rPr>
      <w:b/>
      <w:bCs/>
      <w:kern w:val="44"/>
      <w:sz w:val="36"/>
      <w:szCs w:val="44"/>
    </w:rPr>
  </w:style>
  <w:style w:type="paragraph" w:styleId="4">
    <w:name w:val="heading 2"/>
    <w:basedOn w:val="1"/>
    <w:next w:val="1"/>
    <w:link w:val="51"/>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2"/>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customStyle="1" w:styleId="2">
    <w:name w:val="Fließtext"/>
    <w:basedOn w:val="1"/>
    <w:qFormat/>
    <w:uiPriority w:val="99"/>
    <w:pPr>
      <w:widowControl/>
      <w:ind w:left="1134"/>
      <w:jc w:val="left"/>
    </w:pPr>
    <w:rPr>
      <w:rFonts w:ascii="Arial" w:hAnsi="Arial"/>
      <w:kern w:val="0"/>
      <w:szCs w:val="20"/>
      <w:lang w:val="de-DE" w:eastAsia="de-DE"/>
    </w:rPr>
  </w:style>
  <w:style w:type="paragraph" w:styleId="9">
    <w:name w:val="toc 7"/>
    <w:basedOn w:val="1"/>
    <w:next w:val="1"/>
    <w:qFormat/>
    <w:uiPriority w:val="39"/>
    <w:pPr>
      <w:ind w:left="1440"/>
      <w:jc w:val="left"/>
    </w:pPr>
    <w:rPr>
      <w:rFonts w:ascii="Calibri" w:hAnsi="Calibri" w:eastAsia="宋体" w:cs="Times New Roman"/>
      <w:sz w:val="18"/>
      <w:szCs w:val="18"/>
    </w:rPr>
  </w:style>
  <w:style w:type="paragraph" w:styleId="10">
    <w:name w:val="Normal Indent"/>
    <w:basedOn w:val="1"/>
    <w:qFormat/>
    <w:uiPriority w:val="0"/>
    <w:pPr>
      <w:ind w:firstLine="420"/>
    </w:pPr>
    <w:rPr>
      <w:rFonts w:ascii="Times New Roman" w:hAnsi="Times New Roman"/>
      <w:kern w:val="0"/>
      <w:sz w:val="20"/>
      <w:szCs w:val="20"/>
    </w:rPr>
  </w:style>
  <w:style w:type="paragraph" w:styleId="11">
    <w:name w:val="caption"/>
    <w:basedOn w:val="1"/>
    <w:next w:val="1"/>
    <w:qFormat/>
    <w:uiPriority w:val="35"/>
    <w:pPr>
      <w:spacing w:before="152" w:after="160"/>
    </w:pPr>
    <w:rPr>
      <w:rFonts w:ascii="Arial" w:hAnsi="Arial" w:eastAsia="黑体" w:cs="Arial"/>
      <w:sz w:val="20"/>
      <w:szCs w:val="20"/>
    </w:rPr>
  </w:style>
  <w:style w:type="paragraph" w:styleId="12">
    <w:name w:val="Document Map"/>
    <w:basedOn w:val="1"/>
    <w:link w:val="73"/>
    <w:qFormat/>
    <w:uiPriority w:val="0"/>
    <w:pPr>
      <w:shd w:val="clear" w:color="auto" w:fill="000080"/>
    </w:pPr>
    <w:rPr>
      <w:sz w:val="24"/>
    </w:rPr>
  </w:style>
  <w:style w:type="paragraph" w:styleId="13">
    <w:name w:val="toa heading"/>
    <w:basedOn w:val="1"/>
    <w:next w:val="1"/>
    <w:qFormat/>
    <w:uiPriority w:val="99"/>
    <w:pPr>
      <w:spacing w:before="120"/>
    </w:pPr>
    <w:rPr>
      <w:rFonts w:ascii="Arial" w:hAnsi="Arial" w:eastAsia="宋体" w:cs="Arial"/>
      <w:sz w:val="24"/>
      <w:szCs w:val="24"/>
    </w:rPr>
  </w:style>
  <w:style w:type="paragraph" w:styleId="14">
    <w:name w:val="annotation text"/>
    <w:basedOn w:val="1"/>
    <w:link w:val="64"/>
    <w:qFormat/>
    <w:uiPriority w:val="0"/>
    <w:pPr>
      <w:jc w:val="left"/>
    </w:pPr>
  </w:style>
  <w:style w:type="paragraph" w:styleId="15">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6">
    <w:name w:val="Body Text"/>
    <w:basedOn w:val="1"/>
    <w:link w:val="85"/>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7">
    <w:name w:val="Body Text Indent"/>
    <w:basedOn w:val="1"/>
    <w:link w:val="82"/>
    <w:qFormat/>
    <w:uiPriority w:val="99"/>
    <w:pPr>
      <w:spacing w:after="120"/>
      <w:ind w:left="420" w:leftChars="200"/>
    </w:pPr>
    <w:rPr>
      <w:rFonts w:ascii="Calibri" w:hAnsi="Calibri" w:eastAsia="宋体" w:cs="Times New Roman"/>
      <w:szCs w:val="20"/>
    </w:rPr>
  </w:style>
  <w:style w:type="paragraph" w:styleId="18">
    <w:name w:val="index 4"/>
    <w:basedOn w:val="1"/>
    <w:next w:val="1"/>
    <w:qFormat/>
    <w:uiPriority w:val="0"/>
    <w:pPr>
      <w:ind w:left="600" w:leftChars="600"/>
    </w:pPr>
  </w:style>
  <w:style w:type="paragraph" w:styleId="19">
    <w:name w:val="toc 5"/>
    <w:basedOn w:val="1"/>
    <w:next w:val="1"/>
    <w:qFormat/>
    <w:uiPriority w:val="39"/>
    <w:pPr>
      <w:ind w:left="960"/>
      <w:jc w:val="left"/>
    </w:pPr>
    <w:rPr>
      <w:rFonts w:ascii="Calibri" w:hAnsi="Calibri" w:eastAsia="宋体" w:cs="Times New Roman"/>
      <w:sz w:val="18"/>
      <w:szCs w:val="18"/>
    </w:rPr>
  </w:style>
  <w:style w:type="paragraph" w:styleId="20">
    <w:name w:val="toc 3"/>
    <w:basedOn w:val="1"/>
    <w:next w:val="1"/>
    <w:qFormat/>
    <w:uiPriority w:val="39"/>
    <w:pPr>
      <w:ind w:left="480"/>
      <w:jc w:val="left"/>
    </w:pPr>
    <w:rPr>
      <w:rFonts w:ascii="Calibri" w:hAnsi="Calibri" w:eastAsia="宋体" w:cs="Times New Roman"/>
      <w:i/>
      <w:iCs/>
      <w:sz w:val="20"/>
      <w:szCs w:val="20"/>
    </w:rPr>
  </w:style>
  <w:style w:type="paragraph" w:styleId="21">
    <w:name w:val="Plain Text"/>
    <w:basedOn w:val="1"/>
    <w:link w:val="75"/>
    <w:qFormat/>
    <w:uiPriority w:val="0"/>
    <w:rPr>
      <w:rFonts w:ascii="宋体" w:hAnsi="Courier New"/>
    </w:rPr>
  </w:style>
  <w:style w:type="paragraph" w:styleId="22">
    <w:name w:val="toc 8"/>
    <w:basedOn w:val="1"/>
    <w:next w:val="1"/>
    <w:qFormat/>
    <w:uiPriority w:val="39"/>
    <w:pPr>
      <w:ind w:left="1680"/>
      <w:jc w:val="left"/>
    </w:pPr>
    <w:rPr>
      <w:rFonts w:ascii="Calibri" w:hAnsi="Calibri" w:eastAsia="宋体" w:cs="Times New Roman"/>
      <w:sz w:val="18"/>
      <w:szCs w:val="18"/>
    </w:rPr>
  </w:style>
  <w:style w:type="paragraph" w:styleId="23">
    <w:name w:val="Date"/>
    <w:basedOn w:val="1"/>
    <w:next w:val="1"/>
    <w:link w:val="66"/>
    <w:qFormat/>
    <w:uiPriority w:val="0"/>
    <w:pPr>
      <w:ind w:left="100" w:leftChars="2500"/>
    </w:pPr>
    <w:rPr>
      <w:sz w:val="24"/>
    </w:rPr>
  </w:style>
  <w:style w:type="paragraph" w:styleId="24">
    <w:name w:val="Body Text Indent 2"/>
    <w:basedOn w:val="1"/>
    <w:link w:val="54"/>
    <w:qFormat/>
    <w:uiPriority w:val="0"/>
    <w:pPr>
      <w:spacing w:after="120" w:line="480" w:lineRule="auto"/>
      <w:ind w:left="420" w:leftChars="200"/>
    </w:pPr>
  </w:style>
  <w:style w:type="paragraph" w:styleId="25">
    <w:name w:val="Balloon Text"/>
    <w:basedOn w:val="1"/>
    <w:link w:val="70"/>
    <w:qFormat/>
    <w:uiPriority w:val="0"/>
    <w:rPr>
      <w:sz w:val="18"/>
    </w:rPr>
  </w:style>
  <w:style w:type="paragraph" w:styleId="26">
    <w:name w:val="footer"/>
    <w:basedOn w:val="1"/>
    <w:link w:val="76"/>
    <w:qFormat/>
    <w:uiPriority w:val="99"/>
    <w:pPr>
      <w:tabs>
        <w:tab w:val="center" w:pos="4153"/>
        <w:tab w:val="right" w:pos="8306"/>
      </w:tabs>
      <w:snapToGrid w:val="0"/>
      <w:jc w:val="left"/>
    </w:pPr>
    <w:rPr>
      <w:sz w:val="18"/>
    </w:rPr>
  </w:style>
  <w:style w:type="paragraph" w:styleId="27">
    <w:name w:val="header"/>
    <w:basedOn w:val="1"/>
    <w:link w:val="62"/>
    <w:qFormat/>
    <w:uiPriority w:val="0"/>
    <w:pPr>
      <w:pBdr>
        <w:bottom w:val="single" w:color="auto" w:sz="6" w:space="1"/>
      </w:pBdr>
      <w:tabs>
        <w:tab w:val="center" w:pos="4153"/>
        <w:tab w:val="right" w:pos="8306"/>
      </w:tabs>
      <w:snapToGrid w:val="0"/>
      <w:jc w:val="center"/>
    </w:pPr>
    <w:rPr>
      <w:sz w:val="18"/>
    </w:rPr>
  </w:style>
  <w:style w:type="paragraph" w:styleId="28">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9">
    <w:name w:val="toc 4"/>
    <w:basedOn w:val="1"/>
    <w:next w:val="1"/>
    <w:qFormat/>
    <w:uiPriority w:val="39"/>
    <w:pPr>
      <w:ind w:left="720"/>
      <w:jc w:val="left"/>
    </w:pPr>
    <w:rPr>
      <w:rFonts w:ascii="Calibri" w:hAnsi="Calibri" w:eastAsia="宋体" w:cs="Times New Roman"/>
      <w:sz w:val="18"/>
      <w:szCs w:val="18"/>
    </w:rPr>
  </w:style>
  <w:style w:type="paragraph" w:styleId="30">
    <w:name w:val="List"/>
    <w:basedOn w:val="1"/>
    <w:qFormat/>
    <w:uiPriority w:val="99"/>
    <w:pPr>
      <w:ind w:left="420" w:hanging="420"/>
    </w:pPr>
    <w:rPr>
      <w:rFonts w:ascii="Times New Roman" w:hAnsi="Times New Roman" w:eastAsia="宋体" w:cs="Times New Roman"/>
      <w:szCs w:val="20"/>
    </w:rPr>
  </w:style>
  <w:style w:type="paragraph" w:styleId="31">
    <w:name w:val="toc 6"/>
    <w:basedOn w:val="1"/>
    <w:next w:val="1"/>
    <w:qFormat/>
    <w:uiPriority w:val="39"/>
    <w:pPr>
      <w:ind w:left="1200"/>
      <w:jc w:val="left"/>
    </w:pPr>
    <w:rPr>
      <w:rFonts w:ascii="Calibri" w:hAnsi="Calibri" w:eastAsia="宋体" w:cs="Times New Roman"/>
      <w:sz w:val="18"/>
      <w:szCs w:val="18"/>
    </w:rPr>
  </w:style>
  <w:style w:type="paragraph" w:styleId="32">
    <w:name w:val="Body Text Indent 3"/>
    <w:basedOn w:val="1"/>
    <w:link w:val="56"/>
    <w:qFormat/>
    <w:uiPriority w:val="0"/>
    <w:pPr>
      <w:spacing w:after="120"/>
      <w:ind w:left="420" w:leftChars="200"/>
    </w:pPr>
    <w:rPr>
      <w:sz w:val="16"/>
    </w:rPr>
  </w:style>
  <w:style w:type="paragraph" w:styleId="33">
    <w:name w:val="toc 2"/>
    <w:basedOn w:val="1"/>
    <w:next w:val="1"/>
    <w:unhideWhenUsed/>
    <w:qFormat/>
    <w:uiPriority w:val="39"/>
    <w:pPr>
      <w:ind w:left="420" w:leftChars="200"/>
    </w:pPr>
    <w:rPr>
      <w:rFonts w:ascii="Calibri" w:hAnsi="Calibri" w:eastAsia="宋体" w:cs="Times New Roman"/>
      <w:szCs w:val="20"/>
    </w:rPr>
  </w:style>
  <w:style w:type="paragraph" w:styleId="34">
    <w:name w:val="toc 9"/>
    <w:basedOn w:val="1"/>
    <w:next w:val="1"/>
    <w:qFormat/>
    <w:uiPriority w:val="39"/>
    <w:pPr>
      <w:ind w:left="1920"/>
      <w:jc w:val="left"/>
    </w:pPr>
    <w:rPr>
      <w:rFonts w:ascii="Calibri" w:hAnsi="Calibri" w:eastAsia="宋体" w:cs="Times New Roman"/>
      <w:sz w:val="18"/>
      <w:szCs w:val="18"/>
    </w:rPr>
  </w:style>
  <w:style w:type="paragraph" w:styleId="35">
    <w:name w:val="Normal (Web)"/>
    <w:basedOn w:val="1"/>
    <w:qFormat/>
    <w:uiPriority w:val="99"/>
    <w:rPr>
      <w:rFonts w:ascii="Calibri" w:hAnsi="Calibri" w:eastAsia="宋体" w:cs="Times New Roman"/>
      <w:sz w:val="24"/>
      <w:szCs w:val="20"/>
    </w:rPr>
  </w:style>
  <w:style w:type="paragraph" w:styleId="36">
    <w:name w:val="index 1"/>
    <w:basedOn w:val="1"/>
    <w:next w:val="1"/>
    <w:qFormat/>
    <w:uiPriority w:val="99"/>
    <w:rPr>
      <w:rFonts w:ascii="Calibri" w:hAnsi="Calibri" w:eastAsia="宋体" w:cs="Times New Roman"/>
      <w:sz w:val="24"/>
      <w:szCs w:val="24"/>
    </w:rPr>
  </w:style>
  <w:style w:type="paragraph" w:styleId="37">
    <w:name w:val="Title"/>
    <w:basedOn w:val="1"/>
    <w:next w:val="1"/>
    <w:link w:val="65"/>
    <w:qFormat/>
    <w:uiPriority w:val="0"/>
    <w:pPr>
      <w:spacing w:before="160" w:after="40" w:line="240" w:lineRule="atLeast"/>
      <w:ind w:left="425" w:hanging="425"/>
      <w:jc w:val="center"/>
      <w:outlineLvl w:val="0"/>
    </w:pPr>
    <w:rPr>
      <w:rFonts w:ascii="Arial" w:hAnsi="Arial"/>
      <w:b/>
      <w:sz w:val="32"/>
    </w:rPr>
  </w:style>
  <w:style w:type="paragraph" w:styleId="38">
    <w:name w:val="annotation subject"/>
    <w:basedOn w:val="14"/>
    <w:next w:val="14"/>
    <w:link w:val="55"/>
    <w:qFormat/>
    <w:uiPriority w:val="0"/>
    <w:rPr>
      <w:b/>
    </w:rPr>
  </w:style>
  <w:style w:type="paragraph" w:styleId="39">
    <w:name w:val="Body Text First Indent 2"/>
    <w:basedOn w:val="17"/>
    <w:semiHidden/>
    <w:qFormat/>
    <w:uiPriority w:val="99"/>
    <w:pPr>
      <w:spacing w:line="276" w:lineRule="auto"/>
      <w:ind w:firstLine="420" w:firstLineChars="200"/>
      <w:jc w:val="left"/>
    </w:pPr>
  </w:style>
  <w:style w:type="table" w:styleId="41">
    <w:name w:val="Table Grid"/>
    <w:basedOn w:val="4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basedOn w:val="42"/>
    <w:qFormat/>
    <w:uiPriority w:val="22"/>
    <w:rPr>
      <w:b/>
    </w:rPr>
  </w:style>
  <w:style w:type="character" w:styleId="44">
    <w:name w:val="page number"/>
    <w:basedOn w:val="42"/>
    <w:qFormat/>
    <w:uiPriority w:val="99"/>
    <w:rPr>
      <w:rFonts w:cs="Times New Roman"/>
    </w:rPr>
  </w:style>
  <w:style w:type="character" w:styleId="45">
    <w:name w:val="FollowedHyperlink"/>
    <w:basedOn w:val="42"/>
    <w:qFormat/>
    <w:uiPriority w:val="99"/>
    <w:rPr>
      <w:color w:val="800080"/>
      <w:u w:val="single"/>
    </w:rPr>
  </w:style>
  <w:style w:type="character" w:styleId="46">
    <w:name w:val="Emphasis"/>
    <w:qFormat/>
    <w:uiPriority w:val="99"/>
    <w:rPr>
      <w:rFonts w:cs="Times New Roman"/>
      <w:color w:val="auto"/>
    </w:rPr>
  </w:style>
  <w:style w:type="character" w:styleId="47">
    <w:name w:val="HTML Acronym"/>
    <w:basedOn w:val="42"/>
    <w:qFormat/>
    <w:uiPriority w:val="99"/>
  </w:style>
  <w:style w:type="character" w:styleId="48">
    <w:name w:val="Hyperlink"/>
    <w:basedOn w:val="42"/>
    <w:qFormat/>
    <w:uiPriority w:val="99"/>
    <w:rPr>
      <w:color w:val="1F4F88"/>
      <w:u w:val="none"/>
    </w:rPr>
  </w:style>
  <w:style w:type="character" w:styleId="49">
    <w:name w:val="annotation reference"/>
    <w:basedOn w:val="42"/>
    <w:qFormat/>
    <w:uiPriority w:val="99"/>
    <w:rPr>
      <w:sz w:val="21"/>
    </w:rPr>
  </w:style>
  <w:style w:type="character" w:customStyle="1" w:styleId="50">
    <w:name w:val="标题 1 字符"/>
    <w:basedOn w:val="42"/>
    <w:link w:val="3"/>
    <w:qFormat/>
    <w:uiPriority w:val="0"/>
    <w:rPr>
      <w:rFonts w:ascii="Calibri" w:hAnsi="Calibri" w:eastAsia="宋体" w:cs="Times New Roman"/>
      <w:b/>
      <w:bCs/>
      <w:kern w:val="44"/>
      <w:sz w:val="36"/>
      <w:szCs w:val="44"/>
    </w:rPr>
  </w:style>
  <w:style w:type="character" w:customStyle="1" w:styleId="51">
    <w:name w:val="标题 2 字符"/>
    <w:basedOn w:val="42"/>
    <w:link w:val="4"/>
    <w:qFormat/>
    <w:uiPriority w:val="9"/>
    <w:rPr>
      <w:rFonts w:ascii="Arial" w:hAnsi="Arial" w:eastAsia="宋体" w:cs="Times New Roman"/>
      <w:b/>
      <w:bCs/>
      <w:sz w:val="24"/>
      <w:szCs w:val="32"/>
    </w:rPr>
  </w:style>
  <w:style w:type="character" w:customStyle="1" w:styleId="52">
    <w:name w:val="标题 3 字符"/>
    <w:basedOn w:val="42"/>
    <w:link w:val="5"/>
    <w:semiHidden/>
    <w:qFormat/>
    <w:uiPriority w:val="9"/>
    <w:rPr>
      <w:rFonts w:ascii="Calibri" w:hAnsi="Calibri" w:eastAsia="宋体" w:cs="Times New Roman"/>
      <w:b/>
      <w:bCs/>
      <w:sz w:val="32"/>
      <w:szCs w:val="32"/>
    </w:rPr>
  </w:style>
  <w:style w:type="character" w:customStyle="1" w:styleId="53">
    <w:name w:val="Char Char3"/>
    <w:qFormat/>
    <w:uiPriority w:val="0"/>
    <w:rPr>
      <w:rFonts w:ascii="宋体" w:hAnsi="Courier New" w:eastAsia="宋体"/>
      <w:kern w:val="2"/>
      <w:sz w:val="21"/>
      <w:lang w:val="en-US" w:eastAsia="zh-CN"/>
    </w:rPr>
  </w:style>
  <w:style w:type="character" w:customStyle="1" w:styleId="54">
    <w:name w:val="正文文本缩进 2 字符"/>
    <w:link w:val="24"/>
    <w:qFormat/>
    <w:locked/>
    <w:uiPriority w:val="0"/>
  </w:style>
  <w:style w:type="character" w:customStyle="1" w:styleId="55">
    <w:name w:val="批注主题 字符"/>
    <w:link w:val="38"/>
    <w:qFormat/>
    <w:locked/>
    <w:uiPriority w:val="0"/>
    <w:rPr>
      <w:b/>
    </w:rPr>
  </w:style>
  <w:style w:type="character" w:customStyle="1" w:styleId="56">
    <w:name w:val="正文文本缩进 3 字符"/>
    <w:link w:val="32"/>
    <w:qFormat/>
    <w:locked/>
    <w:uiPriority w:val="0"/>
    <w:rPr>
      <w:sz w:val="16"/>
    </w:rPr>
  </w:style>
  <w:style w:type="character" w:customStyle="1" w:styleId="57">
    <w:name w:val="纯文本 Char"/>
    <w:qFormat/>
    <w:uiPriority w:val="0"/>
    <w:rPr>
      <w:rFonts w:ascii="宋体" w:hAnsi="Courier New" w:eastAsia="宋体"/>
      <w:kern w:val="2"/>
      <w:sz w:val="21"/>
      <w:lang w:val="en-US" w:eastAsia="zh-CN"/>
    </w:rPr>
  </w:style>
  <w:style w:type="character" w:customStyle="1" w:styleId="58">
    <w:name w:val="Char Char2"/>
    <w:qFormat/>
    <w:uiPriority w:val="0"/>
    <w:rPr>
      <w:rFonts w:ascii="宋体" w:hAnsi="Courier New"/>
      <w:kern w:val="2"/>
      <w:sz w:val="21"/>
    </w:rPr>
  </w:style>
  <w:style w:type="character" w:customStyle="1" w:styleId="59">
    <w:name w:val="列出段落 字符"/>
    <w:link w:val="60"/>
    <w:qFormat/>
    <w:locked/>
    <w:uiPriority w:val="34"/>
    <w:rPr>
      <w:sz w:val="22"/>
    </w:rPr>
  </w:style>
  <w:style w:type="paragraph" w:customStyle="1" w:styleId="60">
    <w:name w:val="列出段落1"/>
    <w:basedOn w:val="1"/>
    <w:link w:val="59"/>
    <w:qFormat/>
    <w:uiPriority w:val="34"/>
    <w:pPr>
      <w:ind w:firstLine="420" w:firstLineChars="200"/>
    </w:pPr>
    <w:rPr>
      <w:sz w:val="22"/>
    </w:rPr>
  </w:style>
  <w:style w:type="character" w:customStyle="1" w:styleId="61">
    <w:name w:val="apple-converted-space"/>
    <w:basedOn w:val="42"/>
    <w:qFormat/>
    <w:uiPriority w:val="0"/>
    <w:rPr>
      <w:rFonts w:cs="Times New Roman"/>
    </w:rPr>
  </w:style>
  <w:style w:type="character" w:customStyle="1" w:styleId="62">
    <w:name w:val="页眉 字符"/>
    <w:link w:val="27"/>
    <w:qFormat/>
    <w:locked/>
    <w:uiPriority w:val="0"/>
    <w:rPr>
      <w:sz w:val="18"/>
    </w:rPr>
  </w:style>
  <w:style w:type="character" w:customStyle="1" w:styleId="63">
    <w:name w:val="BODY TEXT Char"/>
    <w:qFormat/>
    <w:locked/>
    <w:uiPriority w:val="0"/>
    <w:rPr>
      <w:rFonts w:eastAsia="新宋体"/>
      <w:kern w:val="2"/>
      <w:sz w:val="21"/>
    </w:rPr>
  </w:style>
  <w:style w:type="character" w:customStyle="1" w:styleId="64">
    <w:name w:val="批注文字 字符"/>
    <w:link w:val="14"/>
    <w:qFormat/>
    <w:locked/>
    <w:uiPriority w:val="0"/>
  </w:style>
  <w:style w:type="character" w:customStyle="1" w:styleId="65">
    <w:name w:val="标题 字符"/>
    <w:link w:val="37"/>
    <w:qFormat/>
    <w:locked/>
    <w:uiPriority w:val="0"/>
    <w:rPr>
      <w:rFonts w:ascii="Arial" w:hAnsi="Arial"/>
      <w:b/>
      <w:sz w:val="32"/>
    </w:rPr>
  </w:style>
  <w:style w:type="character" w:customStyle="1" w:styleId="66">
    <w:name w:val="日期 字符"/>
    <w:link w:val="23"/>
    <w:qFormat/>
    <w:locked/>
    <w:uiPriority w:val="0"/>
    <w:rPr>
      <w:sz w:val="24"/>
    </w:rPr>
  </w:style>
  <w:style w:type="character" w:customStyle="1" w:styleId="67">
    <w:name w:val="ATXT_Bullets Zchn"/>
    <w:link w:val="68"/>
    <w:qFormat/>
    <w:locked/>
    <w:uiPriority w:val="99"/>
    <w:rPr>
      <w:rFonts w:ascii="Arial" w:hAnsi="Arial"/>
      <w:lang w:val="de-AT" w:eastAsia="zh-CN"/>
    </w:rPr>
  </w:style>
  <w:style w:type="paragraph" w:customStyle="1" w:styleId="68">
    <w:name w:val="ATXT_Bullets"/>
    <w:link w:val="67"/>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9">
    <w:name w:val="Char Char5"/>
    <w:qFormat/>
    <w:uiPriority w:val="0"/>
    <w:rPr>
      <w:rFonts w:ascii="宋体" w:hAnsi="Courier New" w:eastAsia="宋体"/>
      <w:kern w:val="2"/>
      <w:sz w:val="21"/>
      <w:lang w:val="en-US" w:eastAsia="zh-CN"/>
    </w:rPr>
  </w:style>
  <w:style w:type="character" w:customStyle="1" w:styleId="70">
    <w:name w:val="批注框文本 字符"/>
    <w:link w:val="25"/>
    <w:qFormat/>
    <w:locked/>
    <w:uiPriority w:val="0"/>
    <w:rPr>
      <w:sz w:val="18"/>
    </w:rPr>
  </w:style>
  <w:style w:type="character" w:customStyle="1" w:styleId="71">
    <w:name w:val="批注文字 Char"/>
    <w:qFormat/>
    <w:uiPriority w:val="0"/>
    <w:rPr>
      <w:kern w:val="2"/>
    </w:rPr>
  </w:style>
  <w:style w:type="character" w:customStyle="1" w:styleId="72">
    <w:name w:val="批注主题 Char"/>
    <w:qFormat/>
    <w:uiPriority w:val="0"/>
    <w:rPr>
      <w:b/>
      <w:kern w:val="2"/>
    </w:rPr>
  </w:style>
  <w:style w:type="character" w:customStyle="1" w:styleId="73">
    <w:name w:val="文档结构图 字符"/>
    <w:link w:val="12"/>
    <w:qFormat/>
    <w:locked/>
    <w:uiPriority w:val="0"/>
    <w:rPr>
      <w:sz w:val="24"/>
      <w:shd w:val="clear" w:color="auto" w:fill="000080"/>
    </w:rPr>
  </w:style>
  <w:style w:type="character" w:customStyle="1" w:styleId="74">
    <w:name w:val="HTML Markup"/>
    <w:qFormat/>
    <w:uiPriority w:val="0"/>
    <w:rPr>
      <w:vanish/>
      <w:color w:val="FF0000"/>
    </w:rPr>
  </w:style>
  <w:style w:type="character" w:customStyle="1" w:styleId="75">
    <w:name w:val="纯文本 字符"/>
    <w:link w:val="21"/>
    <w:qFormat/>
    <w:locked/>
    <w:uiPriority w:val="0"/>
    <w:rPr>
      <w:rFonts w:ascii="宋体" w:hAnsi="Courier New"/>
    </w:rPr>
  </w:style>
  <w:style w:type="character" w:customStyle="1" w:styleId="76">
    <w:name w:val="页脚 字符"/>
    <w:link w:val="26"/>
    <w:qFormat/>
    <w:locked/>
    <w:uiPriority w:val="99"/>
    <w:rPr>
      <w:sz w:val="18"/>
    </w:rPr>
  </w:style>
  <w:style w:type="character" w:customStyle="1" w:styleId="77">
    <w:name w:val="Default Char"/>
    <w:link w:val="78"/>
    <w:qFormat/>
    <w:locked/>
    <w:uiPriority w:val="0"/>
    <w:rPr>
      <w:rFonts w:ascii="仿宋_GB2312" w:eastAsia="仿宋_GB2312"/>
      <w:color w:val="000000"/>
      <w:sz w:val="24"/>
    </w:rPr>
  </w:style>
  <w:style w:type="paragraph" w:customStyle="1" w:styleId="78">
    <w:name w:val="Default"/>
    <w:link w:val="77"/>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9">
    <w:name w:val="页脚 Char"/>
    <w:qFormat/>
    <w:locked/>
    <w:uiPriority w:val="99"/>
    <w:rPr>
      <w:sz w:val="18"/>
    </w:rPr>
  </w:style>
  <w:style w:type="character" w:customStyle="1" w:styleId="80">
    <w:name w:val="批注文字 字符1"/>
    <w:basedOn w:val="42"/>
    <w:semiHidden/>
    <w:qFormat/>
    <w:uiPriority w:val="99"/>
  </w:style>
  <w:style w:type="character" w:customStyle="1" w:styleId="81">
    <w:name w:val="批注文字 字符11"/>
    <w:basedOn w:val="42"/>
    <w:qFormat/>
    <w:uiPriority w:val="0"/>
    <w:rPr>
      <w:rFonts w:cs="Times New Roman"/>
      <w:kern w:val="2"/>
      <w:sz w:val="21"/>
    </w:rPr>
  </w:style>
  <w:style w:type="character" w:customStyle="1" w:styleId="82">
    <w:name w:val="正文文本缩进 字符"/>
    <w:basedOn w:val="42"/>
    <w:link w:val="17"/>
    <w:qFormat/>
    <w:uiPriority w:val="99"/>
    <w:rPr>
      <w:rFonts w:ascii="Calibri" w:hAnsi="Calibri" w:eastAsia="宋体" w:cs="Times New Roman"/>
      <w:szCs w:val="20"/>
    </w:rPr>
  </w:style>
  <w:style w:type="character" w:customStyle="1" w:styleId="83">
    <w:name w:val="文档结构图 字符1"/>
    <w:basedOn w:val="42"/>
    <w:semiHidden/>
    <w:qFormat/>
    <w:uiPriority w:val="99"/>
    <w:rPr>
      <w:rFonts w:ascii="Microsoft YaHei UI" w:eastAsia="Microsoft YaHei UI"/>
      <w:sz w:val="18"/>
      <w:szCs w:val="18"/>
    </w:rPr>
  </w:style>
  <w:style w:type="character" w:customStyle="1" w:styleId="84">
    <w:name w:val="文档结构图 字符11"/>
    <w:basedOn w:val="42"/>
    <w:semiHidden/>
    <w:qFormat/>
    <w:uiPriority w:val="99"/>
    <w:rPr>
      <w:rFonts w:ascii="Microsoft YaHei UI" w:eastAsia="Microsoft YaHei UI" w:cs="Times New Roman"/>
      <w:kern w:val="2"/>
      <w:sz w:val="18"/>
      <w:szCs w:val="18"/>
    </w:rPr>
  </w:style>
  <w:style w:type="character" w:customStyle="1" w:styleId="85">
    <w:name w:val="正文文本 字符"/>
    <w:basedOn w:val="42"/>
    <w:link w:val="16"/>
    <w:qFormat/>
    <w:uiPriority w:val="99"/>
    <w:rPr>
      <w:rFonts w:ascii="Calibri" w:hAnsi="Calibri" w:eastAsia="新宋体" w:cs="Times New Roman"/>
      <w:szCs w:val="21"/>
    </w:rPr>
  </w:style>
  <w:style w:type="character" w:customStyle="1" w:styleId="86">
    <w:name w:val="纯文本 字符1"/>
    <w:basedOn w:val="42"/>
    <w:semiHidden/>
    <w:qFormat/>
    <w:uiPriority w:val="99"/>
    <w:rPr>
      <w:rFonts w:hAnsi="Courier New" w:cs="Courier New" w:asciiTheme="minorEastAsia"/>
    </w:rPr>
  </w:style>
  <w:style w:type="character" w:customStyle="1" w:styleId="87">
    <w:name w:val="纯文本 字符11"/>
    <w:basedOn w:val="42"/>
    <w:qFormat/>
    <w:uiPriority w:val="0"/>
    <w:rPr>
      <w:rFonts w:hAnsi="Courier New" w:cs="Courier New" w:asciiTheme="minorEastAsia" w:eastAsiaTheme="minorEastAsia"/>
      <w:kern w:val="2"/>
      <w:sz w:val="21"/>
    </w:rPr>
  </w:style>
  <w:style w:type="character" w:customStyle="1" w:styleId="88">
    <w:name w:val="页眉 字符1"/>
    <w:basedOn w:val="42"/>
    <w:semiHidden/>
    <w:qFormat/>
    <w:uiPriority w:val="99"/>
    <w:rPr>
      <w:sz w:val="18"/>
      <w:szCs w:val="18"/>
    </w:rPr>
  </w:style>
  <w:style w:type="character" w:customStyle="1" w:styleId="89">
    <w:name w:val="页眉 字符11"/>
    <w:basedOn w:val="42"/>
    <w:semiHidden/>
    <w:qFormat/>
    <w:uiPriority w:val="99"/>
    <w:rPr>
      <w:rFonts w:cs="Times New Roman"/>
      <w:kern w:val="2"/>
      <w:sz w:val="18"/>
      <w:szCs w:val="18"/>
    </w:rPr>
  </w:style>
  <w:style w:type="character" w:customStyle="1" w:styleId="90">
    <w:name w:val="批注框文本 字符1"/>
    <w:basedOn w:val="42"/>
    <w:semiHidden/>
    <w:qFormat/>
    <w:uiPriority w:val="99"/>
    <w:rPr>
      <w:sz w:val="18"/>
      <w:szCs w:val="18"/>
    </w:rPr>
  </w:style>
  <w:style w:type="character" w:customStyle="1" w:styleId="91">
    <w:name w:val="批注框文本 字符11"/>
    <w:basedOn w:val="42"/>
    <w:semiHidden/>
    <w:qFormat/>
    <w:uiPriority w:val="99"/>
    <w:rPr>
      <w:rFonts w:cs="Times New Roman"/>
      <w:kern w:val="2"/>
      <w:sz w:val="18"/>
      <w:szCs w:val="18"/>
    </w:rPr>
  </w:style>
  <w:style w:type="character" w:customStyle="1" w:styleId="92">
    <w:name w:val="日期 字符1"/>
    <w:basedOn w:val="42"/>
    <w:semiHidden/>
    <w:qFormat/>
    <w:uiPriority w:val="99"/>
  </w:style>
  <w:style w:type="character" w:customStyle="1" w:styleId="93">
    <w:name w:val="日期 字符11"/>
    <w:basedOn w:val="42"/>
    <w:semiHidden/>
    <w:qFormat/>
    <w:uiPriority w:val="99"/>
    <w:rPr>
      <w:rFonts w:cs="Times New Roman"/>
      <w:kern w:val="2"/>
      <w:sz w:val="21"/>
    </w:rPr>
  </w:style>
  <w:style w:type="character" w:customStyle="1" w:styleId="94">
    <w:name w:val="页脚 字符1"/>
    <w:basedOn w:val="42"/>
    <w:semiHidden/>
    <w:qFormat/>
    <w:uiPriority w:val="99"/>
    <w:rPr>
      <w:sz w:val="18"/>
      <w:szCs w:val="18"/>
    </w:rPr>
  </w:style>
  <w:style w:type="character" w:customStyle="1" w:styleId="95">
    <w:name w:val="页脚 字符11"/>
    <w:basedOn w:val="42"/>
    <w:semiHidden/>
    <w:qFormat/>
    <w:uiPriority w:val="99"/>
    <w:rPr>
      <w:rFonts w:cs="Times New Roman"/>
      <w:kern w:val="2"/>
      <w:sz w:val="18"/>
      <w:szCs w:val="18"/>
    </w:rPr>
  </w:style>
  <w:style w:type="character" w:customStyle="1" w:styleId="96">
    <w:name w:val="正文文本缩进 2 字符1"/>
    <w:basedOn w:val="42"/>
    <w:semiHidden/>
    <w:qFormat/>
    <w:uiPriority w:val="99"/>
  </w:style>
  <w:style w:type="character" w:customStyle="1" w:styleId="97">
    <w:name w:val="正文文本缩进 2 字符11"/>
    <w:basedOn w:val="42"/>
    <w:semiHidden/>
    <w:qFormat/>
    <w:uiPriority w:val="99"/>
    <w:rPr>
      <w:rFonts w:cs="Times New Roman"/>
      <w:kern w:val="2"/>
      <w:sz w:val="21"/>
    </w:rPr>
  </w:style>
  <w:style w:type="character" w:customStyle="1" w:styleId="98">
    <w:name w:val="正文文本缩进 3 字符1"/>
    <w:basedOn w:val="42"/>
    <w:semiHidden/>
    <w:qFormat/>
    <w:uiPriority w:val="99"/>
    <w:rPr>
      <w:sz w:val="16"/>
      <w:szCs w:val="16"/>
    </w:rPr>
  </w:style>
  <w:style w:type="character" w:customStyle="1" w:styleId="99">
    <w:name w:val="正文文本缩进 3 字符11"/>
    <w:basedOn w:val="42"/>
    <w:semiHidden/>
    <w:qFormat/>
    <w:uiPriority w:val="99"/>
    <w:rPr>
      <w:rFonts w:cs="Times New Roman"/>
      <w:kern w:val="2"/>
      <w:sz w:val="16"/>
      <w:szCs w:val="16"/>
    </w:rPr>
  </w:style>
  <w:style w:type="character" w:customStyle="1" w:styleId="100">
    <w:name w:val="批注主题 字符1"/>
    <w:basedOn w:val="80"/>
    <w:semiHidden/>
    <w:qFormat/>
    <w:uiPriority w:val="99"/>
    <w:rPr>
      <w:b/>
      <w:bCs/>
    </w:rPr>
  </w:style>
  <w:style w:type="character" w:customStyle="1" w:styleId="101">
    <w:name w:val="批注主题 字符11"/>
    <w:basedOn w:val="81"/>
    <w:semiHidden/>
    <w:qFormat/>
    <w:uiPriority w:val="99"/>
    <w:rPr>
      <w:rFonts w:cs="Times New Roman"/>
      <w:b/>
      <w:bCs/>
      <w:kern w:val="2"/>
      <w:sz w:val="21"/>
    </w:rPr>
  </w:style>
  <w:style w:type="character" w:customStyle="1" w:styleId="102">
    <w:name w:val="标题 字符1"/>
    <w:basedOn w:val="42"/>
    <w:qFormat/>
    <w:uiPriority w:val="10"/>
    <w:rPr>
      <w:rFonts w:asciiTheme="majorHAnsi" w:hAnsiTheme="majorHAnsi" w:eastAsiaTheme="majorEastAsia" w:cstheme="majorBidi"/>
      <w:b/>
      <w:bCs/>
      <w:sz w:val="32"/>
      <w:szCs w:val="32"/>
    </w:rPr>
  </w:style>
  <w:style w:type="character" w:customStyle="1" w:styleId="103">
    <w:name w:val="标题 字符11"/>
    <w:basedOn w:val="42"/>
    <w:qFormat/>
    <w:uiPriority w:val="10"/>
    <w:rPr>
      <w:rFonts w:cs="Times New Roman" w:asciiTheme="majorHAnsi" w:hAnsiTheme="majorHAnsi" w:eastAsiaTheme="majorEastAsia"/>
      <w:b/>
      <w:bCs/>
      <w:kern w:val="2"/>
      <w:sz w:val="32"/>
      <w:szCs w:val="32"/>
    </w:rPr>
  </w:style>
  <w:style w:type="paragraph" w:customStyle="1" w:styleId="104">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5">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6">
    <w:name w:val="二级列表 Char"/>
    <w:basedOn w:val="1"/>
    <w:qFormat/>
    <w:uiPriority w:val="0"/>
    <w:rPr>
      <w:rFonts w:ascii="Calibri" w:hAnsi="Calibri" w:eastAsia="宋体" w:cs="Times New Roman"/>
      <w:szCs w:val="20"/>
    </w:rPr>
  </w:style>
  <w:style w:type="paragraph" w:customStyle="1" w:styleId="107">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8">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9">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0">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1">
    <w:name w:val="Char Char Char Char Char Char Char"/>
    <w:basedOn w:val="1"/>
    <w:qFormat/>
    <w:uiPriority w:val="0"/>
    <w:rPr>
      <w:rFonts w:ascii="Verdana" w:hAnsi="Verdana" w:eastAsia="宋体" w:cs="Times New Roman"/>
      <w:kern w:val="0"/>
      <w:sz w:val="20"/>
      <w:szCs w:val="20"/>
      <w:lang w:eastAsia="en-US"/>
    </w:rPr>
  </w:style>
  <w:style w:type="paragraph" w:customStyle="1" w:styleId="112">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3">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4">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5">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6">
    <w:name w:val="标书正文格式"/>
    <w:basedOn w:val="21"/>
    <w:link w:val="118"/>
    <w:qFormat/>
    <w:uiPriority w:val="0"/>
    <w:pPr>
      <w:spacing w:line="360" w:lineRule="auto"/>
      <w:ind w:firstLine="200" w:firstLineChars="200"/>
    </w:pPr>
    <w:rPr>
      <w:rFonts w:hAnsi="宋体"/>
      <w:color w:val="000000"/>
      <w:sz w:val="24"/>
      <w:szCs w:val="24"/>
    </w:rPr>
  </w:style>
  <w:style w:type="paragraph" w:customStyle="1" w:styleId="117">
    <w:name w:val="标书二级标题"/>
    <w:basedOn w:val="4"/>
    <w:link w:val="120"/>
    <w:qFormat/>
    <w:uiPriority w:val="0"/>
    <w:pPr>
      <w:spacing w:line="240" w:lineRule="auto"/>
      <w:jc w:val="left"/>
    </w:pPr>
    <w:rPr>
      <w:rFonts w:ascii="宋体" w:hAnsi="宋体" w:eastAsia="黑体"/>
      <w:b w:val="0"/>
      <w:sz w:val="28"/>
      <w:szCs w:val="30"/>
    </w:rPr>
  </w:style>
  <w:style w:type="character" w:customStyle="1" w:styleId="118">
    <w:name w:val="标书正文格式 字符"/>
    <w:link w:val="116"/>
    <w:qFormat/>
    <w:locked/>
    <w:uiPriority w:val="0"/>
    <w:rPr>
      <w:rFonts w:ascii="宋体" w:hAnsi="宋体"/>
      <w:color w:val="000000"/>
      <w:sz w:val="24"/>
      <w:szCs w:val="24"/>
    </w:rPr>
  </w:style>
  <w:style w:type="paragraph" w:customStyle="1" w:styleId="119">
    <w:name w:val="标书表格"/>
    <w:basedOn w:val="1"/>
    <w:link w:val="121"/>
    <w:qFormat/>
    <w:uiPriority w:val="0"/>
    <w:pPr>
      <w:jc w:val="center"/>
    </w:pPr>
    <w:rPr>
      <w:rFonts w:ascii="Times New Roman" w:hAnsi="Times New Roman" w:eastAsia="宋体" w:cs="Times New Roman"/>
      <w:b/>
      <w:szCs w:val="20"/>
    </w:rPr>
  </w:style>
  <w:style w:type="character" w:customStyle="1" w:styleId="120">
    <w:name w:val="标书二级标题 字符"/>
    <w:link w:val="117"/>
    <w:qFormat/>
    <w:locked/>
    <w:uiPriority w:val="0"/>
    <w:rPr>
      <w:rFonts w:ascii="宋体" w:hAnsi="宋体" w:eastAsia="黑体" w:cs="Times New Roman"/>
      <w:bCs/>
      <w:sz w:val="28"/>
      <w:szCs w:val="30"/>
    </w:rPr>
  </w:style>
  <w:style w:type="character" w:customStyle="1" w:styleId="121">
    <w:name w:val="标书表格 字符"/>
    <w:link w:val="119"/>
    <w:qFormat/>
    <w:locked/>
    <w:uiPriority w:val="0"/>
    <w:rPr>
      <w:rFonts w:ascii="Times New Roman" w:hAnsi="Times New Roman" w:eastAsia="宋体" w:cs="Times New Roman"/>
      <w:b/>
      <w:szCs w:val="20"/>
    </w:rPr>
  </w:style>
  <w:style w:type="paragraph" w:customStyle="1" w:styleId="122">
    <w:name w:val="标书三级标题"/>
    <w:basedOn w:val="5"/>
    <w:next w:val="116"/>
    <w:link w:val="123"/>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3">
    <w:name w:val="标书三级标题 字符"/>
    <w:link w:val="122"/>
    <w:qFormat/>
    <w:locked/>
    <w:uiPriority w:val="0"/>
    <w:rPr>
      <w:rFonts w:ascii="Times New Roman" w:hAnsi="Times New Roman" w:eastAsia="宋体" w:cs="Times New Roman"/>
      <w:b/>
      <w:bCs/>
      <w:color w:val="000000"/>
      <w:sz w:val="24"/>
      <w:szCs w:val="24"/>
    </w:rPr>
  </w:style>
  <w:style w:type="character" w:customStyle="1" w:styleId="124">
    <w:name w:val="标三级标题 字符"/>
    <w:link w:val="125"/>
    <w:qFormat/>
    <w:locked/>
    <w:uiPriority w:val="0"/>
    <w:rPr>
      <w:b/>
      <w:color w:val="000000"/>
      <w:sz w:val="24"/>
    </w:rPr>
  </w:style>
  <w:style w:type="paragraph" w:customStyle="1" w:styleId="125">
    <w:name w:val="标三级标题"/>
    <w:basedOn w:val="122"/>
    <w:link w:val="124"/>
    <w:qFormat/>
    <w:uiPriority w:val="0"/>
    <w:rPr>
      <w:rFonts w:asciiTheme="minorHAnsi" w:hAnsiTheme="minorHAnsi" w:eastAsiaTheme="minorEastAsia" w:cstheme="minorBidi"/>
      <w:bCs w:val="0"/>
      <w:szCs w:val="22"/>
    </w:rPr>
  </w:style>
  <w:style w:type="character" w:customStyle="1" w:styleId="126">
    <w:name w:val="标正文 字符"/>
    <w:link w:val="127"/>
    <w:qFormat/>
    <w:locked/>
    <w:uiPriority w:val="0"/>
    <w:rPr>
      <w:rFonts w:ascii="宋体" w:eastAsia="宋体"/>
      <w:color w:val="000000"/>
      <w:sz w:val="24"/>
    </w:rPr>
  </w:style>
  <w:style w:type="paragraph" w:customStyle="1" w:styleId="127">
    <w:name w:val="标正文"/>
    <w:basedOn w:val="116"/>
    <w:link w:val="126"/>
    <w:qFormat/>
    <w:uiPriority w:val="0"/>
    <w:pPr>
      <w:ind w:firstLine="480"/>
    </w:pPr>
    <w:rPr>
      <w:rFonts w:eastAsia="宋体" w:hAnsiTheme="minorHAnsi"/>
      <w:szCs w:val="22"/>
    </w:rPr>
  </w:style>
  <w:style w:type="paragraph" w:customStyle="1" w:styleId="128">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9">
    <w:name w:val="HR正文表格"/>
    <w:basedOn w:val="1"/>
    <w:qFormat/>
    <w:uiPriority w:val="0"/>
    <w:pPr>
      <w:spacing w:beforeLines="25" w:afterLines="25" w:line="300" w:lineRule="auto"/>
    </w:pPr>
    <w:rPr>
      <w:szCs w:val="24"/>
    </w:rPr>
  </w:style>
  <w:style w:type="paragraph" w:styleId="130">
    <w:name w:val="List Paragraph"/>
    <w:basedOn w:val="1"/>
    <w:qFormat/>
    <w:uiPriority w:val="99"/>
    <w:pPr>
      <w:ind w:firstLine="420" w:firstLineChars="200"/>
    </w:pPr>
  </w:style>
  <w:style w:type="paragraph" w:customStyle="1" w:styleId="131">
    <w:name w:val="WPSOffice手动目录 1"/>
    <w:qFormat/>
    <w:uiPriority w:val="0"/>
    <w:rPr>
      <w:rFonts w:ascii="Times New Roman" w:hAnsi="Times New Roman" w:eastAsia="宋体" w:cs="Times New Roman"/>
      <w:lang w:val="en-US" w:eastAsia="zh-CN" w:bidi="ar-SA"/>
    </w:rPr>
  </w:style>
  <w:style w:type="table" w:customStyle="1" w:styleId="132">
    <w:name w:val="Table Normal"/>
    <w:semiHidden/>
    <w:unhideWhenUsed/>
    <w:qFormat/>
    <w:uiPriority w:val="0"/>
    <w:tblPr>
      <w:tblCellMar>
        <w:top w:w="0" w:type="dxa"/>
        <w:left w:w="0" w:type="dxa"/>
        <w:bottom w:w="0" w:type="dxa"/>
        <w:right w:w="0" w:type="dxa"/>
      </w:tblCellMar>
    </w:tblPr>
  </w:style>
  <w:style w:type="character" w:customStyle="1" w:styleId="133">
    <w:name w:val="NormalCharacter"/>
    <w:qFormat/>
    <w:uiPriority w:val="0"/>
  </w:style>
  <w:style w:type="paragraph" w:customStyle="1" w:styleId="134">
    <w:name w:val="Table Paragraph"/>
    <w:basedOn w:val="1"/>
    <w:qFormat/>
    <w:uiPriority w:val="1"/>
    <w:rPr>
      <w:rFonts w:ascii="宋体" w:hAnsi="宋体" w:eastAsia="宋体" w:cs="宋体"/>
    </w:rPr>
  </w:style>
  <w:style w:type="paragraph" w:customStyle="1" w:styleId="135">
    <w:name w:val="标书一级标题"/>
    <w:basedOn w:val="3"/>
    <w:link w:val="144"/>
    <w:qFormat/>
    <w:uiPriority w:val="0"/>
    <w:rPr>
      <w:rFonts w:eastAsia="黑体"/>
      <w:b w:val="0"/>
      <w:color w:val="000000"/>
      <w:sz w:val="30"/>
      <w:szCs w:val="24"/>
    </w:rPr>
  </w:style>
  <w:style w:type="paragraph" w:customStyle="1" w:styleId="136">
    <w:name w:val="首行缩进"/>
    <w:basedOn w:val="1"/>
    <w:qFormat/>
    <w:uiPriority w:val="0"/>
    <w:pPr>
      <w:ind w:firstLine="480" w:firstLineChars="200"/>
    </w:pPr>
    <w:rPr>
      <w:lang w:val="zh-CN"/>
    </w:rPr>
  </w:style>
  <w:style w:type="paragraph" w:customStyle="1" w:styleId="137">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8">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9">
    <w:name w:val="正文表标题"/>
    <w:next w:val="138"/>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0">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character" w:customStyle="1" w:styleId="141">
    <w:name w:val="font11"/>
    <w:basedOn w:val="42"/>
    <w:qFormat/>
    <w:uiPriority w:val="0"/>
    <w:rPr>
      <w:rFonts w:hint="eastAsia" w:ascii="宋体" w:hAnsi="宋体" w:eastAsia="宋体" w:cs="宋体"/>
      <w:color w:val="000000"/>
      <w:sz w:val="32"/>
      <w:szCs w:val="32"/>
      <w:u w:val="none"/>
    </w:rPr>
  </w:style>
  <w:style w:type="character" w:customStyle="1" w:styleId="142">
    <w:name w:val="font21"/>
    <w:basedOn w:val="42"/>
    <w:qFormat/>
    <w:uiPriority w:val="0"/>
    <w:rPr>
      <w:rFonts w:hint="eastAsia" w:ascii="宋体" w:hAnsi="宋体" w:eastAsia="宋体" w:cs="宋体"/>
      <w:color w:val="000000"/>
      <w:sz w:val="21"/>
      <w:szCs w:val="21"/>
      <w:u w:val="none"/>
    </w:rPr>
  </w:style>
  <w:style w:type="character" w:customStyle="1" w:styleId="143">
    <w:name w:val="font41"/>
    <w:basedOn w:val="42"/>
    <w:qFormat/>
    <w:uiPriority w:val="0"/>
    <w:rPr>
      <w:rFonts w:hint="default" w:ascii="Times New Roman" w:hAnsi="Times New Roman" w:cs="Times New Roman"/>
      <w:color w:val="000000"/>
      <w:sz w:val="32"/>
      <w:szCs w:val="32"/>
      <w:u w:val="none"/>
    </w:rPr>
  </w:style>
  <w:style w:type="character" w:customStyle="1" w:styleId="144">
    <w:name w:val="标书一级标题 字符"/>
    <w:link w:val="135"/>
    <w:qFormat/>
    <w:uiPriority w:val="0"/>
    <w:rPr>
      <w:rFonts w:eastAsia="黑体" w:asciiTheme="minorHAnsi" w:hAnsiTheme="minorHAnsi" w:cstheme="minorBidi"/>
      <w:bCs/>
      <w:color w:val="000000"/>
      <w:kern w:val="44"/>
      <w:sz w:val="30"/>
      <w:szCs w:val="24"/>
    </w:rPr>
  </w:style>
  <w:style w:type="character" w:customStyle="1" w:styleId="145">
    <w:name w:val="Unresolved Mention"/>
    <w:basedOn w:val="42"/>
    <w:semiHidden/>
    <w:unhideWhenUsed/>
    <w:qFormat/>
    <w:uiPriority w:val="99"/>
    <w:rPr>
      <w:color w:val="605E5C"/>
      <w:shd w:val="clear" w:color="auto" w:fill="E1DFDD"/>
    </w:rPr>
  </w:style>
  <w:style w:type="paragraph" w:customStyle="1" w:styleId="146">
    <w:name w:val="文档正文-1"/>
    <w:basedOn w:val="1"/>
    <w:qFormat/>
    <w:uiPriority w:val="0"/>
    <w:pPr>
      <w:spacing w:line="360" w:lineRule="auto"/>
      <w:ind w:firstLine="200" w:firstLineChars="200"/>
    </w:pPr>
    <w:rPr>
      <w:rFonts w:ascii="Times New Roman" w:hAnsi="Times New Roman" w:eastAsia="宋体" w:cs="Times New Roman"/>
      <w:sz w:val="24"/>
      <w:szCs w:val="22"/>
    </w:rPr>
  </w:style>
  <w:style w:type="paragraph" w:customStyle="1" w:styleId="147">
    <w:name w:val="文档标题2"/>
    <w:basedOn w:val="4"/>
    <w:next w:val="146"/>
    <w:qFormat/>
    <w:uiPriority w:val="0"/>
    <w:pPr>
      <w:numPr>
        <w:ilvl w:val="1"/>
        <w:numId w:val="2"/>
      </w:numPr>
      <w:tabs>
        <w:tab w:val="left" w:pos="1275"/>
      </w:tabs>
      <w:spacing w:before="0" w:after="0" w:line="360" w:lineRule="auto"/>
      <w:ind w:left="0" w:hanging="420"/>
      <w:jc w:val="left"/>
    </w:pPr>
    <w:rPr>
      <w:rFonts w:ascii="Times New Roman" w:hAnsi="Times New Roman" w:eastAsia="宋体" w:cs="Times New Roman"/>
      <w:sz w:val="28"/>
    </w:rPr>
  </w:style>
  <w:style w:type="paragraph" w:customStyle="1" w:styleId="148">
    <w:name w:val="文档正文一级标题"/>
    <w:basedOn w:val="146"/>
    <w:qFormat/>
    <w:uiPriority w:val="0"/>
    <w:pPr>
      <w:numPr>
        <w:ilvl w:val="0"/>
        <w:numId w:val="3"/>
      </w:numPr>
      <w:ind w:firstLine="0" w:firstLineChars="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9" Type="http://schemas.openxmlformats.org/officeDocument/2006/relationships/fontTable" Target="fontTable.xml"/><Relationship Id="rId48" Type="http://schemas.openxmlformats.org/officeDocument/2006/relationships/numbering" Target="numbering.xml"/><Relationship Id="rId47" Type="http://schemas.openxmlformats.org/officeDocument/2006/relationships/customXml" Target="../customXml/item1.xml"/><Relationship Id="rId46" Type="http://schemas.openxmlformats.org/officeDocument/2006/relationships/image" Target="media/image13.png"/><Relationship Id="rId45" Type="http://schemas.openxmlformats.org/officeDocument/2006/relationships/image" Target="media/image12.png"/><Relationship Id="rId44" Type="http://schemas.openxmlformats.org/officeDocument/2006/relationships/image" Target="media/image11.png"/><Relationship Id="rId43" Type="http://schemas.openxmlformats.org/officeDocument/2006/relationships/image" Target="media/image10.png"/><Relationship Id="rId42" Type="http://schemas.openxmlformats.org/officeDocument/2006/relationships/image" Target="media/image9.png"/><Relationship Id="rId41" Type="http://schemas.openxmlformats.org/officeDocument/2006/relationships/image" Target="media/image8.png"/><Relationship Id="rId40" Type="http://schemas.openxmlformats.org/officeDocument/2006/relationships/image" Target="media/image7.png"/><Relationship Id="rId4" Type="http://schemas.openxmlformats.org/officeDocument/2006/relationships/footer" Target="footer2.xml"/><Relationship Id="rId39" Type="http://schemas.openxmlformats.org/officeDocument/2006/relationships/image" Target="media/image6.png"/><Relationship Id="rId38" Type="http://schemas.openxmlformats.org/officeDocument/2006/relationships/image" Target="media/image5.png"/><Relationship Id="rId37" Type="http://schemas.openxmlformats.org/officeDocument/2006/relationships/image" Target="media/image4.png"/><Relationship Id="rId36" Type="http://schemas.openxmlformats.org/officeDocument/2006/relationships/image" Target="media/image3.png"/><Relationship Id="rId35" Type="http://schemas.openxmlformats.org/officeDocument/2006/relationships/image" Target="media/image2.png"/><Relationship Id="rId34" Type="http://schemas.openxmlformats.org/officeDocument/2006/relationships/image" Target="media/image1.png"/><Relationship Id="rId33" Type="http://schemas.openxmlformats.org/officeDocument/2006/relationships/theme" Target="theme/theme1.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header" Target="header6.xml"/><Relationship Id="rId3" Type="http://schemas.openxmlformats.org/officeDocument/2006/relationships/footer" Target="footer1.xml"/><Relationship Id="rId29" Type="http://schemas.openxmlformats.org/officeDocument/2006/relationships/header" Target="header5.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111</Pages>
  <Words>9794</Words>
  <Characters>55830</Characters>
  <Lines>465</Lines>
  <Paragraphs>130</Paragraphs>
  <TotalTime>6</TotalTime>
  <ScaleCrop>false</ScaleCrop>
  <LinksUpToDate>false</LinksUpToDate>
  <CharactersWithSpaces>65494</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2024-06-21T03:25:00Z</cp:lastPrinted>
  <dcterms:modified xsi:type="dcterms:W3CDTF">2025-10-16T01:15:13Z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1D2B68A8623843D2B03E6F4028EC20D4</vt:lpwstr>
  </property>
  <property fmtid="{D5CDD505-2E9C-101B-9397-08002B2CF9AE}" pid="4" name="KSOTemplateDocerSaveRecord">
    <vt:lpwstr>eyJoZGlkIjoiNWM4YzFjOWU0Nzg0NmRkMzI1ZDk2YmYxNGU0NmE0YTUiLCJ1c2VySWQiOiIyMzM1Mzg3MjEifQ==</vt:lpwstr>
  </property>
</Properties>
</file>